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F2C7">
      <w:pPr>
        <w:pStyle w:val="13"/>
        <w:spacing w:line="800" w:lineRule="exact"/>
        <w:ind w:left="0"/>
        <w:jc w:val="center"/>
        <w:rPr>
          <w:rFonts w:hint="eastAsia" w:ascii="宋体" w:hAnsi="宋体" w:cs="宋体"/>
          <w:sz w:val="52"/>
          <w:szCs w:val="52"/>
        </w:rPr>
      </w:pPr>
    </w:p>
    <w:p w14:paraId="48B183ED">
      <w:pPr>
        <w:pStyle w:val="13"/>
        <w:spacing w:line="1000" w:lineRule="exact"/>
        <w:ind w:left="0"/>
        <w:jc w:val="center"/>
        <w:rPr>
          <w:rFonts w:hint="eastAsia" w:ascii="宋体" w:hAnsi="宋体" w:cs="宋体"/>
          <w:b/>
          <w:bCs/>
          <w:sz w:val="52"/>
          <w:szCs w:val="52"/>
        </w:rPr>
      </w:pPr>
      <w:r>
        <w:rPr>
          <w:rFonts w:hint="eastAsia" w:ascii="宋体" w:hAnsi="宋体" w:cs="宋体"/>
          <w:b/>
          <w:bCs/>
          <w:sz w:val="52"/>
          <w:szCs w:val="52"/>
        </w:rPr>
        <w:t>三门峡市自然资源和规划局</w:t>
      </w:r>
    </w:p>
    <w:p w14:paraId="5D1EE773">
      <w:pPr>
        <w:pStyle w:val="13"/>
        <w:spacing w:line="1000" w:lineRule="exact"/>
        <w:ind w:left="0"/>
        <w:jc w:val="center"/>
        <w:rPr>
          <w:rFonts w:hint="eastAsia" w:ascii="宋体" w:hAnsi="宋体" w:cs="宋体"/>
          <w:sz w:val="52"/>
          <w:szCs w:val="52"/>
        </w:rPr>
      </w:pPr>
      <w:r>
        <w:rPr>
          <w:rFonts w:hint="eastAsia" w:ascii="宋体" w:hAnsi="宋体" w:cs="宋体"/>
          <w:b/>
          <w:bCs/>
          <w:sz w:val="52"/>
          <w:szCs w:val="52"/>
        </w:rPr>
        <w:t>实景三维三门峡建设项目</w:t>
      </w:r>
    </w:p>
    <w:p w14:paraId="05A20424">
      <w:pPr>
        <w:pStyle w:val="12"/>
        <w:rPr>
          <w:rFonts w:hint="eastAsia" w:ascii="宋体" w:hAnsi="宋体" w:eastAsia="宋体"/>
        </w:rPr>
      </w:pPr>
    </w:p>
    <w:p w14:paraId="338598FE">
      <w:pPr>
        <w:jc w:val="center"/>
        <w:rPr>
          <w:rFonts w:hint="eastAsia" w:ascii="宋体" w:hAnsi="宋体" w:cs="宋体"/>
          <w:b/>
          <w:bCs/>
          <w:sz w:val="52"/>
          <w:szCs w:val="52"/>
        </w:rPr>
      </w:pPr>
      <w:r>
        <w:rPr>
          <w:rFonts w:hint="eastAsia" w:ascii="宋体" w:hAnsi="宋体" w:cs="宋体"/>
          <w:b/>
          <w:sz w:val="52"/>
          <w:szCs w:val="52"/>
        </w:rPr>
        <w:t>招 标 文 件</w:t>
      </w:r>
    </w:p>
    <w:p w14:paraId="274B1FCB">
      <w:pPr>
        <w:pStyle w:val="13"/>
        <w:rPr>
          <w:rFonts w:hint="eastAsia" w:ascii="宋体" w:hAnsi="宋体" w:cs="宋体"/>
        </w:rPr>
      </w:pPr>
    </w:p>
    <w:p w14:paraId="080F6838">
      <w:pPr>
        <w:rPr>
          <w:rFonts w:hint="eastAsia" w:ascii="宋体" w:hAnsi="宋体" w:cs="宋体"/>
        </w:rPr>
      </w:pPr>
    </w:p>
    <w:p w14:paraId="521DEC08">
      <w:pPr>
        <w:pStyle w:val="12"/>
        <w:ind w:firstLine="0" w:firstLineChars="0"/>
        <w:rPr>
          <w:rFonts w:hint="eastAsia" w:ascii="宋体" w:hAnsi="宋体" w:eastAsia="宋体"/>
          <w:b/>
          <w:bCs/>
          <w:sz w:val="36"/>
          <w:szCs w:val="36"/>
        </w:rPr>
      </w:pPr>
      <w:r>
        <w:rPr>
          <w:rFonts w:hint="eastAsia" w:ascii="宋体" w:hAnsi="宋体" w:eastAsia="宋体"/>
          <w:b/>
          <w:bCs/>
          <w:sz w:val="36"/>
          <w:szCs w:val="36"/>
        </w:rPr>
        <w:t>采购项目编号：三财公开采购-2025-61</w:t>
      </w:r>
    </w:p>
    <w:p w14:paraId="60F4D7E1">
      <w:pPr>
        <w:spacing w:line="360" w:lineRule="auto"/>
        <w:jc w:val="center"/>
        <w:rPr>
          <w:rFonts w:hint="eastAsia" w:ascii="宋体" w:hAnsi="宋体" w:cs="宋体"/>
          <w:b/>
          <w:sz w:val="84"/>
          <w:szCs w:val="84"/>
        </w:rPr>
      </w:pPr>
    </w:p>
    <w:p w14:paraId="2C0ABEF0">
      <w:pPr>
        <w:spacing w:line="360" w:lineRule="auto"/>
        <w:jc w:val="center"/>
        <w:rPr>
          <w:rFonts w:hint="eastAsia" w:ascii="宋体" w:hAnsi="宋体" w:cs="宋体"/>
          <w:b/>
          <w:sz w:val="84"/>
          <w:szCs w:val="84"/>
        </w:rPr>
      </w:pPr>
    </w:p>
    <w:p w14:paraId="334BBBC1">
      <w:pPr>
        <w:spacing w:line="360" w:lineRule="auto"/>
        <w:jc w:val="center"/>
        <w:rPr>
          <w:rFonts w:hint="eastAsia" w:ascii="宋体" w:hAnsi="宋体" w:cs="宋体"/>
          <w:b/>
        </w:rPr>
      </w:pPr>
      <w:r>
        <w:rPr>
          <w:rFonts w:hint="eastAsia" w:ascii="宋体" w:hAnsi="宋体" w:cs="宋体"/>
          <w:b/>
          <w:sz w:val="72"/>
          <w:szCs w:val="72"/>
        </w:rPr>
        <w:drawing>
          <wp:inline distT="0" distB="0" distL="114300" distR="114300">
            <wp:extent cx="1983105" cy="1363980"/>
            <wp:effectExtent l="0" t="0" r="17145" b="7620"/>
            <wp:docPr id="2" name="图片 2" descr="14900d1598bdca029cda92b2b4c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900d1598bdca029cda92b2b4c399d"/>
                    <pic:cNvPicPr>
                      <a:picLocks noChangeAspect="1"/>
                    </pic:cNvPicPr>
                  </pic:nvPicPr>
                  <pic:blipFill>
                    <a:blip r:embed="rId12"/>
                    <a:srcRect l="18144" t="27112" r="18011" b="26834"/>
                    <a:stretch>
                      <a:fillRect/>
                    </a:stretch>
                  </pic:blipFill>
                  <pic:spPr>
                    <a:xfrm>
                      <a:off x="0" y="0"/>
                      <a:ext cx="1983105" cy="1363980"/>
                    </a:xfrm>
                    <a:prstGeom prst="rect">
                      <a:avLst/>
                    </a:prstGeom>
                    <a:noFill/>
                    <a:ln>
                      <a:noFill/>
                    </a:ln>
                  </pic:spPr>
                </pic:pic>
              </a:graphicData>
            </a:graphic>
          </wp:inline>
        </w:drawing>
      </w:r>
    </w:p>
    <w:p w14:paraId="7B6EA849">
      <w:pPr>
        <w:spacing w:line="360" w:lineRule="auto"/>
        <w:rPr>
          <w:rFonts w:hint="eastAsia" w:ascii="宋体" w:hAnsi="宋体" w:cs="宋体"/>
          <w:sz w:val="36"/>
          <w:szCs w:val="36"/>
        </w:rPr>
      </w:pPr>
    </w:p>
    <w:p w14:paraId="5F3AFC2B">
      <w:pPr>
        <w:spacing w:line="360" w:lineRule="auto"/>
        <w:rPr>
          <w:rFonts w:hint="eastAsia" w:ascii="宋体" w:hAnsi="宋体" w:cs="宋体"/>
          <w:b/>
          <w:sz w:val="32"/>
          <w:szCs w:val="32"/>
        </w:rPr>
      </w:pPr>
    </w:p>
    <w:p w14:paraId="74E8DD00">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招标单位：三门峡市自然资源和规划局</w:t>
      </w:r>
    </w:p>
    <w:p w14:paraId="247351F9">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招标代理机构：</w:t>
      </w:r>
      <w:r>
        <w:rPr>
          <w:rFonts w:hint="eastAsia" w:ascii="宋体" w:hAnsi="宋体" w:cs="宋体"/>
          <w:b/>
          <w:bCs/>
          <w:sz w:val="32"/>
          <w:szCs w:val="32"/>
        </w:rPr>
        <w:t>河南中广汇通项目管理有限公司</w:t>
      </w:r>
    </w:p>
    <w:p w14:paraId="771C726E">
      <w:pPr>
        <w:spacing w:line="360" w:lineRule="auto"/>
        <w:ind w:firstLine="1606" w:firstLineChars="500"/>
        <w:rPr>
          <w:rFonts w:hint="eastAsia" w:ascii="宋体" w:hAnsi="宋体" w:cs="宋体"/>
          <w:b/>
          <w:sz w:val="32"/>
          <w:szCs w:val="32"/>
        </w:rPr>
        <w:sectPr>
          <w:headerReference r:id="rId4" w:type="first"/>
          <w:footerReference r:id="rId6" w:type="first"/>
          <w:headerReference r:id="rId3" w:type="even"/>
          <w:footerReference r:id="rId5" w:type="even"/>
          <w:pgSz w:w="11900" w:h="16838"/>
          <w:pgMar w:top="1440" w:right="1080" w:bottom="1440" w:left="1080" w:header="720" w:footer="0" w:gutter="0"/>
          <w:pgNumType w:start="1"/>
          <w:cols w:space="0" w:num="1"/>
          <w:titlePg/>
          <w:docGrid w:type="lines" w:linePitch="368" w:charSpace="0"/>
        </w:sectPr>
      </w:pPr>
      <w:r>
        <w:rPr>
          <w:rFonts w:hint="eastAsia" w:ascii="宋体" w:hAnsi="宋体" w:cs="宋体"/>
          <w:b/>
          <w:sz w:val="32"/>
          <w:szCs w:val="32"/>
        </w:rPr>
        <w:t>招 标 日 期：二〇二五年十月</w:t>
      </w:r>
    </w:p>
    <w:p w14:paraId="195ECFEA">
      <w:pPr>
        <w:pStyle w:val="12"/>
        <w:ind w:firstLine="0" w:firstLineChars="0"/>
        <w:rPr>
          <w:rStyle w:val="24"/>
          <w:rFonts w:hint="eastAsia" w:ascii="宋体" w:hAnsi="宋体" w:eastAsia="宋体"/>
          <w:b/>
          <w:sz w:val="44"/>
          <w:szCs w:val="44"/>
        </w:rPr>
      </w:pPr>
    </w:p>
    <w:p w14:paraId="655AF17D">
      <w:pPr>
        <w:pStyle w:val="12"/>
        <w:ind w:firstLine="0" w:firstLineChars="0"/>
        <w:rPr>
          <w:rStyle w:val="24"/>
          <w:rFonts w:hint="eastAsia" w:ascii="宋体" w:hAnsi="宋体" w:eastAsia="宋体"/>
          <w:b/>
          <w:bCs/>
          <w:caps/>
          <w:sz w:val="44"/>
          <w:szCs w:val="44"/>
        </w:rPr>
      </w:pPr>
      <w:r>
        <w:rPr>
          <w:rStyle w:val="24"/>
          <w:rFonts w:hint="eastAsia" w:ascii="宋体" w:hAnsi="宋体" w:eastAsia="宋体"/>
          <w:b/>
          <w:sz w:val="44"/>
          <w:szCs w:val="44"/>
        </w:rPr>
        <w:t>目   录</w:t>
      </w:r>
    </w:p>
    <w:p w14:paraId="6CEF2C10">
      <w:pPr>
        <w:pStyle w:val="16"/>
        <w:tabs>
          <w:tab w:val="right" w:leader="dot" w:pos="9071"/>
        </w:tabs>
        <w:rPr>
          <w:rFonts w:hint="eastAsia"/>
        </w:rPr>
      </w:pPr>
      <w:bookmarkStart w:id="0" w:name="_Toc270604572"/>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fldChar w:fldCharType="begin"/>
      </w:r>
      <w:r>
        <w:instrText xml:space="preserve"> HYPERLINK \l "_Toc8090" </w:instrText>
      </w:r>
      <w:r>
        <w:fldChar w:fldCharType="separate"/>
      </w:r>
      <w:r>
        <w:rPr>
          <w:rFonts w:hint="eastAsia"/>
          <w:szCs w:val="36"/>
        </w:rPr>
        <w:t>第一章 招标公告</w:t>
      </w:r>
      <w:r>
        <w:rPr>
          <w:rFonts w:hint="eastAsia"/>
        </w:rPr>
        <w:tab/>
      </w:r>
      <w:r>
        <w:rPr>
          <w:rFonts w:hint="eastAsia"/>
        </w:rPr>
        <w:fldChar w:fldCharType="begin"/>
      </w:r>
      <w:r>
        <w:rPr>
          <w:rFonts w:hint="eastAsia"/>
        </w:rPr>
        <w:instrText xml:space="preserve"> PAGEREF _Toc8090 \h </w:instrText>
      </w:r>
      <w:r>
        <w:rPr>
          <w:rFonts w:hint="eastAsia"/>
        </w:rPr>
        <w:fldChar w:fldCharType="separate"/>
      </w:r>
      <w:r>
        <w:rPr>
          <w:rFonts w:hint="eastAsia"/>
        </w:rPr>
        <w:t>1</w:t>
      </w:r>
      <w:r>
        <w:rPr>
          <w:rFonts w:hint="eastAsia"/>
        </w:rPr>
        <w:fldChar w:fldCharType="end"/>
      </w:r>
      <w:r>
        <w:rPr>
          <w:rFonts w:hint="eastAsia"/>
        </w:rPr>
        <w:fldChar w:fldCharType="end"/>
      </w:r>
    </w:p>
    <w:p w14:paraId="2E7A51FB">
      <w:pPr>
        <w:pStyle w:val="16"/>
        <w:tabs>
          <w:tab w:val="right" w:leader="dot" w:pos="9071"/>
        </w:tabs>
        <w:rPr>
          <w:rFonts w:hint="eastAsia"/>
        </w:rPr>
      </w:pPr>
      <w:r>
        <w:fldChar w:fldCharType="begin"/>
      </w:r>
      <w:r>
        <w:instrText xml:space="preserve"> HYPERLINK \l "_Toc28372" </w:instrText>
      </w:r>
      <w:r>
        <w:fldChar w:fldCharType="separate"/>
      </w:r>
      <w:r>
        <w:rPr>
          <w:rFonts w:hint="eastAsia"/>
          <w:szCs w:val="36"/>
        </w:rPr>
        <w:t>第二章 供应商须知</w:t>
      </w:r>
      <w:r>
        <w:rPr>
          <w:rFonts w:hint="eastAsia"/>
        </w:rPr>
        <w:tab/>
      </w:r>
      <w:r>
        <w:rPr>
          <w:rFonts w:hint="eastAsia"/>
        </w:rPr>
        <w:fldChar w:fldCharType="begin"/>
      </w:r>
      <w:r>
        <w:rPr>
          <w:rFonts w:hint="eastAsia"/>
        </w:rPr>
        <w:instrText xml:space="preserve"> PAGEREF _Toc28372 \h </w:instrText>
      </w:r>
      <w:r>
        <w:rPr>
          <w:rFonts w:hint="eastAsia"/>
        </w:rPr>
        <w:fldChar w:fldCharType="separate"/>
      </w:r>
      <w:r>
        <w:rPr>
          <w:rFonts w:hint="eastAsia"/>
        </w:rPr>
        <w:t>6</w:t>
      </w:r>
      <w:r>
        <w:rPr>
          <w:rFonts w:hint="eastAsia"/>
        </w:rPr>
        <w:fldChar w:fldCharType="end"/>
      </w:r>
      <w:r>
        <w:rPr>
          <w:rFonts w:hint="eastAsia"/>
        </w:rPr>
        <w:fldChar w:fldCharType="end"/>
      </w:r>
    </w:p>
    <w:p w14:paraId="25A7E0E1">
      <w:pPr>
        <w:pStyle w:val="16"/>
        <w:tabs>
          <w:tab w:val="right" w:leader="dot" w:pos="9071"/>
        </w:tabs>
        <w:rPr>
          <w:rFonts w:hint="eastAsia"/>
        </w:rPr>
      </w:pPr>
      <w:r>
        <w:fldChar w:fldCharType="begin"/>
      </w:r>
      <w:r>
        <w:instrText xml:space="preserve"> HYPERLINK \l "_Toc18952" </w:instrText>
      </w:r>
      <w:r>
        <w:fldChar w:fldCharType="separate"/>
      </w:r>
      <w:r>
        <w:rPr>
          <w:rFonts w:hint="eastAsia"/>
          <w:szCs w:val="36"/>
        </w:rPr>
        <w:t>第三章 评标办法</w:t>
      </w:r>
      <w:r>
        <w:rPr>
          <w:rFonts w:hint="eastAsia"/>
        </w:rPr>
        <w:tab/>
      </w:r>
      <w:r>
        <w:rPr>
          <w:rFonts w:hint="eastAsia"/>
        </w:rPr>
        <w:fldChar w:fldCharType="begin"/>
      </w:r>
      <w:r>
        <w:rPr>
          <w:rFonts w:hint="eastAsia"/>
        </w:rPr>
        <w:instrText xml:space="preserve"> PAGEREF _Toc18952 \h </w:instrText>
      </w:r>
      <w:r>
        <w:rPr>
          <w:rFonts w:hint="eastAsia"/>
        </w:rPr>
        <w:fldChar w:fldCharType="separate"/>
      </w:r>
      <w:r>
        <w:rPr>
          <w:rFonts w:hint="eastAsia"/>
        </w:rPr>
        <w:t>27</w:t>
      </w:r>
      <w:r>
        <w:rPr>
          <w:rFonts w:hint="eastAsia"/>
        </w:rPr>
        <w:fldChar w:fldCharType="end"/>
      </w:r>
      <w:r>
        <w:rPr>
          <w:rFonts w:hint="eastAsia"/>
        </w:rPr>
        <w:fldChar w:fldCharType="end"/>
      </w:r>
    </w:p>
    <w:p w14:paraId="346AD149">
      <w:pPr>
        <w:pStyle w:val="16"/>
        <w:tabs>
          <w:tab w:val="right" w:leader="dot" w:pos="9071"/>
        </w:tabs>
        <w:rPr>
          <w:rFonts w:hint="eastAsia"/>
        </w:rPr>
      </w:pPr>
      <w:r>
        <w:fldChar w:fldCharType="begin"/>
      </w:r>
      <w:r>
        <w:instrText xml:space="preserve"> HYPERLINK \l "_Toc18036" </w:instrText>
      </w:r>
      <w:r>
        <w:fldChar w:fldCharType="separate"/>
      </w:r>
      <w:r>
        <w:rPr>
          <w:rFonts w:hint="eastAsia"/>
          <w:bCs w:val="0"/>
          <w:kern w:val="0"/>
          <w:szCs w:val="24"/>
        </w:rPr>
        <w:t>第四章  合同条款及格式</w:t>
      </w:r>
      <w:r>
        <w:rPr>
          <w:rFonts w:hint="eastAsia"/>
        </w:rPr>
        <w:tab/>
      </w:r>
      <w:r>
        <w:rPr>
          <w:rFonts w:hint="eastAsia"/>
        </w:rPr>
        <w:fldChar w:fldCharType="begin"/>
      </w:r>
      <w:r>
        <w:rPr>
          <w:rFonts w:hint="eastAsia"/>
        </w:rPr>
        <w:instrText xml:space="preserve"> PAGEREF _Toc18036 \h </w:instrText>
      </w:r>
      <w:r>
        <w:rPr>
          <w:rFonts w:hint="eastAsia"/>
        </w:rPr>
        <w:fldChar w:fldCharType="separate"/>
      </w:r>
      <w:r>
        <w:rPr>
          <w:rFonts w:hint="eastAsia"/>
        </w:rPr>
        <w:t>50</w:t>
      </w:r>
      <w:r>
        <w:rPr>
          <w:rFonts w:hint="eastAsia"/>
        </w:rPr>
        <w:fldChar w:fldCharType="end"/>
      </w:r>
      <w:r>
        <w:rPr>
          <w:rFonts w:hint="eastAsia"/>
        </w:rPr>
        <w:fldChar w:fldCharType="end"/>
      </w:r>
    </w:p>
    <w:p w14:paraId="00EBA42E">
      <w:pPr>
        <w:pStyle w:val="16"/>
        <w:tabs>
          <w:tab w:val="right" w:leader="dot" w:pos="9071"/>
        </w:tabs>
        <w:rPr>
          <w:rFonts w:hint="eastAsia"/>
        </w:rPr>
      </w:pPr>
      <w:r>
        <w:fldChar w:fldCharType="begin"/>
      </w:r>
      <w:r>
        <w:instrText xml:space="preserve"> HYPERLINK \l "_Toc11525" </w:instrText>
      </w:r>
      <w:r>
        <w:fldChar w:fldCharType="separate"/>
      </w:r>
      <w:r>
        <w:rPr>
          <w:rFonts w:hint="eastAsia"/>
          <w:bCs w:val="0"/>
          <w:kern w:val="0"/>
          <w:szCs w:val="36"/>
        </w:rPr>
        <w:t>第五章采购内容及要求</w:t>
      </w:r>
      <w:r>
        <w:rPr>
          <w:rFonts w:hint="eastAsia"/>
        </w:rPr>
        <w:tab/>
      </w:r>
      <w:r>
        <w:rPr>
          <w:rFonts w:hint="eastAsia"/>
        </w:rPr>
        <w:fldChar w:fldCharType="begin"/>
      </w:r>
      <w:r>
        <w:rPr>
          <w:rFonts w:hint="eastAsia"/>
        </w:rPr>
        <w:instrText xml:space="preserve"> PAGEREF _Toc11525 \h </w:instrText>
      </w:r>
      <w:r>
        <w:rPr>
          <w:rFonts w:hint="eastAsia"/>
        </w:rPr>
        <w:fldChar w:fldCharType="separate"/>
      </w:r>
      <w:r>
        <w:rPr>
          <w:rFonts w:hint="eastAsia"/>
        </w:rPr>
        <w:t>53</w:t>
      </w:r>
      <w:r>
        <w:rPr>
          <w:rFonts w:hint="eastAsia"/>
        </w:rPr>
        <w:fldChar w:fldCharType="end"/>
      </w:r>
      <w:r>
        <w:rPr>
          <w:rFonts w:hint="eastAsia"/>
        </w:rPr>
        <w:fldChar w:fldCharType="end"/>
      </w:r>
    </w:p>
    <w:p w14:paraId="6B063733">
      <w:pPr>
        <w:pStyle w:val="16"/>
        <w:tabs>
          <w:tab w:val="right" w:leader="dot" w:pos="9071"/>
        </w:tabs>
        <w:rPr>
          <w:rFonts w:hint="eastAsia"/>
        </w:rPr>
      </w:pPr>
      <w:r>
        <w:fldChar w:fldCharType="begin"/>
      </w:r>
      <w:r>
        <w:instrText xml:space="preserve"> HYPERLINK \l "_Toc10087" </w:instrText>
      </w:r>
      <w:r>
        <w:fldChar w:fldCharType="separate"/>
      </w:r>
      <w:r>
        <w:rPr>
          <w:rFonts w:hint="eastAsia"/>
        </w:rPr>
        <w:t>第六章 投标文件格式</w:t>
      </w:r>
      <w:r>
        <w:rPr>
          <w:rFonts w:hint="eastAsia"/>
        </w:rPr>
        <w:tab/>
      </w:r>
      <w:r>
        <w:rPr>
          <w:rFonts w:hint="eastAsia"/>
        </w:rPr>
        <w:fldChar w:fldCharType="begin"/>
      </w:r>
      <w:r>
        <w:rPr>
          <w:rFonts w:hint="eastAsia"/>
        </w:rPr>
        <w:instrText xml:space="preserve"> PAGEREF _Toc10087 \h </w:instrText>
      </w:r>
      <w:r>
        <w:rPr>
          <w:rFonts w:hint="eastAsia"/>
        </w:rPr>
        <w:fldChar w:fldCharType="separate"/>
      </w:r>
      <w:r>
        <w:rPr>
          <w:rFonts w:hint="eastAsia"/>
        </w:rPr>
        <w:t>80</w:t>
      </w:r>
      <w:r>
        <w:rPr>
          <w:rFonts w:hint="eastAsia"/>
        </w:rPr>
        <w:fldChar w:fldCharType="end"/>
      </w:r>
      <w:r>
        <w:rPr>
          <w:rFonts w:hint="eastAsia"/>
        </w:rPr>
        <w:fldChar w:fldCharType="end"/>
      </w:r>
    </w:p>
    <w:p w14:paraId="68808C19">
      <w:pPr>
        <w:pStyle w:val="17"/>
        <w:tabs>
          <w:tab w:val="right" w:leader="dot" w:pos="8302"/>
        </w:tabs>
        <w:spacing w:line="440" w:lineRule="exact"/>
        <w:ind w:left="0"/>
        <w:rPr>
          <w:rFonts w:hint="eastAsia" w:ascii="宋体" w:hAnsi="宋体"/>
          <w:b/>
          <w:bCs/>
          <w:sz w:val="24"/>
          <w:szCs w:val="24"/>
        </w:rPr>
      </w:pPr>
      <w:r>
        <w:rPr>
          <w:rFonts w:hint="eastAsia" w:ascii="宋体" w:hAnsi="宋体"/>
          <w:bCs/>
          <w:szCs w:val="24"/>
        </w:rPr>
        <w:fldChar w:fldCharType="end"/>
      </w:r>
    </w:p>
    <w:bookmarkEnd w:id="0"/>
    <w:p w14:paraId="268B881B">
      <w:pPr>
        <w:pStyle w:val="2"/>
        <w:spacing w:before="120" w:after="120" w:line="400" w:lineRule="exact"/>
        <w:jc w:val="center"/>
        <w:rPr>
          <w:rFonts w:hint="eastAsia" w:ascii="宋体" w:hAnsi="宋体" w:cs="宋体"/>
          <w:sz w:val="36"/>
          <w:szCs w:val="36"/>
        </w:rPr>
        <w:sectPr>
          <w:headerReference r:id="rId7" w:type="default"/>
          <w:footerReference r:id="rId8" w:type="default"/>
          <w:pgSz w:w="11900" w:h="16838"/>
          <w:pgMar w:top="1134" w:right="1270" w:bottom="992" w:left="1559" w:header="964" w:footer="0" w:gutter="0"/>
          <w:pgNumType w:start="1"/>
          <w:cols w:space="0" w:num="1"/>
          <w:docGrid w:type="lines" w:linePitch="368" w:charSpace="0"/>
        </w:sectPr>
      </w:pPr>
      <w:bookmarkStart w:id="1" w:name="_Toc26551"/>
    </w:p>
    <w:p w14:paraId="51F1324C">
      <w:pPr>
        <w:pStyle w:val="2"/>
        <w:spacing w:before="120" w:after="120" w:line="400" w:lineRule="exact"/>
        <w:jc w:val="center"/>
        <w:rPr>
          <w:rFonts w:hint="eastAsia" w:ascii="宋体" w:hAnsi="宋体" w:cs="宋体"/>
          <w:sz w:val="36"/>
          <w:szCs w:val="36"/>
        </w:rPr>
      </w:pPr>
      <w:bookmarkStart w:id="2" w:name="_Toc8090"/>
      <w:bookmarkStart w:id="3" w:name="_Toc22201"/>
      <w:r>
        <w:rPr>
          <w:rFonts w:hint="eastAsia" w:ascii="宋体" w:hAnsi="宋体" w:cs="宋体"/>
          <w:sz w:val="36"/>
          <w:szCs w:val="36"/>
        </w:rPr>
        <w:t>第一章 招标公告</w:t>
      </w:r>
      <w:bookmarkEnd w:id="1"/>
      <w:bookmarkEnd w:id="2"/>
      <w:bookmarkEnd w:id="3"/>
    </w:p>
    <w:p w14:paraId="2D237A2F">
      <w:pP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4513181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三门峡市自然资源和规划局实景三维三门峡建设项目的潜在投标人应在三门峡市公共资源交易中心（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"http://gzjy.smx.gov.cn/）获取招标文件，并于" </w:instrText>
      </w:r>
      <w:r>
        <w:rPr>
          <w:color w:val="000000" w:themeColor="text1"/>
          <w14:textFill>
            <w14:solidFill>
              <w14:schemeClr w14:val="tx1"/>
            </w14:solidFill>
          </w14:textFill>
        </w:rPr>
        <w:fldChar w:fldCharType="separate"/>
      </w:r>
      <w:r>
        <w:rPr>
          <w:rStyle w:val="24"/>
          <w:rFonts w:hint="eastAsia" w:ascii="宋体" w:hAnsi="宋体" w:cs="宋体"/>
          <w:color w:val="000000" w:themeColor="text1"/>
          <w:sz w:val="24"/>
          <w:szCs w:val="24"/>
          <w14:textFill>
            <w14:solidFill>
              <w14:schemeClr w14:val="tx1"/>
            </w14:solidFill>
          </w14:textFill>
        </w:rPr>
        <w:t>http://gzjy.smx.gov.cn/）获取招标文件，并于</w:t>
      </w:r>
      <w:r>
        <w:rPr>
          <w:rStyle w:val="24"/>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u w:val="single"/>
          <w:lang w:val="en-US" w:eastAsia="zh-CN"/>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09</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lang w:val="en-US" w:eastAsia="zh-CN"/>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分（北京时间）前递交响应文件。</w:t>
      </w:r>
    </w:p>
    <w:p w14:paraId="089115D6">
      <w:pPr>
        <w:spacing w:line="360" w:lineRule="auto"/>
        <w:ind w:firstLine="482" w:firstLineChars="200"/>
        <w:rPr>
          <w:rFonts w:hint="eastAsia" w:ascii="宋体" w:hAnsi="宋体" w:cs="宋体"/>
          <w:sz w:val="24"/>
          <w:szCs w:val="24"/>
        </w:rPr>
      </w:pPr>
      <w:r>
        <w:rPr>
          <w:rFonts w:hint="eastAsia" w:ascii="宋体" w:hAnsi="宋体" w:cs="宋体"/>
          <w:b/>
          <w:bCs/>
          <w:sz w:val="24"/>
          <w:szCs w:val="24"/>
        </w:rPr>
        <w:t>一、项目基本情况</w:t>
      </w:r>
    </w:p>
    <w:p w14:paraId="40FF6B8A">
      <w:pPr>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1、采购项目编号：</w:t>
      </w:r>
      <w:r>
        <w:rPr>
          <w:rFonts w:hint="eastAsia" w:ascii="宋体" w:hAnsi="宋体" w:cs="宋体"/>
          <w:kern w:val="0"/>
          <w:sz w:val="24"/>
          <w:szCs w:val="24"/>
        </w:rPr>
        <w:t>三财公开采购-2025-61</w:t>
      </w:r>
    </w:p>
    <w:p w14:paraId="21CD5AD6">
      <w:pPr>
        <w:spacing w:line="360" w:lineRule="auto"/>
        <w:ind w:firstLine="480" w:firstLineChars="200"/>
        <w:rPr>
          <w:rFonts w:hint="eastAsia" w:ascii="宋体" w:hAnsi="宋体" w:cs="宋体"/>
          <w:sz w:val="24"/>
          <w:szCs w:val="24"/>
        </w:rPr>
      </w:pPr>
      <w:r>
        <w:rPr>
          <w:rFonts w:hint="eastAsia" w:ascii="宋体" w:hAnsi="宋体" w:cs="宋体"/>
          <w:sz w:val="24"/>
          <w:szCs w:val="24"/>
        </w:rPr>
        <w:t>2、项目名称：</w:t>
      </w:r>
      <w:r>
        <w:rPr>
          <w:rFonts w:hint="eastAsia" w:ascii="宋体" w:hAnsi="宋体" w:cs="宋体"/>
          <w:kern w:val="0"/>
          <w:sz w:val="24"/>
          <w:szCs w:val="24"/>
        </w:rPr>
        <w:t>三门峡市自然资源和规划局实景三维三门峡建设项目</w:t>
      </w:r>
    </w:p>
    <w:p w14:paraId="5E22851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3、采购方式：公开招标</w:t>
      </w:r>
    </w:p>
    <w:p w14:paraId="6D583916">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zh-TW"/>
        </w:rPr>
        <w:t>4、</w:t>
      </w:r>
      <w:r>
        <w:rPr>
          <w:rFonts w:hint="eastAsia" w:ascii="宋体" w:hAnsi="宋体" w:cs="宋体"/>
          <w:sz w:val="24"/>
          <w:szCs w:val="24"/>
        </w:rPr>
        <w:t>预算金额：11952700.00元</w:t>
      </w:r>
      <w:r>
        <w:rPr>
          <w:rFonts w:hint="eastAsia" w:ascii="宋体" w:hAnsi="宋体" w:cs="宋体"/>
          <w:sz w:val="24"/>
          <w:szCs w:val="24"/>
          <w:lang w:val="en-US" w:eastAsia="zh-CN"/>
        </w:rPr>
        <w:tab/>
      </w:r>
    </w:p>
    <w:p w14:paraId="6C93059D">
      <w:pPr>
        <w:pStyle w:val="26"/>
        <w:spacing w:line="360" w:lineRule="auto"/>
        <w:ind w:firstLine="840" w:firstLineChars="350"/>
        <w:rPr>
          <w:rFonts w:hint="eastAsia" w:ascii="宋体" w:hAnsi="宋体" w:cs="宋体"/>
          <w:szCs w:val="24"/>
        </w:rPr>
      </w:pPr>
      <w:r>
        <w:rPr>
          <w:rFonts w:hint="eastAsia" w:ascii="宋体" w:hAnsi="宋体" w:cs="宋体"/>
          <w:szCs w:val="24"/>
        </w:rPr>
        <w:t>最高限价：11952700.00元</w:t>
      </w:r>
    </w:p>
    <w:tbl>
      <w:tblPr>
        <w:tblStyle w:val="22"/>
        <w:tblW w:w="9923"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2616"/>
        <w:gridCol w:w="3008"/>
        <w:gridCol w:w="1936"/>
        <w:gridCol w:w="1676"/>
      </w:tblGrid>
      <w:tr w14:paraId="2356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709" w:type="dxa"/>
            <w:vAlign w:val="center"/>
          </w:tcPr>
          <w:p w14:paraId="5F4B455B">
            <w:pPr>
              <w:spacing w:line="276" w:lineRule="auto"/>
              <w:jc w:val="center"/>
              <w:rPr>
                <w:rFonts w:hint="eastAsia" w:ascii="宋体" w:hAnsi="宋体" w:cs="宋体"/>
                <w:sz w:val="24"/>
                <w:szCs w:val="24"/>
              </w:rPr>
            </w:pPr>
            <w:r>
              <w:rPr>
                <w:rFonts w:hint="eastAsia" w:ascii="宋体" w:hAnsi="宋体" w:cs="宋体"/>
                <w:sz w:val="24"/>
                <w:szCs w:val="24"/>
              </w:rPr>
              <w:t>序号</w:t>
            </w:r>
          </w:p>
        </w:tc>
        <w:tc>
          <w:tcPr>
            <w:tcW w:w="2279" w:type="dxa"/>
            <w:vAlign w:val="center"/>
          </w:tcPr>
          <w:p w14:paraId="65B08E7F">
            <w:pPr>
              <w:spacing w:line="276" w:lineRule="auto"/>
              <w:jc w:val="center"/>
              <w:rPr>
                <w:rFonts w:hint="eastAsia" w:ascii="宋体" w:hAnsi="宋体" w:cs="宋体"/>
                <w:sz w:val="24"/>
                <w:szCs w:val="24"/>
              </w:rPr>
            </w:pPr>
            <w:r>
              <w:rPr>
                <w:rFonts w:hint="eastAsia" w:ascii="宋体" w:hAnsi="宋体" w:cs="宋体"/>
                <w:color w:val="auto"/>
                <w:sz w:val="24"/>
                <w:szCs w:val="24"/>
                <w:highlight w:val="none"/>
              </w:rPr>
              <w:t>包号</w:t>
            </w:r>
          </w:p>
        </w:tc>
        <w:tc>
          <w:tcPr>
            <w:tcW w:w="3249" w:type="dxa"/>
            <w:vAlign w:val="center"/>
          </w:tcPr>
          <w:p w14:paraId="41578131">
            <w:pPr>
              <w:spacing w:line="276" w:lineRule="auto"/>
              <w:jc w:val="center"/>
              <w:rPr>
                <w:rFonts w:hint="eastAsia" w:ascii="宋体" w:hAnsi="宋体" w:cs="宋体"/>
                <w:sz w:val="24"/>
                <w:szCs w:val="24"/>
                <w:highlight w:val="yellow"/>
              </w:rPr>
            </w:pPr>
            <w:r>
              <w:rPr>
                <w:rFonts w:hint="eastAsia" w:ascii="宋体" w:hAnsi="宋体" w:cs="宋体"/>
                <w:sz w:val="24"/>
                <w:szCs w:val="24"/>
              </w:rPr>
              <w:t>包名称</w:t>
            </w:r>
          </w:p>
        </w:tc>
        <w:tc>
          <w:tcPr>
            <w:tcW w:w="1985" w:type="dxa"/>
            <w:vAlign w:val="center"/>
          </w:tcPr>
          <w:p w14:paraId="55041396">
            <w:pPr>
              <w:spacing w:line="276" w:lineRule="auto"/>
              <w:jc w:val="center"/>
              <w:rPr>
                <w:rFonts w:hint="eastAsia" w:ascii="宋体" w:hAnsi="宋体" w:cs="宋体"/>
                <w:sz w:val="24"/>
                <w:szCs w:val="24"/>
              </w:rPr>
            </w:pPr>
            <w:r>
              <w:rPr>
                <w:rFonts w:hint="eastAsia" w:ascii="宋体" w:hAnsi="宋体" w:cs="宋体"/>
                <w:sz w:val="24"/>
                <w:szCs w:val="24"/>
              </w:rPr>
              <w:t>包预算(元)</w:t>
            </w:r>
          </w:p>
        </w:tc>
        <w:tc>
          <w:tcPr>
            <w:tcW w:w="1701" w:type="dxa"/>
            <w:vAlign w:val="center"/>
          </w:tcPr>
          <w:p w14:paraId="187032B8">
            <w:pPr>
              <w:spacing w:line="276" w:lineRule="auto"/>
              <w:jc w:val="center"/>
              <w:rPr>
                <w:rFonts w:hint="eastAsia" w:ascii="宋体" w:hAnsi="宋体" w:cs="宋体"/>
                <w:sz w:val="24"/>
                <w:szCs w:val="24"/>
              </w:rPr>
            </w:pPr>
            <w:r>
              <w:rPr>
                <w:rFonts w:hint="eastAsia" w:ascii="宋体" w:hAnsi="宋体" w:cs="宋体"/>
                <w:sz w:val="24"/>
                <w:szCs w:val="24"/>
              </w:rPr>
              <w:t>包最高限价（元）</w:t>
            </w:r>
          </w:p>
        </w:tc>
      </w:tr>
      <w:tr w14:paraId="0CE9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9" w:type="dxa"/>
            <w:vAlign w:val="center"/>
          </w:tcPr>
          <w:p w14:paraId="458A5230">
            <w:pPr>
              <w:spacing w:line="276" w:lineRule="auto"/>
              <w:jc w:val="center"/>
              <w:rPr>
                <w:rFonts w:hint="eastAsia" w:ascii="宋体" w:hAnsi="宋体" w:cs="宋体"/>
                <w:sz w:val="24"/>
                <w:szCs w:val="24"/>
              </w:rPr>
            </w:pPr>
            <w:r>
              <w:rPr>
                <w:rFonts w:hint="eastAsia" w:ascii="宋体" w:hAnsi="宋体" w:cs="宋体"/>
                <w:sz w:val="24"/>
                <w:szCs w:val="24"/>
              </w:rPr>
              <w:t>1</w:t>
            </w:r>
          </w:p>
        </w:tc>
        <w:tc>
          <w:tcPr>
            <w:tcW w:w="2279" w:type="dxa"/>
            <w:vAlign w:val="center"/>
          </w:tcPr>
          <w:p w14:paraId="667FC4F1">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-1</w:t>
            </w:r>
          </w:p>
        </w:tc>
        <w:tc>
          <w:tcPr>
            <w:tcW w:w="3249" w:type="dxa"/>
            <w:vAlign w:val="center"/>
          </w:tcPr>
          <w:p w14:paraId="4EB332A8">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1</w:t>
            </w:r>
          </w:p>
        </w:tc>
        <w:tc>
          <w:tcPr>
            <w:tcW w:w="1985" w:type="dxa"/>
            <w:vAlign w:val="center"/>
          </w:tcPr>
          <w:p w14:paraId="4BAB407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c>
          <w:tcPr>
            <w:tcW w:w="1701" w:type="dxa"/>
            <w:vAlign w:val="center"/>
          </w:tcPr>
          <w:p w14:paraId="03D491C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r>
      <w:tr w14:paraId="433E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78819221">
            <w:pPr>
              <w:spacing w:line="276" w:lineRule="auto"/>
              <w:jc w:val="center"/>
              <w:rPr>
                <w:rFonts w:hint="eastAsia" w:ascii="宋体" w:hAnsi="宋体" w:cs="宋体"/>
                <w:sz w:val="24"/>
                <w:szCs w:val="24"/>
              </w:rPr>
            </w:pPr>
            <w:r>
              <w:rPr>
                <w:rFonts w:hint="eastAsia" w:ascii="宋体" w:hAnsi="宋体" w:cs="宋体"/>
                <w:sz w:val="24"/>
                <w:szCs w:val="24"/>
              </w:rPr>
              <w:t>2</w:t>
            </w:r>
          </w:p>
        </w:tc>
        <w:tc>
          <w:tcPr>
            <w:tcW w:w="2279" w:type="dxa"/>
            <w:vAlign w:val="center"/>
          </w:tcPr>
          <w:p w14:paraId="1DCFEA83">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-2</w:t>
            </w:r>
          </w:p>
        </w:tc>
        <w:tc>
          <w:tcPr>
            <w:tcW w:w="3249" w:type="dxa"/>
            <w:vAlign w:val="center"/>
          </w:tcPr>
          <w:p w14:paraId="4C645411">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2</w:t>
            </w:r>
          </w:p>
        </w:tc>
        <w:tc>
          <w:tcPr>
            <w:tcW w:w="1985" w:type="dxa"/>
            <w:vAlign w:val="center"/>
          </w:tcPr>
          <w:p w14:paraId="3FF9FE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c>
          <w:tcPr>
            <w:tcW w:w="1701" w:type="dxa"/>
            <w:vAlign w:val="center"/>
          </w:tcPr>
          <w:p w14:paraId="7492EA9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r>
      <w:tr w14:paraId="3638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56C593D1">
            <w:pPr>
              <w:spacing w:line="276" w:lineRule="auto"/>
              <w:jc w:val="center"/>
              <w:rPr>
                <w:rFonts w:hint="eastAsia" w:ascii="宋体" w:hAnsi="宋体" w:cs="宋体"/>
                <w:sz w:val="24"/>
                <w:szCs w:val="24"/>
              </w:rPr>
            </w:pPr>
            <w:r>
              <w:rPr>
                <w:rFonts w:hint="eastAsia" w:ascii="宋体" w:hAnsi="宋体" w:cs="宋体"/>
                <w:sz w:val="24"/>
                <w:szCs w:val="24"/>
              </w:rPr>
              <w:t>3</w:t>
            </w:r>
          </w:p>
        </w:tc>
        <w:tc>
          <w:tcPr>
            <w:tcW w:w="2279" w:type="dxa"/>
            <w:vAlign w:val="center"/>
          </w:tcPr>
          <w:p w14:paraId="74C4977B">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-3</w:t>
            </w:r>
          </w:p>
        </w:tc>
        <w:tc>
          <w:tcPr>
            <w:tcW w:w="3249" w:type="dxa"/>
            <w:vAlign w:val="center"/>
          </w:tcPr>
          <w:p w14:paraId="34F452BA">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3</w:t>
            </w:r>
          </w:p>
        </w:tc>
        <w:tc>
          <w:tcPr>
            <w:tcW w:w="1985" w:type="dxa"/>
            <w:vAlign w:val="center"/>
          </w:tcPr>
          <w:p w14:paraId="1C168BF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c>
          <w:tcPr>
            <w:tcW w:w="1701" w:type="dxa"/>
            <w:vAlign w:val="center"/>
          </w:tcPr>
          <w:p w14:paraId="2803D61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r>
    </w:tbl>
    <w:p w14:paraId="2CCE8BC5">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5、</w:t>
      </w:r>
      <w:r>
        <w:rPr>
          <w:rFonts w:hint="eastAsia" w:ascii="宋体" w:hAnsi="宋体" w:cs="宋体"/>
          <w:sz w:val="24"/>
          <w:szCs w:val="24"/>
        </w:rPr>
        <w:t>采购需求(包括但不限于标的的名称、数量、简要技术需求或服务要求等)：</w:t>
      </w:r>
    </w:p>
    <w:p w14:paraId="0AD4BE7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5.1采购范围：</w:t>
      </w:r>
    </w:p>
    <w:p w14:paraId="1E9C848C">
      <w:pPr>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7595BF1B">
      <w:pPr>
        <w:pStyle w:val="13"/>
        <w:spacing w:line="360" w:lineRule="auto"/>
        <w:ind w:left="0"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5.2资金来源</w:t>
      </w:r>
      <w:r>
        <w:rPr>
          <w:rFonts w:hint="eastAsia" w:ascii="宋体" w:hAnsi="宋体" w:cs="宋体"/>
          <w:color w:val="000000" w:themeColor="text1"/>
          <w:sz w:val="24"/>
          <w:szCs w:val="24"/>
          <w14:textFill>
            <w14:solidFill>
              <w14:schemeClr w14:val="tx1"/>
            </w14:solidFill>
          </w14:textFill>
        </w:rPr>
        <w:t>：财政资金，已落实</w:t>
      </w:r>
    </w:p>
    <w:p w14:paraId="0CD15D42">
      <w:pPr>
        <w:pStyle w:val="13"/>
        <w:spacing w:line="360" w:lineRule="auto"/>
        <w:ind w:left="0" w:firstLine="480" w:firstLineChars="200"/>
        <w:rPr>
          <w:rFonts w:hint="eastAsia" w:ascii="宋体" w:hAnsi="宋体" w:cs="宋体"/>
          <w:sz w:val="24"/>
          <w:szCs w:val="24"/>
        </w:rPr>
      </w:pPr>
      <w:r>
        <w:rPr>
          <w:rFonts w:hint="eastAsia" w:ascii="宋体" w:hAnsi="宋体" w:cs="宋体"/>
          <w:sz w:val="24"/>
          <w:szCs w:val="24"/>
        </w:rPr>
        <w:t>5.3质量要求：合格，符合国家及行业标准，并满足采购人要求；</w:t>
      </w:r>
    </w:p>
    <w:p w14:paraId="56F35690">
      <w:pPr>
        <w:spacing w:line="360" w:lineRule="auto"/>
        <w:ind w:firstLine="480" w:firstLineChars="200"/>
        <w:rPr>
          <w:rFonts w:hint="eastAsia" w:ascii="宋体" w:hAnsi="宋体" w:cs="宋体"/>
          <w:sz w:val="24"/>
          <w:szCs w:val="24"/>
        </w:rPr>
      </w:pPr>
      <w:r>
        <w:rPr>
          <w:rFonts w:hint="eastAsia" w:ascii="宋体" w:hAnsi="宋体" w:cs="宋体"/>
          <w:sz w:val="24"/>
          <w:szCs w:val="24"/>
        </w:rPr>
        <w:t>5.4服务期限：自合同签订生效之日起至通过验收；</w:t>
      </w:r>
    </w:p>
    <w:p w14:paraId="504CA4E2">
      <w:pPr>
        <w:spacing w:line="360" w:lineRule="auto"/>
        <w:ind w:firstLine="480" w:firstLineChars="200"/>
        <w:rPr>
          <w:rFonts w:hint="eastAsia" w:ascii="宋体" w:hAnsi="宋体" w:cs="宋体"/>
          <w:sz w:val="24"/>
          <w:szCs w:val="24"/>
        </w:rPr>
      </w:pPr>
      <w:r>
        <w:rPr>
          <w:rFonts w:hint="eastAsia" w:ascii="宋体" w:hAnsi="宋体" w:cs="宋体"/>
          <w:sz w:val="24"/>
          <w:szCs w:val="24"/>
        </w:rPr>
        <w:t>6、合同履行期限：同服务期限。</w:t>
      </w:r>
    </w:p>
    <w:p w14:paraId="275E5263">
      <w:pPr>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7、本项目是否接受联合体投标：否</w:t>
      </w:r>
    </w:p>
    <w:p w14:paraId="688B631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hint="eastAsia" w:ascii="宋体" w:hAnsi="宋体" w:cs="宋体"/>
          <w:color w:val="000000" w:themeColor="text1"/>
          <w:sz w:val="24"/>
          <w:szCs w:val="24"/>
          <w14:textFill>
            <w14:solidFill>
              <w14:schemeClr w14:val="tx1"/>
            </w14:solidFill>
          </w14:textFill>
        </w:rPr>
        <w:t>是否接受进口产品：否</w:t>
      </w:r>
    </w:p>
    <w:p w14:paraId="4665ACB2">
      <w:pPr>
        <w:spacing w:line="360" w:lineRule="auto"/>
        <w:ind w:firstLine="480" w:firstLineChars="200"/>
        <w:rPr>
          <w:rFonts w:hint="eastAsia" w:ascii="宋体" w:hAnsi="宋体" w:cs="宋体"/>
          <w:sz w:val="24"/>
          <w:szCs w:val="24"/>
        </w:rPr>
      </w:pPr>
      <w:r>
        <w:rPr>
          <w:rFonts w:hint="eastAsia" w:ascii="宋体" w:hAnsi="宋体" w:cs="宋体"/>
          <w:sz w:val="24"/>
          <w:szCs w:val="24"/>
        </w:rPr>
        <w:t>9、是否专门面向中小企业：否</w:t>
      </w:r>
    </w:p>
    <w:p w14:paraId="459EF0BF">
      <w:pPr>
        <w:spacing w:line="360" w:lineRule="auto"/>
        <w:ind w:firstLine="482" w:firstLineChars="200"/>
        <w:rPr>
          <w:rFonts w:hint="eastAsia" w:ascii="宋体" w:hAnsi="宋体" w:cs="宋体"/>
          <w:sz w:val="24"/>
          <w:szCs w:val="24"/>
        </w:rPr>
      </w:pPr>
      <w:r>
        <w:rPr>
          <w:rFonts w:hint="eastAsia" w:ascii="宋体" w:hAnsi="宋体" w:cs="宋体"/>
          <w:b/>
          <w:bCs/>
          <w:sz w:val="24"/>
          <w:szCs w:val="24"/>
        </w:rPr>
        <w:t>二、申请人资格要求</w:t>
      </w:r>
    </w:p>
    <w:p w14:paraId="7D869F2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3095B913">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AE9D010">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6DFDE8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056A11C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5137F2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6A4DCDD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45DF7BC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299BD7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AB7BB79">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559FEE0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737B003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50C44C5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单位负责人为同一人或者存在直接控股、管理关系的不同供应商，不得参加同一合同项下的政府采购活动。提供国家企业信用信息公示系统的企业信用信息公示报告或承诺书(格式自拟)。</w:t>
      </w:r>
    </w:p>
    <w:p w14:paraId="15B1AA4E">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5BDF401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1EAB60D8">
      <w:pPr>
        <w:spacing w:line="360" w:lineRule="auto"/>
        <w:ind w:firstLine="482" w:firstLineChars="200"/>
        <w:rPr>
          <w:rFonts w:hint="eastAsia" w:ascii="宋体" w:hAnsi="宋体" w:cs="宋体"/>
          <w:b/>
          <w:bCs/>
          <w:sz w:val="24"/>
          <w:szCs w:val="24"/>
          <w:lang w:val="zh-TW"/>
        </w:rPr>
      </w:pPr>
      <w:r>
        <w:rPr>
          <w:rFonts w:hint="eastAsia" w:ascii="宋体" w:hAnsi="宋体" w:cs="宋体"/>
          <w:b/>
          <w:bCs/>
          <w:sz w:val="24"/>
          <w:szCs w:val="24"/>
          <w:lang w:val="zh-TW"/>
        </w:rPr>
        <w:t>三、获取招标文件</w:t>
      </w:r>
    </w:p>
    <w:p w14:paraId="2FAEFCC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 至 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cs="宋体"/>
          <w:color w:val="auto"/>
          <w:sz w:val="24"/>
          <w:szCs w:val="24"/>
        </w:rPr>
        <w:t>日，每天上午00:00至12:00，下午12:00至23:59（北京时间，法定节假日除外。）</w:t>
      </w:r>
    </w:p>
    <w:p w14:paraId="67256FD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2.地点：三门峡市公共资源交易中心网（网址：http://gzjy.smx.gov.cn/）</w:t>
      </w:r>
    </w:p>
    <w:p w14:paraId="22402808">
      <w:pPr>
        <w:spacing w:line="360" w:lineRule="auto"/>
        <w:ind w:firstLine="480" w:firstLineChars="200"/>
        <w:rPr>
          <w:rFonts w:hint="eastAsia" w:ascii="宋体" w:hAnsi="宋体" w:cs="宋体"/>
          <w:sz w:val="24"/>
          <w:szCs w:val="24"/>
        </w:rPr>
      </w:pPr>
      <w:r>
        <w:rPr>
          <w:rFonts w:hint="eastAsia" w:ascii="宋体" w:hAnsi="宋体" w:cs="宋体"/>
          <w:sz w:val="24"/>
          <w:szCs w:val="24"/>
        </w:rPr>
        <w:t>3.方式：</w:t>
      </w:r>
      <w:r>
        <w:rPr>
          <w:rFonts w:hint="eastAsia" w:ascii="宋体" w:hAnsi="宋体" w:cs="宋体"/>
          <w:sz w:val="24"/>
          <w:szCs w:val="24"/>
          <w:lang w:val="zh-TW"/>
        </w:rPr>
        <w:t>本项目没有报名环节，供应商凭CA数字证书通过三门峡市公共资源交易中心网（网址：</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"http://gzjy.smx.gov.cn/SMX/Home/index.do），点击交易平台选择" </w:instrText>
      </w:r>
      <w:r>
        <w:rPr>
          <w:rFonts w:hint="eastAsia" w:ascii="宋体" w:hAnsi="宋体" w:cs="宋体"/>
          <w:sz w:val="24"/>
          <w:szCs w:val="24"/>
          <w:lang w:val="zh-TW"/>
        </w:rPr>
        <w:fldChar w:fldCharType="separate"/>
      </w:r>
      <w:r>
        <w:rPr>
          <w:rFonts w:hint="eastAsia" w:ascii="宋体" w:hAnsi="宋体" w:cs="宋体"/>
          <w:sz w:val="24"/>
          <w:szCs w:val="24"/>
          <w:lang w:val="zh-TW"/>
        </w:rPr>
        <w:t>http://gzjy.smx.gov.cn/），点击交易平台选择“市场主体登录”，在所参与项目右侧点击参与投标，即可直接下载本项目招标文件。</w:t>
      </w:r>
      <w:r>
        <w:rPr>
          <w:rFonts w:hint="eastAsia" w:ascii="宋体" w:hAnsi="宋体" w:cs="宋体"/>
          <w:sz w:val="24"/>
          <w:szCs w:val="24"/>
          <w:lang w:val="zh-TW"/>
        </w:rPr>
        <w:fldChar w:fldCharType="end"/>
      </w:r>
    </w:p>
    <w:p w14:paraId="124C72BB">
      <w:pPr>
        <w:spacing w:line="360" w:lineRule="auto"/>
        <w:ind w:firstLine="480" w:firstLineChars="200"/>
        <w:jc w:val="left"/>
        <w:rPr>
          <w:rFonts w:hint="eastAsia" w:ascii="宋体" w:hAnsi="宋体" w:cs="宋体"/>
          <w:sz w:val="24"/>
          <w:szCs w:val="24"/>
          <w:lang w:val="zh-TW"/>
        </w:rPr>
      </w:pPr>
      <w:r>
        <w:rPr>
          <w:rFonts w:hint="eastAsia" w:ascii="宋体" w:hAnsi="宋体" w:cs="宋体"/>
          <w:sz w:val="24"/>
          <w:szCs w:val="24"/>
        </w:rPr>
        <w:t>办理CA证书：http://gzjy.smx.gov.cn/bzzx/008001/20231102/4defc9b5-408e-47f2-9e9f-1f376a06ee1f.html</w:t>
      </w:r>
    </w:p>
    <w:p w14:paraId="19DA2F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4.售价：0元</w:t>
      </w:r>
    </w:p>
    <w:p w14:paraId="62678F7A">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四、投标截止时间及地点</w:t>
      </w:r>
    </w:p>
    <w:p w14:paraId="39F81F4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7ED4A61B">
      <w:pPr>
        <w:spacing w:line="360" w:lineRule="auto"/>
        <w:ind w:firstLine="566" w:firstLineChars="236"/>
        <w:rPr>
          <w:rFonts w:hint="eastAsia" w:ascii="宋体" w:hAnsi="宋体" w:cs="宋体"/>
          <w:color w:val="000000"/>
          <w:sz w:val="24"/>
          <w:szCs w:val="24"/>
        </w:rPr>
      </w:pPr>
      <w:r>
        <w:rPr>
          <w:rFonts w:hint="eastAsia" w:ascii="宋体" w:hAnsi="宋体" w:cs="宋体"/>
          <w:color w:val="000000"/>
          <w:sz w:val="24"/>
          <w:szCs w:val="24"/>
        </w:rPr>
        <w:t>2.地点：加密电子投标文件须在投标截止时间前通过三门峡市公共资源交易中心电子交易平台加密上传。</w:t>
      </w:r>
    </w:p>
    <w:p w14:paraId="3EF5464E">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五、开标时间及地点</w:t>
      </w:r>
    </w:p>
    <w:p w14:paraId="6296F8C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54D2A6FC">
      <w:pPr>
        <w:spacing w:line="360" w:lineRule="auto"/>
        <w:ind w:firstLine="566" w:firstLineChars="236"/>
        <w:rPr>
          <w:rFonts w:hint="eastAsia" w:ascii="宋体" w:hAnsi="宋体" w:cs="宋体"/>
          <w:color w:val="auto"/>
          <w:sz w:val="24"/>
          <w:szCs w:val="24"/>
          <w:u w:val="single"/>
        </w:rPr>
      </w:pPr>
      <w:r>
        <w:rPr>
          <w:rFonts w:hint="eastAsia" w:ascii="宋体" w:hAnsi="宋体" w:cs="宋体"/>
          <w:color w:val="auto"/>
          <w:sz w:val="24"/>
          <w:szCs w:val="24"/>
        </w:rPr>
        <w:t>2.地点：</w:t>
      </w:r>
      <w:r>
        <w:rPr>
          <w:rFonts w:hint="eastAsia" w:ascii="宋体" w:hAnsi="宋体" w:cs="宋体"/>
          <w:color w:val="auto"/>
          <w:sz w:val="24"/>
          <w:szCs w:val="24"/>
          <w:u w:val="single"/>
        </w:rPr>
        <w:t>三门峡市公共资源交易中心第</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rPr>
        <w:t>开标室</w:t>
      </w:r>
    </w:p>
    <w:p w14:paraId="305CF055">
      <w:pPr>
        <w:wordWrap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注：本项目为不见面开标项目，开标当日，供应商无需到开标现场参加开标会议，供应商应当在投标截止时间前，登陆不见面开标大厅选择登陆三门峡市公共资源电子招投标系统进行登陆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rPr>
        <w:t>（网址为http://120.194.249.36:10094/BidOpening/bidopeninghallaction/hall/login）</w:t>
      </w:r>
      <w:r>
        <w:rPr>
          <w:rFonts w:hint="eastAsia" w:ascii="宋体" w:hAnsi="宋体" w:cs="宋体"/>
          <w:color w:val="000000"/>
          <w:sz w:val="24"/>
          <w:szCs w:val="24"/>
        </w:rPr>
        <w:t>,在线准时参加开标活动并进行投标文件解密等。每位供应商的解密时间为开标时间起30分钟内完成。因供应商原因未能解密、解密失败或解密超时的将被拒绝。</w:t>
      </w:r>
    </w:p>
    <w:p w14:paraId="787CBE19">
      <w:pPr>
        <w:spacing w:line="360" w:lineRule="auto"/>
        <w:ind w:firstLine="569" w:firstLineChars="236"/>
        <w:rPr>
          <w:rFonts w:hint="eastAsia" w:ascii="宋体" w:hAnsi="宋体" w:cs="宋体"/>
          <w:b/>
          <w:bCs/>
          <w:sz w:val="24"/>
          <w:szCs w:val="24"/>
        </w:rPr>
      </w:pPr>
      <w:r>
        <w:rPr>
          <w:rFonts w:hint="eastAsia" w:ascii="宋体" w:hAnsi="宋体" w:cs="宋体"/>
          <w:b/>
          <w:bCs/>
          <w:sz w:val="24"/>
          <w:szCs w:val="24"/>
        </w:rPr>
        <w:t>六、发布公告的媒介</w:t>
      </w:r>
    </w:p>
    <w:p w14:paraId="6495C163">
      <w:pPr>
        <w:spacing w:line="360" w:lineRule="auto"/>
        <w:ind w:firstLine="566" w:firstLineChars="236"/>
        <w:rPr>
          <w:rFonts w:hint="default" w:ascii="宋体" w:hAnsi="宋体" w:cs="宋体"/>
          <w:sz w:val="24"/>
          <w:szCs w:val="24"/>
          <w:highlight w:val="none"/>
          <w:lang w:val="en-US"/>
        </w:rPr>
      </w:pPr>
      <w:r>
        <w:rPr>
          <w:rFonts w:hint="eastAsia" w:ascii="宋体" w:hAnsi="宋体" w:cs="宋体"/>
          <w:sz w:val="24"/>
          <w:szCs w:val="24"/>
          <w:highlight w:val="none"/>
        </w:rPr>
        <w:t>本次公告在《河南省政府采购网》、《中国招标投标公共服务平台》、《三门峡市公共资源交易中心网》上发布。招标公告期限为五个工作日。</w:t>
      </w:r>
    </w:p>
    <w:p w14:paraId="6028D9F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七、其他事项</w:t>
      </w:r>
    </w:p>
    <w:p w14:paraId="1A3FB5C0">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供应商应仔细阅读操作手册，在本公告中要求的截止时间前完成投标工作，因投标人操作不当等问题造成的无法投标等一切后果，由供应商自行承担。</w:t>
      </w:r>
    </w:p>
    <w:p w14:paraId="192C3D6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2、本项目资格评审和业绩以投标文件为准，投标人可使用电子营业执照。</w:t>
      </w:r>
    </w:p>
    <w:p w14:paraId="513B4F4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（1）资格评（预）审部分：资格评（预）审以投标文件为准，其上传资料真实性由投标人自行承担，同时，投标人应在开标前自行完善主体库信息。</w:t>
      </w:r>
    </w:p>
    <w:p w14:paraId="6B5E75D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（2）评标打分部分：评标打分部分按照100分制原则进行，涉及到资格审查、企业荣誉、人员业绩、企业业绩等计分部分时，以投标单位自行上传到投标文件中的各类相应内容为准。</w:t>
      </w:r>
    </w:p>
    <w:p w14:paraId="21DAD74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8083B2">
      <w:pPr>
        <w:spacing w:line="360" w:lineRule="auto"/>
        <w:ind w:firstLine="484" w:firstLineChars="202"/>
        <w:rPr>
          <w:rFonts w:hint="eastAsia" w:ascii="宋体" w:hAnsi="宋体" w:cs="宋体"/>
          <w:color w:val="000000"/>
          <w:sz w:val="24"/>
          <w:szCs w:val="24"/>
        </w:rPr>
      </w:pPr>
      <w:r>
        <w:rPr>
          <w:rFonts w:hint="eastAsia" w:ascii="宋体" w:hAnsi="宋体" w:cs="宋体"/>
          <w:color w:val="000000"/>
          <w:sz w:val="24"/>
          <w:szCs w:val="24"/>
        </w:rPr>
        <w:t>3、根据《河南省财政厅关于优化政府采购营商环境有关问题的通知》（豫财购【2019】4号）第6条的规定，投标保证金不再收取。</w:t>
      </w:r>
    </w:p>
    <w:p w14:paraId="54492E8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温馨提示：本项目为电子化、无纸化交易项目，开标时不再接受任何纸质资料，为保证您能投标成功，请需仔细阅读招标文件和三门峡市公共资源交易中心官网业务办理指南。</w:t>
      </w:r>
    </w:p>
    <w:p w14:paraId="168A322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八、联系方式</w:t>
      </w:r>
    </w:p>
    <w:p w14:paraId="4EB3D957">
      <w:pPr>
        <w:spacing w:line="360" w:lineRule="auto"/>
        <w:ind w:firstLine="480" w:firstLineChars="200"/>
        <w:rPr>
          <w:rFonts w:hint="eastAsia" w:ascii="宋体" w:hAnsi="宋体" w:cs="宋体"/>
          <w:sz w:val="24"/>
          <w:szCs w:val="24"/>
        </w:rPr>
      </w:pPr>
      <w:bookmarkStart w:id="4" w:name="_Toc410126998"/>
      <w:bookmarkStart w:id="5" w:name="_Toc28449"/>
      <w:bookmarkStart w:id="6" w:name="_Toc270604573"/>
      <w:r>
        <w:rPr>
          <w:rFonts w:hint="eastAsia" w:ascii="宋体" w:hAnsi="宋体" w:cs="宋体"/>
          <w:sz w:val="24"/>
          <w:szCs w:val="24"/>
        </w:rPr>
        <w:t>招标人：三门峡市自然资源和规划局</w:t>
      </w:r>
    </w:p>
    <w:p w14:paraId="64A5B525">
      <w:pPr>
        <w:spacing w:line="360" w:lineRule="auto"/>
        <w:ind w:firstLine="480" w:firstLineChars="200"/>
        <w:rPr>
          <w:rFonts w:hint="eastAsia" w:ascii="宋体" w:hAnsi="宋体" w:cs="宋体"/>
          <w:sz w:val="24"/>
          <w:szCs w:val="24"/>
        </w:rPr>
      </w:pPr>
      <w:r>
        <w:rPr>
          <w:rFonts w:hint="eastAsia" w:ascii="宋体" w:hAnsi="宋体" w:cs="宋体"/>
          <w:sz w:val="24"/>
          <w:szCs w:val="24"/>
        </w:rPr>
        <w:t>地  址：三门峡市湖滨区大岭南路同德嘉园西南侧约90米</w:t>
      </w:r>
    </w:p>
    <w:p w14:paraId="442344C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联系人：张永军</w:t>
      </w:r>
    </w:p>
    <w:p w14:paraId="1812553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电  话：0398-8527509</w:t>
      </w:r>
    </w:p>
    <w:p w14:paraId="125B1CE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招标代理机构：</w:t>
      </w:r>
      <w:r>
        <w:rPr>
          <w:rFonts w:hint="eastAsia" w:ascii="宋体" w:hAnsi="宋体" w:cs="宋体"/>
          <w:kern w:val="0"/>
          <w:sz w:val="24"/>
          <w:szCs w:val="24"/>
        </w:rPr>
        <w:t>河南中广汇通项目管理有限公司</w:t>
      </w:r>
    </w:p>
    <w:p w14:paraId="4C70BD88">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地  址：</w:t>
      </w:r>
      <w:r>
        <w:rPr>
          <w:rFonts w:hint="eastAsia" w:ascii="宋体" w:hAnsi="宋体" w:cs="宋体"/>
          <w:sz w:val="24"/>
          <w:szCs w:val="24"/>
        </w:rPr>
        <w:t>三门峡市君悦府五号楼101室</w:t>
      </w:r>
    </w:p>
    <w:p w14:paraId="1C23EEA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2987A495">
      <w:pPr>
        <w:widowControl/>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p w14:paraId="53C1C424">
      <w:pPr>
        <w:spacing w:line="360" w:lineRule="auto"/>
        <w:ind w:firstLine="480" w:firstLineChars="200"/>
        <w:rPr>
          <w:rFonts w:hint="eastAsia" w:ascii="宋体" w:hAnsi="宋体" w:cs="宋体"/>
          <w:sz w:val="24"/>
          <w:szCs w:val="24"/>
        </w:rPr>
      </w:pPr>
      <w:r>
        <w:rPr>
          <w:rFonts w:hint="eastAsia" w:ascii="宋体" w:hAnsi="宋体" w:cs="宋体"/>
          <w:sz w:val="24"/>
          <w:szCs w:val="24"/>
        </w:rPr>
        <w:t>监督单位：三门峡市财政局政府采购监督管理科</w:t>
      </w:r>
    </w:p>
    <w:p w14:paraId="4B8E7504">
      <w:pPr>
        <w:spacing w:line="360" w:lineRule="auto"/>
        <w:ind w:firstLine="480" w:firstLineChars="200"/>
        <w:rPr>
          <w:rFonts w:hint="eastAsia" w:ascii="宋体" w:hAnsi="宋体" w:cs="宋体"/>
          <w:sz w:val="24"/>
          <w:szCs w:val="24"/>
        </w:rPr>
      </w:pPr>
      <w:r>
        <w:rPr>
          <w:rFonts w:hint="eastAsia" w:ascii="宋体" w:hAnsi="宋体" w:cs="宋体"/>
          <w:sz w:val="24"/>
          <w:szCs w:val="24"/>
        </w:rPr>
        <w:t>电话：0398-2608915</w:t>
      </w:r>
    </w:p>
    <w:p w14:paraId="332BEF6C">
      <w:pPr>
        <w:pStyle w:val="2"/>
        <w:keepNext w:val="0"/>
        <w:keepLines w:val="0"/>
        <w:pageBreakBefore/>
        <w:spacing w:before="120" w:after="120" w:line="400" w:lineRule="exact"/>
        <w:jc w:val="center"/>
        <w:rPr>
          <w:rFonts w:hint="eastAsia" w:ascii="宋体" w:hAnsi="宋体" w:cs="宋体"/>
          <w:sz w:val="36"/>
          <w:szCs w:val="36"/>
        </w:rPr>
      </w:pPr>
      <w:bookmarkStart w:id="7" w:name="_Toc12317"/>
      <w:bookmarkStart w:id="8" w:name="_Toc28372"/>
      <w:r>
        <w:rPr>
          <w:rFonts w:hint="eastAsia" w:ascii="宋体" w:hAnsi="宋体" w:cs="宋体"/>
          <w:sz w:val="36"/>
          <w:szCs w:val="36"/>
        </w:rPr>
        <w:t>第二章 供应商须知</w:t>
      </w:r>
      <w:bookmarkEnd w:id="4"/>
      <w:bookmarkEnd w:id="5"/>
      <w:bookmarkEnd w:id="6"/>
      <w:bookmarkEnd w:id="7"/>
      <w:bookmarkEnd w:id="8"/>
      <w:bookmarkStart w:id="9" w:name="_Toc15504"/>
      <w:bookmarkStart w:id="10" w:name="_Toc4962"/>
      <w:bookmarkStart w:id="11" w:name="_Toc269470293"/>
      <w:bookmarkStart w:id="12" w:name="_Toc503112329"/>
      <w:bookmarkStart w:id="13" w:name="_Toc270604574"/>
      <w:bookmarkStart w:id="14" w:name="_Toc505073888"/>
      <w:bookmarkStart w:id="15" w:name="_Toc31918"/>
      <w:bookmarkStart w:id="16" w:name="_Toc503885586"/>
      <w:bookmarkStart w:id="17" w:name="_Toc503886922"/>
      <w:bookmarkStart w:id="18" w:name="_Toc504055106"/>
    </w:p>
    <w:p w14:paraId="378CDB53">
      <w:pPr>
        <w:spacing w:line="360" w:lineRule="auto"/>
        <w:jc w:val="center"/>
        <w:rPr>
          <w:rFonts w:hint="eastAsia" w:ascii="宋体" w:hAnsi="宋体" w:cs="宋体"/>
          <w:sz w:val="24"/>
          <w:szCs w:val="24"/>
        </w:rPr>
      </w:pPr>
      <w:bookmarkStart w:id="19" w:name="_Toc6916"/>
      <w:bookmarkStart w:id="20" w:name="_Toc31332"/>
      <w:r>
        <w:rPr>
          <w:rFonts w:hint="eastAsia" w:ascii="宋体" w:hAnsi="宋体" w:cs="宋体"/>
          <w:b/>
          <w:sz w:val="24"/>
          <w:szCs w:val="20"/>
        </w:rPr>
        <w:t>供应商须知前附表</w:t>
      </w:r>
      <w:bookmarkEnd w:id="9"/>
      <w:bookmarkEnd w:id="10"/>
      <w:bookmarkEnd w:id="11"/>
      <w:bookmarkEnd w:id="12"/>
      <w:bookmarkEnd w:id="13"/>
      <w:bookmarkEnd w:id="14"/>
      <w:bookmarkEnd w:id="15"/>
      <w:bookmarkEnd w:id="16"/>
      <w:bookmarkEnd w:id="17"/>
      <w:bookmarkEnd w:id="18"/>
      <w:bookmarkEnd w:id="19"/>
      <w:bookmarkEnd w:id="20"/>
    </w:p>
    <w:tbl>
      <w:tblPr>
        <w:tblStyle w:val="22"/>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6803"/>
      </w:tblGrid>
      <w:tr w14:paraId="3877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C6D7DE">
            <w:pPr>
              <w:spacing w:line="360" w:lineRule="auto"/>
              <w:jc w:val="center"/>
              <w:rPr>
                <w:rFonts w:hint="eastAsia" w:ascii="宋体" w:hAnsi="宋体" w:cs="宋体"/>
                <w:b/>
                <w:bCs/>
                <w:sz w:val="24"/>
                <w:szCs w:val="24"/>
              </w:rPr>
            </w:pPr>
            <w:r>
              <w:rPr>
                <w:rFonts w:hint="eastAsia" w:ascii="宋体" w:hAnsi="宋体" w:cs="宋体"/>
                <w:b/>
                <w:bCs/>
                <w:sz w:val="24"/>
                <w:szCs w:val="24"/>
              </w:rPr>
              <w:t>条款号</w:t>
            </w:r>
          </w:p>
        </w:tc>
        <w:tc>
          <w:tcPr>
            <w:tcW w:w="1843" w:type="dxa"/>
            <w:tcBorders>
              <w:top w:val="single" w:color="auto" w:sz="4" w:space="0"/>
              <w:left w:val="nil"/>
              <w:bottom w:val="single" w:color="auto" w:sz="4" w:space="0"/>
              <w:right w:val="single" w:color="auto" w:sz="4" w:space="0"/>
            </w:tcBorders>
            <w:vAlign w:val="center"/>
          </w:tcPr>
          <w:p w14:paraId="34543BE3">
            <w:pPr>
              <w:spacing w:line="360" w:lineRule="auto"/>
              <w:jc w:val="center"/>
              <w:rPr>
                <w:rFonts w:hint="eastAsia" w:ascii="宋体" w:hAnsi="宋体" w:cs="宋体"/>
                <w:b/>
                <w:bCs/>
                <w:sz w:val="24"/>
                <w:szCs w:val="24"/>
              </w:rPr>
            </w:pPr>
            <w:r>
              <w:rPr>
                <w:rFonts w:hint="eastAsia" w:ascii="宋体" w:hAnsi="宋体" w:cs="宋体"/>
                <w:b/>
                <w:bCs/>
                <w:sz w:val="24"/>
                <w:szCs w:val="24"/>
              </w:rPr>
              <w:t>条款名称</w:t>
            </w:r>
          </w:p>
        </w:tc>
        <w:tc>
          <w:tcPr>
            <w:tcW w:w="6803" w:type="dxa"/>
            <w:tcBorders>
              <w:top w:val="single" w:color="auto" w:sz="4" w:space="0"/>
              <w:left w:val="nil"/>
              <w:bottom w:val="single" w:color="auto" w:sz="4" w:space="0"/>
              <w:right w:val="single" w:color="auto" w:sz="4" w:space="0"/>
            </w:tcBorders>
            <w:vAlign w:val="center"/>
          </w:tcPr>
          <w:p w14:paraId="1E8A3DF2">
            <w:pPr>
              <w:spacing w:line="360" w:lineRule="auto"/>
              <w:jc w:val="center"/>
              <w:rPr>
                <w:rFonts w:hint="eastAsia" w:ascii="宋体" w:hAnsi="宋体" w:cs="宋体"/>
                <w:b/>
                <w:bCs/>
                <w:sz w:val="24"/>
                <w:szCs w:val="24"/>
              </w:rPr>
            </w:pPr>
            <w:r>
              <w:rPr>
                <w:rFonts w:hint="eastAsia" w:ascii="宋体" w:hAnsi="宋体" w:cs="宋体"/>
                <w:b/>
                <w:bCs/>
                <w:sz w:val="24"/>
                <w:szCs w:val="24"/>
              </w:rPr>
              <w:t>编  列  内  容</w:t>
            </w:r>
          </w:p>
        </w:tc>
      </w:tr>
      <w:tr w14:paraId="23F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4D0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1.1</w:t>
            </w:r>
          </w:p>
        </w:tc>
        <w:tc>
          <w:tcPr>
            <w:tcW w:w="1843" w:type="dxa"/>
            <w:tcBorders>
              <w:top w:val="single" w:color="auto" w:sz="4" w:space="0"/>
              <w:left w:val="nil"/>
              <w:bottom w:val="single" w:color="auto" w:sz="4" w:space="0"/>
              <w:right w:val="single" w:color="auto" w:sz="4" w:space="0"/>
            </w:tcBorders>
            <w:vAlign w:val="center"/>
          </w:tcPr>
          <w:p w14:paraId="3673748F">
            <w:pPr>
              <w:spacing w:line="360" w:lineRule="auto"/>
              <w:jc w:val="center"/>
              <w:rPr>
                <w:rFonts w:hint="eastAsia" w:ascii="宋体" w:hAnsi="宋体" w:cs="宋体"/>
                <w:sz w:val="24"/>
                <w:szCs w:val="24"/>
              </w:rPr>
            </w:pPr>
            <w:r>
              <w:rPr>
                <w:rFonts w:hint="eastAsia" w:ascii="宋体" w:hAnsi="宋体" w:cs="宋体"/>
                <w:sz w:val="24"/>
                <w:szCs w:val="24"/>
              </w:rPr>
              <w:t>采购人</w:t>
            </w:r>
          </w:p>
        </w:tc>
        <w:tc>
          <w:tcPr>
            <w:tcW w:w="6803" w:type="dxa"/>
            <w:tcBorders>
              <w:top w:val="single" w:color="auto" w:sz="4" w:space="0"/>
              <w:left w:val="nil"/>
              <w:bottom w:val="single" w:color="auto" w:sz="4" w:space="0"/>
              <w:right w:val="single" w:color="auto" w:sz="4" w:space="0"/>
            </w:tcBorders>
            <w:vAlign w:val="center"/>
          </w:tcPr>
          <w:p w14:paraId="064B56BD">
            <w:pPr>
              <w:spacing w:line="360" w:lineRule="auto"/>
              <w:rPr>
                <w:rFonts w:hint="eastAsia" w:ascii="宋体" w:hAnsi="宋体" w:cs="宋体"/>
                <w:sz w:val="24"/>
                <w:szCs w:val="24"/>
              </w:rPr>
            </w:pPr>
            <w:r>
              <w:rPr>
                <w:rFonts w:hint="eastAsia" w:ascii="宋体" w:hAnsi="宋体" w:cs="宋体"/>
                <w:sz w:val="24"/>
                <w:szCs w:val="24"/>
              </w:rPr>
              <w:t>招标人：三门峡市自然资源和规划局</w:t>
            </w:r>
          </w:p>
          <w:p w14:paraId="134B3A66">
            <w:pPr>
              <w:widowControl/>
              <w:spacing w:line="360" w:lineRule="auto"/>
              <w:jc w:val="left"/>
              <w:rPr>
                <w:rFonts w:hint="eastAsia" w:ascii="宋体" w:hAnsi="宋体" w:cs="宋体"/>
                <w:sz w:val="24"/>
                <w:szCs w:val="24"/>
                <w:highlight w:val="none"/>
              </w:rPr>
            </w:pPr>
            <w:r>
              <w:rPr>
                <w:rFonts w:hint="eastAsia" w:ascii="宋体" w:hAnsi="宋体" w:cs="宋体"/>
                <w:sz w:val="24"/>
                <w:szCs w:val="24"/>
              </w:rPr>
              <w:t>地</w:t>
            </w:r>
            <w:r>
              <w:rPr>
                <w:rFonts w:hint="eastAsia" w:ascii="宋体" w:hAnsi="宋体" w:cs="宋体"/>
                <w:sz w:val="24"/>
                <w:szCs w:val="24"/>
                <w:highlight w:val="none"/>
              </w:rPr>
              <w:t xml:space="preserve">  址：三门峡市湖滨区大岭南路同德嘉园西南侧约90米</w:t>
            </w:r>
          </w:p>
          <w:p w14:paraId="480C1533">
            <w:pPr>
              <w:spacing w:line="360" w:lineRule="auto"/>
              <w:rPr>
                <w:rFonts w:hint="eastAsia" w:ascii="宋体" w:hAnsi="宋体" w:cs="宋体"/>
                <w:sz w:val="24"/>
                <w:szCs w:val="24"/>
                <w:highlight w:val="none"/>
              </w:rPr>
            </w:pPr>
            <w:r>
              <w:rPr>
                <w:rFonts w:hint="eastAsia" w:ascii="宋体" w:hAnsi="宋体" w:cs="宋体"/>
                <w:sz w:val="24"/>
                <w:szCs w:val="24"/>
                <w:highlight w:val="none"/>
              </w:rPr>
              <w:t>联系人：张永军</w:t>
            </w:r>
          </w:p>
          <w:p w14:paraId="12961D92">
            <w:pPr>
              <w:spacing w:line="360" w:lineRule="auto"/>
              <w:rPr>
                <w:rFonts w:hint="eastAsia" w:ascii="宋体" w:hAnsi="宋体" w:cs="宋体"/>
                <w:color w:val="FF0000"/>
                <w:sz w:val="24"/>
                <w:szCs w:val="24"/>
              </w:rPr>
            </w:pPr>
            <w:r>
              <w:rPr>
                <w:rFonts w:hint="eastAsia" w:ascii="宋体" w:hAnsi="宋体" w:cs="宋体"/>
                <w:sz w:val="24"/>
                <w:szCs w:val="24"/>
                <w:highlight w:val="none"/>
              </w:rPr>
              <w:t>联系电话：0398-8527509</w:t>
            </w:r>
          </w:p>
        </w:tc>
      </w:tr>
      <w:tr w14:paraId="5EE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63A64E">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1.2</w:t>
            </w:r>
          </w:p>
        </w:tc>
        <w:tc>
          <w:tcPr>
            <w:tcW w:w="1843" w:type="dxa"/>
            <w:tcBorders>
              <w:top w:val="single" w:color="auto" w:sz="4" w:space="0"/>
              <w:left w:val="nil"/>
              <w:bottom w:val="single" w:color="auto" w:sz="4" w:space="0"/>
              <w:right w:val="single" w:color="auto" w:sz="4" w:space="0"/>
            </w:tcBorders>
            <w:vAlign w:val="center"/>
          </w:tcPr>
          <w:p w14:paraId="6EEFC391">
            <w:pPr>
              <w:spacing w:line="360" w:lineRule="auto"/>
              <w:jc w:val="center"/>
              <w:rPr>
                <w:rFonts w:hint="eastAsia" w:ascii="宋体" w:hAnsi="宋体" w:cs="宋体"/>
                <w:sz w:val="24"/>
                <w:szCs w:val="24"/>
              </w:rPr>
            </w:pPr>
            <w:r>
              <w:rPr>
                <w:rFonts w:hint="eastAsia" w:ascii="宋体" w:hAnsi="宋体" w:cs="宋体"/>
                <w:sz w:val="24"/>
                <w:szCs w:val="24"/>
              </w:rPr>
              <w:t>采购代理</w:t>
            </w:r>
          </w:p>
          <w:p w14:paraId="7F2E8B95">
            <w:pPr>
              <w:spacing w:line="360" w:lineRule="auto"/>
              <w:jc w:val="center"/>
              <w:rPr>
                <w:rFonts w:hint="eastAsia" w:ascii="宋体" w:hAnsi="宋体" w:cs="宋体"/>
                <w:sz w:val="24"/>
                <w:szCs w:val="24"/>
              </w:rPr>
            </w:pPr>
            <w:r>
              <w:rPr>
                <w:rFonts w:hint="eastAsia" w:ascii="宋体" w:hAnsi="宋体" w:cs="宋体"/>
                <w:sz w:val="24"/>
                <w:szCs w:val="24"/>
              </w:rPr>
              <w:t>机构</w:t>
            </w:r>
          </w:p>
        </w:tc>
        <w:tc>
          <w:tcPr>
            <w:tcW w:w="6803" w:type="dxa"/>
            <w:tcBorders>
              <w:top w:val="single" w:color="auto" w:sz="4" w:space="0"/>
              <w:left w:val="nil"/>
              <w:bottom w:val="single" w:color="auto" w:sz="4" w:space="0"/>
              <w:right w:val="single" w:color="auto" w:sz="4" w:space="0"/>
            </w:tcBorders>
            <w:vAlign w:val="center"/>
          </w:tcPr>
          <w:p w14:paraId="37ADC159">
            <w:pPr>
              <w:spacing w:line="360" w:lineRule="auto"/>
              <w:rPr>
                <w:rFonts w:hint="eastAsia" w:ascii="宋体" w:hAnsi="宋体" w:cs="宋体"/>
                <w:color w:val="000000"/>
                <w:sz w:val="24"/>
                <w:szCs w:val="24"/>
              </w:rPr>
            </w:pPr>
            <w:r>
              <w:rPr>
                <w:rFonts w:hint="eastAsia" w:ascii="宋体" w:hAnsi="宋体" w:cs="宋体"/>
                <w:color w:val="000000"/>
                <w:sz w:val="24"/>
                <w:szCs w:val="24"/>
              </w:rPr>
              <w:t>招标代理机构：河南中广汇通项目管理有限公司</w:t>
            </w:r>
          </w:p>
          <w:p w14:paraId="1FDF54AB">
            <w:pPr>
              <w:spacing w:line="36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kern w:val="0"/>
                <w:sz w:val="24"/>
                <w:szCs w:val="24"/>
              </w:rPr>
              <w:t>三门峡市君悦府五号楼101室</w:t>
            </w:r>
          </w:p>
          <w:p w14:paraId="55BFD5B9">
            <w:pPr>
              <w:spacing w:line="360" w:lineRule="auto"/>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3B76FD7D">
            <w:pPr>
              <w:spacing w:line="360" w:lineRule="auto"/>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tc>
      </w:tr>
      <w:tr w14:paraId="5437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03248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1.3</w:t>
            </w:r>
          </w:p>
        </w:tc>
        <w:tc>
          <w:tcPr>
            <w:tcW w:w="1843" w:type="dxa"/>
            <w:tcBorders>
              <w:top w:val="single" w:color="auto" w:sz="4" w:space="0"/>
              <w:left w:val="nil"/>
              <w:bottom w:val="single" w:color="auto" w:sz="4" w:space="0"/>
              <w:right w:val="single" w:color="auto" w:sz="4" w:space="0"/>
            </w:tcBorders>
            <w:vAlign w:val="center"/>
          </w:tcPr>
          <w:p w14:paraId="439CD962">
            <w:pPr>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803" w:type="dxa"/>
            <w:tcBorders>
              <w:top w:val="single" w:color="auto" w:sz="4" w:space="0"/>
              <w:left w:val="nil"/>
              <w:bottom w:val="single" w:color="auto" w:sz="4" w:space="0"/>
              <w:right w:val="single" w:color="auto" w:sz="4" w:space="0"/>
            </w:tcBorders>
            <w:vAlign w:val="center"/>
          </w:tcPr>
          <w:p w14:paraId="734C6123">
            <w:pPr>
              <w:spacing w:line="360" w:lineRule="auto"/>
              <w:rPr>
                <w:rFonts w:hint="eastAsia" w:ascii="宋体" w:hAnsi="宋体" w:cs="宋体"/>
                <w:sz w:val="24"/>
                <w:szCs w:val="24"/>
              </w:rPr>
            </w:pPr>
            <w:r>
              <w:rPr>
                <w:rFonts w:hint="eastAsia" w:ascii="宋体" w:hAnsi="宋体" w:cs="宋体"/>
                <w:kern w:val="0"/>
                <w:sz w:val="24"/>
                <w:szCs w:val="24"/>
              </w:rPr>
              <w:t>三门峡市自然资源和规划局实景三维三门峡建设项目</w:t>
            </w:r>
          </w:p>
        </w:tc>
      </w:tr>
      <w:tr w14:paraId="473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BA04CF">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1.4</w:t>
            </w:r>
          </w:p>
        </w:tc>
        <w:tc>
          <w:tcPr>
            <w:tcW w:w="1843" w:type="dxa"/>
            <w:tcBorders>
              <w:top w:val="single" w:color="auto" w:sz="4" w:space="0"/>
              <w:left w:val="nil"/>
              <w:bottom w:val="single" w:color="auto" w:sz="4" w:space="0"/>
              <w:right w:val="single" w:color="auto" w:sz="4" w:space="0"/>
            </w:tcBorders>
            <w:vAlign w:val="center"/>
          </w:tcPr>
          <w:p w14:paraId="5A5762D9">
            <w:pPr>
              <w:spacing w:line="360" w:lineRule="auto"/>
              <w:jc w:val="center"/>
              <w:rPr>
                <w:rFonts w:hint="eastAsia" w:ascii="宋体" w:hAnsi="宋体" w:cs="宋体"/>
                <w:sz w:val="24"/>
                <w:szCs w:val="24"/>
              </w:rPr>
            </w:pPr>
            <w:r>
              <w:rPr>
                <w:rFonts w:hint="eastAsia" w:ascii="宋体" w:hAnsi="宋体" w:cs="宋体"/>
                <w:kern w:val="0"/>
                <w:sz w:val="24"/>
                <w:szCs w:val="24"/>
              </w:rPr>
              <w:t>最高限价</w:t>
            </w:r>
          </w:p>
        </w:tc>
        <w:tc>
          <w:tcPr>
            <w:tcW w:w="6803" w:type="dxa"/>
            <w:tcBorders>
              <w:top w:val="single" w:color="auto" w:sz="4" w:space="0"/>
              <w:left w:val="nil"/>
              <w:bottom w:val="single" w:color="auto" w:sz="4" w:space="0"/>
              <w:right w:val="single" w:color="auto" w:sz="4" w:space="0"/>
            </w:tcBorders>
            <w:vAlign w:val="center"/>
          </w:tcPr>
          <w:p w14:paraId="6577FD2A">
            <w:pPr>
              <w:spacing w:line="360" w:lineRule="auto"/>
              <w:rPr>
                <w:rFonts w:hint="eastAsia" w:ascii="宋体" w:hAnsi="宋体" w:cs="宋体"/>
                <w:sz w:val="24"/>
                <w:szCs w:val="24"/>
                <w:u w:val="single"/>
              </w:rPr>
            </w:pPr>
            <w:r>
              <w:rPr>
                <w:rFonts w:hint="eastAsia" w:ascii="宋体" w:hAnsi="宋体" w:cs="宋体"/>
                <w:sz w:val="24"/>
                <w:szCs w:val="24"/>
              </w:rPr>
              <w:t>包1：</w:t>
            </w:r>
            <w:r>
              <w:rPr>
                <w:rFonts w:hint="eastAsia" w:ascii="宋体" w:hAnsi="宋体" w:cs="宋体"/>
                <w:sz w:val="24"/>
                <w:szCs w:val="24"/>
                <w:u w:val="single"/>
              </w:rPr>
              <w:t>8440400.00元</w:t>
            </w:r>
            <w:r>
              <w:rPr>
                <w:rFonts w:hint="eastAsia" w:ascii="宋体" w:hAnsi="宋体" w:cs="宋体"/>
                <w:sz w:val="24"/>
                <w:szCs w:val="24"/>
              </w:rPr>
              <w:t>；包2：</w:t>
            </w:r>
            <w:r>
              <w:rPr>
                <w:rFonts w:hint="eastAsia" w:ascii="宋体" w:hAnsi="宋体" w:cs="宋体"/>
                <w:sz w:val="24"/>
                <w:szCs w:val="24"/>
                <w:u w:val="single"/>
              </w:rPr>
              <w:t>3085700.00元</w:t>
            </w:r>
            <w:r>
              <w:rPr>
                <w:rFonts w:hint="eastAsia" w:ascii="宋体" w:hAnsi="宋体" w:cs="宋体"/>
                <w:sz w:val="24"/>
                <w:szCs w:val="24"/>
              </w:rPr>
              <w:t>；包3：</w:t>
            </w:r>
            <w:r>
              <w:rPr>
                <w:rFonts w:hint="eastAsia" w:ascii="宋体" w:hAnsi="宋体" w:cs="宋体"/>
                <w:sz w:val="24"/>
                <w:szCs w:val="24"/>
                <w:u w:val="single"/>
              </w:rPr>
              <w:t>426600.00元</w:t>
            </w:r>
          </w:p>
        </w:tc>
      </w:tr>
      <w:tr w14:paraId="10E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72995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1.5</w:t>
            </w:r>
          </w:p>
        </w:tc>
        <w:tc>
          <w:tcPr>
            <w:tcW w:w="1843" w:type="dxa"/>
            <w:tcBorders>
              <w:top w:val="single" w:color="auto" w:sz="4" w:space="0"/>
              <w:left w:val="nil"/>
              <w:bottom w:val="single" w:color="auto" w:sz="4" w:space="0"/>
              <w:right w:val="single" w:color="auto" w:sz="4" w:space="0"/>
            </w:tcBorders>
            <w:vAlign w:val="center"/>
          </w:tcPr>
          <w:p w14:paraId="57724320">
            <w:pPr>
              <w:pStyle w:val="26"/>
              <w:spacing w:line="360" w:lineRule="auto"/>
              <w:jc w:val="center"/>
              <w:rPr>
                <w:rFonts w:hint="eastAsia" w:ascii="宋体" w:hAnsi="宋体" w:cs="宋体"/>
                <w:szCs w:val="24"/>
              </w:rPr>
            </w:pPr>
            <w:r>
              <w:rPr>
                <w:rFonts w:hint="eastAsia" w:ascii="宋体" w:hAnsi="宋体" w:cs="宋体"/>
                <w:szCs w:val="24"/>
              </w:rPr>
              <w:t>资金来源</w:t>
            </w:r>
          </w:p>
        </w:tc>
        <w:tc>
          <w:tcPr>
            <w:tcW w:w="6803" w:type="dxa"/>
            <w:tcBorders>
              <w:top w:val="single" w:color="auto" w:sz="4" w:space="0"/>
              <w:left w:val="nil"/>
              <w:bottom w:val="single" w:color="auto" w:sz="4" w:space="0"/>
              <w:right w:val="single" w:color="auto" w:sz="4" w:space="0"/>
            </w:tcBorders>
            <w:vAlign w:val="center"/>
          </w:tcPr>
          <w:p w14:paraId="55860142">
            <w:pPr>
              <w:pStyle w:val="26"/>
              <w:spacing w:line="360" w:lineRule="auto"/>
              <w:rPr>
                <w:rFonts w:hint="eastAsia" w:ascii="宋体" w:hAnsi="宋体" w:cs="宋体"/>
                <w:szCs w:val="24"/>
              </w:rPr>
            </w:pPr>
            <w:r>
              <w:rPr>
                <w:rFonts w:hint="eastAsia" w:ascii="宋体" w:hAnsi="宋体" w:cs="宋体"/>
                <w:szCs w:val="24"/>
              </w:rPr>
              <w:t>财政资金，已落实</w:t>
            </w:r>
          </w:p>
        </w:tc>
      </w:tr>
      <w:tr w14:paraId="5940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93" w:type="dxa"/>
            <w:tcBorders>
              <w:top w:val="single" w:color="auto" w:sz="4" w:space="0"/>
              <w:left w:val="single" w:color="auto" w:sz="4" w:space="0"/>
              <w:bottom w:val="single" w:color="auto" w:sz="4" w:space="0"/>
              <w:right w:val="single" w:color="auto" w:sz="4" w:space="0"/>
            </w:tcBorders>
            <w:vAlign w:val="center"/>
          </w:tcPr>
          <w:p w14:paraId="28CF1A5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1.6</w:t>
            </w:r>
          </w:p>
        </w:tc>
        <w:tc>
          <w:tcPr>
            <w:tcW w:w="1843" w:type="dxa"/>
            <w:tcBorders>
              <w:top w:val="single" w:color="auto" w:sz="4" w:space="0"/>
              <w:left w:val="nil"/>
              <w:bottom w:val="single" w:color="auto" w:sz="4" w:space="0"/>
              <w:right w:val="single" w:color="auto" w:sz="4" w:space="0"/>
            </w:tcBorders>
            <w:vAlign w:val="center"/>
          </w:tcPr>
          <w:p w14:paraId="2C312EE7">
            <w:pPr>
              <w:spacing w:line="360" w:lineRule="auto"/>
              <w:jc w:val="center"/>
              <w:rPr>
                <w:rFonts w:hint="eastAsia" w:ascii="宋体" w:hAnsi="宋体" w:cs="宋体"/>
                <w:sz w:val="24"/>
                <w:szCs w:val="24"/>
              </w:rPr>
            </w:pPr>
            <w:r>
              <w:rPr>
                <w:rFonts w:hint="eastAsia" w:ascii="宋体" w:hAnsi="宋体" w:cs="宋体"/>
                <w:sz w:val="24"/>
                <w:szCs w:val="24"/>
              </w:rPr>
              <w:t>采购范围</w:t>
            </w:r>
          </w:p>
        </w:tc>
        <w:tc>
          <w:tcPr>
            <w:tcW w:w="6803" w:type="dxa"/>
            <w:tcBorders>
              <w:top w:val="single" w:color="auto" w:sz="4" w:space="0"/>
              <w:left w:val="nil"/>
              <w:bottom w:val="single" w:color="auto" w:sz="4" w:space="0"/>
              <w:right w:val="single" w:color="auto" w:sz="4" w:space="0"/>
            </w:tcBorders>
            <w:vAlign w:val="center"/>
          </w:tcPr>
          <w:p w14:paraId="75E12477">
            <w:pPr>
              <w:pStyle w:val="26"/>
              <w:spacing w:line="360" w:lineRule="auto"/>
              <w:rPr>
                <w:rFonts w:hint="eastAsia" w:ascii="宋体" w:hAnsi="宋体" w:cs="宋体"/>
                <w:szCs w:val="24"/>
              </w:rPr>
            </w:pPr>
            <w:r>
              <w:rPr>
                <w:rFonts w:hint="eastAsia" w:ascii="宋体" w:hAnsi="宋体" w:cs="宋体"/>
                <w:kern w:val="0"/>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Cs w:val="24"/>
              </w:rPr>
              <w:t>城市级实景三维、数据融合、支撑环境建设</w:t>
            </w:r>
            <w:r>
              <w:rPr>
                <w:rFonts w:hint="eastAsia" w:ascii="宋体" w:hAnsi="宋体" w:cs="宋体"/>
                <w:kern w:val="0"/>
                <w:szCs w:val="24"/>
              </w:rPr>
              <w:t>；包2：</w:t>
            </w:r>
            <w:r>
              <w:rPr>
                <w:rFonts w:hint="eastAsia" w:ascii="宋体" w:hAnsi="宋体" w:cs="宋体"/>
                <w:szCs w:val="24"/>
              </w:rPr>
              <w:t>实景三维平台、示范应用建设</w:t>
            </w:r>
            <w:r>
              <w:rPr>
                <w:rFonts w:hint="eastAsia" w:ascii="宋体" w:hAnsi="宋体" w:cs="宋体"/>
                <w:kern w:val="0"/>
                <w:szCs w:val="24"/>
              </w:rPr>
              <w:t>；包3：</w:t>
            </w:r>
            <w:r>
              <w:rPr>
                <w:rFonts w:hint="eastAsia" w:ascii="宋体" w:hAnsi="宋体" w:cs="宋体"/>
                <w:szCs w:val="24"/>
              </w:rPr>
              <w:t>实景三维三门峡建设监理</w:t>
            </w:r>
            <w:r>
              <w:rPr>
                <w:rFonts w:hint="eastAsia" w:ascii="宋体" w:hAnsi="宋体" w:cs="宋体"/>
                <w:kern w:val="0"/>
                <w:szCs w:val="24"/>
              </w:rPr>
              <w:t>。</w:t>
            </w:r>
          </w:p>
        </w:tc>
      </w:tr>
      <w:tr w14:paraId="2D5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60C69E7">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1.7</w:t>
            </w:r>
          </w:p>
        </w:tc>
        <w:tc>
          <w:tcPr>
            <w:tcW w:w="1843" w:type="dxa"/>
            <w:tcBorders>
              <w:top w:val="single" w:color="auto" w:sz="4" w:space="0"/>
              <w:left w:val="nil"/>
              <w:bottom w:val="single" w:color="auto" w:sz="4" w:space="0"/>
              <w:right w:val="single" w:color="auto" w:sz="4" w:space="0"/>
            </w:tcBorders>
            <w:vAlign w:val="center"/>
          </w:tcPr>
          <w:p w14:paraId="454796FD">
            <w:pPr>
              <w:pStyle w:val="26"/>
              <w:spacing w:line="360" w:lineRule="auto"/>
              <w:jc w:val="center"/>
              <w:rPr>
                <w:rFonts w:hint="eastAsia" w:ascii="宋体" w:hAnsi="宋体" w:cs="宋体"/>
                <w:szCs w:val="24"/>
              </w:rPr>
            </w:pPr>
            <w:r>
              <w:rPr>
                <w:rFonts w:hint="eastAsia" w:ascii="宋体" w:hAnsi="宋体" w:cs="宋体"/>
                <w:szCs w:val="24"/>
              </w:rPr>
              <w:t>服务期限</w:t>
            </w:r>
          </w:p>
        </w:tc>
        <w:tc>
          <w:tcPr>
            <w:tcW w:w="6803" w:type="dxa"/>
            <w:tcBorders>
              <w:top w:val="single" w:color="auto" w:sz="4" w:space="0"/>
              <w:left w:val="nil"/>
              <w:bottom w:val="single" w:color="auto" w:sz="4" w:space="0"/>
              <w:right w:val="single" w:color="auto" w:sz="4" w:space="0"/>
            </w:tcBorders>
            <w:vAlign w:val="center"/>
          </w:tcPr>
          <w:p w14:paraId="66783A1B">
            <w:pPr>
              <w:pStyle w:val="26"/>
              <w:spacing w:line="360" w:lineRule="auto"/>
              <w:rPr>
                <w:rFonts w:hint="eastAsia" w:ascii="宋体" w:hAnsi="宋体" w:cs="宋体"/>
                <w:szCs w:val="24"/>
              </w:rPr>
            </w:pPr>
            <w:r>
              <w:rPr>
                <w:rFonts w:hint="eastAsia" w:ascii="宋体" w:hAnsi="宋体" w:cs="宋体"/>
                <w:szCs w:val="24"/>
              </w:rPr>
              <w:t>自合同签订生效之日起至通过验收</w:t>
            </w:r>
          </w:p>
        </w:tc>
      </w:tr>
      <w:tr w14:paraId="22C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FCBBC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1.8</w:t>
            </w:r>
          </w:p>
        </w:tc>
        <w:tc>
          <w:tcPr>
            <w:tcW w:w="1843" w:type="dxa"/>
            <w:tcBorders>
              <w:top w:val="single" w:color="auto" w:sz="4" w:space="0"/>
              <w:left w:val="nil"/>
              <w:bottom w:val="single" w:color="auto" w:sz="4" w:space="0"/>
              <w:right w:val="single" w:color="auto" w:sz="4" w:space="0"/>
            </w:tcBorders>
            <w:vAlign w:val="center"/>
          </w:tcPr>
          <w:p w14:paraId="2ABC8FAB">
            <w:pPr>
              <w:pStyle w:val="26"/>
              <w:spacing w:line="360" w:lineRule="auto"/>
              <w:jc w:val="center"/>
              <w:rPr>
                <w:rFonts w:hint="eastAsia" w:ascii="宋体" w:hAnsi="宋体" w:cs="宋体"/>
                <w:szCs w:val="24"/>
              </w:rPr>
            </w:pPr>
            <w:r>
              <w:rPr>
                <w:rFonts w:hint="eastAsia" w:ascii="宋体" w:hAnsi="宋体" w:cs="宋体"/>
                <w:szCs w:val="24"/>
              </w:rPr>
              <w:t>项目地点</w:t>
            </w:r>
          </w:p>
        </w:tc>
        <w:tc>
          <w:tcPr>
            <w:tcW w:w="6803" w:type="dxa"/>
            <w:tcBorders>
              <w:top w:val="single" w:color="auto" w:sz="4" w:space="0"/>
              <w:left w:val="nil"/>
              <w:bottom w:val="single" w:color="auto" w:sz="4" w:space="0"/>
              <w:right w:val="single" w:color="auto" w:sz="4" w:space="0"/>
            </w:tcBorders>
            <w:vAlign w:val="center"/>
          </w:tcPr>
          <w:p w14:paraId="1EE06CF6">
            <w:pPr>
              <w:pStyle w:val="26"/>
              <w:spacing w:line="360" w:lineRule="auto"/>
              <w:rPr>
                <w:rFonts w:hint="eastAsia" w:ascii="宋体" w:hAnsi="宋体" w:cs="宋体"/>
                <w:szCs w:val="24"/>
              </w:rPr>
            </w:pPr>
            <w:r>
              <w:rPr>
                <w:rFonts w:hint="eastAsia" w:ascii="宋体" w:hAnsi="宋体" w:cs="宋体"/>
                <w:szCs w:val="24"/>
              </w:rPr>
              <w:t>采购人指定地点</w:t>
            </w:r>
          </w:p>
        </w:tc>
      </w:tr>
      <w:tr w14:paraId="4859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E05B8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1.9</w:t>
            </w:r>
          </w:p>
        </w:tc>
        <w:tc>
          <w:tcPr>
            <w:tcW w:w="1843" w:type="dxa"/>
            <w:tcBorders>
              <w:top w:val="single" w:color="auto" w:sz="4" w:space="0"/>
              <w:left w:val="nil"/>
              <w:bottom w:val="single" w:color="auto" w:sz="4" w:space="0"/>
              <w:right w:val="single" w:color="auto" w:sz="4" w:space="0"/>
            </w:tcBorders>
            <w:vAlign w:val="center"/>
          </w:tcPr>
          <w:p w14:paraId="1C718C68">
            <w:pPr>
              <w:spacing w:line="360" w:lineRule="auto"/>
              <w:jc w:val="center"/>
              <w:rPr>
                <w:rFonts w:hint="eastAsia" w:ascii="宋体" w:hAnsi="宋体" w:cs="宋体"/>
                <w:sz w:val="24"/>
                <w:szCs w:val="24"/>
              </w:rPr>
            </w:pPr>
            <w:r>
              <w:rPr>
                <w:rFonts w:hint="eastAsia" w:ascii="宋体" w:hAnsi="宋体" w:cs="宋体"/>
                <w:sz w:val="24"/>
                <w:szCs w:val="24"/>
              </w:rPr>
              <w:t>质量要求</w:t>
            </w:r>
          </w:p>
        </w:tc>
        <w:tc>
          <w:tcPr>
            <w:tcW w:w="6803" w:type="dxa"/>
            <w:tcBorders>
              <w:top w:val="single" w:color="auto" w:sz="4" w:space="0"/>
              <w:left w:val="nil"/>
              <w:bottom w:val="single" w:color="auto" w:sz="4" w:space="0"/>
              <w:right w:val="single" w:color="auto" w:sz="4" w:space="0"/>
            </w:tcBorders>
            <w:vAlign w:val="center"/>
          </w:tcPr>
          <w:p w14:paraId="4B243D89">
            <w:pPr>
              <w:snapToGrid w:val="0"/>
              <w:textAlignment w:val="baseline"/>
              <w:rPr>
                <w:rFonts w:hint="eastAsia" w:ascii="宋体" w:hAnsi="宋体" w:cs="宋体"/>
                <w:sz w:val="24"/>
                <w:szCs w:val="24"/>
              </w:rPr>
            </w:pPr>
            <w:r>
              <w:rPr>
                <w:rFonts w:hint="eastAsia" w:ascii="宋体" w:hAnsi="宋体" w:cs="宋体"/>
                <w:sz w:val="24"/>
                <w:szCs w:val="24"/>
              </w:rPr>
              <w:t>合格，符合国家及行业标准，并满足采购人要求。</w:t>
            </w:r>
          </w:p>
        </w:tc>
      </w:tr>
      <w:tr w14:paraId="163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93" w:type="dxa"/>
            <w:tcBorders>
              <w:top w:val="single" w:color="auto" w:sz="4" w:space="0"/>
              <w:left w:val="single" w:color="auto" w:sz="4" w:space="0"/>
              <w:bottom w:val="single" w:color="auto" w:sz="4" w:space="0"/>
              <w:right w:val="single" w:color="auto" w:sz="4" w:space="0"/>
            </w:tcBorders>
            <w:vAlign w:val="center"/>
          </w:tcPr>
          <w:p w14:paraId="2C138C45">
            <w:pPr>
              <w:spacing w:line="360" w:lineRule="auto"/>
              <w:jc w:val="center"/>
              <w:rPr>
                <w:rFonts w:hint="eastAsia" w:ascii="宋体" w:hAnsi="宋体" w:cs="宋体"/>
                <w:sz w:val="24"/>
                <w:szCs w:val="24"/>
              </w:rPr>
            </w:pPr>
            <w:r>
              <w:rPr>
                <w:rFonts w:hint="eastAsia" w:ascii="宋体" w:hAnsi="宋体" w:cs="宋体"/>
                <w:sz w:val="24"/>
                <w:szCs w:val="24"/>
              </w:rPr>
              <w:t>2.0</w:t>
            </w:r>
          </w:p>
        </w:tc>
        <w:tc>
          <w:tcPr>
            <w:tcW w:w="1843" w:type="dxa"/>
            <w:tcBorders>
              <w:top w:val="single" w:color="auto" w:sz="4" w:space="0"/>
              <w:left w:val="nil"/>
              <w:bottom w:val="single" w:color="auto" w:sz="4" w:space="0"/>
              <w:right w:val="single" w:color="auto" w:sz="4" w:space="0"/>
            </w:tcBorders>
            <w:vAlign w:val="center"/>
          </w:tcPr>
          <w:p w14:paraId="04F90797">
            <w:pPr>
              <w:spacing w:line="360" w:lineRule="auto"/>
              <w:jc w:val="center"/>
              <w:rPr>
                <w:rFonts w:hint="eastAsia" w:ascii="宋体" w:hAnsi="宋体" w:cs="宋体"/>
                <w:sz w:val="24"/>
                <w:szCs w:val="24"/>
              </w:rPr>
            </w:pPr>
            <w:r>
              <w:rPr>
                <w:rFonts w:hint="eastAsia" w:ascii="宋体" w:hAnsi="宋体" w:cs="宋体"/>
                <w:sz w:val="24"/>
                <w:szCs w:val="24"/>
              </w:rPr>
              <w:t>供应商资质</w:t>
            </w:r>
          </w:p>
          <w:p w14:paraId="60A4DB22">
            <w:pPr>
              <w:spacing w:line="360" w:lineRule="auto"/>
              <w:jc w:val="center"/>
              <w:rPr>
                <w:rFonts w:hint="eastAsia" w:ascii="宋体" w:hAnsi="宋体" w:cs="宋体"/>
                <w:sz w:val="24"/>
                <w:szCs w:val="24"/>
              </w:rPr>
            </w:pPr>
            <w:r>
              <w:rPr>
                <w:rFonts w:hint="eastAsia" w:ascii="宋体" w:hAnsi="宋体" w:cs="宋体"/>
                <w:sz w:val="24"/>
                <w:szCs w:val="24"/>
              </w:rPr>
              <w:t>条件、能力</w:t>
            </w:r>
          </w:p>
          <w:p w14:paraId="2F7798CB">
            <w:pPr>
              <w:spacing w:line="360" w:lineRule="auto"/>
              <w:jc w:val="center"/>
              <w:rPr>
                <w:rFonts w:hint="eastAsia" w:ascii="宋体" w:hAnsi="宋体" w:cs="宋体"/>
                <w:sz w:val="24"/>
                <w:szCs w:val="24"/>
              </w:rPr>
            </w:pPr>
            <w:r>
              <w:rPr>
                <w:rFonts w:hint="eastAsia" w:ascii="宋体" w:hAnsi="宋体" w:cs="宋体"/>
                <w:sz w:val="24"/>
                <w:szCs w:val="24"/>
              </w:rPr>
              <w:t>和信誉</w:t>
            </w:r>
          </w:p>
        </w:tc>
        <w:tc>
          <w:tcPr>
            <w:tcW w:w="6803" w:type="dxa"/>
            <w:tcBorders>
              <w:top w:val="single" w:color="auto" w:sz="4" w:space="0"/>
              <w:left w:val="nil"/>
              <w:bottom w:val="single" w:color="auto" w:sz="4" w:space="0"/>
              <w:right w:val="single" w:color="auto" w:sz="4" w:space="0"/>
            </w:tcBorders>
            <w:vAlign w:val="center"/>
          </w:tcPr>
          <w:p w14:paraId="1A2D7DB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5E3D74E7">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6BAB96D">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4687F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6800DF0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0479A681">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49F55FD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656B28DA">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5B0B1A4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3FCAD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1F87A497">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在投标文件内，查询日期不得早于公告发布日期。采购人或采购代理机构在开标结束后对“信用中国、中国政府采购网”网上即时查询信用项，采购人或采购代理机构即时查询信用结果作为最终 审查依据】。</w:t>
            </w:r>
          </w:p>
          <w:p w14:paraId="31C1F8A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796D7A5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 同供应商，不得参加同一合同项下的政府采购活动。提供国家企业信用信息公示系统的企业信用信息公示报告或承诺书(格式自拟)。</w:t>
            </w:r>
          </w:p>
          <w:p w14:paraId="77FBE4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1584798B">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14:paraId="73B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8A2BB0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2.1</w:t>
            </w:r>
          </w:p>
        </w:tc>
        <w:tc>
          <w:tcPr>
            <w:tcW w:w="1843" w:type="dxa"/>
            <w:tcBorders>
              <w:top w:val="single" w:color="auto" w:sz="4" w:space="0"/>
              <w:left w:val="nil"/>
              <w:bottom w:val="single" w:color="auto" w:sz="4" w:space="0"/>
              <w:right w:val="single" w:color="auto" w:sz="4" w:space="0"/>
            </w:tcBorders>
            <w:vAlign w:val="center"/>
          </w:tcPr>
          <w:p w14:paraId="45EF2450">
            <w:pPr>
              <w:spacing w:line="360" w:lineRule="auto"/>
              <w:jc w:val="center"/>
              <w:rPr>
                <w:rFonts w:hint="eastAsia" w:ascii="宋体" w:hAnsi="宋体" w:cs="宋体"/>
                <w:sz w:val="24"/>
                <w:szCs w:val="24"/>
              </w:rPr>
            </w:pPr>
            <w:r>
              <w:rPr>
                <w:rFonts w:hint="eastAsia" w:ascii="宋体" w:hAnsi="宋体" w:cs="宋体"/>
                <w:sz w:val="24"/>
                <w:szCs w:val="24"/>
              </w:rPr>
              <w:t>是否接受联合体</w:t>
            </w:r>
          </w:p>
        </w:tc>
        <w:tc>
          <w:tcPr>
            <w:tcW w:w="6803" w:type="dxa"/>
            <w:tcBorders>
              <w:top w:val="single" w:color="auto" w:sz="4" w:space="0"/>
              <w:left w:val="nil"/>
              <w:bottom w:val="single" w:color="auto" w:sz="4" w:space="0"/>
              <w:right w:val="single" w:color="auto" w:sz="4" w:space="0"/>
            </w:tcBorders>
            <w:vAlign w:val="center"/>
          </w:tcPr>
          <w:p w14:paraId="0250E031">
            <w:pPr>
              <w:spacing w:line="360" w:lineRule="auto"/>
              <w:rPr>
                <w:rFonts w:hint="eastAsia" w:ascii="宋体" w:hAnsi="宋体" w:cs="宋体"/>
                <w:sz w:val="24"/>
                <w:szCs w:val="24"/>
              </w:rPr>
            </w:pPr>
            <w:r>
              <w:rPr>
                <w:rFonts w:hint="eastAsia" w:ascii="宋体" w:hAnsi="宋体" w:cs="宋体"/>
                <w:sz w:val="24"/>
                <w:szCs w:val="24"/>
              </w:rPr>
              <w:t>不接受</w:t>
            </w:r>
          </w:p>
        </w:tc>
      </w:tr>
      <w:tr w14:paraId="7A61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CD60E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320A9432">
            <w:pPr>
              <w:spacing w:line="360" w:lineRule="auto"/>
              <w:ind w:firstLine="240" w:firstLineChars="100"/>
              <w:rPr>
                <w:rFonts w:hint="eastAsia" w:ascii="宋体" w:hAnsi="宋体" w:cs="宋体"/>
                <w:sz w:val="24"/>
                <w:szCs w:val="24"/>
              </w:rPr>
            </w:pPr>
            <w:r>
              <w:rPr>
                <w:rFonts w:hint="eastAsia" w:ascii="宋体" w:hAnsi="宋体" w:cs="宋体"/>
                <w:sz w:val="24"/>
                <w:szCs w:val="24"/>
              </w:rPr>
              <w:t>踏勘现场</w:t>
            </w:r>
          </w:p>
        </w:tc>
        <w:tc>
          <w:tcPr>
            <w:tcW w:w="6803" w:type="dxa"/>
            <w:tcBorders>
              <w:top w:val="single" w:color="auto" w:sz="4" w:space="0"/>
              <w:left w:val="nil"/>
              <w:bottom w:val="single" w:color="auto" w:sz="4" w:space="0"/>
              <w:right w:val="single" w:color="auto" w:sz="4" w:space="0"/>
            </w:tcBorders>
            <w:vAlign w:val="center"/>
          </w:tcPr>
          <w:p w14:paraId="5AE410B0">
            <w:pPr>
              <w:spacing w:line="360" w:lineRule="auto"/>
              <w:rPr>
                <w:rFonts w:hint="eastAsia" w:ascii="宋体" w:hAnsi="宋体" w:cs="宋体"/>
                <w:sz w:val="24"/>
                <w:szCs w:val="24"/>
              </w:rPr>
            </w:pPr>
            <w:r>
              <w:rPr>
                <w:rFonts w:hint="eastAsia" w:ascii="宋体" w:hAnsi="宋体" w:cs="宋体"/>
                <w:sz w:val="24"/>
                <w:szCs w:val="24"/>
              </w:rPr>
              <w:t>不组织</w:t>
            </w:r>
          </w:p>
        </w:tc>
      </w:tr>
      <w:tr w14:paraId="7906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9D1D12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1524128">
            <w:pPr>
              <w:spacing w:line="360" w:lineRule="auto"/>
              <w:jc w:val="center"/>
              <w:rPr>
                <w:rFonts w:hint="eastAsia" w:ascii="宋体" w:hAnsi="宋体" w:cs="宋体"/>
                <w:sz w:val="24"/>
                <w:szCs w:val="24"/>
              </w:rPr>
            </w:pPr>
            <w:r>
              <w:rPr>
                <w:rFonts w:hint="eastAsia" w:ascii="宋体" w:hAnsi="宋体" w:cs="宋体"/>
                <w:sz w:val="24"/>
                <w:szCs w:val="24"/>
              </w:rPr>
              <w:t>招标预备会</w:t>
            </w:r>
          </w:p>
        </w:tc>
        <w:tc>
          <w:tcPr>
            <w:tcW w:w="6803" w:type="dxa"/>
            <w:tcBorders>
              <w:top w:val="single" w:color="auto" w:sz="4" w:space="0"/>
              <w:left w:val="nil"/>
              <w:bottom w:val="single" w:color="auto" w:sz="4" w:space="0"/>
              <w:right w:val="single" w:color="auto" w:sz="4" w:space="0"/>
            </w:tcBorders>
            <w:vAlign w:val="center"/>
          </w:tcPr>
          <w:p w14:paraId="4B9A499D">
            <w:pPr>
              <w:spacing w:line="360" w:lineRule="auto"/>
              <w:rPr>
                <w:rFonts w:hint="eastAsia" w:ascii="宋体" w:hAnsi="宋体" w:cs="宋体"/>
                <w:sz w:val="24"/>
                <w:szCs w:val="24"/>
              </w:rPr>
            </w:pPr>
            <w:r>
              <w:rPr>
                <w:rFonts w:hint="eastAsia" w:ascii="宋体" w:hAnsi="宋体" w:cs="宋体"/>
                <w:sz w:val="24"/>
                <w:szCs w:val="24"/>
              </w:rPr>
              <w:t>不召开</w:t>
            </w:r>
          </w:p>
        </w:tc>
      </w:tr>
      <w:tr w14:paraId="5AFE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0152C9">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28D19468">
            <w:pPr>
              <w:spacing w:line="360" w:lineRule="auto"/>
              <w:jc w:val="center"/>
              <w:rPr>
                <w:rFonts w:hint="eastAsia" w:ascii="宋体" w:hAnsi="宋体" w:cs="宋体"/>
                <w:sz w:val="24"/>
                <w:szCs w:val="24"/>
              </w:rPr>
            </w:pPr>
            <w:r>
              <w:rPr>
                <w:rFonts w:hint="eastAsia" w:ascii="宋体" w:hAnsi="宋体" w:cs="宋体"/>
                <w:sz w:val="24"/>
                <w:szCs w:val="24"/>
              </w:rPr>
              <w:t>分  包</w:t>
            </w:r>
          </w:p>
        </w:tc>
        <w:tc>
          <w:tcPr>
            <w:tcW w:w="6803" w:type="dxa"/>
            <w:tcBorders>
              <w:top w:val="single" w:color="auto" w:sz="4" w:space="0"/>
              <w:left w:val="nil"/>
              <w:bottom w:val="single" w:color="auto" w:sz="4" w:space="0"/>
              <w:right w:val="single" w:color="auto" w:sz="4" w:space="0"/>
            </w:tcBorders>
            <w:vAlign w:val="center"/>
          </w:tcPr>
          <w:p w14:paraId="0B3713C8">
            <w:pPr>
              <w:spacing w:line="360" w:lineRule="auto"/>
              <w:rPr>
                <w:rFonts w:hint="eastAsia" w:ascii="宋体" w:hAnsi="宋体" w:cs="宋体"/>
                <w:sz w:val="24"/>
                <w:szCs w:val="24"/>
              </w:rPr>
            </w:pPr>
            <w:r>
              <w:rPr>
                <w:rFonts w:hint="eastAsia" w:ascii="宋体" w:hAnsi="宋体" w:cs="宋体"/>
                <w:sz w:val="24"/>
                <w:szCs w:val="24"/>
              </w:rPr>
              <w:t>不允许</w:t>
            </w:r>
          </w:p>
        </w:tc>
      </w:tr>
      <w:tr w14:paraId="0CAF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103AC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34F14F88">
            <w:pPr>
              <w:spacing w:line="360" w:lineRule="auto"/>
              <w:jc w:val="center"/>
              <w:rPr>
                <w:rFonts w:hint="eastAsia" w:ascii="宋体" w:hAnsi="宋体" w:cs="宋体"/>
                <w:sz w:val="24"/>
                <w:szCs w:val="24"/>
              </w:rPr>
            </w:pPr>
            <w:r>
              <w:rPr>
                <w:rFonts w:hint="eastAsia" w:ascii="宋体" w:hAnsi="宋体" w:cs="宋体"/>
                <w:sz w:val="24"/>
                <w:szCs w:val="24"/>
              </w:rPr>
              <w:t>构成招标文件的其他材料</w:t>
            </w:r>
          </w:p>
        </w:tc>
        <w:tc>
          <w:tcPr>
            <w:tcW w:w="6803" w:type="dxa"/>
            <w:tcBorders>
              <w:top w:val="single" w:color="auto" w:sz="4" w:space="0"/>
              <w:left w:val="nil"/>
              <w:bottom w:val="single" w:color="auto" w:sz="4" w:space="0"/>
              <w:right w:val="single" w:color="auto" w:sz="4" w:space="0"/>
            </w:tcBorders>
            <w:vAlign w:val="center"/>
          </w:tcPr>
          <w:p w14:paraId="2884E0C3">
            <w:pPr>
              <w:spacing w:line="360" w:lineRule="auto"/>
              <w:rPr>
                <w:rFonts w:hint="eastAsia"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054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C96AB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7B2BB654">
            <w:pPr>
              <w:spacing w:line="360" w:lineRule="auto"/>
              <w:jc w:val="center"/>
              <w:rPr>
                <w:rFonts w:hint="eastAsia" w:ascii="宋体" w:hAnsi="宋体" w:cs="宋体"/>
                <w:sz w:val="24"/>
                <w:szCs w:val="24"/>
              </w:rPr>
            </w:pPr>
            <w:r>
              <w:rPr>
                <w:rFonts w:hint="eastAsia" w:ascii="宋体" w:hAnsi="宋体" w:cs="宋体"/>
                <w:sz w:val="24"/>
                <w:szCs w:val="24"/>
              </w:rPr>
              <w:t>供应商要求澄清招标文件的截止时间</w:t>
            </w:r>
          </w:p>
        </w:tc>
        <w:tc>
          <w:tcPr>
            <w:tcW w:w="6803" w:type="dxa"/>
            <w:tcBorders>
              <w:top w:val="single" w:color="auto" w:sz="4" w:space="0"/>
              <w:left w:val="nil"/>
              <w:bottom w:val="single" w:color="auto" w:sz="4" w:space="0"/>
              <w:right w:val="single" w:color="auto" w:sz="4" w:space="0"/>
            </w:tcBorders>
            <w:vAlign w:val="center"/>
          </w:tcPr>
          <w:p w14:paraId="56FEBAB6">
            <w:pPr>
              <w:spacing w:line="360" w:lineRule="auto"/>
              <w:rPr>
                <w:rFonts w:hint="eastAsia" w:ascii="宋体" w:hAnsi="宋体" w:cs="宋体"/>
                <w:sz w:val="24"/>
                <w:szCs w:val="24"/>
              </w:rPr>
            </w:pPr>
            <w:r>
              <w:rPr>
                <w:rFonts w:hint="eastAsia" w:ascii="宋体" w:hAnsi="宋体" w:cs="宋体"/>
                <w:sz w:val="24"/>
                <w:szCs w:val="24"/>
              </w:rPr>
              <w:t>投标文件递交截止时间15日前</w:t>
            </w:r>
          </w:p>
        </w:tc>
      </w:tr>
      <w:tr w14:paraId="6002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1288407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2.7</w:t>
            </w:r>
          </w:p>
        </w:tc>
        <w:tc>
          <w:tcPr>
            <w:tcW w:w="1843" w:type="dxa"/>
            <w:tcBorders>
              <w:top w:val="single" w:color="auto" w:sz="4" w:space="0"/>
              <w:left w:val="nil"/>
              <w:bottom w:val="single" w:color="auto" w:sz="4" w:space="0"/>
              <w:right w:val="single" w:color="auto" w:sz="4" w:space="0"/>
            </w:tcBorders>
            <w:vAlign w:val="center"/>
          </w:tcPr>
          <w:p w14:paraId="101DFD4F">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投标文件递</w:t>
            </w:r>
          </w:p>
          <w:p w14:paraId="698B7EA3">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交截止时间</w:t>
            </w:r>
          </w:p>
        </w:tc>
        <w:tc>
          <w:tcPr>
            <w:tcW w:w="6803" w:type="dxa"/>
            <w:tcBorders>
              <w:top w:val="single" w:color="auto" w:sz="4" w:space="0"/>
              <w:left w:val="nil"/>
              <w:bottom w:val="single" w:color="auto" w:sz="4" w:space="0"/>
              <w:right w:val="single" w:color="auto" w:sz="4" w:space="0"/>
            </w:tcBorders>
            <w:vAlign w:val="center"/>
          </w:tcPr>
          <w:p w14:paraId="2786233C">
            <w:pPr>
              <w:spacing w:line="360" w:lineRule="auto"/>
              <w:rPr>
                <w:rFonts w:hint="eastAsia" w:ascii="宋体" w:hAnsi="宋体" w:cs="宋体"/>
                <w:sz w:val="24"/>
                <w:szCs w:val="24"/>
              </w:rPr>
            </w:pPr>
            <w:r>
              <w:rPr>
                <w:rFonts w:hint="eastAsia" w:ascii="宋体" w:hAnsi="宋体" w:cs="宋体"/>
                <w:sz w:val="24"/>
                <w:szCs w:val="24"/>
              </w:rPr>
              <w:t>同开标时间</w:t>
            </w:r>
          </w:p>
        </w:tc>
      </w:tr>
      <w:tr w14:paraId="09CD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93" w:type="dxa"/>
            <w:tcBorders>
              <w:top w:val="single" w:color="auto" w:sz="4" w:space="0"/>
              <w:left w:val="single" w:color="auto" w:sz="4" w:space="0"/>
              <w:bottom w:val="single" w:color="auto" w:sz="4" w:space="0"/>
              <w:right w:val="single" w:color="auto" w:sz="4" w:space="0"/>
            </w:tcBorders>
            <w:vAlign w:val="center"/>
          </w:tcPr>
          <w:p w14:paraId="5A94928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10C528E5">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供应商确认收到招标文件澄清的时间</w:t>
            </w:r>
          </w:p>
        </w:tc>
        <w:tc>
          <w:tcPr>
            <w:tcW w:w="6803" w:type="dxa"/>
            <w:tcBorders>
              <w:top w:val="single" w:color="auto" w:sz="4" w:space="0"/>
              <w:left w:val="nil"/>
              <w:bottom w:val="single" w:color="auto" w:sz="4" w:space="0"/>
              <w:right w:val="single" w:color="auto" w:sz="4" w:space="0"/>
            </w:tcBorders>
            <w:vAlign w:val="center"/>
          </w:tcPr>
          <w:p w14:paraId="76BE9E59">
            <w:pPr>
              <w:spacing w:line="360" w:lineRule="auto"/>
              <w:rPr>
                <w:rFonts w:hint="eastAsia"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072A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C9DC7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51C428A">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供应商确认收到招标文件修改的时间</w:t>
            </w:r>
          </w:p>
        </w:tc>
        <w:tc>
          <w:tcPr>
            <w:tcW w:w="6803" w:type="dxa"/>
            <w:tcBorders>
              <w:top w:val="single" w:color="auto" w:sz="4" w:space="0"/>
              <w:left w:val="nil"/>
              <w:bottom w:val="single" w:color="auto" w:sz="4" w:space="0"/>
              <w:right w:val="single" w:color="auto" w:sz="4" w:space="0"/>
            </w:tcBorders>
            <w:vAlign w:val="center"/>
          </w:tcPr>
          <w:p w14:paraId="2831522B">
            <w:pPr>
              <w:spacing w:line="360" w:lineRule="auto"/>
              <w:rPr>
                <w:rFonts w:hint="eastAsia"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100D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F3882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60BA6C19">
            <w:pPr>
              <w:spacing w:line="360" w:lineRule="auto"/>
              <w:jc w:val="center"/>
              <w:rPr>
                <w:rFonts w:hint="eastAsia" w:ascii="宋体" w:hAnsi="宋体" w:cs="宋体"/>
                <w:sz w:val="24"/>
                <w:szCs w:val="24"/>
              </w:rPr>
            </w:pPr>
            <w:r>
              <w:rPr>
                <w:rFonts w:hint="eastAsia" w:ascii="宋体" w:hAnsi="宋体" w:cs="宋体"/>
                <w:sz w:val="24"/>
                <w:szCs w:val="24"/>
              </w:rPr>
              <w:t>构成投标文件的其他材料</w:t>
            </w:r>
          </w:p>
        </w:tc>
        <w:tc>
          <w:tcPr>
            <w:tcW w:w="6803" w:type="dxa"/>
            <w:tcBorders>
              <w:top w:val="single" w:color="auto" w:sz="4" w:space="0"/>
              <w:left w:val="nil"/>
              <w:bottom w:val="single" w:color="auto" w:sz="4" w:space="0"/>
              <w:right w:val="single" w:color="auto" w:sz="4" w:space="0"/>
            </w:tcBorders>
            <w:vAlign w:val="center"/>
          </w:tcPr>
          <w:p w14:paraId="6AD1DCB6">
            <w:pPr>
              <w:spacing w:line="360" w:lineRule="auto"/>
              <w:rPr>
                <w:rFonts w:hint="eastAsia" w:ascii="宋体" w:hAnsi="宋体" w:cs="宋体"/>
                <w:b/>
                <w:bCs/>
                <w:sz w:val="24"/>
                <w:szCs w:val="24"/>
              </w:rPr>
            </w:pPr>
            <w:r>
              <w:rPr>
                <w:rFonts w:hint="eastAsia" w:ascii="宋体" w:hAnsi="宋体" w:cs="宋体"/>
                <w:sz w:val="24"/>
                <w:szCs w:val="24"/>
              </w:rPr>
              <w:t>供应商认为与本投标可能有关的其他资料</w:t>
            </w:r>
          </w:p>
        </w:tc>
      </w:tr>
      <w:tr w14:paraId="6E8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375FAF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4029190A">
            <w:pPr>
              <w:spacing w:line="360" w:lineRule="auto"/>
              <w:jc w:val="center"/>
              <w:rPr>
                <w:rFonts w:hint="eastAsia" w:ascii="宋体" w:hAnsi="宋体" w:cs="宋体"/>
                <w:sz w:val="24"/>
                <w:szCs w:val="24"/>
              </w:rPr>
            </w:pPr>
            <w:r>
              <w:rPr>
                <w:rFonts w:hint="eastAsia" w:ascii="宋体" w:hAnsi="宋体" w:cs="宋体"/>
                <w:sz w:val="24"/>
                <w:szCs w:val="24"/>
              </w:rPr>
              <w:t>投标有效期</w:t>
            </w:r>
          </w:p>
        </w:tc>
        <w:tc>
          <w:tcPr>
            <w:tcW w:w="6803" w:type="dxa"/>
            <w:tcBorders>
              <w:top w:val="single" w:color="auto" w:sz="4" w:space="0"/>
              <w:left w:val="nil"/>
              <w:bottom w:val="single" w:color="auto" w:sz="4" w:space="0"/>
              <w:right w:val="single" w:color="auto" w:sz="4" w:space="0"/>
            </w:tcBorders>
            <w:vAlign w:val="center"/>
          </w:tcPr>
          <w:p w14:paraId="03B26988">
            <w:pPr>
              <w:spacing w:line="360" w:lineRule="auto"/>
              <w:rPr>
                <w:rFonts w:hint="eastAsia" w:ascii="宋体" w:hAnsi="宋体" w:cs="宋体"/>
                <w:sz w:val="24"/>
                <w:szCs w:val="24"/>
              </w:rPr>
            </w:pPr>
            <w:r>
              <w:rPr>
                <w:rFonts w:hint="eastAsia" w:ascii="宋体" w:hAnsi="宋体" w:cs="宋体"/>
                <w:sz w:val="24"/>
                <w:szCs w:val="24"/>
              </w:rPr>
              <w:t>自投标文件递交截止之日起60日历天</w:t>
            </w:r>
          </w:p>
        </w:tc>
      </w:tr>
      <w:tr w14:paraId="65D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9C5218">
            <w:pPr>
              <w:keepLines/>
              <w:spacing w:line="360" w:lineRule="auto"/>
              <w:jc w:val="center"/>
              <w:rPr>
                <w:rFonts w:hint="eastAsia" w:ascii="宋体" w:hAnsi="宋体" w:cs="宋体"/>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2F063EA8">
            <w:pPr>
              <w:spacing w:line="360" w:lineRule="auto"/>
              <w:jc w:val="center"/>
              <w:rPr>
                <w:rFonts w:hint="eastAsia" w:ascii="宋体" w:hAnsi="宋体" w:cs="宋体"/>
                <w:sz w:val="24"/>
                <w:szCs w:val="24"/>
              </w:rPr>
            </w:pPr>
            <w:r>
              <w:rPr>
                <w:rFonts w:hint="eastAsia" w:ascii="宋体" w:hAnsi="宋体" w:cs="宋体"/>
                <w:sz w:val="24"/>
                <w:szCs w:val="24"/>
              </w:rPr>
              <w:t>近年完成的类似项目的年份要求</w:t>
            </w:r>
          </w:p>
        </w:tc>
        <w:tc>
          <w:tcPr>
            <w:tcW w:w="6803" w:type="dxa"/>
            <w:tcBorders>
              <w:top w:val="single" w:color="auto" w:sz="4" w:space="0"/>
              <w:left w:val="nil"/>
              <w:bottom w:val="single" w:color="auto" w:sz="4" w:space="0"/>
              <w:right w:val="single" w:color="auto" w:sz="4" w:space="0"/>
            </w:tcBorders>
            <w:vAlign w:val="center"/>
          </w:tcPr>
          <w:p w14:paraId="1D9E8801">
            <w:pPr>
              <w:spacing w:line="360" w:lineRule="auto"/>
              <w:rPr>
                <w:rFonts w:hint="eastAsia" w:ascii="宋体" w:hAnsi="宋体" w:cs="宋体"/>
                <w:sz w:val="24"/>
                <w:szCs w:val="24"/>
                <w:u w:val="single"/>
              </w:rPr>
            </w:pPr>
            <w:r>
              <w:rPr>
                <w:rFonts w:hint="eastAsia" w:ascii="宋体" w:hAnsi="宋体" w:cs="宋体"/>
                <w:sz w:val="24"/>
                <w:szCs w:val="24"/>
                <w:u w:val="none"/>
              </w:rPr>
              <w:t>近</w:t>
            </w:r>
            <w:r>
              <w:rPr>
                <w:rFonts w:hint="eastAsia" w:ascii="宋体" w:hAnsi="宋体" w:cs="宋体"/>
                <w:sz w:val="24"/>
                <w:szCs w:val="24"/>
              </w:rPr>
              <w:t>年，指</w:t>
            </w:r>
            <w:r>
              <w:rPr>
                <w:rFonts w:hint="eastAsia" w:ascii="宋体" w:hAnsi="宋体" w:cs="宋体"/>
                <w:sz w:val="24"/>
                <w:szCs w:val="24"/>
                <w:u w:val="single"/>
              </w:rPr>
              <w:t>2022</w:t>
            </w:r>
            <w:r>
              <w:rPr>
                <w:rFonts w:hint="eastAsia" w:ascii="宋体" w:hAnsi="宋体" w:cs="宋体"/>
                <w:sz w:val="24"/>
                <w:szCs w:val="24"/>
              </w:rPr>
              <w:t>年</w:t>
            </w:r>
            <w:r>
              <w:rPr>
                <w:rFonts w:hint="eastAsia" w:ascii="宋体" w:hAnsi="宋体" w:cs="宋体"/>
                <w:sz w:val="24"/>
                <w:szCs w:val="24"/>
                <w:u w:val="single"/>
              </w:rPr>
              <w:t>01</w:t>
            </w:r>
            <w:r>
              <w:rPr>
                <w:rFonts w:hint="eastAsia" w:ascii="宋体" w:hAnsi="宋体" w:cs="宋体"/>
                <w:sz w:val="24"/>
                <w:szCs w:val="24"/>
              </w:rPr>
              <w:t>月</w:t>
            </w:r>
            <w:r>
              <w:rPr>
                <w:rFonts w:hint="eastAsia" w:ascii="宋体" w:hAnsi="宋体" w:cs="宋体"/>
                <w:sz w:val="24"/>
                <w:szCs w:val="24"/>
                <w:u w:val="single"/>
              </w:rPr>
              <w:t>01</w:t>
            </w:r>
            <w:r>
              <w:rPr>
                <w:rFonts w:hint="eastAsia" w:ascii="宋体" w:hAnsi="宋体" w:cs="宋体"/>
                <w:sz w:val="24"/>
                <w:szCs w:val="24"/>
              </w:rPr>
              <w:t>日以来</w:t>
            </w:r>
          </w:p>
        </w:tc>
      </w:tr>
      <w:tr w14:paraId="5EF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D1E813">
            <w:pPr>
              <w:spacing w:line="360" w:lineRule="auto"/>
              <w:jc w:val="center"/>
              <w:rPr>
                <w:rFonts w:hint="eastAsia" w:ascii="宋体" w:hAnsi="宋体" w:cs="宋体"/>
                <w:sz w:val="24"/>
                <w:szCs w:val="24"/>
              </w:rPr>
            </w:pPr>
            <w:r>
              <w:rPr>
                <w:rFonts w:hint="eastAsia" w:ascii="宋体" w:hAnsi="宋体" w:cs="宋体"/>
                <w:sz w:val="24"/>
                <w:szCs w:val="24"/>
              </w:rPr>
              <w:t>2.7</w:t>
            </w:r>
          </w:p>
        </w:tc>
        <w:tc>
          <w:tcPr>
            <w:tcW w:w="1843" w:type="dxa"/>
            <w:tcBorders>
              <w:top w:val="single" w:color="auto" w:sz="4" w:space="0"/>
              <w:left w:val="nil"/>
              <w:bottom w:val="single" w:color="auto" w:sz="4" w:space="0"/>
              <w:right w:val="single" w:color="auto" w:sz="4" w:space="0"/>
            </w:tcBorders>
            <w:vAlign w:val="center"/>
          </w:tcPr>
          <w:p w14:paraId="01C0D6C8">
            <w:pPr>
              <w:spacing w:line="360" w:lineRule="auto"/>
              <w:jc w:val="center"/>
              <w:rPr>
                <w:rFonts w:hint="eastAsia" w:ascii="宋体" w:hAnsi="宋体" w:cs="宋体"/>
                <w:sz w:val="24"/>
                <w:szCs w:val="24"/>
              </w:rPr>
            </w:pPr>
            <w:r>
              <w:rPr>
                <w:rFonts w:hint="eastAsia" w:ascii="宋体" w:hAnsi="宋体" w:cs="宋体"/>
                <w:sz w:val="24"/>
                <w:szCs w:val="24"/>
              </w:rPr>
              <w:t>签字和（或）盖章要求</w:t>
            </w:r>
          </w:p>
        </w:tc>
        <w:tc>
          <w:tcPr>
            <w:tcW w:w="6803" w:type="dxa"/>
            <w:tcBorders>
              <w:top w:val="single" w:color="auto" w:sz="4" w:space="0"/>
              <w:left w:val="nil"/>
              <w:bottom w:val="single" w:color="auto" w:sz="4" w:space="0"/>
              <w:right w:val="single" w:color="auto" w:sz="4" w:space="0"/>
            </w:tcBorders>
            <w:vAlign w:val="center"/>
          </w:tcPr>
          <w:p w14:paraId="5DFC5AC5">
            <w:pPr>
              <w:spacing w:line="360" w:lineRule="auto"/>
              <w:rPr>
                <w:rFonts w:hint="eastAsia" w:ascii="宋体" w:hAnsi="宋体" w:cs="宋体"/>
                <w:sz w:val="24"/>
                <w:szCs w:val="24"/>
              </w:rPr>
            </w:pPr>
            <w:r>
              <w:rPr>
                <w:rFonts w:hint="eastAsia" w:ascii="宋体" w:hAnsi="宋体" w:cs="宋体"/>
                <w:sz w:val="24"/>
                <w:szCs w:val="24"/>
              </w:rPr>
              <w:t>电子化投标文件的签章：</w:t>
            </w:r>
          </w:p>
          <w:p w14:paraId="3533268A">
            <w:pPr>
              <w:spacing w:line="360" w:lineRule="auto"/>
              <w:rPr>
                <w:rFonts w:hint="eastAsia"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065A46FD">
            <w:pPr>
              <w:autoSpaceDE w:val="0"/>
              <w:autoSpaceDN w:val="0"/>
              <w:adjustRightInd w:val="0"/>
              <w:spacing w:line="360" w:lineRule="auto"/>
              <w:jc w:val="left"/>
              <w:rPr>
                <w:rFonts w:hint="eastAsia" w:ascii="宋体" w:hAnsi="宋体" w:cs="宋体"/>
                <w:sz w:val="24"/>
                <w:szCs w:val="24"/>
              </w:rPr>
            </w:pPr>
            <w:r>
              <w:rPr>
                <w:rFonts w:hint="eastAsia" w:ascii="宋体" w:hAnsi="宋体" w:cs="宋体"/>
                <w:sz w:val="24"/>
                <w:szCs w:val="24"/>
              </w:rPr>
              <w:t>2、招标文件中要求</w:t>
            </w:r>
            <w:r>
              <w:rPr>
                <w:rFonts w:hint="eastAsia" w:ascii="宋体" w:hAnsi="宋体" w:cs="宋体"/>
                <w:bCs/>
                <w:sz w:val="24"/>
                <w:szCs w:val="24"/>
              </w:rPr>
              <w:t>法定代表人签字或盖章的，</w:t>
            </w:r>
            <w:r>
              <w:rPr>
                <w:rFonts w:hint="eastAsia" w:ascii="宋体" w:hAnsi="宋体" w:cs="宋体"/>
                <w:sz w:val="24"/>
                <w:szCs w:val="24"/>
              </w:rPr>
              <w:t>供应商在进行</w:t>
            </w:r>
            <w:r>
              <w:rPr>
                <w:rFonts w:hint="eastAsia" w:ascii="宋体" w:hAnsi="宋体" w:cs="宋体"/>
                <w:bCs/>
                <w:sz w:val="24"/>
                <w:szCs w:val="24"/>
              </w:rPr>
              <w:t>电子化投标文件签章时，以签盖法定代表人签章为准</w:t>
            </w:r>
            <w:r>
              <w:rPr>
                <w:rFonts w:hint="eastAsia" w:ascii="宋体" w:hAnsi="宋体" w:cs="宋体"/>
                <w:sz w:val="24"/>
                <w:szCs w:val="24"/>
              </w:rPr>
              <w:t>。</w:t>
            </w:r>
          </w:p>
          <w:p w14:paraId="50621CFE">
            <w:pPr>
              <w:autoSpaceDE w:val="0"/>
              <w:autoSpaceDN w:val="0"/>
              <w:adjustRightInd w:val="0"/>
              <w:spacing w:line="360" w:lineRule="auto"/>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电子化投标文件具体制作文件请点击：https://download.bqpoint.com/download/downloaddetail.html?SourceFrom=Ztb&amp;ZtbSoftXiaQuCode=1506&amp;ZtbSoftType=tballinclusive进行下载。</w:t>
            </w:r>
          </w:p>
        </w:tc>
      </w:tr>
      <w:tr w14:paraId="2AA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DB7C8E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2.8</w:t>
            </w:r>
          </w:p>
        </w:tc>
        <w:tc>
          <w:tcPr>
            <w:tcW w:w="1843" w:type="dxa"/>
            <w:tcBorders>
              <w:top w:val="single" w:color="auto" w:sz="4" w:space="0"/>
              <w:left w:val="nil"/>
              <w:bottom w:val="single" w:color="auto" w:sz="4" w:space="0"/>
              <w:right w:val="single" w:color="auto" w:sz="4" w:space="0"/>
            </w:tcBorders>
            <w:vAlign w:val="center"/>
          </w:tcPr>
          <w:p w14:paraId="0EA36C3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电子化投标文件上传</w:t>
            </w:r>
          </w:p>
        </w:tc>
        <w:tc>
          <w:tcPr>
            <w:tcW w:w="6803" w:type="dxa"/>
            <w:tcBorders>
              <w:top w:val="single" w:color="auto" w:sz="4" w:space="0"/>
              <w:left w:val="nil"/>
              <w:bottom w:val="single" w:color="auto" w:sz="4" w:space="0"/>
              <w:right w:val="single" w:color="auto" w:sz="4" w:space="0"/>
            </w:tcBorders>
            <w:vAlign w:val="center"/>
          </w:tcPr>
          <w:p w14:paraId="2E7A2350">
            <w:pPr>
              <w:snapToGrid w:val="0"/>
              <w:spacing w:line="360" w:lineRule="auto"/>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EA97E8B">
            <w:pPr>
              <w:snapToGrid w:val="0"/>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67686319">
            <w:pPr>
              <w:keepLines/>
              <w:spacing w:line="360" w:lineRule="auto"/>
              <w:jc w:val="left"/>
              <w:rPr>
                <w:rFonts w:hint="eastAsia" w:ascii="宋体" w:hAnsi="宋体" w:cs="宋体"/>
                <w:sz w:val="24"/>
                <w:szCs w:val="24"/>
              </w:rPr>
            </w:pPr>
            <w:r>
              <w:rPr>
                <w:rFonts w:hint="eastAsia" w:ascii="宋体" w:hAnsi="宋体" w:cs="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2B12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A23F8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2.9</w:t>
            </w:r>
          </w:p>
        </w:tc>
        <w:tc>
          <w:tcPr>
            <w:tcW w:w="1843" w:type="dxa"/>
            <w:tcBorders>
              <w:top w:val="single" w:color="auto" w:sz="4" w:space="0"/>
              <w:left w:val="nil"/>
              <w:bottom w:val="single" w:color="auto" w:sz="4" w:space="0"/>
              <w:right w:val="single" w:color="auto" w:sz="4" w:space="0"/>
            </w:tcBorders>
            <w:vAlign w:val="center"/>
          </w:tcPr>
          <w:p w14:paraId="6A6CA2A4">
            <w:pPr>
              <w:keepLines/>
              <w:spacing w:line="360" w:lineRule="auto"/>
              <w:jc w:val="center"/>
              <w:rPr>
                <w:rFonts w:hint="eastAsia" w:ascii="宋体" w:hAnsi="宋体" w:cs="宋体"/>
                <w:kern w:val="0"/>
                <w:sz w:val="24"/>
                <w:szCs w:val="24"/>
              </w:rPr>
            </w:pPr>
            <w:r>
              <w:rPr>
                <w:rFonts w:hint="eastAsia" w:ascii="宋体" w:hAnsi="宋体" w:cs="宋体"/>
                <w:bCs/>
                <w:spacing w:val="7"/>
                <w:sz w:val="24"/>
                <w:szCs w:val="24"/>
              </w:rPr>
              <w:t>合同价格形式</w:t>
            </w:r>
          </w:p>
        </w:tc>
        <w:tc>
          <w:tcPr>
            <w:tcW w:w="6803" w:type="dxa"/>
            <w:tcBorders>
              <w:top w:val="single" w:color="auto" w:sz="4" w:space="0"/>
              <w:left w:val="nil"/>
              <w:bottom w:val="single" w:color="auto" w:sz="4" w:space="0"/>
              <w:right w:val="single" w:color="auto" w:sz="4" w:space="0"/>
            </w:tcBorders>
            <w:vAlign w:val="center"/>
          </w:tcPr>
          <w:p w14:paraId="64A8640A">
            <w:pPr>
              <w:keepLines/>
              <w:spacing w:line="360" w:lineRule="auto"/>
              <w:jc w:val="left"/>
              <w:rPr>
                <w:rFonts w:hint="eastAsia" w:ascii="宋体" w:hAnsi="宋体" w:cs="宋体"/>
                <w:color w:val="FF0000"/>
                <w:kern w:val="0"/>
                <w:sz w:val="24"/>
                <w:szCs w:val="24"/>
              </w:rPr>
            </w:pPr>
            <w:r>
              <w:rPr>
                <w:rFonts w:hint="eastAsia" w:ascii="宋体" w:hAnsi="宋体" w:cs="宋体"/>
                <w:bCs/>
                <w:color w:val="FF0000"/>
                <w:spacing w:val="7"/>
                <w:sz w:val="24"/>
                <w:szCs w:val="24"/>
              </w:rPr>
              <w:t>/</w:t>
            </w:r>
          </w:p>
        </w:tc>
      </w:tr>
      <w:tr w14:paraId="63A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795A11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3.0</w:t>
            </w:r>
          </w:p>
        </w:tc>
        <w:tc>
          <w:tcPr>
            <w:tcW w:w="1843" w:type="dxa"/>
            <w:tcBorders>
              <w:top w:val="single" w:color="auto" w:sz="4" w:space="0"/>
              <w:left w:val="nil"/>
              <w:bottom w:val="single" w:color="auto" w:sz="4" w:space="0"/>
              <w:right w:val="single" w:color="auto" w:sz="4" w:space="0"/>
            </w:tcBorders>
            <w:vAlign w:val="center"/>
          </w:tcPr>
          <w:p w14:paraId="1252E626">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开标时间和</w:t>
            </w:r>
          </w:p>
          <w:p w14:paraId="11540903">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地点</w:t>
            </w:r>
          </w:p>
        </w:tc>
        <w:tc>
          <w:tcPr>
            <w:tcW w:w="6803" w:type="dxa"/>
            <w:tcBorders>
              <w:top w:val="single" w:color="auto" w:sz="4" w:space="0"/>
              <w:left w:val="nil"/>
              <w:bottom w:val="single" w:color="auto" w:sz="4" w:space="0"/>
              <w:right w:val="single" w:color="auto" w:sz="4" w:space="0"/>
            </w:tcBorders>
            <w:vAlign w:val="center"/>
          </w:tcPr>
          <w:p w14:paraId="5FEA7D52">
            <w:pPr>
              <w:spacing w:line="360" w:lineRule="auto"/>
              <w:rPr>
                <w:rFonts w:hint="eastAsia" w:ascii="宋体" w:hAnsi="宋体" w:cs="宋体"/>
                <w:color w:val="auto"/>
                <w:kern w:val="0"/>
                <w:sz w:val="24"/>
                <w:szCs w:val="24"/>
              </w:rPr>
            </w:pPr>
            <w:r>
              <w:rPr>
                <w:rFonts w:hint="eastAsia" w:ascii="宋体" w:hAnsi="宋体" w:cs="宋体"/>
                <w:color w:val="auto"/>
                <w:sz w:val="24"/>
                <w:szCs w:val="24"/>
              </w:rPr>
              <w:t>时间</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日</w:t>
            </w:r>
            <w:bookmarkStart w:id="284" w:name="_GoBack"/>
            <w:bookmarkEnd w:id="284"/>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分（北京时间）</w:t>
            </w:r>
          </w:p>
          <w:p w14:paraId="41D6ACB3">
            <w:pPr>
              <w:keepLines/>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地点：三门峡市公共资源交易中心第</w:t>
            </w:r>
            <w:r>
              <w:rPr>
                <w:rFonts w:hint="eastAsia" w:ascii="宋体" w:hAnsi="宋体" w:cs="宋体"/>
                <w:color w:val="auto"/>
                <w:kern w:val="0"/>
                <w:sz w:val="24"/>
                <w:szCs w:val="24"/>
                <w:lang w:eastAsia="zh-CN"/>
              </w:rPr>
              <w:t>二</w:t>
            </w:r>
            <w:r>
              <w:rPr>
                <w:rFonts w:hint="eastAsia" w:ascii="宋体" w:hAnsi="宋体" w:cs="宋体"/>
                <w:color w:val="auto"/>
                <w:kern w:val="0"/>
                <w:sz w:val="24"/>
                <w:szCs w:val="24"/>
              </w:rPr>
              <w:t>开标室。</w:t>
            </w:r>
          </w:p>
        </w:tc>
      </w:tr>
      <w:tr w14:paraId="61A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BF3DD7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3.1</w:t>
            </w:r>
          </w:p>
        </w:tc>
        <w:tc>
          <w:tcPr>
            <w:tcW w:w="1843" w:type="dxa"/>
            <w:tcBorders>
              <w:top w:val="single" w:color="auto" w:sz="4" w:space="0"/>
              <w:left w:val="nil"/>
              <w:bottom w:val="single" w:color="auto" w:sz="4" w:space="0"/>
              <w:right w:val="single" w:color="auto" w:sz="4" w:space="0"/>
            </w:tcBorders>
            <w:vAlign w:val="center"/>
          </w:tcPr>
          <w:p w14:paraId="3584D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偏离</w:t>
            </w:r>
          </w:p>
        </w:tc>
        <w:tc>
          <w:tcPr>
            <w:tcW w:w="6803" w:type="dxa"/>
            <w:tcBorders>
              <w:top w:val="single" w:color="auto" w:sz="4" w:space="0"/>
              <w:left w:val="nil"/>
              <w:bottom w:val="single" w:color="auto" w:sz="4" w:space="0"/>
              <w:right w:val="single" w:color="auto" w:sz="4" w:space="0"/>
            </w:tcBorders>
            <w:vAlign w:val="center"/>
          </w:tcPr>
          <w:p w14:paraId="4499F712">
            <w:pPr>
              <w:keepLines/>
              <w:spacing w:line="360" w:lineRule="auto"/>
              <w:jc w:val="left"/>
              <w:rPr>
                <w:rFonts w:hint="eastAsia" w:ascii="宋体" w:hAnsi="宋体" w:cs="宋体"/>
                <w:kern w:val="0"/>
                <w:sz w:val="24"/>
                <w:szCs w:val="24"/>
              </w:rPr>
            </w:pPr>
            <w:r>
              <w:rPr>
                <w:rFonts w:hint="eastAsia" w:ascii="宋体" w:hAnsi="宋体" w:cs="宋体"/>
                <w:kern w:val="0"/>
                <w:sz w:val="24"/>
                <w:szCs w:val="24"/>
              </w:rPr>
              <w:t>允许</w:t>
            </w:r>
          </w:p>
        </w:tc>
      </w:tr>
      <w:tr w14:paraId="3789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93" w:type="dxa"/>
            <w:tcBorders>
              <w:top w:val="single" w:color="auto" w:sz="4" w:space="0"/>
              <w:left w:val="single" w:color="auto" w:sz="4" w:space="0"/>
              <w:bottom w:val="single" w:color="auto" w:sz="4" w:space="0"/>
              <w:right w:val="single" w:color="auto" w:sz="4" w:space="0"/>
            </w:tcBorders>
            <w:vAlign w:val="center"/>
          </w:tcPr>
          <w:p w14:paraId="0E5FD61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3.2</w:t>
            </w:r>
          </w:p>
        </w:tc>
        <w:tc>
          <w:tcPr>
            <w:tcW w:w="1843" w:type="dxa"/>
            <w:tcBorders>
              <w:top w:val="single" w:color="auto" w:sz="4" w:space="0"/>
              <w:left w:val="nil"/>
              <w:bottom w:val="single" w:color="auto" w:sz="4" w:space="0"/>
              <w:right w:val="single" w:color="auto" w:sz="4" w:space="0"/>
            </w:tcBorders>
            <w:vAlign w:val="center"/>
          </w:tcPr>
          <w:p w14:paraId="0DA480B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评标委员会</w:t>
            </w:r>
          </w:p>
          <w:p w14:paraId="7AEA3F2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的组建</w:t>
            </w:r>
          </w:p>
        </w:tc>
        <w:tc>
          <w:tcPr>
            <w:tcW w:w="6803" w:type="dxa"/>
            <w:tcBorders>
              <w:top w:val="single" w:color="auto" w:sz="4" w:space="0"/>
              <w:left w:val="nil"/>
              <w:bottom w:val="single" w:color="auto" w:sz="4" w:space="0"/>
              <w:right w:val="single" w:color="auto" w:sz="4" w:space="0"/>
            </w:tcBorders>
            <w:vAlign w:val="center"/>
          </w:tcPr>
          <w:p w14:paraId="078572C5">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评标委员会构成：7人，其中采购人代表2人，专家5人；</w:t>
            </w:r>
          </w:p>
          <w:p w14:paraId="25909AA7">
            <w:pPr>
              <w:spacing w:line="360" w:lineRule="auto"/>
              <w:rPr>
                <w:rFonts w:hint="eastAsia" w:ascii="宋体" w:hAnsi="宋体" w:eastAsia="宋体" w:cs="宋体"/>
                <w:sz w:val="24"/>
                <w:szCs w:val="24"/>
                <w:lang w:eastAsia="zh-CN"/>
              </w:rPr>
            </w:pPr>
            <w:r>
              <w:rPr>
                <w:rFonts w:hint="eastAsia" w:ascii="宋体" w:hAnsi="宋体" w:cs="宋体"/>
                <w:sz w:val="24"/>
                <w:szCs w:val="24"/>
              </w:rPr>
              <w:t>评标专家确定方式：从河南省政府采购专家库中随机抽取</w:t>
            </w:r>
            <w:r>
              <w:rPr>
                <w:rFonts w:hint="eastAsia" w:ascii="宋体" w:hAnsi="宋体" w:cs="宋体"/>
                <w:sz w:val="24"/>
                <w:szCs w:val="24"/>
                <w:lang w:eastAsia="zh-CN"/>
              </w:rPr>
              <w:t>。</w:t>
            </w:r>
          </w:p>
        </w:tc>
      </w:tr>
      <w:tr w14:paraId="4BB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93" w:type="dxa"/>
            <w:tcBorders>
              <w:top w:val="single" w:color="auto" w:sz="4" w:space="0"/>
              <w:left w:val="single" w:color="auto" w:sz="4" w:space="0"/>
              <w:bottom w:val="single" w:color="auto" w:sz="4" w:space="0"/>
              <w:right w:val="single" w:color="auto" w:sz="4" w:space="0"/>
            </w:tcBorders>
            <w:vAlign w:val="center"/>
          </w:tcPr>
          <w:p w14:paraId="3A2A5BC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3.3</w:t>
            </w:r>
          </w:p>
        </w:tc>
        <w:tc>
          <w:tcPr>
            <w:tcW w:w="1843" w:type="dxa"/>
            <w:tcBorders>
              <w:top w:val="single" w:color="auto" w:sz="4" w:space="0"/>
              <w:left w:val="nil"/>
              <w:bottom w:val="single" w:color="auto" w:sz="4" w:space="0"/>
              <w:right w:val="single" w:color="auto" w:sz="4" w:space="0"/>
            </w:tcBorders>
            <w:vAlign w:val="center"/>
          </w:tcPr>
          <w:p w14:paraId="060EEC1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是否授权评标委员会确定中标供应商</w:t>
            </w:r>
          </w:p>
        </w:tc>
        <w:tc>
          <w:tcPr>
            <w:tcW w:w="6803" w:type="dxa"/>
            <w:tcBorders>
              <w:top w:val="single" w:color="auto" w:sz="4" w:space="0"/>
              <w:left w:val="nil"/>
              <w:bottom w:val="single" w:color="auto" w:sz="4" w:space="0"/>
              <w:right w:val="single" w:color="auto" w:sz="4" w:space="0"/>
            </w:tcBorders>
            <w:vAlign w:val="center"/>
          </w:tcPr>
          <w:p w14:paraId="05849E5B">
            <w:pPr>
              <w:spacing w:line="360" w:lineRule="auto"/>
              <w:rPr>
                <w:rFonts w:hint="eastAsia" w:ascii="宋体" w:hAnsi="宋体" w:cs="宋体"/>
                <w:sz w:val="24"/>
                <w:szCs w:val="24"/>
              </w:rPr>
            </w:pPr>
            <w:r>
              <w:rPr>
                <w:rFonts w:hint="eastAsia" w:ascii="宋体" w:hAnsi="宋体" w:cs="宋体"/>
                <w:sz w:val="24"/>
                <w:szCs w:val="24"/>
              </w:rPr>
              <w:t>否，评标委员会原则上推荐3名中标候选人并排序；</w:t>
            </w:r>
          </w:p>
        </w:tc>
      </w:tr>
      <w:tr w14:paraId="731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0ED30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3.4</w:t>
            </w:r>
          </w:p>
        </w:tc>
        <w:tc>
          <w:tcPr>
            <w:tcW w:w="1843" w:type="dxa"/>
            <w:tcBorders>
              <w:top w:val="single" w:color="auto" w:sz="4" w:space="0"/>
              <w:left w:val="nil"/>
              <w:bottom w:val="single" w:color="auto" w:sz="4" w:space="0"/>
              <w:right w:val="single" w:color="auto" w:sz="4" w:space="0"/>
            </w:tcBorders>
            <w:vAlign w:val="center"/>
          </w:tcPr>
          <w:p w14:paraId="02C24AE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履约保证金</w:t>
            </w:r>
          </w:p>
        </w:tc>
        <w:tc>
          <w:tcPr>
            <w:tcW w:w="6803" w:type="dxa"/>
            <w:tcBorders>
              <w:top w:val="single" w:color="auto" w:sz="4" w:space="0"/>
              <w:left w:val="nil"/>
              <w:bottom w:val="single" w:color="auto" w:sz="4" w:space="0"/>
              <w:right w:val="single" w:color="auto" w:sz="4" w:space="0"/>
            </w:tcBorders>
            <w:vAlign w:val="center"/>
          </w:tcPr>
          <w:p w14:paraId="72C10CFC">
            <w:pPr>
              <w:keepLines/>
              <w:spacing w:line="360" w:lineRule="auto"/>
              <w:rPr>
                <w:rFonts w:hint="eastAsia" w:ascii="宋体" w:hAnsi="宋体" w:cs="宋体"/>
                <w:sz w:val="24"/>
                <w:szCs w:val="24"/>
              </w:rPr>
            </w:pPr>
            <w:r>
              <w:rPr>
                <w:rFonts w:hint="eastAsia" w:ascii="宋体" w:hAnsi="宋体" w:cs="宋体"/>
                <w:sz w:val="24"/>
                <w:szCs w:val="24"/>
              </w:rPr>
              <w:t>本项目不收取履约保证金。如供应商违反政府采购合同约定给采购人造成损失的,采购人按照合同约定,要求供应商承担赔偿责任。</w:t>
            </w:r>
          </w:p>
        </w:tc>
      </w:tr>
      <w:tr w14:paraId="189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4CAC1B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3.5</w:t>
            </w:r>
          </w:p>
        </w:tc>
        <w:tc>
          <w:tcPr>
            <w:tcW w:w="1843" w:type="dxa"/>
            <w:tcBorders>
              <w:top w:val="single" w:color="auto" w:sz="4" w:space="0"/>
              <w:left w:val="nil"/>
              <w:bottom w:val="single" w:color="auto" w:sz="4" w:space="0"/>
              <w:right w:val="single" w:color="auto" w:sz="4" w:space="0"/>
            </w:tcBorders>
            <w:vAlign w:val="center"/>
          </w:tcPr>
          <w:p w14:paraId="417749A6">
            <w:pPr>
              <w:keepLines/>
              <w:spacing w:line="360" w:lineRule="auto"/>
              <w:jc w:val="center"/>
              <w:rPr>
                <w:rFonts w:hint="eastAsia" w:ascii="宋体" w:hAnsi="宋体" w:cs="宋体"/>
                <w:sz w:val="24"/>
                <w:szCs w:val="24"/>
              </w:rPr>
            </w:pPr>
            <w:r>
              <w:rPr>
                <w:rFonts w:hint="eastAsia" w:ascii="宋体" w:hAnsi="宋体" w:cs="宋体"/>
                <w:sz w:val="24"/>
                <w:szCs w:val="24"/>
              </w:rPr>
              <w:t>无效标条件</w:t>
            </w:r>
          </w:p>
        </w:tc>
        <w:tc>
          <w:tcPr>
            <w:tcW w:w="6803" w:type="dxa"/>
            <w:tcBorders>
              <w:top w:val="single" w:color="auto" w:sz="4" w:space="0"/>
              <w:left w:val="nil"/>
              <w:bottom w:val="single" w:color="auto" w:sz="4" w:space="0"/>
              <w:right w:val="single" w:color="auto" w:sz="4" w:space="0"/>
            </w:tcBorders>
            <w:vAlign w:val="center"/>
          </w:tcPr>
          <w:p w14:paraId="185144EA">
            <w:pPr>
              <w:spacing w:line="360" w:lineRule="auto"/>
              <w:rPr>
                <w:rFonts w:hint="eastAsia" w:ascii="宋体" w:hAnsi="宋体" w:cs="宋体"/>
                <w:sz w:val="24"/>
                <w:szCs w:val="24"/>
              </w:rPr>
            </w:pPr>
            <w:r>
              <w:rPr>
                <w:rFonts w:hint="eastAsia" w:ascii="宋体" w:hAnsi="宋体" w:cs="宋体"/>
                <w:sz w:val="24"/>
                <w:szCs w:val="24"/>
              </w:rPr>
              <w:t>1.电子化投标文件附有采购人不能接受的条件的；</w:t>
            </w:r>
          </w:p>
          <w:p w14:paraId="00CD9629">
            <w:pPr>
              <w:spacing w:line="360" w:lineRule="auto"/>
              <w:rPr>
                <w:rFonts w:hint="eastAsia" w:ascii="宋体" w:hAnsi="宋体" w:cs="宋体"/>
                <w:sz w:val="24"/>
                <w:szCs w:val="24"/>
              </w:rPr>
            </w:pPr>
            <w:r>
              <w:rPr>
                <w:rFonts w:hint="eastAsia" w:ascii="宋体" w:hAnsi="宋体" w:cs="宋体"/>
                <w:sz w:val="24"/>
                <w:szCs w:val="24"/>
              </w:rPr>
              <w:t>2.投标报价高于招标文件中投标最高限价的；</w:t>
            </w:r>
          </w:p>
          <w:p w14:paraId="6A064B81">
            <w:pPr>
              <w:spacing w:line="360" w:lineRule="auto"/>
              <w:rPr>
                <w:rFonts w:hint="eastAsia" w:ascii="宋体" w:hAnsi="宋体" w:cs="宋体"/>
                <w:sz w:val="24"/>
                <w:szCs w:val="24"/>
              </w:rPr>
            </w:pPr>
            <w:r>
              <w:rPr>
                <w:rFonts w:hint="eastAsia" w:ascii="宋体" w:hAnsi="宋体" w:cs="宋体"/>
                <w:sz w:val="24"/>
                <w:szCs w:val="24"/>
              </w:rPr>
              <w:t>3.以他人的名义投标、串通投标、以行贿手段谋取中标或者以其他弄虚作假方式投标的；</w:t>
            </w:r>
          </w:p>
          <w:p w14:paraId="0E8B7EF1">
            <w:pPr>
              <w:spacing w:line="360" w:lineRule="auto"/>
              <w:rPr>
                <w:rFonts w:hint="eastAsia" w:ascii="宋体" w:hAnsi="宋体" w:cs="宋体"/>
                <w:sz w:val="24"/>
                <w:szCs w:val="24"/>
              </w:rPr>
            </w:pPr>
            <w:r>
              <w:rPr>
                <w:rFonts w:hint="eastAsia" w:ascii="宋体" w:hAnsi="宋体" w:cs="宋体"/>
                <w:sz w:val="24"/>
                <w:szCs w:val="24"/>
              </w:rPr>
              <w:t>4.采取不正当手段谋取中标的。</w:t>
            </w:r>
          </w:p>
        </w:tc>
      </w:tr>
      <w:tr w14:paraId="5BA3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2392824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3.6</w:t>
            </w:r>
          </w:p>
        </w:tc>
        <w:tc>
          <w:tcPr>
            <w:tcW w:w="1843" w:type="dxa"/>
            <w:tcBorders>
              <w:top w:val="single" w:color="auto" w:sz="4" w:space="0"/>
              <w:left w:val="nil"/>
              <w:bottom w:val="single" w:color="auto" w:sz="4" w:space="0"/>
              <w:right w:val="single" w:color="auto" w:sz="4" w:space="0"/>
            </w:tcBorders>
            <w:vAlign w:val="center"/>
          </w:tcPr>
          <w:p w14:paraId="469C5806">
            <w:pPr>
              <w:keepLines/>
              <w:spacing w:line="360" w:lineRule="auto"/>
              <w:jc w:val="center"/>
              <w:rPr>
                <w:rFonts w:hint="eastAsia" w:ascii="宋体" w:hAnsi="宋体" w:cs="宋体"/>
                <w:sz w:val="24"/>
                <w:szCs w:val="24"/>
              </w:rPr>
            </w:pPr>
            <w:r>
              <w:rPr>
                <w:rFonts w:hint="eastAsia" w:ascii="宋体" w:hAnsi="宋体" w:cs="宋体"/>
                <w:kern w:val="0"/>
                <w:sz w:val="24"/>
                <w:szCs w:val="24"/>
              </w:rPr>
              <w:t>投标最高限价</w:t>
            </w:r>
          </w:p>
        </w:tc>
        <w:tc>
          <w:tcPr>
            <w:tcW w:w="6803" w:type="dxa"/>
            <w:tcBorders>
              <w:top w:val="single" w:color="auto" w:sz="4" w:space="0"/>
              <w:left w:val="nil"/>
              <w:bottom w:val="single" w:color="auto" w:sz="4" w:space="0"/>
              <w:right w:val="single" w:color="auto" w:sz="4" w:space="0"/>
            </w:tcBorders>
            <w:vAlign w:val="center"/>
          </w:tcPr>
          <w:p w14:paraId="76E9B88A">
            <w:pPr>
              <w:spacing w:line="360" w:lineRule="auto"/>
              <w:rPr>
                <w:rFonts w:hint="eastAsia" w:ascii="宋体" w:hAnsi="宋体" w:cs="宋体"/>
                <w:sz w:val="24"/>
                <w:szCs w:val="24"/>
              </w:rPr>
            </w:pPr>
            <w:r>
              <w:rPr>
                <w:rFonts w:hint="eastAsia" w:ascii="宋体" w:hAnsi="宋体" w:cs="宋体"/>
                <w:sz w:val="24"/>
                <w:szCs w:val="24"/>
              </w:rPr>
              <w:t>本项目投标</w:t>
            </w:r>
            <w:r>
              <w:rPr>
                <w:rFonts w:hint="eastAsia" w:ascii="宋体" w:hAnsi="宋体" w:cs="宋体"/>
                <w:kern w:val="0"/>
                <w:sz w:val="24"/>
                <w:szCs w:val="24"/>
              </w:rPr>
              <w:t>最高限价</w:t>
            </w:r>
            <w:r>
              <w:rPr>
                <w:rFonts w:hint="eastAsia" w:ascii="宋体" w:hAnsi="宋体" w:cs="宋体"/>
                <w:sz w:val="24"/>
                <w:szCs w:val="24"/>
              </w:rPr>
              <w:t>：</w:t>
            </w:r>
          </w:p>
          <w:p w14:paraId="7F598894">
            <w:pPr>
              <w:spacing w:line="360" w:lineRule="auto"/>
              <w:rPr>
                <w:rFonts w:hint="eastAsia" w:ascii="宋体" w:hAnsi="宋体" w:cs="宋体"/>
                <w:kern w:val="0"/>
                <w:sz w:val="24"/>
                <w:szCs w:val="24"/>
              </w:rPr>
            </w:pPr>
            <w:r>
              <w:rPr>
                <w:rFonts w:hint="eastAsia" w:ascii="宋体" w:hAnsi="宋体" w:cs="宋体"/>
                <w:kern w:val="0"/>
                <w:sz w:val="24"/>
                <w:szCs w:val="24"/>
              </w:rPr>
              <w:t>包1：8440400.00元；</w:t>
            </w:r>
          </w:p>
          <w:p w14:paraId="28D99F1C">
            <w:pPr>
              <w:spacing w:line="360" w:lineRule="auto"/>
              <w:rPr>
                <w:rFonts w:hint="eastAsia" w:ascii="宋体" w:hAnsi="宋体" w:cs="宋体"/>
                <w:kern w:val="0"/>
                <w:sz w:val="24"/>
                <w:szCs w:val="24"/>
              </w:rPr>
            </w:pPr>
            <w:r>
              <w:rPr>
                <w:rFonts w:hint="eastAsia" w:ascii="宋体" w:hAnsi="宋体" w:cs="宋体"/>
                <w:kern w:val="0"/>
                <w:sz w:val="24"/>
                <w:szCs w:val="24"/>
              </w:rPr>
              <w:t>包2：3085700.00元；</w:t>
            </w:r>
          </w:p>
          <w:p w14:paraId="3FB9CD10">
            <w:pPr>
              <w:spacing w:line="360" w:lineRule="auto"/>
              <w:rPr>
                <w:rFonts w:hint="eastAsia" w:ascii="宋体" w:hAnsi="宋体" w:cs="宋体"/>
                <w:sz w:val="24"/>
                <w:szCs w:val="24"/>
              </w:rPr>
            </w:pPr>
            <w:r>
              <w:rPr>
                <w:rFonts w:hint="eastAsia" w:ascii="宋体" w:hAnsi="宋体" w:cs="宋体"/>
                <w:kern w:val="0"/>
                <w:sz w:val="24"/>
                <w:szCs w:val="24"/>
              </w:rPr>
              <w:t>包3：426600.00元；</w:t>
            </w:r>
          </w:p>
          <w:p w14:paraId="55FCBB20">
            <w:pPr>
              <w:spacing w:line="360" w:lineRule="auto"/>
              <w:rPr>
                <w:rFonts w:hint="eastAsia" w:ascii="宋体" w:hAnsi="宋体" w:cs="宋体"/>
                <w:sz w:val="24"/>
                <w:szCs w:val="24"/>
              </w:rPr>
            </w:pPr>
            <w:r>
              <w:rPr>
                <w:rFonts w:hint="eastAsia" w:ascii="宋体" w:hAnsi="宋体" w:cs="宋体"/>
                <w:sz w:val="24"/>
                <w:szCs w:val="24"/>
              </w:rPr>
              <w:t>凡投标供应商投标报价超出“投标最高限价”的，该投标供应商的电子化投标文件应作无效标处理。</w:t>
            </w:r>
          </w:p>
        </w:tc>
      </w:tr>
      <w:tr w14:paraId="47F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C41796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3.7</w:t>
            </w:r>
          </w:p>
        </w:tc>
        <w:tc>
          <w:tcPr>
            <w:tcW w:w="1843" w:type="dxa"/>
            <w:tcBorders>
              <w:top w:val="single" w:color="auto" w:sz="4" w:space="0"/>
              <w:left w:val="single" w:color="auto" w:sz="4" w:space="0"/>
              <w:bottom w:val="single" w:color="auto" w:sz="4" w:space="0"/>
              <w:right w:val="single" w:color="auto" w:sz="4" w:space="0"/>
            </w:tcBorders>
            <w:vAlign w:val="center"/>
          </w:tcPr>
          <w:p w14:paraId="66DAA58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报价及费用</w:t>
            </w:r>
          </w:p>
        </w:tc>
        <w:tc>
          <w:tcPr>
            <w:tcW w:w="6803" w:type="dxa"/>
            <w:tcBorders>
              <w:top w:val="single" w:color="auto" w:sz="4" w:space="0"/>
              <w:left w:val="single" w:color="auto" w:sz="4" w:space="0"/>
              <w:bottom w:val="single" w:color="auto" w:sz="4" w:space="0"/>
              <w:right w:val="single" w:color="auto" w:sz="4" w:space="0"/>
            </w:tcBorders>
            <w:vAlign w:val="center"/>
          </w:tcPr>
          <w:p w14:paraId="6D0E0336">
            <w:pPr>
              <w:keepLines/>
              <w:spacing w:line="360" w:lineRule="auto"/>
              <w:rPr>
                <w:rFonts w:hint="eastAsia" w:ascii="宋体" w:hAnsi="宋体" w:cs="宋体"/>
                <w:sz w:val="24"/>
                <w:szCs w:val="24"/>
              </w:rPr>
            </w:pPr>
            <w:r>
              <w:rPr>
                <w:rFonts w:hint="eastAsia" w:ascii="宋体" w:hAnsi="宋体" w:cs="宋体"/>
                <w:sz w:val="24"/>
                <w:szCs w:val="24"/>
              </w:rPr>
              <w:t>1．本项目应以人民币报价，供应商应就该项目完整投标（报价、服务、税费、售后服务等综合费用），采购人不另外支付其他任何费用；</w:t>
            </w:r>
          </w:p>
          <w:p w14:paraId="4D9E2B86">
            <w:pPr>
              <w:keepLines/>
              <w:spacing w:line="360" w:lineRule="auto"/>
              <w:rPr>
                <w:rFonts w:hint="eastAsia" w:ascii="宋体" w:hAnsi="宋体" w:cs="宋体"/>
                <w:sz w:val="24"/>
                <w:szCs w:val="24"/>
              </w:rPr>
            </w:pPr>
            <w:r>
              <w:rPr>
                <w:rFonts w:hint="eastAsia" w:ascii="宋体" w:hAnsi="宋体" w:cs="宋体"/>
                <w:sz w:val="24"/>
                <w:szCs w:val="24"/>
              </w:rPr>
              <w:t>2. 招标代理服务费按《河南省招标代理服务收费指导意见（豫招协【2023】002号）》进行计取。由中标人支付。</w:t>
            </w:r>
          </w:p>
        </w:tc>
      </w:tr>
      <w:tr w14:paraId="314F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242F0671">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3.8</w:t>
            </w:r>
          </w:p>
        </w:tc>
        <w:tc>
          <w:tcPr>
            <w:tcW w:w="1843" w:type="dxa"/>
            <w:tcBorders>
              <w:top w:val="single" w:color="auto" w:sz="4" w:space="0"/>
              <w:left w:val="nil"/>
              <w:bottom w:val="single" w:color="auto" w:sz="4" w:space="0"/>
              <w:right w:val="single" w:color="auto" w:sz="4" w:space="0"/>
            </w:tcBorders>
            <w:vAlign w:val="center"/>
          </w:tcPr>
          <w:p w14:paraId="3B16D6A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质疑和投诉</w:t>
            </w:r>
          </w:p>
        </w:tc>
        <w:tc>
          <w:tcPr>
            <w:tcW w:w="6803" w:type="dxa"/>
            <w:tcBorders>
              <w:top w:val="single" w:color="auto" w:sz="4" w:space="0"/>
              <w:left w:val="nil"/>
              <w:bottom w:val="single" w:color="auto" w:sz="4" w:space="0"/>
              <w:right w:val="single" w:color="auto" w:sz="4" w:space="0"/>
            </w:tcBorders>
            <w:vAlign w:val="center"/>
          </w:tcPr>
          <w:p w14:paraId="7636521B">
            <w:pPr>
              <w:keepLines/>
              <w:spacing w:line="360" w:lineRule="auto"/>
              <w:rPr>
                <w:rFonts w:hint="eastAsia" w:ascii="宋体" w:hAnsi="宋体" w:cs="宋体"/>
                <w:sz w:val="24"/>
                <w:szCs w:val="24"/>
              </w:rPr>
            </w:pPr>
            <w:r>
              <w:rPr>
                <w:rFonts w:hint="eastAsia" w:ascii="宋体" w:hAnsi="宋体" w:cs="宋体"/>
                <w:sz w:val="24"/>
                <w:szCs w:val="24"/>
              </w:rPr>
              <w:t>1.供应商认为采购文件、采购过程和中标或者成交结果使自己的权益受到损害的，可以在知道或者应知其权益受到损害之日起7个工作日内，以书面形式向采购人、采购代理机构提出质疑。</w:t>
            </w:r>
          </w:p>
          <w:p w14:paraId="1CF8DCE8">
            <w:pPr>
              <w:keepLines/>
              <w:spacing w:line="360" w:lineRule="auto"/>
              <w:rPr>
                <w:rFonts w:hint="eastAsia" w:ascii="宋体" w:hAnsi="宋体" w:cs="宋体"/>
                <w:sz w:val="24"/>
                <w:szCs w:val="24"/>
              </w:rPr>
            </w:pPr>
            <w:r>
              <w:rPr>
                <w:rFonts w:hint="eastAsia" w:ascii="宋体" w:hAnsi="宋体" w:cs="宋体"/>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123F76F1">
            <w:pPr>
              <w:keepLines/>
              <w:spacing w:line="360" w:lineRule="auto"/>
              <w:rPr>
                <w:rFonts w:hint="eastAsia" w:ascii="宋体" w:hAnsi="宋体" w:cs="宋体"/>
                <w:sz w:val="24"/>
                <w:szCs w:val="24"/>
              </w:rPr>
            </w:pPr>
            <w:r>
              <w:rPr>
                <w:rFonts w:hint="eastAsia" w:ascii="宋体" w:hAnsi="宋体" w:cs="宋体"/>
                <w:sz w:val="24"/>
                <w:szCs w:val="24"/>
              </w:rPr>
              <w:t>超出法定质疑期的、重复提出的、分次提出的或内容、形式不符合《政府采购质疑和投诉办法》的，提出质疑的供应商将依法承担不利后果。</w:t>
            </w:r>
          </w:p>
          <w:p w14:paraId="27C2BA0B">
            <w:pPr>
              <w:keepLines/>
              <w:spacing w:line="360" w:lineRule="auto"/>
              <w:rPr>
                <w:rFonts w:hint="eastAsia" w:ascii="宋体" w:hAnsi="宋体" w:cs="宋体"/>
                <w:sz w:val="24"/>
                <w:szCs w:val="24"/>
              </w:rPr>
            </w:pPr>
            <w:r>
              <w:rPr>
                <w:rFonts w:hint="eastAsia" w:ascii="宋体" w:hAnsi="宋体" w:cs="宋体"/>
                <w:sz w:val="24"/>
                <w:szCs w:val="24"/>
              </w:rPr>
              <w:t>3.质疑函接收部门、联系电话和通讯地址,见供应商须知前附表</w:t>
            </w:r>
          </w:p>
          <w:p w14:paraId="7467FE33">
            <w:pPr>
              <w:keepLines/>
              <w:spacing w:line="360" w:lineRule="auto"/>
              <w:rPr>
                <w:rFonts w:hint="eastAsia" w:ascii="宋体" w:hAnsi="宋体" w:cs="宋体"/>
                <w:sz w:val="24"/>
                <w:szCs w:val="24"/>
              </w:rPr>
            </w:pPr>
            <w:r>
              <w:rPr>
                <w:rFonts w:hint="eastAsia" w:ascii="宋体" w:hAnsi="宋体" w:cs="宋体"/>
                <w:sz w:val="24"/>
                <w:szCs w:val="24"/>
              </w:rPr>
              <w:t>4.质疑供应商对采购人、采购代理机构的答复不满意，或者采购人、采购代理机构未在规定时间内作出答复的，可以在答复期满后15个工作日内向财政部门提起投诉。</w:t>
            </w:r>
          </w:p>
          <w:p w14:paraId="548FF24C">
            <w:pPr>
              <w:keepLines/>
              <w:spacing w:line="360" w:lineRule="auto"/>
              <w:rPr>
                <w:rFonts w:hint="eastAsia" w:ascii="宋体" w:hAnsi="宋体" w:cs="宋体"/>
                <w:sz w:val="24"/>
                <w:szCs w:val="24"/>
              </w:rPr>
            </w:pPr>
            <w:r>
              <w:rPr>
                <w:rFonts w:hint="eastAsia" w:ascii="宋体" w:hAnsi="宋体" w:cs="宋体"/>
                <w:sz w:val="24"/>
                <w:szCs w:val="24"/>
              </w:rPr>
              <w:t>5.投诉人投诉时,应当提交投诉书和必要的证明材料，并按照被投诉采购人、采购代理机构（以下简称被投诉人）和与投诉事项有关的供应商数量提供投诉书的副本。</w:t>
            </w:r>
          </w:p>
        </w:tc>
      </w:tr>
      <w:tr w14:paraId="6D6B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6CAFA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3.9</w:t>
            </w:r>
          </w:p>
        </w:tc>
        <w:tc>
          <w:tcPr>
            <w:tcW w:w="1843" w:type="dxa"/>
            <w:tcBorders>
              <w:top w:val="single" w:color="auto" w:sz="4" w:space="0"/>
              <w:left w:val="nil"/>
              <w:bottom w:val="single" w:color="auto" w:sz="4" w:space="0"/>
              <w:right w:val="single" w:color="auto" w:sz="4" w:space="0"/>
            </w:tcBorders>
            <w:vAlign w:val="center"/>
          </w:tcPr>
          <w:p w14:paraId="759B8DBB">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招标文件解释</w:t>
            </w:r>
          </w:p>
        </w:tc>
        <w:tc>
          <w:tcPr>
            <w:tcW w:w="6803" w:type="dxa"/>
            <w:tcBorders>
              <w:top w:val="single" w:color="auto" w:sz="4" w:space="0"/>
              <w:left w:val="nil"/>
              <w:bottom w:val="single" w:color="auto" w:sz="4" w:space="0"/>
              <w:right w:val="single" w:color="auto" w:sz="4" w:space="0"/>
            </w:tcBorders>
            <w:vAlign w:val="center"/>
          </w:tcPr>
          <w:p w14:paraId="6B9926A2">
            <w:pPr>
              <w:keepLines/>
              <w:spacing w:line="360" w:lineRule="auto"/>
              <w:rPr>
                <w:rFonts w:hint="eastAsia" w:ascii="宋体" w:hAnsi="宋体" w:cs="宋体"/>
                <w:sz w:val="24"/>
                <w:szCs w:val="24"/>
              </w:rPr>
            </w:pPr>
            <w:r>
              <w:rPr>
                <w:rFonts w:hint="eastAsia" w:ascii="宋体" w:hAnsi="宋体" w:cs="宋体"/>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B1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EFB4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4.0</w:t>
            </w:r>
          </w:p>
        </w:tc>
        <w:tc>
          <w:tcPr>
            <w:tcW w:w="1843" w:type="dxa"/>
            <w:tcBorders>
              <w:top w:val="single" w:color="auto" w:sz="4" w:space="0"/>
              <w:left w:val="nil"/>
              <w:bottom w:val="single" w:color="auto" w:sz="4" w:space="0"/>
              <w:right w:val="single" w:color="auto" w:sz="4" w:space="0"/>
            </w:tcBorders>
            <w:vAlign w:val="center"/>
          </w:tcPr>
          <w:p w14:paraId="20E03CED">
            <w:pPr>
              <w:spacing w:line="360" w:lineRule="auto"/>
              <w:jc w:val="center"/>
              <w:rPr>
                <w:rFonts w:hint="eastAsia" w:ascii="宋体" w:hAnsi="宋体" w:cs="宋体"/>
                <w:sz w:val="24"/>
                <w:szCs w:val="24"/>
              </w:rPr>
            </w:pPr>
            <w:r>
              <w:rPr>
                <w:rFonts w:hint="eastAsia" w:ascii="宋体" w:hAnsi="宋体" w:cs="宋体"/>
                <w:sz w:val="24"/>
                <w:szCs w:val="24"/>
              </w:rPr>
              <w:t>中标结果</w:t>
            </w:r>
          </w:p>
        </w:tc>
        <w:tc>
          <w:tcPr>
            <w:tcW w:w="6803" w:type="dxa"/>
            <w:tcBorders>
              <w:top w:val="single" w:color="auto" w:sz="4" w:space="0"/>
              <w:left w:val="nil"/>
              <w:bottom w:val="single" w:color="auto" w:sz="4" w:space="0"/>
              <w:right w:val="single" w:color="auto" w:sz="4" w:space="0"/>
            </w:tcBorders>
            <w:vAlign w:val="center"/>
          </w:tcPr>
          <w:p w14:paraId="558E1F5F">
            <w:pPr>
              <w:spacing w:line="360" w:lineRule="auto"/>
              <w:rPr>
                <w:rFonts w:hint="eastAsia" w:ascii="宋体" w:hAnsi="宋体" w:cs="宋体"/>
                <w:sz w:val="24"/>
                <w:szCs w:val="24"/>
              </w:rPr>
            </w:pPr>
            <w:r>
              <w:rPr>
                <w:rFonts w:hint="eastAsia" w:ascii="宋体" w:hAnsi="宋体" w:cs="宋体"/>
                <w:sz w:val="24"/>
                <w:szCs w:val="24"/>
              </w:rPr>
              <w:t>在《中国招标投标公共服务平台》、《河南省政府采购网》和《三门峡市公共资源交易中心网》三个网站同步中标结果公告。</w:t>
            </w:r>
          </w:p>
          <w:p w14:paraId="48566018">
            <w:pPr>
              <w:spacing w:line="360" w:lineRule="auto"/>
              <w:rPr>
                <w:rFonts w:hint="eastAsia" w:ascii="宋体" w:hAnsi="宋体" w:cs="宋体"/>
                <w:sz w:val="24"/>
                <w:szCs w:val="24"/>
              </w:rPr>
            </w:pPr>
            <w:r>
              <w:rPr>
                <w:rFonts w:hint="eastAsia" w:ascii="宋体" w:hAnsi="宋体" w:cs="宋体"/>
                <w:sz w:val="24"/>
                <w:szCs w:val="24"/>
              </w:rPr>
              <w:t>采购人以书面形式向中标人发出中标通知书。</w:t>
            </w:r>
          </w:p>
        </w:tc>
      </w:tr>
      <w:tr w14:paraId="480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27F60B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4.1</w:t>
            </w:r>
          </w:p>
        </w:tc>
        <w:tc>
          <w:tcPr>
            <w:tcW w:w="1843" w:type="dxa"/>
            <w:tcBorders>
              <w:top w:val="single" w:color="auto" w:sz="4" w:space="0"/>
              <w:left w:val="nil"/>
              <w:bottom w:val="single" w:color="auto" w:sz="4" w:space="0"/>
              <w:right w:val="single" w:color="auto" w:sz="4" w:space="0"/>
            </w:tcBorders>
            <w:vAlign w:val="center"/>
          </w:tcPr>
          <w:p w14:paraId="3BAD7C9C">
            <w:pPr>
              <w:spacing w:line="360" w:lineRule="auto"/>
              <w:jc w:val="center"/>
              <w:rPr>
                <w:rFonts w:hint="eastAsia" w:ascii="宋体" w:hAnsi="宋体" w:cs="宋体"/>
                <w:sz w:val="24"/>
                <w:szCs w:val="24"/>
              </w:rPr>
            </w:pPr>
            <w:r>
              <w:rPr>
                <w:rFonts w:hint="eastAsia" w:ascii="宋体" w:hAnsi="宋体" w:cs="宋体"/>
                <w:sz w:val="24"/>
                <w:szCs w:val="24"/>
              </w:rPr>
              <w:t>重新招标的其他情形</w:t>
            </w:r>
          </w:p>
        </w:tc>
        <w:tc>
          <w:tcPr>
            <w:tcW w:w="6803" w:type="dxa"/>
            <w:tcBorders>
              <w:top w:val="single" w:color="auto" w:sz="4" w:space="0"/>
              <w:left w:val="nil"/>
              <w:bottom w:val="single" w:color="auto" w:sz="4" w:space="0"/>
              <w:right w:val="single" w:color="auto" w:sz="4" w:space="0"/>
            </w:tcBorders>
            <w:vAlign w:val="center"/>
          </w:tcPr>
          <w:p w14:paraId="09922E63">
            <w:pPr>
              <w:spacing w:line="360" w:lineRule="auto"/>
              <w:rPr>
                <w:rFonts w:hint="eastAsia" w:ascii="宋体" w:hAnsi="宋体" w:cs="宋体"/>
                <w:sz w:val="24"/>
                <w:szCs w:val="24"/>
              </w:rPr>
            </w:pPr>
            <w:r>
              <w:rPr>
                <w:rFonts w:hint="eastAsia" w:ascii="宋体" w:hAnsi="宋体" w:cs="宋体"/>
                <w:sz w:val="24"/>
                <w:szCs w:val="24"/>
              </w:rPr>
              <w:t>除供应商须知规定的情形外，除非已经产生中标候选人，在投标有效期内同意延长投标有效期的供应商少于三个的，采购人应当依法重新招标。</w:t>
            </w:r>
          </w:p>
        </w:tc>
      </w:tr>
      <w:tr w14:paraId="44F9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E86FE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4.2</w:t>
            </w:r>
          </w:p>
        </w:tc>
        <w:tc>
          <w:tcPr>
            <w:tcW w:w="1843" w:type="dxa"/>
            <w:tcBorders>
              <w:top w:val="single" w:color="auto" w:sz="4" w:space="0"/>
              <w:left w:val="nil"/>
              <w:bottom w:val="single" w:color="auto" w:sz="4" w:space="0"/>
              <w:right w:val="single" w:color="auto" w:sz="4" w:space="0"/>
            </w:tcBorders>
            <w:vAlign w:val="center"/>
          </w:tcPr>
          <w:p w14:paraId="691B12DE">
            <w:pPr>
              <w:spacing w:line="360" w:lineRule="auto"/>
              <w:jc w:val="center"/>
              <w:rPr>
                <w:rFonts w:hint="eastAsia" w:ascii="宋体" w:hAnsi="宋体" w:cs="宋体"/>
                <w:sz w:val="24"/>
                <w:szCs w:val="24"/>
              </w:rPr>
            </w:pPr>
            <w:r>
              <w:rPr>
                <w:rFonts w:hint="eastAsia" w:ascii="宋体" w:hAnsi="宋体" w:cs="宋体"/>
                <w:sz w:val="24"/>
                <w:szCs w:val="24"/>
              </w:rPr>
              <w:t>监督</w:t>
            </w:r>
          </w:p>
        </w:tc>
        <w:tc>
          <w:tcPr>
            <w:tcW w:w="6803" w:type="dxa"/>
            <w:tcBorders>
              <w:top w:val="single" w:color="auto" w:sz="4" w:space="0"/>
              <w:left w:val="nil"/>
              <w:bottom w:val="single" w:color="auto" w:sz="4" w:space="0"/>
              <w:right w:val="single" w:color="auto" w:sz="4" w:space="0"/>
            </w:tcBorders>
            <w:vAlign w:val="center"/>
          </w:tcPr>
          <w:p w14:paraId="4EAFAFD4">
            <w:pPr>
              <w:spacing w:line="360" w:lineRule="auto"/>
              <w:rPr>
                <w:rFonts w:hint="eastAsia" w:ascii="宋体" w:hAnsi="宋体" w:cs="宋体"/>
                <w:sz w:val="24"/>
                <w:szCs w:val="24"/>
                <w:highlight w:val="cyan"/>
              </w:rPr>
            </w:pPr>
            <w:r>
              <w:rPr>
                <w:rFonts w:hint="eastAsia" w:ascii="宋体" w:hAnsi="宋体" w:cs="宋体"/>
                <w:sz w:val="24"/>
                <w:szCs w:val="24"/>
              </w:rPr>
              <w:t>本项目的招标投标活动及其相关当事人应当接受有管辖权的行政监督部门依法实施的监督。</w:t>
            </w:r>
          </w:p>
        </w:tc>
      </w:tr>
      <w:tr w14:paraId="2AB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A5BA94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4.3</w:t>
            </w:r>
          </w:p>
        </w:tc>
        <w:tc>
          <w:tcPr>
            <w:tcW w:w="1843" w:type="dxa"/>
            <w:tcBorders>
              <w:top w:val="single" w:color="auto" w:sz="4" w:space="0"/>
              <w:left w:val="nil"/>
              <w:bottom w:val="single" w:color="auto" w:sz="4" w:space="0"/>
              <w:right w:val="single" w:color="auto" w:sz="4" w:space="0"/>
            </w:tcBorders>
            <w:vAlign w:val="center"/>
          </w:tcPr>
          <w:p w14:paraId="197AE1E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其他</w:t>
            </w:r>
          </w:p>
        </w:tc>
        <w:tc>
          <w:tcPr>
            <w:tcW w:w="6803" w:type="dxa"/>
            <w:tcBorders>
              <w:top w:val="single" w:color="auto" w:sz="4" w:space="0"/>
              <w:left w:val="nil"/>
              <w:bottom w:val="single" w:color="auto" w:sz="4" w:space="0"/>
              <w:right w:val="single" w:color="auto" w:sz="4" w:space="0"/>
            </w:tcBorders>
            <w:vAlign w:val="center"/>
          </w:tcPr>
          <w:p w14:paraId="1A3999EA">
            <w:pPr>
              <w:keepLines/>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2ED2598F">
            <w:pPr>
              <w:keepLines/>
              <w:spacing w:line="360" w:lineRule="auto"/>
              <w:rPr>
                <w:rFonts w:hint="eastAsia" w:ascii="宋体" w:hAnsi="宋体" w:cs="宋体"/>
                <w:sz w:val="24"/>
                <w:szCs w:val="24"/>
              </w:rPr>
            </w:pPr>
            <w:r>
              <w:rPr>
                <w:rFonts w:hint="eastAsia" w:ascii="宋体" w:hAnsi="宋体" w:cs="宋体"/>
                <w:sz w:val="24"/>
                <w:szCs w:val="24"/>
              </w:rPr>
              <w:t>2.评标打分部分：评标打分部分仍按照100分制原则进行，涉及到资格审查、企业荣誉、企业业绩等计分部分时，以投标单位自行上传到投标文件中的相应内容为准。</w:t>
            </w:r>
          </w:p>
          <w:p w14:paraId="56C29B97">
            <w:pPr>
              <w:keepLines/>
              <w:spacing w:line="360" w:lineRule="auto"/>
              <w:rPr>
                <w:rFonts w:hint="eastAsia" w:ascii="宋体" w:hAnsi="宋体" w:cs="宋体"/>
                <w:sz w:val="24"/>
                <w:szCs w:val="24"/>
              </w:rPr>
            </w:pPr>
            <w:r>
              <w:rPr>
                <w:rFonts w:hint="eastAsia" w:ascii="宋体" w:hAnsi="宋体" w:cs="宋体"/>
                <w:sz w:val="24"/>
                <w:szCs w:val="24"/>
              </w:rPr>
              <w:t>3.在招标文件中要求供应商按照投标文件格式进行投标文件编制，在投标文件编制时，应明确将供应商企业基本情况、人员情况、财务情况、业绩情况编入投标文件，便于进行资格审查及评标打分。</w:t>
            </w:r>
          </w:p>
          <w:p w14:paraId="02D7C521">
            <w:pPr>
              <w:keepLines/>
              <w:spacing w:line="360" w:lineRule="auto"/>
              <w:rPr>
                <w:rFonts w:hint="eastAsia" w:ascii="宋体" w:hAnsi="宋体" w:cs="宋体"/>
                <w:sz w:val="24"/>
                <w:szCs w:val="24"/>
              </w:rPr>
            </w:pPr>
            <w:r>
              <w:rPr>
                <w:rFonts w:hint="eastAsia" w:ascii="宋体" w:hAnsi="宋体" w:cs="宋体"/>
                <w:sz w:val="24"/>
                <w:szCs w:val="24"/>
              </w:rPr>
              <w:t>4.我单位（采购人）严格按三财购【2021】9号文要求的时限发布中标结果公告，发出中标通知书，签订采购合同，上传采购合同。</w:t>
            </w:r>
          </w:p>
        </w:tc>
      </w:tr>
      <w:tr w14:paraId="25AA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31184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4.4</w:t>
            </w:r>
          </w:p>
        </w:tc>
        <w:tc>
          <w:tcPr>
            <w:tcW w:w="1843" w:type="dxa"/>
            <w:tcBorders>
              <w:top w:val="single" w:color="auto" w:sz="4" w:space="0"/>
              <w:left w:val="nil"/>
              <w:bottom w:val="single" w:color="auto" w:sz="4" w:space="0"/>
              <w:right w:val="single" w:color="auto" w:sz="4" w:space="0"/>
            </w:tcBorders>
            <w:vAlign w:val="center"/>
          </w:tcPr>
          <w:p w14:paraId="467E36B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电子化交易</w:t>
            </w:r>
          </w:p>
          <w:p w14:paraId="7305BDC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注意事项</w:t>
            </w:r>
          </w:p>
        </w:tc>
        <w:tc>
          <w:tcPr>
            <w:tcW w:w="6803" w:type="dxa"/>
            <w:tcBorders>
              <w:top w:val="single" w:color="auto" w:sz="4" w:space="0"/>
              <w:left w:val="nil"/>
              <w:bottom w:val="single" w:color="auto" w:sz="4" w:space="0"/>
              <w:right w:val="single" w:color="auto" w:sz="4" w:space="0"/>
            </w:tcBorders>
            <w:vAlign w:val="center"/>
          </w:tcPr>
          <w:p w14:paraId="3E4F71EF">
            <w:pPr>
              <w:spacing w:line="360" w:lineRule="auto"/>
              <w:rPr>
                <w:rFonts w:hint="eastAsia" w:ascii="宋体" w:hAnsi="宋体" w:cs="宋体"/>
                <w:sz w:val="24"/>
                <w:szCs w:val="24"/>
              </w:rPr>
            </w:pPr>
            <w:r>
              <w:rPr>
                <w:rFonts w:hint="eastAsia" w:ascii="宋体" w:hAnsi="宋体" w:cs="宋体"/>
                <w:sz w:val="24"/>
                <w:szCs w:val="24"/>
              </w:rPr>
              <w:t>具体要求：本项目为电子化、无纸化交易项目，投标文件是投标供应商、供应商（以下简称“投标供应商”）通过中心投标文件制作系统制作，并经过签章和加密后生成的电子版投标文件。</w:t>
            </w:r>
          </w:p>
          <w:p w14:paraId="08D2BF76">
            <w:pPr>
              <w:spacing w:line="360" w:lineRule="auto"/>
              <w:rPr>
                <w:rFonts w:hint="eastAsia" w:ascii="宋体" w:hAnsi="宋体" w:cs="宋体"/>
                <w:sz w:val="24"/>
                <w:szCs w:val="24"/>
              </w:rPr>
            </w:pPr>
            <w:r>
              <w:rPr>
                <w:rFonts w:hint="eastAsia" w:ascii="宋体" w:hAnsi="宋体" w:cs="宋体"/>
                <w:b/>
                <w:sz w:val="24"/>
                <w:szCs w:val="24"/>
              </w:rPr>
              <w:t>温馨提示：本项目为电子化、无纸化交易项目，为保证您能投标成功，请需仔细阅读以下条款。</w:t>
            </w:r>
          </w:p>
          <w:p w14:paraId="1807B8FC">
            <w:pPr>
              <w:spacing w:line="360" w:lineRule="auto"/>
              <w:rPr>
                <w:rFonts w:hint="eastAsia" w:ascii="宋体" w:hAnsi="宋体" w:cs="宋体"/>
                <w:b/>
                <w:sz w:val="24"/>
                <w:szCs w:val="24"/>
              </w:rPr>
            </w:pPr>
            <w:r>
              <w:rPr>
                <w:rFonts w:hint="eastAsia" w:ascii="宋体" w:hAnsi="宋体" w:cs="宋体"/>
                <w:b/>
                <w:sz w:val="24"/>
                <w:szCs w:val="24"/>
              </w:rPr>
              <w:t>一、电子化投标</w:t>
            </w:r>
          </w:p>
          <w:p w14:paraId="7B5047FA">
            <w:pPr>
              <w:spacing w:line="360" w:lineRule="auto"/>
              <w:rPr>
                <w:rFonts w:hint="eastAsia" w:ascii="宋体" w:hAnsi="宋体" w:cs="宋体"/>
                <w:sz w:val="24"/>
                <w:szCs w:val="24"/>
              </w:rPr>
            </w:pPr>
            <w:r>
              <w:rPr>
                <w:rFonts w:hint="eastAsia" w:ascii="宋体" w:hAnsi="宋体" w:cs="宋体"/>
                <w:sz w:val="24"/>
                <w:szCs w:val="24"/>
              </w:rPr>
              <w:t>（一）网上投标保证金的缴纳</w:t>
            </w:r>
          </w:p>
          <w:p w14:paraId="51E63702">
            <w:pPr>
              <w:spacing w:line="360" w:lineRule="auto"/>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根据《河南省财政厅关于优化政府采购营商环境有关问题的通知》（豫财购【2019】4号）第6条的规定，投标保证金不再收取。</w:t>
            </w:r>
          </w:p>
          <w:p w14:paraId="07D924DE">
            <w:pPr>
              <w:spacing w:line="360" w:lineRule="auto"/>
              <w:rPr>
                <w:rFonts w:hint="eastAsia" w:ascii="宋体" w:hAnsi="宋体" w:cs="宋体"/>
                <w:sz w:val="24"/>
                <w:szCs w:val="24"/>
              </w:rPr>
            </w:pPr>
            <w:r>
              <w:rPr>
                <w:rFonts w:hint="eastAsia" w:ascii="宋体" w:hAnsi="宋体" w:cs="宋体"/>
                <w:sz w:val="24"/>
                <w:szCs w:val="24"/>
              </w:rPr>
              <w:t>（二）电子化投标文件的签章</w:t>
            </w:r>
          </w:p>
          <w:p w14:paraId="306803A9">
            <w:pPr>
              <w:spacing w:line="360" w:lineRule="auto"/>
              <w:rPr>
                <w:rFonts w:hint="eastAsia" w:ascii="宋体" w:hAnsi="宋体" w:cs="宋体"/>
                <w:sz w:val="24"/>
                <w:szCs w:val="24"/>
              </w:rPr>
            </w:pPr>
            <w:r>
              <w:rPr>
                <w:rFonts w:hint="eastAsia" w:ascii="宋体" w:hAnsi="宋体" w:cs="宋体"/>
                <w:sz w:val="24"/>
                <w:szCs w:val="24"/>
              </w:rPr>
              <w:t>1.投标供应商在生成电子化投标文件后，应对电子化投标文件进行签章，未进行签章的视为无效投标。</w:t>
            </w:r>
          </w:p>
          <w:p w14:paraId="216127EA">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b/>
                <w:sz w:val="24"/>
                <w:szCs w:val="24"/>
              </w:rPr>
              <w:t>招标文件中要求投标供应商盖章的，以签盖单位章为准；要求法定代表人签章的，以签盖法定代表人签章为准。</w:t>
            </w:r>
          </w:p>
          <w:p w14:paraId="2744F45B">
            <w:pPr>
              <w:spacing w:line="360" w:lineRule="auto"/>
              <w:rPr>
                <w:rFonts w:hint="eastAsia" w:ascii="宋体" w:hAnsi="宋体" w:cs="宋体"/>
                <w:b/>
                <w:sz w:val="24"/>
                <w:szCs w:val="24"/>
              </w:rPr>
            </w:pPr>
            <w:r>
              <w:rPr>
                <w:rFonts w:hint="eastAsia" w:ascii="宋体" w:hAnsi="宋体" w:cs="宋体"/>
                <w:sz w:val="24"/>
                <w:szCs w:val="24"/>
              </w:rPr>
              <w:t>（三）电子化投标文件的格式及上传投标</w:t>
            </w:r>
          </w:p>
          <w:p w14:paraId="1B5F1151">
            <w:pPr>
              <w:spacing w:line="360" w:lineRule="auto"/>
              <w:jc w:val="left"/>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9280421">
            <w:pPr>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7F332633">
            <w:pPr>
              <w:spacing w:line="360" w:lineRule="auto"/>
              <w:rPr>
                <w:rFonts w:hint="eastAsia" w:ascii="宋体" w:hAnsi="宋体" w:cs="宋体"/>
                <w:b/>
                <w:sz w:val="24"/>
                <w:szCs w:val="24"/>
              </w:rPr>
            </w:pPr>
            <w:r>
              <w:rPr>
                <w:rFonts w:hint="eastAsia" w:ascii="宋体" w:hAnsi="宋体" w:cs="宋体"/>
                <w:b/>
                <w:sz w:val="24"/>
                <w:szCs w:val="24"/>
              </w:rPr>
              <w:t>注：</w:t>
            </w:r>
            <w:r>
              <w:rPr>
                <w:rFonts w:hint="eastAsia" w:ascii="宋体" w:hAnsi="宋体" w:cs="宋体"/>
                <w:sz w:val="24"/>
                <w:szCs w:val="24"/>
              </w:rPr>
              <w:t>如按照电子化投标操作教材制作完成的电子化投标文件无法上传的，投标供应商应在</w:t>
            </w:r>
            <w:r>
              <w:rPr>
                <w:rFonts w:hint="eastAsia" w:ascii="宋体" w:hAnsi="宋体" w:cs="宋体"/>
                <w:b/>
                <w:sz w:val="24"/>
                <w:szCs w:val="24"/>
              </w:rPr>
              <w:t>投标截止时间前尽早的</w:t>
            </w:r>
            <w:r>
              <w:rPr>
                <w:rFonts w:hint="eastAsia" w:ascii="宋体" w:hAnsi="宋体" w:cs="宋体"/>
                <w:sz w:val="24"/>
                <w:szCs w:val="24"/>
              </w:rPr>
              <w:t>联系中心技术人员，以便有充分的时间进行处理。</w:t>
            </w:r>
            <w:r>
              <w:rPr>
                <w:rFonts w:hint="eastAsia" w:ascii="宋体" w:hAnsi="宋体" w:cs="宋体"/>
                <w:b/>
                <w:sz w:val="24"/>
                <w:szCs w:val="24"/>
              </w:rPr>
              <w:t>投标供应商应充分考虑到处理技术问题和上传数据等工作所需的时间问题，投标文件未在投标截止时间前成功上传的，其投标文件不予接收。</w:t>
            </w:r>
          </w:p>
          <w:p w14:paraId="684D65EA">
            <w:pPr>
              <w:spacing w:line="360" w:lineRule="auto"/>
              <w:rPr>
                <w:rFonts w:hint="eastAsia" w:ascii="宋体" w:hAnsi="宋体" w:cs="宋体"/>
                <w:sz w:val="24"/>
                <w:szCs w:val="24"/>
              </w:rPr>
            </w:pPr>
            <w:r>
              <w:rPr>
                <w:rFonts w:hint="eastAsia" w:ascii="宋体" w:hAnsi="宋体" w:cs="宋体"/>
                <w:sz w:val="24"/>
                <w:szCs w:val="24"/>
              </w:rPr>
              <w:t>新点客服电话:4009980000</w:t>
            </w:r>
          </w:p>
          <w:p w14:paraId="7C4BB7B8">
            <w:pPr>
              <w:spacing w:line="360" w:lineRule="auto"/>
              <w:rPr>
                <w:rFonts w:hint="eastAsia" w:ascii="宋体" w:hAnsi="宋体" w:cs="宋体"/>
                <w:sz w:val="24"/>
                <w:szCs w:val="24"/>
              </w:rPr>
            </w:pPr>
            <w:r>
              <w:rPr>
                <w:rFonts w:hint="eastAsia" w:ascii="宋体" w:hAnsi="宋体" w:cs="宋体"/>
                <w:sz w:val="24"/>
                <w:szCs w:val="24"/>
              </w:rPr>
              <w:t>（四）电子化项目开标、解密、唱标、评标</w:t>
            </w:r>
          </w:p>
          <w:p w14:paraId="7FD3F564">
            <w:pPr>
              <w:spacing w:line="360" w:lineRule="auto"/>
              <w:rPr>
                <w:rFonts w:hint="eastAsia" w:ascii="宋体" w:hAnsi="宋体" w:cs="宋体"/>
                <w:sz w:val="24"/>
                <w:szCs w:val="24"/>
              </w:rPr>
            </w:pPr>
            <w:r>
              <w:rPr>
                <w:rFonts w:hint="eastAsia" w:ascii="宋体" w:hAnsi="宋体" w:cs="宋体"/>
                <w:sz w:val="24"/>
                <w:szCs w:val="24"/>
              </w:rPr>
              <w:t>1.本项目采用</w:t>
            </w:r>
            <w:r>
              <w:rPr>
                <w:rFonts w:hint="eastAsia" w:ascii="宋体" w:hAnsi="宋体" w:cs="宋体"/>
                <w:b/>
                <w:sz w:val="24"/>
                <w:szCs w:val="24"/>
              </w:rPr>
              <w:t>电子化、无纸化</w:t>
            </w:r>
            <w:r>
              <w:rPr>
                <w:rFonts w:hint="eastAsia" w:ascii="宋体" w:hAnsi="宋体" w:cs="宋体"/>
                <w:sz w:val="24"/>
                <w:szCs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179FEBC">
            <w:pPr>
              <w:spacing w:line="360" w:lineRule="auto"/>
              <w:rPr>
                <w:rFonts w:hint="eastAsia" w:ascii="宋体" w:hAnsi="宋体" w:cs="宋体"/>
                <w:sz w:val="24"/>
                <w:szCs w:val="24"/>
              </w:rPr>
            </w:pPr>
            <w:r>
              <w:rPr>
                <w:rFonts w:hint="eastAsia" w:ascii="宋体" w:hAnsi="宋体" w:cs="宋体"/>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402E1A16">
            <w:pPr>
              <w:spacing w:line="360" w:lineRule="auto"/>
              <w:rPr>
                <w:rFonts w:hint="eastAsia" w:ascii="宋体" w:hAnsi="宋体" w:cs="宋体"/>
                <w:b/>
                <w:sz w:val="24"/>
                <w:szCs w:val="24"/>
              </w:rPr>
            </w:pPr>
            <w:r>
              <w:rPr>
                <w:rFonts w:hint="eastAsia" w:ascii="宋体" w:hAnsi="宋体" w:cs="宋体"/>
                <w:sz w:val="24"/>
                <w:szCs w:val="24"/>
              </w:rPr>
              <w:t>3.电子化投标文件解密异常的处理</w:t>
            </w:r>
          </w:p>
          <w:p w14:paraId="43AB82C7">
            <w:pPr>
              <w:spacing w:line="360" w:lineRule="auto"/>
              <w:rPr>
                <w:rFonts w:hint="eastAsia" w:ascii="宋体" w:hAnsi="宋体" w:cs="宋体"/>
                <w:sz w:val="24"/>
                <w:szCs w:val="24"/>
              </w:rPr>
            </w:pPr>
            <w:r>
              <w:rPr>
                <w:rFonts w:hint="eastAsia" w:ascii="宋体" w:hAnsi="宋体" w:cs="宋体"/>
                <w:sz w:val="24"/>
                <w:szCs w:val="24"/>
              </w:rPr>
              <w:t>如出现投标供应商的电子投标文件无法解密等异常情况，投标供应商应及时致电中介服务机构说明。投标文件异常，按以下步骤进行处理：</w:t>
            </w:r>
          </w:p>
          <w:p w14:paraId="25C4E7DB">
            <w:pPr>
              <w:spacing w:line="360" w:lineRule="auto"/>
              <w:rPr>
                <w:rFonts w:hint="eastAsia" w:ascii="宋体" w:hAnsi="宋体" w:cs="宋体"/>
                <w:sz w:val="24"/>
                <w:szCs w:val="24"/>
              </w:rPr>
            </w:pPr>
            <w:r>
              <w:rPr>
                <w:rFonts w:hint="eastAsia" w:ascii="宋体" w:hAnsi="宋体" w:cs="宋体"/>
                <w:sz w:val="24"/>
                <w:szCs w:val="24"/>
              </w:rPr>
              <w:t>（1）首先由技术人员进行问题排查。</w:t>
            </w:r>
          </w:p>
          <w:p w14:paraId="0DFF950D">
            <w:pPr>
              <w:spacing w:line="360" w:lineRule="auto"/>
              <w:rPr>
                <w:rFonts w:hint="eastAsia" w:ascii="宋体" w:hAnsi="宋体" w:cs="宋体"/>
                <w:sz w:val="24"/>
                <w:szCs w:val="24"/>
              </w:rPr>
            </w:pPr>
            <w:r>
              <w:rPr>
                <w:rFonts w:hint="eastAsia" w:ascii="宋体" w:hAnsi="宋体" w:cs="宋体"/>
                <w:sz w:val="24"/>
                <w:szCs w:val="24"/>
              </w:rPr>
              <w:t>（2）经技术人员排查后，是投标供应商文件自身问题导致投标文件无法解密的，该投标文件将不予接收、解密和唱标。开标会议继续进行。</w:t>
            </w:r>
          </w:p>
          <w:p w14:paraId="2105DB0E">
            <w:pPr>
              <w:spacing w:line="360" w:lineRule="auto"/>
              <w:rPr>
                <w:rFonts w:hint="eastAsia"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8B17EED">
            <w:pPr>
              <w:spacing w:line="360" w:lineRule="auto"/>
              <w:rPr>
                <w:rFonts w:hint="eastAsia" w:ascii="宋体" w:hAnsi="宋体" w:cs="宋体"/>
                <w:sz w:val="24"/>
                <w:szCs w:val="24"/>
              </w:rPr>
            </w:pPr>
            <w:r>
              <w:rPr>
                <w:rFonts w:hint="eastAsia" w:ascii="宋体" w:hAnsi="宋体" w:cs="宋体"/>
                <w:sz w:val="24"/>
                <w:szCs w:val="24"/>
              </w:rPr>
              <w:t>4.待所有投标供应商投标文件解密完成后，由中介服务机构操作，对所有已解密投标文件进行唱标。</w:t>
            </w:r>
          </w:p>
          <w:p w14:paraId="4C5F37F1">
            <w:pPr>
              <w:spacing w:line="360" w:lineRule="auto"/>
              <w:rPr>
                <w:rFonts w:hint="eastAsia" w:ascii="宋体" w:hAnsi="宋体" w:cs="宋体"/>
                <w:sz w:val="24"/>
                <w:szCs w:val="24"/>
              </w:rPr>
            </w:pPr>
            <w:r>
              <w:rPr>
                <w:rFonts w:hint="eastAsia" w:ascii="宋体" w:hAnsi="宋体" w:cs="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7BF1FD7A">
            <w:pPr>
              <w:spacing w:line="360" w:lineRule="auto"/>
              <w:rPr>
                <w:rFonts w:hint="eastAsia" w:ascii="宋体" w:hAnsi="宋体" w:cs="宋体"/>
                <w:sz w:val="24"/>
                <w:szCs w:val="24"/>
              </w:rPr>
            </w:pPr>
            <w:r>
              <w:rPr>
                <w:rFonts w:hint="eastAsia" w:ascii="宋体" w:hAnsi="宋体" w:cs="宋体"/>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0D9624DD">
            <w:pPr>
              <w:spacing w:line="360" w:lineRule="auto"/>
              <w:rPr>
                <w:rFonts w:hint="eastAsia" w:ascii="宋体" w:hAnsi="宋体" w:cs="宋体"/>
                <w:sz w:val="24"/>
                <w:szCs w:val="24"/>
              </w:rPr>
            </w:pPr>
            <w:r>
              <w:rPr>
                <w:rFonts w:hint="eastAsia" w:ascii="宋体" w:hAnsi="宋体" w:cs="宋体"/>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5410E95B">
            <w:pPr>
              <w:spacing w:line="360" w:lineRule="auto"/>
              <w:rPr>
                <w:rFonts w:hint="eastAsia" w:ascii="宋体" w:hAnsi="宋体" w:cs="宋体"/>
                <w:sz w:val="24"/>
                <w:szCs w:val="24"/>
              </w:rPr>
            </w:pPr>
            <w:r>
              <w:rPr>
                <w:rFonts w:hint="eastAsia" w:ascii="宋体" w:hAnsi="宋体" w:cs="宋体"/>
                <w:sz w:val="24"/>
                <w:szCs w:val="24"/>
              </w:rPr>
              <w:t>7.如评标委员会对需要回复的投标供应商连续三次致电未接通的，视为投标供应商放弃回复，评标委员会将自行对需要回复的内容进行认定。</w:t>
            </w:r>
          </w:p>
          <w:p w14:paraId="27D5354E">
            <w:pPr>
              <w:spacing w:line="360" w:lineRule="auto"/>
              <w:rPr>
                <w:rFonts w:hint="eastAsia" w:ascii="宋体" w:hAnsi="宋体" w:cs="宋体"/>
                <w:sz w:val="24"/>
                <w:szCs w:val="24"/>
              </w:rPr>
            </w:pPr>
            <w:r>
              <w:rPr>
                <w:rFonts w:hint="eastAsia" w:ascii="宋体" w:hAnsi="宋体" w:cs="宋体"/>
                <w:sz w:val="24"/>
                <w:szCs w:val="24"/>
              </w:rPr>
              <w:t>评标委员会对原件的核验工作按以下条款进行：</w:t>
            </w:r>
          </w:p>
          <w:p w14:paraId="396AC4BB">
            <w:pPr>
              <w:spacing w:line="360" w:lineRule="auto"/>
              <w:rPr>
                <w:rFonts w:hint="eastAsia" w:ascii="宋体" w:hAnsi="宋体" w:cs="宋体"/>
                <w:sz w:val="24"/>
                <w:szCs w:val="24"/>
              </w:rPr>
            </w:pPr>
            <w:r>
              <w:rPr>
                <w:rFonts w:hint="eastAsia" w:ascii="宋体" w:hAnsi="宋体" w:cs="宋体"/>
                <w:b/>
                <w:bCs/>
                <w:sz w:val="24"/>
                <w:szCs w:val="24"/>
              </w:rPr>
              <w:t>评标时，评委先查阅投标文件中是否具有该资料的原件扫描件，其上传资料真实性由供应商自行承担，同时，供应商请完善主体库。</w:t>
            </w:r>
          </w:p>
          <w:p w14:paraId="500A1A24">
            <w:pPr>
              <w:spacing w:line="360" w:lineRule="auto"/>
              <w:rPr>
                <w:rFonts w:hint="eastAsia" w:ascii="宋体" w:hAnsi="宋体" w:cs="宋体"/>
                <w:sz w:val="24"/>
                <w:szCs w:val="24"/>
              </w:rPr>
            </w:pPr>
            <w:r>
              <w:rPr>
                <w:rFonts w:hint="eastAsia" w:ascii="宋体" w:hAnsi="宋体" w:cs="宋体"/>
                <w:sz w:val="24"/>
                <w:szCs w:val="24"/>
              </w:rPr>
              <w:t>具体操作详见《三门峡市公共资源交易服务平台市场主体信息库操作手册》。链接地址：</w:t>
            </w:r>
          </w:p>
          <w:p w14:paraId="2E99B99C">
            <w:pPr>
              <w:spacing w:line="360" w:lineRule="auto"/>
              <w:rPr>
                <w:rFonts w:hint="eastAsia" w:ascii="宋体" w:hAnsi="宋体" w:cs="宋体"/>
                <w:sz w:val="24"/>
                <w:szCs w:val="24"/>
              </w:rPr>
            </w:pPr>
            <w:r>
              <w:rPr>
                <w:rFonts w:hint="eastAsia" w:ascii="宋体" w:hAnsi="宋体" w:cs="宋体"/>
                <w:sz w:val="24"/>
                <w:szCs w:val="24"/>
              </w:rPr>
              <w:t>http://gzjy.smx.gov.cn/fwzn/004003/20200325/b13aa3fa-a543-403f-b537-82cb417132bd.html</w:t>
            </w:r>
          </w:p>
          <w:p w14:paraId="5A726A0A">
            <w:pPr>
              <w:spacing w:line="360" w:lineRule="auto"/>
              <w:rPr>
                <w:rFonts w:hint="eastAsia" w:ascii="宋体" w:hAnsi="宋体" w:cs="宋体"/>
                <w:sz w:val="24"/>
                <w:szCs w:val="24"/>
              </w:rPr>
            </w:pPr>
            <w:r>
              <w:rPr>
                <w:rFonts w:hint="eastAsia" w:ascii="宋体" w:hAnsi="宋体" w:cs="宋体"/>
                <w:sz w:val="24"/>
                <w:szCs w:val="24"/>
              </w:rPr>
              <w:t>投标供应商需应仔细阅读操作手册，保证上传内容齐全，真实有效，原件扫描件清晰可辨。因投标供应商上传原因导致应得分项而未得分或资格审查不合格等情况的，由投标供应商自行承担责任。</w:t>
            </w:r>
          </w:p>
          <w:p w14:paraId="725AEFB3">
            <w:pPr>
              <w:keepLines/>
              <w:snapToGrid w:val="0"/>
              <w:spacing w:line="360" w:lineRule="auto"/>
              <w:rPr>
                <w:rFonts w:hint="eastAsia" w:ascii="宋体" w:hAnsi="宋体" w:cs="宋体"/>
                <w:sz w:val="24"/>
                <w:szCs w:val="24"/>
              </w:rPr>
            </w:pPr>
            <w:r>
              <w:rPr>
                <w:rFonts w:hint="eastAsia" w:ascii="宋体" w:hAnsi="宋体" w:cs="宋体"/>
                <w:b/>
                <w:sz w:val="24"/>
                <w:szCs w:val="24"/>
              </w:rPr>
              <w:t>提示：本项目为电子化、无纸化交易项目，为保证您能投标成功，请需仔细阅读以上条款。</w:t>
            </w:r>
          </w:p>
        </w:tc>
      </w:tr>
      <w:tr w14:paraId="35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DBDE25C">
            <w:pPr>
              <w:keepLines/>
              <w:spacing w:line="360" w:lineRule="auto"/>
              <w:ind w:firstLine="120" w:firstLineChars="50"/>
              <w:jc w:val="left"/>
              <w:rPr>
                <w:rFonts w:hint="eastAsia" w:ascii="宋体" w:hAnsi="宋体" w:cs="宋体"/>
                <w:kern w:val="0"/>
                <w:sz w:val="24"/>
                <w:szCs w:val="24"/>
              </w:rPr>
            </w:pPr>
            <w:bookmarkStart w:id="21" w:name="_Toc28251186"/>
            <w:bookmarkStart w:id="22" w:name="_Toc16690619"/>
            <w:bookmarkStart w:id="23" w:name="_Toc38013513"/>
            <w:r>
              <w:rPr>
                <w:rFonts w:hint="eastAsia" w:ascii="宋体" w:hAnsi="宋体" w:cs="宋体"/>
                <w:kern w:val="0"/>
                <w:sz w:val="24"/>
                <w:szCs w:val="24"/>
              </w:rPr>
              <w:t>4.5</w:t>
            </w:r>
          </w:p>
        </w:tc>
        <w:tc>
          <w:tcPr>
            <w:tcW w:w="1843" w:type="dxa"/>
            <w:tcBorders>
              <w:top w:val="single" w:color="auto" w:sz="4" w:space="0"/>
              <w:left w:val="nil"/>
              <w:bottom w:val="single" w:color="auto" w:sz="4" w:space="0"/>
              <w:right w:val="single" w:color="auto" w:sz="4" w:space="0"/>
            </w:tcBorders>
            <w:vAlign w:val="center"/>
          </w:tcPr>
          <w:p w14:paraId="18A1A3B7">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付款方式</w:t>
            </w:r>
          </w:p>
        </w:tc>
        <w:tc>
          <w:tcPr>
            <w:tcW w:w="6803" w:type="dxa"/>
            <w:tcBorders>
              <w:top w:val="single" w:color="auto" w:sz="4" w:space="0"/>
              <w:left w:val="nil"/>
              <w:bottom w:val="single" w:color="auto" w:sz="4" w:space="0"/>
              <w:right w:val="single" w:color="auto" w:sz="4" w:space="0"/>
            </w:tcBorders>
            <w:vAlign w:val="center"/>
          </w:tcPr>
          <w:p w14:paraId="0C12511E">
            <w:pPr>
              <w:spacing w:line="360" w:lineRule="auto"/>
              <w:rPr>
                <w:rFonts w:hint="eastAsia" w:ascii="宋体" w:hAnsi="宋体" w:cs="宋体"/>
                <w:sz w:val="24"/>
                <w:szCs w:val="24"/>
                <w:highlight w:val="none"/>
              </w:rPr>
            </w:pPr>
            <w:r>
              <w:rPr>
                <w:rFonts w:hint="eastAsia" w:ascii="宋体" w:hAnsi="宋体" w:cs="宋体"/>
                <w:sz w:val="24"/>
                <w:szCs w:val="24"/>
                <w:highlight w:val="none"/>
              </w:rPr>
              <w:t>合同签订后付合同价款的50%，每一合同年度末支付合同价款的20%;剩余10%合同价款在提交正式成果并通过验收后支付(最终付款方式以合同签订为准)。</w:t>
            </w:r>
          </w:p>
        </w:tc>
      </w:tr>
      <w:tr w14:paraId="428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C470C3">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4.6</w:t>
            </w:r>
          </w:p>
        </w:tc>
        <w:tc>
          <w:tcPr>
            <w:tcW w:w="1843" w:type="dxa"/>
            <w:tcBorders>
              <w:top w:val="single" w:color="auto" w:sz="4" w:space="0"/>
              <w:left w:val="nil"/>
              <w:bottom w:val="single" w:color="auto" w:sz="4" w:space="0"/>
              <w:right w:val="single" w:color="auto" w:sz="4" w:space="0"/>
            </w:tcBorders>
            <w:vAlign w:val="center"/>
          </w:tcPr>
          <w:p w14:paraId="0D26E693">
            <w:pPr>
              <w:spacing w:line="360" w:lineRule="auto"/>
              <w:jc w:val="center"/>
              <w:rPr>
                <w:rFonts w:hint="eastAsia" w:ascii="宋体" w:hAnsi="宋体" w:cs="宋体"/>
                <w:sz w:val="24"/>
                <w:szCs w:val="24"/>
              </w:rPr>
            </w:pPr>
            <w:r>
              <w:rPr>
                <w:rFonts w:hint="eastAsia" w:ascii="宋体" w:hAnsi="宋体" w:cs="宋体"/>
                <w:sz w:val="24"/>
                <w:szCs w:val="24"/>
              </w:rPr>
              <w:t>招标代理服务费</w:t>
            </w:r>
          </w:p>
        </w:tc>
        <w:tc>
          <w:tcPr>
            <w:tcW w:w="6803" w:type="dxa"/>
            <w:tcBorders>
              <w:top w:val="single" w:color="auto" w:sz="4" w:space="0"/>
              <w:left w:val="nil"/>
              <w:bottom w:val="single" w:color="auto" w:sz="4" w:space="0"/>
              <w:right w:val="single" w:color="auto" w:sz="4" w:space="0"/>
            </w:tcBorders>
            <w:vAlign w:val="center"/>
          </w:tcPr>
          <w:p w14:paraId="286840F0">
            <w:pPr>
              <w:spacing w:line="360" w:lineRule="auto"/>
              <w:rPr>
                <w:rFonts w:hint="eastAsia" w:ascii="宋体" w:hAnsi="宋体" w:cs="宋体"/>
                <w:sz w:val="24"/>
                <w:szCs w:val="24"/>
              </w:rPr>
            </w:pPr>
            <w:r>
              <w:rPr>
                <w:rFonts w:hint="eastAsia" w:ascii="宋体" w:hAnsi="宋体" w:cs="宋体"/>
                <w:sz w:val="24"/>
                <w:szCs w:val="24"/>
              </w:rPr>
              <w:t>本项目招标代理服务费按照河南省招标投标协会关于印发《河南省招标代理服务收费指导意见》的通知【豫招协（2023）002号】文件中招标代理服务收费标准。由中标人承担中标服务费。</w:t>
            </w:r>
          </w:p>
        </w:tc>
      </w:tr>
      <w:tr w14:paraId="0B0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3B0A20">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4.7</w:t>
            </w:r>
          </w:p>
        </w:tc>
        <w:tc>
          <w:tcPr>
            <w:tcW w:w="1843" w:type="dxa"/>
            <w:tcBorders>
              <w:top w:val="single" w:color="auto" w:sz="4" w:space="0"/>
              <w:left w:val="nil"/>
              <w:bottom w:val="single" w:color="auto" w:sz="4" w:space="0"/>
              <w:right w:val="single" w:color="auto" w:sz="4" w:space="0"/>
            </w:tcBorders>
            <w:vAlign w:val="center"/>
          </w:tcPr>
          <w:p w14:paraId="59003A80">
            <w:pPr>
              <w:spacing w:line="360" w:lineRule="auto"/>
              <w:jc w:val="center"/>
              <w:rPr>
                <w:rFonts w:hint="eastAsia" w:ascii="宋体" w:hAnsi="宋体" w:cs="宋体"/>
                <w:sz w:val="24"/>
                <w:szCs w:val="24"/>
              </w:rPr>
            </w:pPr>
            <w:r>
              <w:rPr>
                <w:rFonts w:hint="eastAsia" w:ascii="宋体" w:hAnsi="宋体" w:cs="宋体"/>
                <w:sz w:val="24"/>
                <w:szCs w:val="24"/>
              </w:rPr>
              <w:t>本项目对应的中小企业划分标准所属行业</w:t>
            </w:r>
          </w:p>
        </w:tc>
        <w:tc>
          <w:tcPr>
            <w:tcW w:w="6803" w:type="dxa"/>
            <w:tcBorders>
              <w:top w:val="single" w:color="auto" w:sz="4" w:space="0"/>
              <w:left w:val="nil"/>
              <w:bottom w:val="single" w:color="auto" w:sz="4" w:space="0"/>
              <w:right w:val="single" w:color="auto" w:sz="4" w:space="0"/>
            </w:tcBorders>
            <w:vAlign w:val="center"/>
          </w:tcPr>
          <w:p w14:paraId="78D12846">
            <w:pPr>
              <w:spacing w:line="360" w:lineRule="auto"/>
              <w:rPr>
                <w:rFonts w:hint="eastAsia" w:ascii="宋体" w:hAnsi="宋体" w:cs="宋体"/>
                <w:sz w:val="24"/>
                <w:szCs w:val="24"/>
              </w:rPr>
            </w:pPr>
            <w:r>
              <w:rPr>
                <w:rFonts w:hint="eastAsia" w:ascii="宋体" w:hAnsi="宋体" w:cs="宋体"/>
                <w:sz w:val="24"/>
                <w:szCs w:val="24"/>
              </w:rPr>
              <w:t>其他未列明行业</w:t>
            </w:r>
          </w:p>
        </w:tc>
      </w:tr>
    </w:tbl>
    <w:p w14:paraId="0B8665D9">
      <w:pPr>
        <w:rPr>
          <w:rFonts w:hint="eastAsia" w:ascii="宋体" w:hAnsi="宋体" w:cs="宋体"/>
        </w:rPr>
      </w:pPr>
    </w:p>
    <w:bookmarkEnd w:id="21"/>
    <w:bookmarkEnd w:id="22"/>
    <w:bookmarkEnd w:id="23"/>
    <w:p w14:paraId="3DFDFD04">
      <w:pPr>
        <w:rPr>
          <w:rFonts w:hint="eastAsia" w:ascii="宋体" w:hAnsi="宋体" w:cs="宋体"/>
          <w:sz w:val="24"/>
          <w:szCs w:val="24"/>
        </w:rPr>
      </w:pPr>
      <w:bookmarkStart w:id="24" w:name="_Toc28251187"/>
      <w:bookmarkStart w:id="25" w:name="_Toc38013514"/>
      <w:r>
        <w:rPr>
          <w:rFonts w:hint="eastAsia" w:ascii="宋体" w:hAnsi="宋体" w:cs="宋体"/>
          <w:sz w:val="24"/>
          <w:szCs w:val="24"/>
        </w:rPr>
        <w:br w:type="page"/>
      </w:r>
    </w:p>
    <w:p w14:paraId="53E04B5C">
      <w:pPr>
        <w:pStyle w:val="28"/>
        <w:spacing w:line="360" w:lineRule="auto"/>
        <w:rPr>
          <w:rFonts w:hint="eastAsia" w:ascii="宋体" w:hAnsi="宋体" w:cs="宋体"/>
          <w:sz w:val="24"/>
          <w:szCs w:val="24"/>
        </w:rPr>
      </w:pPr>
      <w:r>
        <w:rPr>
          <w:rFonts w:hint="eastAsia" w:ascii="宋体" w:hAnsi="宋体" w:cs="宋体"/>
          <w:sz w:val="24"/>
          <w:szCs w:val="24"/>
        </w:rPr>
        <w:t>一、总则</w:t>
      </w:r>
    </w:p>
    <w:bookmarkEnd w:id="24"/>
    <w:bookmarkEnd w:id="25"/>
    <w:p w14:paraId="5EB7D825">
      <w:pPr>
        <w:shd w:val="clear" w:color="auto" w:fill="FFFFFF"/>
        <w:snapToGrid w:val="0"/>
        <w:spacing w:line="360" w:lineRule="auto"/>
        <w:ind w:right="105" w:rightChars="50" w:firstLine="482" w:firstLineChars="200"/>
        <w:rPr>
          <w:rFonts w:hint="eastAsia" w:ascii="宋体" w:hAnsi="宋体" w:cs="宋体"/>
          <w:sz w:val="24"/>
          <w:szCs w:val="24"/>
        </w:rPr>
      </w:pPr>
      <w:bookmarkStart w:id="26" w:name="_Toc466566784"/>
      <w:bookmarkEnd w:id="26"/>
      <w:bookmarkStart w:id="27" w:name="_Toc254788523"/>
      <w:bookmarkStart w:id="28" w:name="_Toc256519755"/>
      <w:bookmarkStart w:id="29" w:name="_Toc271556721"/>
      <w:bookmarkStart w:id="30" w:name="_Toc5478"/>
      <w:bookmarkStart w:id="31" w:name="_Toc270604617"/>
      <w:r>
        <w:rPr>
          <w:rFonts w:hint="eastAsia" w:ascii="宋体" w:hAnsi="宋体" w:cs="宋体"/>
          <w:b/>
          <w:bCs/>
          <w:sz w:val="24"/>
          <w:szCs w:val="24"/>
        </w:rPr>
        <w:t>1、</w:t>
      </w:r>
      <w:r>
        <w:rPr>
          <w:rFonts w:hint="eastAsia" w:ascii="宋体" w:hAnsi="宋体" w:cs="宋体"/>
          <w:sz w:val="24"/>
          <w:szCs w:val="24"/>
        </w:rPr>
        <w:t>项目概况</w:t>
      </w:r>
    </w:p>
    <w:p w14:paraId="4DEBE778">
      <w:pPr>
        <w:spacing w:line="360" w:lineRule="auto"/>
        <w:ind w:firstLine="480" w:firstLineChars="200"/>
        <w:rPr>
          <w:rFonts w:hint="eastAsia" w:ascii="宋体" w:hAnsi="宋体" w:cs="宋体"/>
          <w:sz w:val="24"/>
          <w:szCs w:val="24"/>
        </w:rPr>
      </w:pPr>
      <w:r>
        <w:rPr>
          <w:rFonts w:hint="eastAsia" w:ascii="宋体" w:hAnsi="宋体" w:cs="宋体"/>
          <w:sz w:val="24"/>
          <w:szCs w:val="24"/>
        </w:rPr>
        <w:t>1.1采购范围：</w:t>
      </w: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6E1BD33D">
      <w:pPr>
        <w:spacing w:line="360" w:lineRule="auto"/>
        <w:ind w:firstLine="480" w:firstLineChars="200"/>
        <w:rPr>
          <w:rFonts w:hint="eastAsia" w:ascii="宋体" w:hAnsi="宋体" w:cs="宋体"/>
          <w:sz w:val="24"/>
        </w:rPr>
      </w:pPr>
      <w:r>
        <w:rPr>
          <w:rFonts w:hint="eastAsia" w:ascii="宋体" w:hAnsi="宋体" w:cs="宋体"/>
          <w:sz w:val="24"/>
        </w:rPr>
        <w:t>1.2资金来源：财政资金，已落实。</w:t>
      </w:r>
    </w:p>
    <w:p w14:paraId="3C83B389">
      <w:pPr>
        <w:spacing w:line="360" w:lineRule="auto"/>
        <w:ind w:firstLine="480" w:firstLineChars="200"/>
        <w:rPr>
          <w:rFonts w:hint="eastAsia" w:ascii="宋体" w:hAnsi="宋体" w:cs="宋体"/>
          <w:sz w:val="24"/>
        </w:rPr>
      </w:pPr>
      <w:r>
        <w:rPr>
          <w:rFonts w:hint="eastAsia" w:ascii="宋体" w:hAnsi="宋体" w:cs="宋体"/>
          <w:sz w:val="24"/>
        </w:rPr>
        <w:t>1.3质量要求：</w:t>
      </w:r>
      <w:r>
        <w:rPr>
          <w:rFonts w:hint="eastAsia" w:ascii="宋体" w:hAnsi="宋体" w:cs="宋体"/>
          <w:sz w:val="24"/>
          <w:szCs w:val="24"/>
        </w:rPr>
        <w:t>合格，符合国家及行业标准，并满足采购人要求。</w:t>
      </w:r>
    </w:p>
    <w:p w14:paraId="238B69A9">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2、投标费用</w:t>
      </w:r>
    </w:p>
    <w:p w14:paraId="36613889">
      <w:pPr>
        <w:shd w:val="clear" w:color="auto" w:fill="FFFFFF"/>
        <w:snapToGrid w:val="0"/>
        <w:spacing w:line="360" w:lineRule="auto"/>
        <w:ind w:right="105" w:rightChars="50" w:firstLine="361" w:firstLineChars="150"/>
        <w:rPr>
          <w:rFonts w:hint="eastAsia" w:ascii="宋体" w:hAnsi="宋体" w:cs="宋体"/>
          <w:color w:val="000000"/>
          <w:sz w:val="24"/>
          <w:szCs w:val="24"/>
        </w:rPr>
      </w:pPr>
      <w:r>
        <w:rPr>
          <w:rFonts w:hint="eastAsia"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4AC2A5D4">
      <w:pPr>
        <w:shd w:val="clear" w:color="auto" w:fill="FFFFFF"/>
        <w:snapToGrid w:val="0"/>
        <w:spacing w:line="360" w:lineRule="auto"/>
        <w:ind w:right="105" w:rightChars="50" w:firstLine="118" w:firstLineChars="49"/>
        <w:rPr>
          <w:rFonts w:hint="eastAsia" w:ascii="宋体" w:hAnsi="宋体" w:cs="宋体"/>
          <w:color w:val="000000"/>
          <w:sz w:val="24"/>
          <w:szCs w:val="24"/>
        </w:rPr>
      </w:pPr>
      <w:r>
        <w:rPr>
          <w:rFonts w:hint="eastAsia" w:ascii="宋体" w:hAnsi="宋体" w:cs="宋体"/>
          <w:b/>
          <w:bCs/>
          <w:color w:val="000000"/>
          <w:sz w:val="24"/>
          <w:szCs w:val="24"/>
        </w:rPr>
        <w:t xml:space="preserve">   3、定义及解释</w:t>
      </w:r>
    </w:p>
    <w:p w14:paraId="2860897D">
      <w:pPr>
        <w:spacing w:line="360" w:lineRule="auto"/>
        <w:ind w:right="105" w:rightChars="50"/>
        <w:rPr>
          <w:rFonts w:hint="eastAsia" w:ascii="宋体" w:hAnsi="宋体" w:cs="宋体"/>
          <w:b/>
          <w:bCs/>
          <w:sz w:val="24"/>
          <w:szCs w:val="24"/>
        </w:rPr>
      </w:pPr>
      <w:r>
        <w:rPr>
          <w:rFonts w:hint="eastAsia"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1A87413A">
      <w:pPr>
        <w:spacing w:line="360" w:lineRule="auto"/>
        <w:ind w:right="105" w:rightChars="50" w:firstLine="477" w:firstLineChars="198"/>
        <w:rPr>
          <w:rFonts w:hint="eastAsia" w:ascii="宋体" w:hAnsi="宋体" w:cs="宋体"/>
          <w:b/>
          <w:bCs/>
          <w:sz w:val="24"/>
          <w:szCs w:val="24"/>
        </w:rPr>
      </w:pPr>
      <w:r>
        <w:rPr>
          <w:rFonts w:hint="eastAsia"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51DE061E">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3.3</w:t>
      </w:r>
      <w:r>
        <w:rPr>
          <w:rFonts w:hint="eastAsia" w:ascii="宋体" w:hAnsi="宋体" w:cs="宋体"/>
          <w:sz w:val="24"/>
          <w:szCs w:val="24"/>
        </w:rPr>
        <w:t>采购人：三门峡市自然资源和规划局</w:t>
      </w:r>
    </w:p>
    <w:p w14:paraId="4D9D81A4">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3.4</w:t>
      </w:r>
      <w:r>
        <w:rPr>
          <w:rFonts w:hint="eastAsia" w:ascii="宋体" w:hAnsi="宋体" w:cs="宋体"/>
          <w:sz w:val="24"/>
          <w:szCs w:val="24"/>
        </w:rPr>
        <w:t>投标供应商：是指响应招标、参加投标竞争的法人或者其他组织。</w:t>
      </w:r>
    </w:p>
    <w:p w14:paraId="2E835B21">
      <w:pPr>
        <w:spacing w:line="360" w:lineRule="auto"/>
        <w:ind w:right="105" w:rightChars="50" w:firstLine="236" w:firstLineChars="98"/>
        <w:rPr>
          <w:rFonts w:hint="eastAsia" w:ascii="宋体" w:hAnsi="宋体" w:cs="宋体"/>
          <w:b/>
          <w:bCs/>
          <w:sz w:val="24"/>
          <w:szCs w:val="24"/>
        </w:rPr>
      </w:pPr>
      <w:r>
        <w:rPr>
          <w:rFonts w:hint="eastAsia" w:ascii="宋体" w:hAnsi="宋体" w:cs="宋体"/>
          <w:b/>
          <w:bCs/>
          <w:sz w:val="24"/>
          <w:szCs w:val="24"/>
        </w:rPr>
        <w:t xml:space="preserve">  3.5</w:t>
      </w:r>
      <w:r>
        <w:rPr>
          <w:rFonts w:hint="eastAsia" w:ascii="宋体" w:hAnsi="宋体" w:cs="宋体"/>
          <w:sz w:val="24"/>
          <w:szCs w:val="24"/>
        </w:rPr>
        <w:t>采购代理机构：河南中广汇通项目管理有限公司</w:t>
      </w:r>
    </w:p>
    <w:p w14:paraId="004BBFB5">
      <w:pPr>
        <w:spacing w:line="360" w:lineRule="auto"/>
        <w:ind w:right="105" w:rightChars="50" w:firstLine="482" w:firstLineChars="200"/>
        <w:rPr>
          <w:rFonts w:hint="eastAsia" w:ascii="宋体" w:hAnsi="宋体" w:cs="宋体"/>
          <w:b/>
          <w:bCs/>
          <w:sz w:val="24"/>
          <w:szCs w:val="24"/>
        </w:rPr>
      </w:pPr>
      <w:r>
        <w:rPr>
          <w:rFonts w:hint="eastAsia"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5063780">
      <w:pPr>
        <w:spacing w:line="360" w:lineRule="auto"/>
        <w:ind w:right="105" w:rightChars="50"/>
        <w:rPr>
          <w:rFonts w:hint="eastAsia" w:ascii="宋体" w:hAnsi="宋体" w:cs="宋体"/>
          <w:sz w:val="24"/>
          <w:szCs w:val="24"/>
        </w:rPr>
      </w:pPr>
      <w:r>
        <w:rPr>
          <w:rFonts w:hint="eastAsia"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0A8C24E9">
      <w:pPr>
        <w:spacing w:line="360" w:lineRule="auto"/>
        <w:ind w:right="105" w:rightChars="50" w:firstLine="118" w:firstLineChars="49"/>
        <w:rPr>
          <w:rFonts w:hint="eastAsia" w:ascii="宋体" w:hAnsi="宋体" w:cs="宋体"/>
          <w:b/>
          <w:bCs/>
          <w:sz w:val="24"/>
          <w:szCs w:val="24"/>
        </w:rPr>
      </w:pPr>
      <w:r>
        <w:rPr>
          <w:rFonts w:hint="eastAsia"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3D70C6C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4、合格的投标供应商</w:t>
      </w:r>
    </w:p>
    <w:p w14:paraId="2A877D3E">
      <w:pPr>
        <w:pStyle w:val="20"/>
        <w:ind w:left="420" w:leftChars="200" w:firstLine="0" w:firstLineChars="0"/>
        <w:rPr>
          <w:rFonts w:hint="eastAsia" w:ascii="宋体" w:hAnsi="宋体" w:eastAsia="宋体" w:cs="宋体"/>
          <w:lang w:eastAsia="zh-CN"/>
        </w:rPr>
      </w:pPr>
      <w:r>
        <w:rPr>
          <w:rFonts w:hint="eastAsia" w:ascii="宋体" w:hAnsi="宋体" w:eastAsia="宋体" w:cs="宋体"/>
          <w:lang w:eastAsia="zh-CN"/>
        </w:rPr>
        <w:t>详见供应商须知前附表规定</w:t>
      </w:r>
    </w:p>
    <w:p w14:paraId="2ADC740A">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5、保证</w:t>
      </w:r>
    </w:p>
    <w:p w14:paraId="665C66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01C864DA">
      <w:pPr>
        <w:pStyle w:val="28"/>
        <w:spacing w:line="360" w:lineRule="auto"/>
        <w:rPr>
          <w:rFonts w:hint="eastAsia" w:ascii="宋体" w:hAnsi="宋体" w:cs="宋体"/>
          <w:sz w:val="24"/>
          <w:szCs w:val="24"/>
        </w:rPr>
      </w:pPr>
      <w:r>
        <w:rPr>
          <w:rFonts w:hint="eastAsia" w:ascii="宋体" w:hAnsi="宋体" w:cs="宋体"/>
          <w:sz w:val="24"/>
          <w:szCs w:val="24"/>
        </w:rPr>
        <w:t>二、招标文件</w:t>
      </w:r>
    </w:p>
    <w:p w14:paraId="7FD1C1E1">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6、招标文件的组成</w:t>
      </w:r>
    </w:p>
    <w:p w14:paraId="2D07C7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6.1</w:t>
      </w:r>
      <w:r>
        <w:rPr>
          <w:rFonts w:hint="eastAsia" w:ascii="宋体" w:hAnsi="宋体" w:cs="宋体"/>
          <w:color w:val="000000"/>
          <w:sz w:val="24"/>
          <w:szCs w:val="24"/>
        </w:rPr>
        <w:t>招标文件包括下列内容及按投标供应商须知第7条款内容发出的答疑文件和第8条款内容发出的补充文件。</w:t>
      </w:r>
    </w:p>
    <w:p w14:paraId="1E8CE0BB">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第一章 招标公告</w:t>
      </w:r>
    </w:p>
    <w:p w14:paraId="1D962A6C">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第二章 供应商须知</w:t>
      </w:r>
    </w:p>
    <w:p w14:paraId="2C37EA7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第三章 评标办法</w:t>
      </w:r>
    </w:p>
    <w:p w14:paraId="782BE0AD">
      <w:pPr>
        <w:shd w:val="clear" w:color="auto" w:fill="FFFFFF"/>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第四章 合同条款及格式</w:t>
      </w:r>
    </w:p>
    <w:p w14:paraId="7D09CF7E">
      <w:pPr>
        <w:shd w:val="clear" w:color="auto" w:fill="FFFFFF"/>
        <w:snapToGrid w:val="0"/>
        <w:spacing w:line="360" w:lineRule="auto"/>
        <w:ind w:firstLine="480" w:firstLineChars="200"/>
        <w:rPr>
          <w:rFonts w:hint="eastAsia" w:ascii="宋体" w:hAnsi="宋体" w:cs="宋体"/>
          <w:color w:val="000000"/>
          <w:sz w:val="24"/>
          <w:szCs w:val="24"/>
        </w:rPr>
      </w:pPr>
      <w:r>
        <w:rPr>
          <w:rStyle w:val="23"/>
          <w:rFonts w:hint="eastAsia"/>
          <w:color w:val="000000"/>
          <w:sz w:val="24"/>
          <w:szCs w:val="24"/>
        </w:rPr>
        <w:t>第五章</w:t>
      </w:r>
      <w:r>
        <w:rPr>
          <w:rFonts w:hint="eastAsia"/>
          <w:color w:val="000000"/>
          <w:sz w:val="24"/>
          <w:szCs w:val="24"/>
        </w:rPr>
        <w:t xml:space="preserve"> </w:t>
      </w:r>
      <w:r>
        <w:rPr>
          <w:rStyle w:val="23"/>
          <w:rFonts w:hint="eastAsia"/>
          <w:color w:val="000000"/>
          <w:sz w:val="24"/>
          <w:szCs w:val="24"/>
        </w:rPr>
        <w:t>采购内容及要求</w:t>
      </w:r>
    </w:p>
    <w:p w14:paraId="4657452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第六章 投标文件格式</w:t>
      </w:r>
    </w:p>
    <w:p w14:paraId="1D05EB2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0719F64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7、招标文件的澄清</w:t>
      </w:r>
    </w:p>
    <w:p w14:paraId="0A0AD359">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7.1投标人应仔细阅读和检查招标文件的全部内容。如发现缺页或附件不全，应及时向采购人提出，以便补齐。如有疑问，应在投标截止时间10日前登录三门峡市公共资源交易中心网（http://gzjy.smx.gov.cn），在网上向采购人提出澄清要求，要求采购人对招标文件予以澄清。</w:t>
      </w:r>
    </w:p>
    <w:p w14:paraId="5C5ABBF8">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7.2采购人的澄清将在投标截止时间15日前，在三门峡市公共资源交易中心网（http://gzjy.smx.gov.cn）以答疑澄清形式通知所有下载招标文件的投标人，但不指明澄清问题的来源。</w:t>
      </w:r>
    </w:p>
    <w:p w14:paraId="1FEA139B">
      <w:pPr>
        <w:autoSpaceDE w:val="0"/>
        <w:autoSpaceDN w:val="0"/>
        <w:adjustRightIn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kern w:val="0"/>
          <w:sz w:val="24"/>
          <w:szCs w:val="24"/>
        </w:rPr>
        <w:t>7.3投标人应注意及时浏览网上发布的澄清和修改通知并下载，因投标人原因未及时获知澄清、修改内容而导致的任何后果，概由投标人自己承担。</w:t>
      </w:r>
    </w:p>
    <w:p w14:paraId="71FED41B">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8、招标文件的修正</w:t>
      </w:r>
    </w:p>
    <w:p w14:paraId="581C15DB">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8.1在投标截止时间15日前，采购人可以在三门峡市公共资源交易中心网以网上答疑形式修改招标文件，并以网上公告形式通知所有已下载招标文件的投标人。如果修改招标文件的时间距投标截止时间不足15天，相应延长投标截止时间。</w:t>
      </w:r>
    </w:p>
    <w:p w14:paraId="487F4AC0">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8.2招标文件的澄清、修改、补充等内容均以采购人答疑形式明确的内容为准。当招标文件的澄清、修改、补充等在同一内容的表述上不一致时，以最后发出的答疑为准。</w:t>
      </w:r>
    </w:p>
    <w:p w14:paraId="56637992">
      <w:pPr>
        <w:pStyle w:val="28"/>
        <w:spacing w:line="360" w:lineRule="auto"/>
        <w:rPr>
          <w:rFonts w:hint="eastAsia" w:ascii="宋体" w:hAnsi="宋体" w:cs="宋体"/>
          <w:sz w:val="24"/>
          <w:szCs w:val="24"/>
        </w:rPr>
      </w:pPr>
      <w:r>
        <w:rPr>
          <w:rFonts w:hint="eastAsia" w:ascii="宋体" w:hAnsi="宋体" w:cs="宋体"/>
          <w:sz w:val="24"/>
          <w:szCs w:val="24"/>
        </w:rPr>
        <w:t>三、投标文件的编制</w:t>
      </w:r>
    </w:p>
    <w:p w14:paraId="413BBD5E">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9、特别说明</w:t>
      </w:r>
    </w:p>
    <w:p w14:paraId="2BDC8522">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9.1</w:t>
      </w:r>
      <w:r>
        <w:rPr>
          <w:rFonts w:hint="eastAsia" w:ascii="宋体" w:hAnsi="宋体" w:cs="宋体"/>
          <w:color w:val="000000"/>
          <w:sz w:val="24"/>
          <w:szCs w:val="24"/>
        </w:rPr>
        <w:t>投标语言</w:t>
      </w:r>
    </w:p>
    <w:p w14:paraId="45EC35DA">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11DAD77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9.2</w:t>
      </w:r>
      <w:r>
        <w:rPr>
          <w:rFonts w:hint="eastAsia" w:ascii="宋体" w:hAnsi="宋体" w:cs="宋体"/>
          <w:color w:val="000000"/>
          <w:sz w:val="24"/>
          <w:szCs w:val="24"/>
        </w:rPr>
        <w:t>计量</w:t>
      </w:r>
    </w:p>
    <w:p w14:paraId="1389DAD0">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在投标文件所有计量单位均采用中华人民共和国法定计量单位。</w:t>
      </w:r>
    </w:p>
    <w:p w14:paraId="2A9C0F7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400A21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5FA1A005">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9.5温馨提示：本项目为电子化、无纸化交易项目，开标时不接受任何纸质资料，为保证您能投标成功，请需仔细阅读投标供应商须知前附表第4.6条。</w:t>
      </w:r>
    </w:p>
    <w:p w14:paraId="5684CC89">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10、投标货物和服务的报价</w:t>
      </w:r>
    </w:p>
    <w:p w14:paraId="3FA7931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 投标报价中应包含以下内容。</w:t>
      </w:r>
    </w:p>
    <w:p w14:paraId="1AC3963B">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10.1.1 投标供应商的投标报价应包含验收合格正式交付使用前所发生的一切费用，且投标供应商只能提出一个不变价格，采购人不接受任何选择报价。</w:t>
      </w:r>
    </w:p>
    <w:p w14:paraId="5C670EFA">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10.1.2 该项目类别及取费标准按照国家相关规定执行。</w:t>
      </w:r>
    </w:p>
    <w:p w14:paraId="78B679D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10.1.3 电子化投标文件的投标报价，应是完成本文件所列招标范围的全部内容。</w:t>
      </w:r>
    </w:p>
    <w:p w14:paraId="0B6D11F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7256D0B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10.1.5 全部报价均应以人民币为计量币种，并以人民币进行结算。</w:t>
      </w:r>
    </w:p>
    <w:p w14:paraId="0792388E">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10.1.6 采购人对投标供应商提供的货物有权利到生产厂家进行考察和交货前验货，投标供应商应提供便利条件。</w:t>
      </w:r>
    </w:p>
    <w:p w14:paraId="0F905011">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11、投标保证金</w:t>
      </w:r>
    </w:p>
    <w:p w14:paraId="2E5C63A9">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296808D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12、投标有效期</w:t>
      </w:r>
    </w:p>
    <w:p w14:paraId="1726D2C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12.1</w:t>
      </w:r>
      <w:r>
        <w:rPr>
          <w:rFonts w:hint="eastAsia" w:ascii="宋体" w:hAnsi="宋体" w:cs="宋体"/>
          <w:color w:val="000000"/>
          <w:sz w:val="24"/>
          <w:szCs w:val="24"/>
        </w:rPr>
        <w:t>投标文件从开标之时起开始生效，投标有效期</w:t>
      </w:r>
      <w:r>
        <w:rPr>
          <w:rFonts w:hint="eastAsia" w:ascii="宋体" w:hAnsi="宋体" w:cs="宋体"/>
          <w:sz w:val="24"/>
          <w:szCs w:val="24"/>
        </w:rPr>
        <w:t>从投标截止之日起60日历天</w:t>
      </w:r>
      <w:r>
        <w:rPr>
          <w:rFonts w:hint="eastAsia" w:ascii="宋体" w:hAnsi="宋体" w:cs="宋体"/>
          <w:color w:val="000000"/>
          <w:sz w:val="24"/>
          <w:szCs w:val="24"/>
        </w:rPr>
        <w:t>。</w:t>
      </w:r>
    </w:p>
    <w:p w14:paraId="4771E80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12.2</w:t>
      </w:r>
      <w:r>
        <w:rPr>
          <w:rFonts w:hint="eastAsia" w:ascii="宋体" w:hAnsi="宋体" w:cs="宋体"/>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14:paraId="77DE268E">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13、电子化投标文件的组成</w:t>
      </w:r>
    </w:p>
    <w:p w14:paraId="207A1EA2">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一、法定代表人身份证明书</w:t>
      </w:r>
    </w:p>
    <w:p w14:paraId="07F5E8D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二、投标文件签署授权委托书</w:t>
      </w:r>
    </w:p>
    <w:p w14:paraId="7FF3797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三、投标函及投标函附录</w:t>
      </w:r>
    </w:p>
    <w:p w14:paraId="3A86DA5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四、服务方案</w:t>
      </w:r>
    </w:p>
    <w:p w14:paraId="6273F46E">
      <w:pPr>
        <w:shd w:val="clear" w:color="auto" w:fill="FFFFFF"/>
        <w:tabs>
          <w:tab w:val="left" w:pos="353"/>
        </w:tabs>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五、资格审查资料</w:t>
      </w:r>
    </w:p>
    <w:p w14:paraId="15750737">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六、中小企业声明函</w:t>
      </w:r>
    </w:p>
    <w:p w14:paraId="45A287F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七、投标承诺函</w:t>
      </w:r>
    </w:p>
    <w:p w14:paraId="07481243">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八、其他资料</w:t>
      </w:r>
    </w:p>
    <w:p w14:paraId="72F158E5">
      <w:pPr>
        <w:autoSpaceDE w:val="0"/>
        <w:autoSpaceDN w:val="0"/>
        <w:adjustRightInd w:val="0"/>
        <w:spacing w:line="360" w:lineRule="auto"/>
        <w:ind w:firstLine="241" w:firstLineChars="100"/>
        <w:jc w:val="left"/>
        <w:rPr>
          <w:rFonts w:hint="eastAsia" w:ascii="宋体" w:hAnsi="宋体" w:cs="宋体"/>
          <w:b/>
          <w:bCs/>
          <w:color w:val="000000"/>
          <w:sz w:val="24"/>
          <w:szCs w:val="24"/>
        </w:rPr>
      </w:pPr>
      <w:r>
        <w:rPr>
          <w:rFonts w:hint="eastAsia" w:ascii="宋体" w:hAnsi="宋体" w:cs="宋体"/>
          <w:b/>
          <w:bCs/>
          <w:color w:val="000000"/>
          <w:sz w:val="24"/>
          <w:szCs w:val="24"/>
        </w:rPr>
        <w:t>14、电子化投标文件的格式</w:t>
      </w:r>
    </w:p>
    <w:p w14:paraId="2FEC511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14.1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7F08C3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注：投标人投报多个标段的，需要每个标段单独制作电子投标文件。</w:t>
      </w:r>
    </w:p>
    <w:p w14:paraId="023F18A9">
      <w:pPr>
        <w:autoSpaceDE w:val="0"/>
        <w:autoSpaceDN w:val="0"/>
        <w:adjustRightInd w:val="0"/>
        <w:spacing w:line="360" w:lineRule="auto"/>
        <w:ind w:firstLine="241" w:firstLineChars="100"/>
        <w:jc w:val="left"/>
        <w:rPr>
          <w:rFonts w:hint="eastAsia" w:ascii="宋体" w:hAnsi="宋体" w:cs="宋体"/>
          <w:b/>
          <w:bCs/>
          <w:kern w:val="0"/>
          <w:sz w:val="24"/>
          <w:szCs w:val="24"/>
        </w:rPr>
      </w:pPr>
      <w:r>
        <w:rPr>
          <w:rFonts w:hint="eastAsia" w:ascii="宋体" w:hAnsi="宋体" w:cs="宋体"/>
          <w:b/>
          <w:bCs/>
          <w:kern w:val="0"/>
          <w:sz w:val="24"/>
          <w:szCs w:val="24"/>
        </w:rPr>
        <w:t>15、电子化投标文件的签章</w:t>
      </w:r>
    </w:p>
    <w:p w14:paraId="49A1AB3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15.1投标人在生成电子化投标文件后，应对电子化投标文件进行签章，未进行签章的视为无效投标。</w:t>
      </w:r>
    </w:p>
    <w:p w14:paraId="5A332491">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14:paraId="770EC49C">
      <w:pPr>
        <w:pStyle w:val="28"/>
        <w:spacing w:line="360" w:lineRule="auto"/>
        <w:rPr>
          <w:rFonts w:hint="eastAsia" w:ascii="宋体" w:hAnsi="宋体" w:cs="宋体"/>
          <w:sz w:val="24"/>
          <w:szCs w:val="24"/>
        </w:rPr>
      </w:pPr>
      <w:r>
        <w:rPr>
          <w:rFonts w:hint="eastAsia" w:ascii="宋体" w:hAnsi="宋体" w:cs="宋体"/>
          <w:sz w:val="24"/>
          <w:szCs w:val="24"/>
        </w:rPr>
        <w:t>四、投标文件的上传</w:t>
      </w:r>
    </w:p>
    <w:p w14:paraId="0C999122">
      <w:pPr>
        <w:shd w:val="clear" w:color="auto" w:fill="FFFFFF"/>
        <w:snapToGrid w:val="0"/>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16、投标文件上传</w:t>
      </w:r>
    </w:p>
    <w:p w14:paraId="7A616D9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06B60217">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F7AE3BB">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17.投标截止时间</w:t>
      </w:r>
    </w:p>
    <w:p w14:paraId="787F3953">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17.1</w:t>
      </w:r>
      <w:r>
        <w:rPr>
          <w:rFonts w:hint="eastAsia" w:ascii="宋体" w:hAnsi="宋体" w:cs="宋体"/>
          <w:color w:val="000000"/>
          <w:sz w:val="24"/>
          <w:szCs w:val="24"/>
        </w:rPr>
        <w:t>投标文件的截止时间见本须知前附表规定。</w:t>
      </w:r>
    </w:p>
    <w:p w14:paraId="43C70E6D">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17.2</w:t>
      </w:r>
      <w:r>
        <w:rPr>
          <w:rFonts w:hint="eastAsia" w:ascii="宋体" w:hAnsi="宋体" w:cs="宋体"/>
          <w:color w:val="000000"/>
          <w:sz w:val="24"/>
          <w:szCs w:val="24"/>
        </w:rPr>
        <w:t>到投标截止时间止，采购人收到的投标文件少于3个的，采购人将依法重新组织招标。</w:t>
      </w:r>
    </w:p>
    <w:p w14:paraId="46814D6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kern w:val="0"/>
          <w:sz w:val="24"/>
          <w:szCs w:val="24"/>
        </w:rPr>
        <w:t>17.3电子化投标文件的补充、修改与撤回</w:t>
      </w:r>
    </w:p>
    <w:p w14:paraId="69825DA6">
      <w:pPr>
        <w:shd w:val="clear" w:color="auto" w:fill="FFFFFF"/>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17.3.1在投标截止时间之后，投标供应商不得补充、修改电子化投标文件。</w:t>
      </w:r>
    </w:p>
    <w:p w14:paraId="494F9A39">
      <w:pPr>
        <w:pStyle w:val="28"/>
        <w:spacing w:line="360" w:lineRule="auto"/>
        <w:rPr>
          <w:rFonts w:hint="eastAsia" w:ascii="宋体" w:hAnsi="宋体" w:cs="宋体"/>
          <w:sz w:val="24"/>
          <w:szCs w:val="24"/>
        </w:rPr>
      </w:pPr>
      <w:r>
        <w:rPr>
          <w:rFonts w:hint="eastAsia" w:ascii="宋体" w:hAnsi="宋体" w:cs="宋体"/>
          <w:sz w:val="24"/>
          <w:szCs w:val="24"/>
        </w:rPr>
        <w:t>五、开标</w:t>
      </w:r>
    </w:p>
    <w:p w14:paraId="0DDC4C4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18、开标</w:t>
      </w:r>
    </w:p>
    <w:p w14:paraId="57673C3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E7F31C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18.2开标程序：</w:t>
      </w:r>
    </w:p>
    <w:p w14:paraId="60A5608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18.2.1</w:t>
      </w:r>
      <w:r>
        <w:rPr>
          <w:rFonts w:hint="eastAsia" w:ascii="宋体" w:hAnsi="宋体" w:cs="宋体"/>
          <w:color w:val="000000"/>
          <w:sz w:val="24"/>
          <w:szCs w:val="24"/>
        </w:rPr>
        <w:t>开标由招标代理机构主持；</w:t>
      </w:r>
    </w:p>
    <w:p w14:paraId="43760971">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18.2.2</w:t>
      </w:r>
      <w:r>
        <w:rPr>
          <w:rFonts w:hint="eastAsia" w:ascii="宋体" w:hAnsi="宋体" w:cs="宋体"/>
          <w:color w:val="000000"/>
          <w:sz w:val="24"/>
          <w:szCs w:val="24"/>
        </w:rPr>
        <w:t>介绍本项目的情况；</w:t>
      </w:r>
    </w:p>
    <w:p w14:paraId="2255166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18.2.3</w:t>
      </w:r>
      <w:r>
        <w:rPr>
          <w:rFonts w:hint="eastAsia" w:ascii="宋体" w:hAnsi="宋体" w:cs="宋体"/>
          <w:color w:val="000000"/>
          <w:sz w:val="24"/>
          <w:szCs w:val="24"/>
        </w:rPr>
        <w:t>宣布开标会议纪律；</w:t>
      </w:r>
    </w:p>
    <w:p w14:paraId="354A66C2">
      <w:pPr>
        <w:shd w:val="clear" w:color="auto" w:fill="FFFFFF"/>
        <w:tabs>
          <w:tab w:val="left" w:pos="383"/>
        </w:tabs>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18.2.4</w:t>
      </w:r>
      <w:r>
        <w:rPr>
          <w:rFonts w:hint="eastAsia" w:ascii="宋体" w:hAnsi="宋体" w:cs="宋体"/>
          <w:color w:val="000000"/>
          <w:sz w:val="24"/>
          <w:szCs w:val="24"/>
        </w:rPr>
        <w:t>介绍参会的采购人、监督人；</w:t>
      </w:r>
    </w:p>
    <w:p w14:paraId="0254F06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18.2.5</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0F98582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w:t>
      </w:r>
      <w:r>
        <w:rPr>
          <w:rFonts w:hint="eastAsia" w:ascii="宋体" w:hAnsi="宋体" w:cs="宋体"/>
          <w:color w:val="000000"/>
          <w:sz w:val="24"/>
          <w:szCs w:val="24"/>
        </w:rPr>
        <w:t>投标文件的有效性</w:t>
      </w:r>
    </w:p>
    <w:p w14:paraId="627B49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18.3.1</w:t>
      </w:r>
      <w:r>
        <w:rPr>
          <w:rFonts w:hint="eastAsia" w:ascii="宋体" w:hAnsi="宋体" w:cs="宋体"/>
          <w:color w:val="000000"/>
          <w:sz w:val="24"/>
          <w:szCs w:val="24"/>
        </w:rPr>
        <w:t>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2ECF236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18.3.2</w:t>
      </w:r>
      <w:r>
        <w:rPr>
          <w:rFonts w:hint="eastAsia" w:ascii="宋体" w:hAnsi="宋体" w:cs="宋体"/>
          <w:color w:val="000000"/>
          <w:sz w:val="24"/>
          <w:szCs w:val="24"/>
        </w:rPr>
        <w:t>若投标文件解密后，有效电子投标文件不足三家的，本项目应予废标。</w:t>
      </w:r>
    </w:p>
    <w:p w14:paraId="5B8EAD6A">
      <w:pPr>
        <w:pStyle w:val="28"/>
        <w:spacing w:line="360" w:lineRule="auto"/>
        <w:rPr>
          <w:rFonts w:hint="eastAsia" w:ascii="宋体" w:hAnsi="宋体" w:cs="宋体"/>
          <w:sz w:val="24"/>
          <w:szCs w:val="24"/>
        </w:rPr>
      </w:pPr>
      <w:r>
        <w:rPr>
          <w:rFonts w:hint="eastAsia" w:ascii="宋体" w:hAnsi="宋体" w:cs="宋体"/>
          <w:sz w:val="24"/>
          <w:szCs w:val="24"/>
        </w:rPr>
        <w:t>六、评标与定标</w:t>
      </w:r>
    </w:p>
    <w:p w14:paraId="0B9FAAC8">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19、评标委员会</w:t>
      </w:r>
    </w:p>
    <w:p w14:paraId="076764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19.1</w:t>
      </w:r>
      <w:r>
        <w:rPr>
          <w:rFonts w:hint="eastAsia" w:ascii="宋体" w:hAnsi="宋体" w:cs="宋体"/>
          <w:color w:val="000000"/>
          <w:sz w:val="24"/>
          <w:szCs w:val="24"/>
        </w:rPr>
        <w:t>评标委员会由采购人依法组建，负责评标活动。</w:t>
      </w:r>
    </w:p>
    <w:p w14:paraId="2474D17C">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19.2评标委员会构成：见供应商须知前附表</w:t>
      </w:r>
    </w:p>
    <w:p w14:paraId="3095485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19.3参加评标的专家通过相关专家库随机抽取随机选定。与投标供应商有利害关系的人不得进入评标委员会。</w:t>
      </w:r>
    </w:p>
    <w:p w14:paraId="6A04A6E3">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19.4</w:t>
      </w:r>
      <w:r>
        <w:rPr>
          <w:rFonts w:hint="eastAsia" w:ascii="宋体" w:hAnsi="宋体" w:cs="宋体"/>
          <w:color w:val="000000"/>
          <w:sz w:val="24"/>
          <w:szCs w:val="24"/>
        </w:rPr>
        <w:t>开标结束后，开始评标。评标工作在相关部门监督下，采用保密方式进行。</w:t>
      </w:r>
    </w:p>
    <w:p w14:paraId="4F8353A4">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20、评标过程的保密</w:t>
      </w:r>
    </w:p>
    <w:p w14:paraId="7C2C9A1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20.1</w:t>
      </w:r>
      <w:r>
        <w:rPr>
          <w:rFonts w:hint="eastAsia" w:ascii="宋体" w:hAnsi="宋体" w:cs="宋体"/>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62114B7">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20.2</w:t>
      </w:r>
      <w:r>
        <w:rPr>
          <w:rFonts w:hint="eastAsia" w:ascii="宋体" w:hAnsi="宋体" w:cs="宋体"/>
          <w:color w:val="000000"/>
          <w:sz w:val="24"/>
          <w:szCs w:val="24"/>
        </w:rPr>
        <w:t>在电子化投标文件的评审和比较、中标候选人推荐以及授予合同的过程中，投标供应商向采购人和评标委员会施加影响的任何行为，都将会导致其投标被拒绝。</w:t>
      </w:r>
    </w:p>
    <w:p w14:paraId="4E2483BA">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20.3</w:t>
      </w:r>
      <w:r>
        <w:rPr>
          <w:rFonts w:hint="eastAsia" w:ascii="宋体" w:hAnsi="宋体" w:cs="宋体"/>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69DE48D7">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21、评标纪律</w:t>
      </w:r>
    </w:p>
    <w:p w14:paraId="0F9D4AE2">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204E6D5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21.2</w:t>
      </w:r>
      <w:r>
        <w:rPr>
          <w:rFonts w:hint="eastAsia" w:ascii="宋体" w:hAnsi="宋体" w:cs="宋体"/>
          <w:color w:val="000000"/>
          <w:sz w:val="24"/>
          <w:szCs w:val="24"/>
        </w:rPr>
        <w:t>除投标须知第28条款的规定以外，开标以后至授予中标通知书前，任何投标供应商均不得就与其投标文件有关的问题主动与采购人和招标代理机构发生联系。</w:t>
      </w:r>
    </w:p>
    <w:p w14:paraId="7BC631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21.3</w:t>
      </w:r>
      <w:r>
        <w:rPr>
          <w:rFonts w:hint="eastAsia" w:ascii="宋体" w:hAnsi="宋体" w:cs="宋体"/>
          <w:color w:val="000000"/>
          <w:sz w:val="24"/>
          <w:szCs w:val="24"/>
        </w:rPr>
        <w:t>如果投标供应商试图对评标委员会的评标施加影响，则将导致该投标供应商的投标文件被拒绝。</w:t>
      </w:r>
    </w:p>
    <w:p w14:paraId="7D593B26">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22、投标文件的澄清</w:t>
      </w:r>
    </w:p>
    <w:p w14:paraId="633F1CCF">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color w:val="000000"/>
          <w:sz w:val="24"/>
          <w:szCs w:val="24"/>
        </w:rPr>
        <w:t>22.1</w:t>
      </w:r>
      <w:r>
        <w:rPr>
          <w:rFonts w:hint="eastAsia" w:ascii="宋体" w:hAnsi="宋体" w:cs="宋体"/>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74122B8">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23、投标文件的初步评审</w:t>
      </w:r>
    </w:p>
    <w:p w14:paraId="68DDA76F">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23.1投标文件资格审查：</w:t>
      </w:r>
    </w:p>
    <w:p w14:paraId="1A6D4F2D">
      <w:pPr>
        <w:spacing w:line="360" w:lineRule="auto"/>
        <w:ind w:firstLine="480" w:firstLineChars="200"/>
        <w:rPr>
          <w:rFonts w:hint="eastAsia" w:ascii="宋体" w:hAnsi="宋体" w:cs="宋体"/>
          <w:sz w:val="24"/>
          <w:szCs w:val="24"/>
        </w:rPr>
      </w:pPr>
      <w:r>
        <w:rPr>
          <w:rFonts w:hint="eastAsia" w:ascii="宋体" w:hAnsi="宋体" w:cs="宋体"/>
          <w:sz w:val="24"/>
          <w:szCs w:val="24"/>
        </w:rPr>
        <w:t>符合第二章供应商须知前附表规定</w:t>
      </w:r>
    </w:p>
    <w:p w14:paraId="6E8342DE">
      <w:pPr>
        <w:spacing w:line="360" w:lineRule="auto"/>
        <w:ind w:firstLine="480" w:firstLineChars="200"/>
        <w:rPr>
          <w:rFonts w:hint="eastAsia" w:ascii="宋体" w:hAnsi="宋体" w:cs="宋体"/>
          <w:sz w:val="24"/>
          <w:szCs w:val="24"/>
        </w:rPr>
      </w:pPr>
      <w:r>
        <w:rPr>
          <w:rFonts w:hint="eastAsia" w:ascii="宋体" w:hAnsi="宋体" w:cs="宋体"/>
          <w:sz w:val="24"/>
          <w:szCs w:val="24"/>
        </w:rPr>
        <w:t>23.2评标</w:t>
      </w:r>
      <w:r>
        <w:rPr>
          <w:rFonts w:hint="eastAsia" w:ascii="宋体" w:hAnsi="宋体" w:cs="宋体"/>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CA93077">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23.3如果投标文件实质上不响应招标文件的各项要求，评标委员会将予以拒绝，并且不允许投标供应商通过修改或撤销其不符合要求的差异或保留，使之成为具有响应性的投标。</w:t>
      </w:r>
    </w:p>
    <w:p w14:paraId="41B51BC6">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23.4投标文件有下列情形之一的，由评标委员会初审后按无效标处理：</w:t>
      </w:r>
    </w:p>
    <w:p w14:paraId="5BF74CE6">
      <w:pPr>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（1）投标人在生成电子化投标文件后，应对电子化投标文件进行签章，未进行签章的视为无效投标。</w:t>
      </w:r>
    </w:p>
    <w:p w14:paraId="394E08D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（2）投标供应商资格条件不符合国家有关规定和招标文件要求的；</w:t>
      </w:r>
    </w:p>
    <w:p w14:paraId="01B51E09">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kern w:val="0"/>
          <w:sz w:val="24"/>
          <w:szCs w:val="24"/>
        </w:rPr>
        <w:t>电子化投标文件附有采购人不能接受的条件的；</w:t>
      </w:r>
    </w:p>
    <w:p w14:paraId="1C4DE62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（4）投标报价超过招标文件规定的预算金额的；</w:t>
      </w:r>
    </w:p>
    <w:p w14:paraId="738370C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148AC13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（6）采取不正当手段谋取中标的。</w:t>
      </w:r>
    </w:p>
    <w:p w14:paraId="2A230791">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24、投标文件计算错误的修正</w:t>
      </w:r>
    </w:p>
    <w:p w14:paraId="1CE5FC1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24.1评标委员会将对确定为实质上响应招标文件要求的投标文件进行校核，看其是否有计算或表达上的错误，修正错误的原则如下：</w:t>
      </w:r>
    </w:p>
    <w:p w14:paraId="3E0439C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24.1.1投标文件中的大写金额和小写金额不一致的，以大写金额为准；</w:t>
      </w:r>
    </w:p>
    <w:p w14:paraId="432A193B">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24.1.2对不同文字文本投标文件的解释发生异议的，以中文文本为准。</w:t>
      </w:r>
    </w:p>
    <w:p w14:paraId="4116C94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24.2按上述修正错误的原则及方法调整或修正投标文件的投标报价，投标供应商同意后，调整后的投标报价对投标供应商起约束作用。</w:t>
      </w:r>
    </w:p>
    <w:p w14:paraId="223437EE">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25、投标文件的评审、比较和否决</w:t>
      </w:r>
    </w:p>
    <w:p w14:paraId="4852737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25.1评标委员会将按照招标文件的规定，仅对在实质上响应招标文件要求的上传投标文件进行评估和比较。</w:t>
      </w:r>
    </w:p>
    <w:p w14:paraId="1E24531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25.2根据相关法律法规及有关招投标文件规定，结合本项目具体情况，制定本次招标评标办法。并按照“公平、公正、科学、择优”的原则进行评标。采用综合评分法进行评比。</w:t>
      </w:r>
    </w:p>
    <w:p w14:paraId="7293FE9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25.3在评审过程中，评标委员会可以要求投标供应商就投标文件中含义不明确的内容进行说明并提供相关材料。</w:t>
      </w:r>
    </w:p>
    <w:p w14:paraId="329B601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25.4评标时，投标报价是评标的重要依据，但不是唯一依据，采购人不承诺将合同授予报价最低或最高的投标供应商。投标</w:t>
      </w:r>
      <w:r>
        <w:rPr>
          <w:rFonts w:hint="eastAsia" w:ascii="宋体" w:hAnsi="宋体" w:cs="宋体"/>
          <w:color w:val="000000"/>
          <w:sz w:val="24"/>
          <w:szCs w:val="24"/>
          <w:shd w:val="clear" w:color="050000" w:fill="auto"/>
        </w:rPr>
        <w:t>报价明显低于其他报价，使得其报价可能低于其个别成本的，有可能影响货物质量或不能诚信履约的，评标委员会可要求供应商做出说明并提供相关证明材料。不能合理说明或不能提供相关证明材料的，其投标应文件有可能被拒绝。</w:t>
      </w:r>
    </w:p>
    <w:p w14:paraId="0DC14B6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25.5评标委员会依据本须知规定的评标标准和方法，对投标文件进行评审和比较，向采购人提出书面评标报告，并推荐合格的中标候选人。</w:t>
      </w:r>
    </w:p>
    <w:p w14:paraId="4B76CFD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color w:val="000000"/>
          <w:sz w:val="24"/>
          <w:szCs w:val="24"/>
        </w:rPr>
        <w:t>25.6</w:t>
      </w:r>
      <w:r>
        <w:rPr>
          <w:rFonts w:hint="eastAsia" w:ascii="宋体" w:hAnsi="宋体" w:cs="宋体"/>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280F4225">
      <w:pPr>
        <w:autoSpaceDE w:val="0"/>
        <w:autoSpaceDN w:val="0"/>
        <w:adjustRightInd w:val="0"/>
        <w:spacing w:line="360" w:lineRule="auto"/>
        <w:jc w:val="center"/>
        <w:rPr>
          <w:rFonts w:hint="eastAsia" w:ascii="宋体" w:hAnsi="宋体" w:cs="宋体"/>
          <w:b/>
          <w:bCs/>
          <w:sz w:val="24"/>
          <w:szCs w:val="24"/>
        </w:rPr>
      </w:pPr>
      <w:r>
        <w:rPr>
          <w:rFonts w:hint="eastAsia" w:ascii="宋体" w:hAnsi="宋体" w:cs="宋体"/>
          <w:b/>
          <w:bCs/>
          <w:sz w:val="24"/>
          <w:szCs w:val="24"/>
        </w:rPr>
        <w:t>七、授予合同</w:t>
      </w:r>
    </w:p>
    <w:p w14:paraId="6C694846">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26、授予合同标准</w:t>
      </w:r>
    </w:p>
    <w:p w14:paraId="1E06A689">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26.1</w:t>
      </w:r>
      <w:r>
        <w:rPr>
          <w:rFonts w:hint="eastAsia" w:ascii="宋体" w:hAnsi="宋体" w:cs="宋体"/>
          <w:color w:val="000000"/>
          <w:sz w:val="24"/>
          <w:szCs w:val="24"/>
        </w:rPr>
        <w:t>本招标项目的合同将授予按本评标办法确定的中标供应商。</w:t>
      </w:r>
    </w:p>
    <w:p w14:paraId="002F880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26.2</w:t>
      </w:r>
      <w:r>
        <w:rPr>
          <w:rFonts w:hint="eastAsia" w:ascii="宋体" w:hAnsi="宋体" w:cs="宋体"/>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3A8309A1">
      <w:pPr>
        <w:autoSpaceDE w:val="0"/>
        <w:autoSpaceDN w:val="0"/>
        <w:adjustRightInd w:val="0"/>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27、授予合同时变更数量的权利</w:t>
      </w:r>
    </w:p>
    <w:p w14:paraId="5015341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27.1采购人在授予合同时，保留对货物数量予以适当增减的权利。供应商不得在此情况下对投标文件作出修改，如价格、服务期限、售后服务等。</w:t>
      </w:r>
    </w:p>
    <w:p w14:paraId="587C2CF9">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28、采购人拒绝投标的权力</w:t>
      </w:r>
    </w:p>
    <w:p w14:paraId="2ED6256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28.1采购人不承诺将合同授予报价最低的或最高的中标候选人。</w:t>
      </w:r>
    </w:p>
    <w:p w14:paraId="686584D5">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29、中标通知</w:t>
      </w:r>
    </w:p>
    <w:p w14:paraId="19A5C3D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29.1</w:t>
      </w:r>
      <w:r>
        <w:rPr>
          <w:rFonts w:hint="eastAsia" w:ascii="宋体" w:hAnsi="宋体" w:cs="宋体"/>
          <w:color w:val="000000"/>
          <w:sz w:val="24"/>
          <w:szCs w:val="24"/>
        </w:rPr>
        <w:t>中标供应商确定后，在发布本项目招标公告的媒介上发布中标公示。</w:t>
      </w:r>
    </w:p>
    <w:p w14:paraId="075798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29.2</w:t>
      </w:r>
      <w:r>
        <w:rPr>
          <w:rFonts w:hint="eastAsia" w:ascii="宋体" w:hAnsi="宋体" w:cs="宋体"/>
          <w:color w:val="000000"/>
          <w:sz w:val="24"/>
          <w:szCs w:val="24"/>
        </w:rPr>
        <w:t>中标通知书是合同的组成部分。</w:t>
      </w:r>
    </w:p>
    <w:p w14:paraId="46880E5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29.3</w:t>
      </w:r>
      <w:r>
        <w:rPr>
          <w:rFonts w:hint="eastAsia" w:ascii="宋体" w:hAnsi="宋体" w:cs="宋体"/>
          <w:color w:val="000000"/>
          <w:sz w:val="24"/>
          <w:szCs w:val="24"/>
        </w:rPr>
        <w:t>对未中标的投标供应商，不做任何未中标原因的解释。所有投标文件不予退还。</w:t>
      </w:r>
    </w:p>
    <w:p w14:paraId="6C9A167C">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30、合同协议书的签署</w:t>
      </w:r>
    </w:p>
    <w:p w14:paraId="6E5D83D0">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30.1采购人与中标供应商将于中标通知书发出之日起2日内，按照招标文件及中标供应商的投标文件订立书面承包合同，采购人和中标供应商不得再行订立背离合同实质性内容的其他协议。</w:t>
      </w:r>
    </w:p>
    <w:p w14:paraId="1496AAA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30.2中标供应商如不按本投标须知的规定与采购人订立合同，则采购人将废除授标，给采购人造成损失的，应当予以赔偿，同时依法承担相应法律责任。</w:t>
      </w:r>
    </w:p>
    <w:p w14:paraId="731D1497">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31、履约保证金</w:t>
      </w:r>
    </w:p>
    <w:p w14:paraId="3DABDBD8">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bCs/>
          <w:color w:val="000000"/>
          <w:sz w:val="24"/>
          <w:szCs w:val="24"/>
        </w:rPr>
        <w:t>31.1</w:t>
      </w:r>
      <w:r>
        <w:rPr>
          <w:rFonts w:hint="eastAsia" w:ascii="宋体" w:hAnsi="宋体" w:cs="宋体"/>
          <w:sz w:val="24"/>
          <w:szCs w:val="24"/>
        </w:rPr>
        <w:t>本项目不收取履约保证金。</w:t>
      </w:r>
    </w:p>
    <w:p w14:paraId="051DB208">
      <w:pPr>
        <w:pStyle w:val="28"/>
        <w:spacing w:line="360" w:lineRule="auto"/>
        <w:rPr>
          <w:rFonts w:hint="eastAsia" w:ascii="宋体" w:hAnsi="宋体" w:cs="宋体"/>
          <w:sz w:val="24"/>
          <w:szCs w:val="24"/>
        </w:rPr>
      </w:pPr>
      <w:r>
        <w:rPr>
          <w:rFonts w:hint="eastAsia" w:ascii="宋体" w:hAnsi="宋体" w:cs="宋体"/>
          <w:sz w:val="24"/>
          <w:szCs w:val="24"/>
        </w:rPr>
        <w:t>八、其他</w:t>
      </w:r>
    </w:p>
    <w:p w14:paraId="5F43981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32、</w:t>
      </w:r>
      <w:r>
        <w:rPr>
          <w:rFonts w:hint="eastAsia" w:ascii="宋体" w:hAnsi="宋体" w:cs="宋体"/>
          <w:color w:val="000000"/>
          <w:sz w:val="24"/>
          <w:szCs w:val="24"/>
        </w:rPr>
        <w:t>未尽事宜按国家有关规定执行。</w:t>
      </w:r>
    </w:p>
    <w:p w14:paraId="3F2EE3F4">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33、</w:t>
      </w:r>
      <w:r>
        <w:rPr>
          <w:rFonts w:hint="eastAsia" w:ascii="宋体" w:hAnsi="宋体" w:cs="宋体"/>
          <w:color w:val="000000"/>
          <w:sz w:val="24"/>
          <w:szCs w:val="24"/>
        </w:rPr>
        <w:t>本招标文件最终解释权归采购人。</w:t>
      </w:r>
    </w:p>
    <w:p w14:paraId="04EBDE90">
      <w:pPr>
        <w:pStyle w:val="2"/>
        <w:keepNext w:val="0"/>
        <w:keepLines w:val="0"/>
        <w:pageBreakBefore/>
        <w:spacing w:before="120" w:after="120" w:line="400" w:lineRule="exact"/>
        <w:jc w:val="center"/>
        <w:rPr>
          <w:rFonts w:hint="eastAsia" w:ascii="宋体" w:hAnsi="宋体" w:cs="宋体"/>
          <w:b w:val="0"/>
          <w:bCs w:val="0"/>
          <w:kern w:val="0"/>
          <w:sz w:val="24"/>
          <w:szCs w:val="24"/>
        </w:rPr>
      </w:pPr>
      <w:bookmarkStart w:id="32" w:name="_Toc5200"/>
      <w:bookmarkStart w:id="33" w:name="_Toc18952"/>
      <w:r>
        <w:rPr>
          <w:rFonts w:hint="eastAsia" w:ascii="宋体" w:hAnsi="宋体" w:cs="宋体"/>
          <w:sz w:val="36"/>
          <w:szCs w:val="36"/>
        </w:rPr>
        <w:t>第三章 评标办法</w:t>
      </w:r>
      <w:bookmarkEnd w:id="32"/>
      <w:bookmarkEnd w:id="33"/>
    </w:p>
    <w:p w14:paraId="67C5E266">
      <w:pPr>
        <w:pStyle w:val="27"/>
        <w:keepNext w:val="0"/>
        <w:keepLines w:val="0"/>
        <w:tabs>
          <w:tab w:val="left" w:pos="540"/>
        </w:tabs>
        <w:spacing w:before="0" w:line="360" w:lineRule="auto"/>
        <w:jc w:val="left"/>
        <w:rPr>
          <w:rFonts w:hint="eastAsia" w:ascii="宋体" w:hAnsi="宋体" w:eastAsia="宋体"/>
          <w:sz w:val="24"/>
          <w:szCs w:val="24"/>
        </w:rPr>
      </w:pPr>
      <w:bookmarkStart w:id="34" w:name="_Toc38013557"/>
      <w:bookmarkStart w:id="35" w:name="_Toc28251232"/>
      <w:bookmarkStart w:id="36" w:name="_Toc13844"/>
      <w:bookmarkStart w:id="37" w:name="_Toc11528"/>
      <w:r>
        <w:rPr>
          <w:rFonts w:hint="eastAsia" w:ascii="宋体" w:hAnsi="宋体" w:eastAsia="宋体"/>
          <w:sz w:val="24"/>
          <w:szCs w:val="24"/>
        </w:rPr>
        <w:t>1.评标方法</w:t>
      </w:r>
      <w:bookmarkEnd w:id="34"/>
      <w:bookmarkEnd w:id="35"/>
      <w:bookmarkEnd w:id="36"/>
      <w:bookmarkEnd w:id="37"/>
    </w:p>
    <w:p w14:paraId="2D8B43B7">
      <w:pPr>
        <w:spacing w:line="360" w:lineRule="auto"/>
        <w:ind w:firstLine="480" w:firstLineChars="200"/>
        <w:rPr>
          <w:rFonts w:hint="eastAsia" w:ascii="宋体" w:hAnsi="宋体" w:cs="宋体"/>
          <w:sz w:val="24"/>
          <w:szCs w:val="24"/>
        </w:rPr>
      </w:pPr>
      <w:r>
        <w:rPr>
          <w:rFonts w:hint="eastAsia" w:ascii="宋体" w:hAnsi="宋体" w:cs="宋体"/>
          <w:sz w:val="24"/>
          <w:szCs w:val="24"/>
        </w:rPr>
        <w:t>本次评标采用综合评分法。评标委员会对满足招标文件实质性要求的投标文件，按本章节规定的评分标准进行综合评分，并按得分由高到低顺序推荐3名中标候选人。综合评分相等时，由招标人根据相关规定自行确定。</w:t>
      </w:r>
    </w:p>
    <w:p w14:paraId="52B18318">
      <w:pPr>
        <w:pStyle w:val="27"/>
        <w:keepNext w:val="0"/>
        <w:keepLines w:val="0"/>
        <w:tabs>
          <w:tab w:val="left" w:pos="540"/>
        </w:tabs>
        <w:spacing w:before="0" w:line="360" w:lineRule="auto"/>
        <w:jc w:val="left"/>
        <w:rPr>
          <w:rFonts w:hint="eastAsia" w:ascii="宋体" w:hAnsi="宋体" w:eastAsia="宋体"/>
          <w:sz w:val="24"/>
          <w:szCs w:val="24"/>
        </w:rPr>
      </w:pPr>
      <w:bookmarkStart w:id="38" w:name="_Toc179632619"/>
      <w:bookmarkEnd w:id="38"/>
      <w:bookmarkStart w:id="39" w:name="_Toc19618"/>
      <w:bookmarkEnd w:id="39"/>
      <w:bookmarkStart w:id="40" w:name="_Toc28030"/>
      <w:bookmarkEnd w:id="40"/>
      <w:bookmarkStart w:id="41" w:name="_Toc29880"/>
      <w:bookmarkStart w:id="42" w:name="_Toc28251233"/>
      <w:bookmarkStart w:id="43" w:name="_Toc3105"/>
      <w:bookmarkStart w:id="44" w:name="_Toc38013558"/>
      <w:bookmarkStart w:id="45" w:name="_Toc22883"/>
      <w:r>
        <w:rPr>
          <w:rFonts w:hint="eastAsia" w:ascii="宋体" w:hAnsi="宋体" w:eastAsia="宋体"/>
          <w:sz w:val="24"/>
          <w:szCs w:val="24"/>
        </w:rPr>
        <w:t>2. 评审标准</w:t>
      </w:r>
      <w:bookmarkEnd w:id="41"/>
      <w:bookmarkEnd w:id="42"/>
      <w:bookmarkEnd w:id="43"/>
      <w:bookmarkEnd w:id="44"/>
      <w:bookmarkEnd w:id="45"/>
    </w:p>
    <w:p w14:paraId="7EFF11B9">
      <w:pPr>
        <w:pStyle w:val="29"/>
        <w:keepNext w:val="0"/>
        <w:keepLines w:val="0"/>
        <w:spacing w:line="360" w:lineRule="auto"/>
        <w:jc w:val="left"/>
        <w:rPr>
          <w:rFonts w:hint="eastAsia" w:ascii="宋体" w:hAnsi="宋体" w:eastAsia="宋体"/>
        </w:rPr>
      </w:pPr>
      <w:bookmarkStart w:id="46" w:name="_Toc12931"/>
      <w:bookmarkEnd w:id="46"/>
      <w:bookmarkStart w:id="47" w:name="_Toc23196"/>
      <w:bookmarkEnd w:id="47"/>
      <w:bookmarkStart w:id="48" w:name="_Toc179632620"/>
      <w:bookmarkEnd w:id="48"/>
      <w:bookmarkStart w:id="49" w:name="_Toc31847"/>
      <w:bookmarkEnd w:id="49"/>
      <w:bookmarkStart w:id="50" w:name="_Toc8346"/>
      <w:bookmarkStart w:id="51" w:name="_Toc16690667"/>
      <w:bookmarkStart w:id="52" w:name="_Toc28251234"/>
      <w:bookmarkStart w:id="53" w:name="_Toc8794"/>
      <w:bookmarkStart w:id="54" w:name="_Toc38013559"/>
      <w:r>
        <w:rPr>
          <w:rFonts w:hint="eastAsia" w:ascii="宋体" w:hAnsi="宋体" w:eastAsia="宋体"/>
        </w:rPr>
        <w:t>2.1初步评审标准</w:t>
      </w:r>
      <w:bookmarkEnd w:id="50"/>
      <w:bookmarkEnd w:id="51"/>
      <w:bookmarkEnd w:id="52"/>
      <w:bookmarkEnd w:id="53"/>
      <w:bookmarkEnd w:id="54"/>
    </w:p>
    <w:p w14:paraId="1A57D687">
      <w:pPr>
        <w:spacing w:line="360" w:lineRule="auto"/>
        <w:ind w:firstLine="480" w:firstLineChars="200"/>
        <w:rPr>
          <w:rFonts w:hint="eastAsia" w:ascii="宋体" w:hAnsi="宋体" w:cs="宋体"/>
          <w:sz w:val="24"/>
          <w:szCs w:val="24"/>
        </w:rPr>
      </w:pPr>
      <w:r>
        <w:rPr>
          <w:rFonts w:hint="eastAsia" w:ascii="宋体" w:hAnsi="宋体" w:cs="宋体"/>
          <w:sz w:val="24"/>
          <w:szCs w:val="24"/>
        </w:rPr>
        <w:t>2.1.1 形式评审标准：见评标办法前附表。</w:t>
      </w:r>
    </w:p>
    <w:p w14:paraId="36CDB74F">
      <w:pPr>
        <w:spacing w:line="360" w:lineRule="auto"/>
        <w:ind w:firstLine="480" w:firstLineChars="200"/>
        <w:rPr>
          <w:rFonts w:hint="eastAsia" w:ascii="宋体" w:hAnsi="宋体" w:cs="宋体"/>
          <w:sz w:val="24"/>
          <w:szCs w:val="24"/>
        </w:rPr>
      </w:pPr>
      <w:r>
        <w:rPr>
          <w:rFonts w:hint="eastAsia" w:ascii="宋体" w:hAnsi="宋体" w:cs="宋体"/>
          <w:sz w:val="24"/>
          <w:szCs w:val="24"/>
        </w:rPr>
        <w:t>2.1.2 资格评审标准：见评标办法前附表。</w:t>
      </w:r>
    </w:p>
    <w:p w14:paraId="0CFE295E">
      <w:pPr>
        <w:spacing w:line="360" w:lineRule="auto"/>
        <w:ind w:firstLine="480" w:firstLineChars="200"/>
        <w:rPr>
          <w:rFonts w:hint="eastAsia" w:ascii="宋体" w:hAnsi="宋体" w:cs="宋体"/>
          <w:sz w:val="24"/>
          <w:szCs w:val="24"/>
        </w:rPr>
      </w:pPr>
      <w:r>
        <w:rPr>
          <w:rFonts w:hint="eastAsia" w:ascii="宋体" w:hAnsi="宋体" w:cs="宋体"/>
          <w:sz w:val="24"/>
          <w:szCs w:val="24"/>
        </w:rPr>
        <w:t>2.1.3 响应性评审标准：见评标办法前附表。</w:t>
      </w:r>
    </w:p>
    <w:p w14:paraId="0D85C28F">
      <w:pPr>
        <w:pStyle w:val="29"/>
        <w:keepNext w:val="0"/>
        <w:keepLines w:val="0"/>
        <w:spacing w:line="360" w:lineRule="auto"/>
        <w:jc w:val="left"/>
        <w:rPr>
          <w:rFonts w:hint="eastAsia" w:ascii="宋体" w:hAnsi="宋体" w:eastAsia="宋体"/>
        </w:rPr>
      </w:pPr>
      <w:bookmarkStart w:id="55" w:name="_Toc179632621"/>
      <w:bookmarkEnd w:id="55"/>
      <w:bookmarkStart w:id="56" w:name="_Toc607"/>
      <w:bookmarkEnd w:id="56"/>
      <w:bookmarkStart w:id="57" w:name="_Toc11804"/>
      <w:bookmarkEnd w:id="57"/>
      <w:bookmarkStart w:id="58" w:name="_Toc16603"/>
      <w:bookmarkEnd w:id="58"/>
      <w:bookmarkStart w:id="59" w:name="_Toc1342"/>
      <w:bookmarkStart w:id="60" w:name="_Toc38013560"/>
      <w:bookmarkStart w:id="61" w:name="_Toc17361"/>
      <w:bookmarkStart w:id="62" w:name="_Toc16690668"/>
      <w:bookmarkStart w:id="63" w:name="_Toc28251235"/>
      <w:r>
        <w:rPr>
          <w:rFonts w:hint="eastAsia" w:ascii="宋体" w:hAnsi="宋体" w:eastAsia="宋体"/>
        </w:rPr>
        <w:t>2.2 分值构成与评分标准</w:t>
      </w:r>
      <w:bookmarkEnd w:id="59"/>
      <w:bookmarkEnd w:id="60"/>
      <w:bookmarkEnd w:id="61"/>
      <w:bookmarkEnd w:id="62"/>
      <w:bookmarkEnd w:id="63"/>
    </w:p>
    <w:p w14:paraId="5F859F65">
      <w:pPr>
        <w:spacing w:line="360" w:lineRule="auto"/>
        <w:ind w:firstLine="480" w:firstLineChars="200"/>
        <w:rPr>
          <w:rFonts w:hint="eastAsia" w:ascii="宋体" w:hAnsi="宋体" w:cs="宋体"/>
          <w:sz w:val="24"/>
          <w:szCs w:val="24"/>
        </w:rPr>
      </w:pPr>
      <w:r>
        <w:rPr>
          <w:rFonts w:hint="eastAsia" w:ascii="宋体" w:hAnsi="宋体" w:cs="宋体"/>
          <w:sz w:val="24"/>
          <w:szCs w:val="24"/>
        </w:rPr>
        <w:t>2.2.1 分值构成：见详细评审表。</w:t>
      </w:r>
    </w:p>
    <w:p w14:paraId="2440CF6B">
      <w:pPr>
        <w:spacing w:line="360" w:lineRule="auto"/>
        <w:ind w:firstLine="480" w:firstLineChars="200"/>
        <w:rPr>
          <w:rFonts w:hint="eastAsia" w:ascii="宋体" w:hAnsi="宋体" w:cs="宋体"/>
          <w:sz w:val="24"/>
          <w:szCs w:val="24"/>
        </w:rPr>
      </w:pPr>
      <w:r>
        <w:rPr>
          <w:rFonts w:hint="eastAsia" w:ascii="宋体" w:hAnsi="宋体" w:cs="宋体"/>
          <w:sz w:val="24"/>
          <w:szCs w:val="24"/>
        </w:rPr>
        <w:t>2.2.2 评分标准：见详细评审表。</w:t>
      </w:r>
    </w:p>
    <w:p w14:paraId="6561FAA9">
      <w:pPr>
        <w:pStyle w:val="27"/>
        <w:keepNext w:val="0"/>
        <w:keepLines w:val="0"/>
        <w:tabs>
          <w:tab w:val="left" w:pos="540"/>
        </w:tabs>
        <w:spacing w:before="0" w:line="360" w:lineRule="auto"/>
        <w:jc w:val="left"/>
        <w:rPr>
          <w:rFonts w:hint="eastAsia" w:ascii="宋体" w:hAnsi="宋体" w:eastAsia="宋体"/>
          <w:sz w:val="24"/>
          <w:szCs w:val="24"/>
        </w:rPr>
      </w:pPr>
      <w:bookmarkStart w:id="64" w:name="_Toc13158"/>
      <w:bookmarkEnd w:id="64"/>
      <w:bookmarkStart w:id="65" w:name="_Toc179632622"/>
      <w:bookmarkEnd w:id="65"/>
      <w:bookmarkStart w:id="66" w:name="_Toc11715"/>
      <w:bookmarkEnd w:id="66"/>
      <w:bookmarkStart w:id="67" w:name="_Toc144974571"/>
      <w:bookmarkEnd w:id="67"/>
      <w:bookmarkStart w:id="68" w:name="_Toc152045604"/>
      <w:bookmarkEnd w:id="68"/>
      <w:bookmarkStart w:id="69" w:name="_Toc25534"/>
      <w:bookmarkEnd w:id="69"/>
      <w:bookmarkStart w:id="70" w:name="_Toc152042381"/>
      <w:bookmarkStart w:id="71" w:name="_Toc30473"/>
      <w:bookmarkStart w:id="72" w:name="_Toc38013561"/>
      <w:bookmarkStart w:id="73" w:name="_Toc28251236"/>
      <w:bookmarkStart w:id="74" w:name="_Toc32601"/>
      <w:r>
        <w:rPr>
          <w:rFonts w:hint="eastAsia" w:ascii="宋体" w:hAnsi="宋体" w:eastAsia="宋体"/>
          <w:sz w:val="24"/>
          <w:szCs w:val="24"/>
        </w:rPr>
        <w:t>3. 评标程序</w:t>
      </w:r>
      <w:bookmarkEnd w:id="70"/>
      <w:bookmarkEnd w:id="71"/>
      <w:bookmarkEnd w:id="72"/>
      <w:bookmarkEnd w:id="73"/>
      <w:bookmarkEnd w:id="74"/>
    </w:p>
    <w:p w14:paraId="7ADA0779">
      <w:pPr>
        <w:pStyle w:val="29"/>
        <w:keepNext w:val="0"/>
        <w:keepLines w:val="0"/>
        <w:spacing w:line="360" w:lineRule="auto"/>
        <w:jc w:val="left"/>
        <w:rPr>
          <w:rFonts w:hint="eastAsia" w:ascii="宋体" w:hAnsi="宋体" w:eastAsia="宋体"/>
          <w:b/>
        </w:rPr>
      </w:pPr>
      <w:bookmarkStart w:id="75" w:name="_Toc152042382"/>
      <w:bookmarkEnd w:id="75"/>
      <w:bookmarkStart w:id="76" w:name="_Toc144974572"/>
      <w:bookmarkEnd w:id="76"/>
      <w:bookmarkStart w:id="77" w:name="_Toc8644"/>
      <w:bookmarkEnd w:id="77"/>
      <w:bookmarkStart w:id="78" w:name="_Toc31010"/>
      <w:bookmarkEnd w:id="78"/>
      <w:bookmarkStart w:id="79" w:name="_Toc152045605"/>
      <w:bookmarkEnd w:id="79"/>
      <w:bookmarkStart w:id="80" w:name="_Toc30372"/>
      <w:bookmarkEnd w:id="80"/>
      <w:bookmarkStart w:id="81" w:name="_Toc38013562"/>
      <w:bookmarkStart w:id="82" w:name="_Toc179632623"/>
      <w:bookmarkStart w:id="83" w:name="_Toc16690670"/>
      <w:bookmarkStart w:id="84" w:name="_Toc11875"/>
      <w:bookmarkStart w:id="85" w:name="_Toc12409"/>
      <w:bookmarkStart w:id="86" w:name="_Toc28251237"/>
      <w:r>
        <w:rPr>
          <w:rFonts w:hint="eastAsia" w:ascii="宋体" w:hAnsi="宋体" w:eastAsia="宋体"/>
        </w:rPr>
        <w:t>3.1 初步评审</w:t>
      </w:r>
      <w:bookmarkEnd w:id="81"/>
      <w:bookmarkEnd w:id="82"/>
      <w:bookmarkEnd w:id="83"/>
      <w:bookmarkEnd w:id="84"/>
      <w:bookmarkEnd w:id="85"/>
      <w:bookmarkEnd w:id="86"/>
    </w:p>
    <w:p w14:paraId="195DA43F">
      <w:pPr>
        <w:spacing w:line="360" w:lineRule="auto"/>
        <w:ind w:firstLine="480" w:firstLineChars="200"/>
        <w:rPr>
          <w:rFonts w:hint="eastAsia" w:ascii="宋体" w:hAnsi="宋体" w:cs="宋体"/>
          <w:sz w:val="24"/>
          <w:szCs w:val="24"/>
        </w:rPr>
      </w:pPr>
      <w:r>
        <w:rPr>
          <w:rFonts w:hint="eastAsia" w:ascii="宋体" w:hAnsi="宋体" w:cs="宋体"/>
          <w:sz w:val="24"/>
          <w:szCs w:val="24"/>
        </w:rPr>
        <w:t>3.1.1招标人根据本章规定得资格评审办法对投标人进行资格审查，资格审查资料以投标人投标文件中所附资料为准，进行核验。</w:t>
      </w:r>
      <w:r>
        <w:rPr>
          <w:rFonts w:hint="eastAsia" w:ascii="宋体" w:hAnsi="宋体" w:cs="宋体"/>
          <w:bCs/>
          <w:sz w:val="24"/>
          <w:szCs w:val="24"/>
        </w:rPr>
        <w:t>通过资格审查的投标人由</w:t>
      </w:r>
      <w:r>
        <w:rPr>
          <w:rFonts w:hint="eastAsia" w:ascii="宋体" w:hAnsi="宋体" w:cs="宋体"/>
          <w:sz w:val="24"/>
          <w:szCs w:val="24"/>
        </w:rPr>
        <w:t>评标小组依据本章第2.1款规定的标准对投标文件进行</w:t>
      </w:r>
      <w:r>
        <w:rPr>
          <w:rFonts w:hint="eastAsia" w:ascii="宋体" w:hAnsi="宋体" w:cs="宋体"/>
          <w:bCs/>
          <w:sz w:val="24"/>
          <w:szCs w:val="24"/>
        </w:rPr>
        <w:t>形式评审、响应性评审</w:t>
      </w:r>
      <w:r>
        <w:rPr>
          <w:rFonts w:hint="eastAsia" w:ascii="宋体" w:hAnsi="宋体" w:cs="宋体"/>
          <w:sz w:val="24"/>
          <w:szCs w:val="24"/>
        </w:rPr>
        <w:t>。有一项不符合评审标准的，其投标将被否决。</w:t>
      </w:r>
    </w:p>
    <w:p w14:paraId="3872BEF5">
      <w:pPr>
        <w:spacing w:line="360" w:lineRule="auto"/>
        <w:ind w:firstLine="480" w:firstLineChars="200"/>
        <w:rPr>
          <w:rFonts w:hint="eastAsia" w:ascii="宋体" w:hAnsi="宋体" w:cs="宋体"/>
          <w:sz w:val="24"/>
          <w:szCs w:val="24"/>
        </w:rPr>
      </w:pPr>
      <w:r>
        <w:rPr>
          <w:rFonts w:hint="eastAsia" w:ascii="宋体" w:hAnsi="宋体" w:cs="宋体"/>
          <w:sz w:val="24"/>
          <w:szCs w:val="24"/>
        </w:rPr>
        <w:t>3.1.2供应商有以下情形之一的，其投标作无效标处理：</w:t>
      </w:r>
    </w:p>
    <w:p w14:paraId="25148E14">
      <w:pPr>
        <w:spacing w:line="360" w:lineRule="auto"/>
        <w:ind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209B5D46">
      <w:pPr>
        <w:spacing w:line="360" w:lineRule="auto"/>
        <w:ind w:firstLine="480" w:firstLineChars="200"/>
        <w:rPr>
          <w:rFonts w:hint="eastAsia" w:ascii="宋体" w:hAnsi="宋体" w:cs="宋体"/>
          <w:sz w:val="24"/>
          <w:szCs w:val="24"/>
        </w:rPr>
      </w:pPr>
      <w:r>
        <w:rPr>
          <w:rFonts w:hint="eastAsia" w:ascii="宋体" w:hAnsi="宋体" w:cs="宋体"/>
          <w:sz w:val="24"/>
          <w:szCs w:val="24"/>
        </w:rPr>
        <w:t>（2）不按评标小组要求澄清、说明或补正的。</w:t>
      </w:r>
    </w:p>
    <w:p w14:paraId="03560F44">
      <w:pPr>
        <w:spacing w:line="360" w:lineRule="auto"/>
        <w:ind w:firstLine="480" w:firstLineChars="200"/>
        <w:rPr>
          <w:rFonts w:hint="eastAsia" w:ascii="宋体" w:hAnsi="宋体" w:cs="宋体"/>
          <w:sz w:val="24"/>
          <w:szCs w:val="24"/>
        </w:rPr>
      </w:pPr>
      <w:r>
        <w:rPr>
          <w:rFonts w:hint="eastAsia" w:ascii="宋体" w:hAnsi="宋体" w:cs="宋体"/>
          <w:sz w:val="24"/>
          <w:szCs w:val="24"/>
        </w:rPr>
        <w:t>3.1.3投标报价有算术错误的，评标小组按以下原则对投标报价进行修正，修正的价格经供应商书面确认后具有约束力。供应商不接受修正价格的，其投标将被否决。</w:t>
      </w:r>
    </w:p>
    <w:p w14:paraId="17944619">
      <w:pPr>
        <w:spacing w:line="360" w:lineRule="auto"/>
        <w:ind w:firstLine="480" w:firstLineChars="200"/>
        <w:rPr>
          <w:rFonts w:hint="eastAsia" w:ascii="宋体" w:hAnsi="宋体" w:cs="宋体"/>
          <w:sz w:val="24"/>
          <w:szCs w:val="24"/>
        </w:rPr>
      </w:pPr>
      <w:bookmarkStart w:id="87" w:name="_Toc152042383"/>
      <w:bookmarkEnd w:id="87"/>
      <w:r>
        <w:rPr>
          <w:rFonts w:hint="eastAsia" w:ascii="宋体" w:hAnsi="宋体" w:cs="宋体"/>
          <w:sz w:val="24"/>
          <w:szCs w:val="24"/>
        </w:rPr>
        <w:t>（1）投标文件中的大写金额与小写金额不一致的，以大写金额为准；</w:t>
      </w:r>
    </w:p>
    <w:p w14:paraId="2E51EEDF">
      <w:pPr>
        <w:spacing w:line="360" w:lineRule="auto"/>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845A6EC">
      <w:pPr>
        <w:pStyle w:val="29"/>
        <w:keepNext w:val="0"/>
        <w:keepLines w:val="0"/>
        <w:spacing w:line="360" w:lineRule="auto"/>
        <w:jc w:val="left"/>
        <w:rPr>
          <w:rFonts w:hint="eastAsia" w:ascii="宋体" w:hAnsi="宋体" w:eastAsia="宋体"/>
          <w:b/>
        </w:rPr>
      </w:pPr>
      <w:bookmarkStart w:id="88" w:name="_Toc152042384"/>
      <w:bookmarkEnd w:id="88"/>
      <w:bookmarkStart w:id="89" w:name="_Toc179632624"/>
      <w:bookmarkEnd w:id="89"/>
      <w:bookmarkStart w:id="90" w:name="_Toc144974573"/>
      <w:bookmarkEnd w:id="90"/>
      <w:bookmarkStart w:id="91" w:name="_Toc32019"/>
      <w:bookmarkStart w:id="92" w:name="_Toc152045606"/>
      <w:bookmarkStart w:id="93" w:name="_Toc28251238"/>
      <w:bookmarkStart w:id="94" w:name="_Toc18657"/>
      <w:bookmarkStart w:id="95" w:name="_Toc16690671"/>
      <w:bookmarkStart w:id="96" w:name="_Toc38013563"/>
      <w:r>
        <w:rPr>
          <w:rFonts w:hint="eastAsia" w:ascii="宋体" w:hAnsi="宋体" w:eastAsia="宋体"/>
        </w:rPr>
        <w:t>3.2详细评审</w:t>
      </w:r>
      <w:bookmarkEnd w:id="91"/>
      <w:bookmarkEnd w:id="92"/>
      <w:bookmarkEnd w:id="93"/>
      <w:bookmarkEnd w:id="94"/>
      <w:bookmarkEnd w:id="95"/>
      <w:bookmarkEnd w:id="96"/>
    </w:p>
    <w:p w14:paraId="43217145">
      <w:pPr>
        <w:spacing w:line="360" w:lineRule="auto"/>
        <w:ind w:firstLine="480" w:firstLineChars="200"/>
        <w:rPr>
          <w:rFonts w:hint="eastAsia" w:ascii="宋体" w:hAnsi="宋体" w:cs="宋体"/>
          <w:sz w:val="24"/>
          <w:szCs w:val="24"/>
        </w:rPr>
      </w:pPr>
      <w:r>
        <w:rPr>
          <w:rFonts w:hint="eastAsia" w:ascii="宋体" w:hAnsi="宋体" w:cs="宋体"/>
          <w:sz w:val="24"/>
          <w:szCs w:val="24"/>
        </w:rPr>
        <w:t>3.2.1评标小组按本章第2.2款规定的量化因素和分值进行打分，并计算出综合评估得分。</w:t>
      </w:r>
    </w:p>
    <w:p w14:paraId="75032D1E">
      <w:pPr>
        <w:spacing w:line="360" w:lineRule="auto"/>
        <w:ind w:firstLine="480" w:firstLineChars="200"/>
        <w:rPr>
          <w:rFonts w:hint="eastAsia" w:ascii="宋体" w:hAnsi="宋体" w:cs="宋体"/>
          <w:sz w:val="24"/>
          <w:szCs w:val="24"/>
        </w:rPr>
      </w:pPr>
      <w:r>
        <w:rPr>
          <w:rFonts w:hint="eastAsia" w:ascii="宋体" w:hAnsi="宋体" w:cs="宋体"/>
          <w:sz w:val="24"/>
          <w:szCs w:val="24"/>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14:paraId="15E6DBED">
      <w:pPr>
        <w:pStyle w:val="29"/>
        <w:keepNext w:val="0"/>
        <w:keepLines w:val="0"/>
        <w:spacing w:line="360" w:lineRule="auto"/>
        <w:jc w:val="left"/>
        <w:rPr>
          <w:rFonts w:hint="eastAsia" w:ascii="宋体" w:hAnsi="宋体" w:eastAsia="宋体"/>
        </w:rPr>
      </w:pPr>
      <w:bookmarkStart w:id="97" w:name="_Toc144974575"/>
      <w:bookmarkEnd w:id="97"/>
      <w:bookmarkStart w:id="98" w:name="_Toc466566711"/>
      <w:bookmarkEnd w:id="98"/>
      <w:bookmarkStart w:id="99" w:name="_Toc466566800"/>
      <w:bookmarkEnd w:id="99"/>
      <w:bookmarkStart w:id="100" w:name="_Toc418605429"/>
      <w:bookmarkEnd w:id="100"/>
      <w:bookmarkStart w:id="101" w:name="_Toc179632625"/>
      <w:bookmarkEnd w:id="101"/>
      <w:bookmarkStart w:id="102" w:name="_Toc421698384"/>
      <w:bookmarkEnd w:id="102"/>
      <w:bookmarkStart w:id="103" w:name="_Toc421805017"/>
      <w:bookmarkEnd w:id="103"/>
      <w:bookmarkStart w:id="104" w:name="_Toc152042385"/>
      <w:bookmarkEnd w:id="104"/>
      <w:bookmarkStart w:id="105" w:name="_Toc401512224"/>
      <w:bookmarkEnd w:id="105"/>
      <w:bookmarkStart w:id="106" w:name="_Toc401926485"/>
      <w:bookmarkEnd w:id="106"/>
      <w:bookmarkStart w:id="107" w:name="_Toc389384087"/>
      <w:bookmarkEnd w:id="107"/>
      <w:bookmarkStart w:id="108" w:name="_Toc418608950"/>
      <w:bookmarkEnd w:id="108"/>
      <w:bookmarkStart w:id="109" w:name="_Toc387498748"/>
      <w:bookmarkEnd w:id="109"/>
      <w:bookmarkStart w:id="110" w:name="_Toc423358132"/>
      <w:bookmarkEnd w:id="110"/>
      <w:bookmarkStart w:id="111" w:name="_Toc152045607"/>
      <w:bookmarkStart w:id="112" w:name="_Toc28251239"/>
      <w:bookmarkStart w:id="113" w:name="_Toc38013564"/>
      <w:bookmarkStart w:id="114" w:name="_Toc5619"/>
      <w:bookmarkStart w:id="115" w:name="_Toc16690672"/>
      <w:bookmarkStart w:id="116" w:name="_Toc17285"/>
      <w:r>
        <w:rPr>
          <w:rFonts w:hint="eastAsia" w:ascii="宋体" w:hAnsi="宋体" w:eastAsia="宋体"/>
        </w:rPr>
        <w:t xml:space="preserve">3.3 </w:t>
      </w:r>
      <w:bookmarkEnd w:id="111"/>
      <w:r>
        <w:rPr>
          <w:rFonts w:hint="eastAsia" w:ascii="宋体" w:hAnsi="宋体" w:eastAsia="宋体"/>
        </w:rPr>
        <w:t>投标文件的澄清和补正</w:t>
      </w:r>
      <w:bookmarkEnd w:id="112"/>
      <w:bookmarkEnd w:id="113"/>
      <w:bookmarkEnd w:id="114"/>
      <w:bookmarkEnd w:id="115"/>
      <w:bookmarkEnd w:id="116"/>
    </w:p>
    <w:p w14:paraId="548FC8AC">
      <w:pPr>
        <w:spacing w:line="360" w:lineRule="auto"/>
        <w:ind w:firstLine="480" w:firstLineChars="200"/>
        <w:rPr>
          <w:rFonts w:hint="eastAsia" w:ascii="宋体" w:hAnsi="宋体" w:cs="宋体"/>
          <w:sz w:val="24"/>
          <w:szCs w:val="24"/>
        </w:rPr>
      </w:pPr>
      <w:r>
        <w:rPr>
          <w:rFonts w:hint="eastAsia" w:ascii="宋体" w:hAnsi="宋体" w:cs="宋体"/>
          <w:sz w:val="24"/>
          <w:szCs w:val="24"/>
        </w:rPr>
        <w:t>3.3.1</w:t>
      </w:r>
      <w:r>
        <w:rPr>
          <w:rFonts w:hint="eastAsia" w:ascii="宋体" w:hAnsi="宋体" w:cs="宋体"/>
          <w:color w:val="000000"/>
          <w:sz w:val="24"/>
          <w:szCs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cs="宋体"/>
          <w:sz w:val="24"/>
          <w:szCs w:val="24"/>
        </w:rPr>
        <w:t>评标小组不接受供应商主动提出的澄清、说明或补正。</w:t>
      </w:r>
    </w:p>
    <w:p w14:paraId="2B124374">
      <w:pPr>
        <w:spacing w:line="360" w:lineRule="auto"/>
        <w:ind w:firstLine="480" w:firstLineChars="200"/>
        <w:rPr>
          <w:rFonts w:hint="eastAsia" w:ascii="宋体" w:hAnsi="宋体" w:cs="宋体"/>
          <w:sz w:val="24"/>
          <w:szCs w:val="24"/>
        </w:rPr>
      </w:pPr>
      <w:r>
        <w:rPr>
          <w:rFonts w:hint="eastAsia" w:ascii="宋体" w:hAnsi="宋体" w:cs="宋体"/>
          <w:sz w:val="24"/>
          <w:szCs w:val="24"/>
        </w:rPr>
        <w:t>3.3.2 澄清、说明和补正不得改变投标文件的实质性内容（算术性错误修正的除外）。供应商的书面澄清、说明和补正属于投标文件的组成部分。</w:t>
      </w:r>
    </w:p>
    <w:p w14:paraId="76B2923A">
      <w:pPr>
        <w:spacing w:line="360" w:lineRule="auto"/>
        <w:ind w:firstLine="480" w:firstLineChars="200"/>
        <w:rPr>
          <w:rFonts w:hint="eastAsia" w:ascii="宋体" w:hAnsi="宋体" w:cs="宋体"/>
          <w:sz w:val="24"/>
          <w:szCs w:val="24"/>
        </w:rPr>
      </w:pPr>
      <w:r>
        <w:rPr>
          <w:rFonts w:hint="eastAsia" w:ascii="宋体" w:hAnsi="宋体" w:cs="宋体"/>
          <w:sz w:val="24"/>
          <w:szCs w:val="24"/>
        </w:rPr>
        <w:t>3.3.3 评标小组对供应商提交的澄清、说明或补正有疑问的，可以要求供应商进一步澄清、说明或补正，直至满足评标小组的要求。</w:t>
      </w:r>
    </w:p>
    <w:p w14:paraId="3BA0BA26">
      <w:pPr>
        <w:pStyle w:val="29"/>
        <w:keepNext w:val="0"/>
        <w:keepLines w:val="0"/>
        <w:spacing w:line="360" w:lineRule="auto"/>
        <w:jc w:val="left"/>
        <w:rPr>
          <w:rFonts w:hint="eastAsia" w:ascii="宋体" w:hAnsi="宋体" w:eastAsia="宋体"/>
          <w:b/>
        </w:rPr>
      </w:pPr>
      <w:bookmarkStart w:id="117" w:name="_Toc401512225"/>
      <w:bookmarkEnd w:id="117"/>
      <w:bookmarkStart w:id="118" w:name="_Toc179632626"/>
      <w:bookmarkEnd w:id="118"/>
      <w:bookmarkStart w:id="119" w:name="_Toc418608951"/>
      <w:bookmarkEnd w:id="119"/>
      <w:bookmarkStart w:id="120" w:name="_Toc466566712"/>
      <w:bookmarkEnd w:id="120"/>
      <w:bookmarkStart w:id="121" w:name="_Toc401926486"/>
      <w:bookmarkEnd w:id="121"/>
      <w:bookmarkStart w:id="122" w:name="_Toc152045608"/>
      <w:bookmarkEnd w:id="122"/>
      <w:bookmarkStart w:id="123" w:name="_Toc152042386"/>
      <w:bookmarkEnd w:id="123"/>
      <w:bookmarkStart w:id="124" w:name="_Toc466566801"/>
      <w:bookmarkEnd w:id="124"/>
      <w:bookmarkStart w:id="125" w:name="_Toc421698385"/>
      <w:bookmarkEnd w:id="125"/>
      <w:bookmarkStart w:id="126" w:name="_Toc421805018"/>
      <w:bookmarkEnd w:id="126"/>
      <w:bookmarkStart w:id="127" w:name="_Toc144974576"/>
      <w:bookmarkEnd w:id="127"/>
      <w:bookmarkStart w:id="128" w:name="_Toc418605430"/>
      <w:bookmarkEnd w:id="128"/>
      <w:bookmarkStart w:id="129" w:name="_Toc389384088"/>
      <w:bookmarkEnd w:id="129"/>
      <w:bookmarkStart w:id="130" w:name="_Toc423358133"/>
      <w:bookmarkEnd w:id="130"/>
      <w:bookmarkStart w:id="131" w:name="_Toc28251240"/>
      <w:bookmarkStart w:id="132" w:name="_Toc38013565"/>
      <w:bookmarkStart w:id="133" w:name="_Toc21242"/>
      <w:bookmarkStart w:id="134" w:name="_Toc16690673"/>
      <w:bookmarkStart w:id="135" w:name="_Toc29297"/>
      <w:bookmarkStart w:id="136" w:name="_Toc387498749"/>
      <w:r>
        <w:rPr>
          <w:rFonts w:hint="eastAsia" w:ascii="宋体" w:hAnsi="宋体" w:eastAsia="宋体"/>
        </w:rPr>
        <w:t>3.4供应商的总得分</w:t>
      </w:r>
      <w:bookmarkEnd w:id="131"/>
      <w:bookmarkEnd w:id="132"/>
      <w:bookmarkEnd w:id="133"/>
      <w:bookmarkEnd w:id="134"/>
      <w:bookmarkEnd w:id="135"/>
      <w:bookmarkEnd w:id="136"/>
    </w:p>
    <w:p w14:paraId="2012200B">
      <w:pPr>
        <w:spacing w:line="360" w:lineRule="auto"/>
        <w:ind w:firstLine="480" w:firstLineChars="200"/>
        <w:rPr>
          <w:rFonts w:hint="eastAsia" w:ascii="宋体" w:hAnsi="宋体" w:cs="宋体"/>
          <w:sz w:val="24"/>
          <w:szCs w:val="24"/>
        </w:rPr>
      </w:pPr>
      <w:r>
        <w:rPr>
          <w:rFonts w:hint="eastAsia" w:ascii="宋体" w:hAnsi="宋体" w:cs="宋体"/>
          <w:sz w:val="24"/>
          <w:szCs w:val="24"/>
        </w:rPr>
        <w:t>（1）评标小组完成对技术标、投标报价和商务标得分的汇总后，取平均值作为该供应商的最终得分。</w:t>
      </w:r>
    </w:p>
    <w:p w14:paraId="72641079">
      <w:pPr>
        <w:spacing w:line="360" w:lineRule="auto"/>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03D8E0EE">
      <w:pPr>
        <w:pStyle w:val="29"/>
        <w:keepNext w:val="0"/>
        <w:keepLines w:val="0"/>
        <w:spacing w:line="360" w:lineRule="auto"/>
        <w:jc w:val="left"/>
        <w:rPr>
          <w:rFonts w:hint="eastAsia" w:ascii="宋体" w:hAnsi="宋体" w:eastAsia="宋体"/>
          <w:b/>
        </w:rPr>
      </w:pPr>
      <w:bookmarkStart w:id="137" w:name="_Toc14812"/>
      <w:bookmarkStart w:id="138" w:name="_Toc20886"/>
      <w:bookmarkStart w:id="139" w:name="_Toc16690674"/>
      <w:bookmarkStart w:id="140" w:name="_Toc28251241"/>
      <w:bookmarkStart w:id="141" w:name="_Toc38013566"/>
      <w:r>
        <w:rPr>
          <w:rFonts w:hint="eastAsia" w:ascii="宋体" w:hAnsi="宋体" w:eastAsia="宋体"/>
        </w:rPr>
        <w:t>3.5评标结果</w:t>
      </w:r>
      <w:bookmarkEnd w:id="137"/>
      <w:bookmarkEnd w:id="138"/>
      <w:bookmarkEnd w:id="139"/>
      <w:bookmarkEnd w:id="140"/>
      <w:bookmarkEnd w:id="141"/>
    </w:p>
    <w:p w14:paraId="3239BE63">
      <w:pPr>
        <w:spacing w:line="360" w:lineRule="auto"/>
        <w:ind w:firstLine="480" w:firstLineChars="200"/>
        <w:rPr>
          <w:rFonts w:hint="eastAsia" w:ascii="宋体" w:hAnsi="宋体" w:cs="宋体"/>
          <w:sz w:val="24"/>
          <w:szCs w:val="24"/>
        </w:rPr>
      </w:pPr>
      <w:r>
        <w:rPr>
          <w:rFonts w:hint="eastAsia" w:ascii="宋体" w:hAnsi="宋体" w:cs="宋体"/>
          <w:sz w:val="24"/>
          <w:szCs w:val="24"/>
        </w:rPr>
        <w:t>3.5.1评标小组按照得分由高到低的顺序推荐3名中标候选人。</w:t>
      </w:r>
    </w:p>
    <w:p w14:paraId="6C49B115">
      <w:pPr>
        <w:spacing w:line="360" w:lineRule="auto"/>
        <w:ind w:firstLine="480" w:firstLineChars="200"/>
        <w:rPr>
          <w:rFonts w:hint="eastAsia" w:ascii="宋体" w:hAnsi="宋体" w:cs="宋体"/>
          <w:sz w:val="24"/>
          <w:szCs w:val="24"/>
        </w:rPr>
      </w:pPr>
      <w:r>
        <w:rPr>
          <w:rFonts w:hint="eastAsia" w:ascii="宋体" w:hAnsi="宋体" w:cs="宋体"/>
          <w:sz w:val="24"/>
          <w:szCs w:val="24"/>
        </w:rPr>
        <w:t>3.5.2评标小组完成评标后，应当向招标人提交书面评标报告。</w:t>
      </w:r>
    </w:p>
    <w:p w14:paraId="621B59A7">
      <w:pPr>
        <w:rPr>
          <w:rFonts w:hint="eastAsia" w:ascii="宋体" w:hAnsi="宋体" w:cs="宋体"/>
          <w:b/>
          <w:bCs/>
          <w:sz w:val="28"/>
          <w:szCs w:val="28"/>
          <w:highlight w:val="yellow"/>
        </w:rPr>
      </w:pPr>
      <w:bookmarkStart w:id="142" w:name="_Toc12961085"/>
      <w:bookmarkStart w:id="143" w:name="_Toc12959920"/>
      <w:r>
        <w:rPr>
          <w:rFonts w:hint="eastAsia" w:ascii="宋体" w:hAnsi="宋体" w:cs="宋体"/>
          <w:b/>
          <w:bCs/>
          <w:sz w:val="28"/>
          <w:szCs w:val="28"/>
          <w:highlight w:val="yellow"/>
        </w:rPr>
        <w:br w:type="page"/>
      </w:r>
    </w:p>
    <w:p w14:paraId="4E4B5294">
      <w:pPr>
        <w:spacing w:line="276" w:lineRule="auto"/>
        <w:jc w:val="center"/>
        <w:rPr>
          <w:rFonts w:hint="eastAsia" w:ascii="宋体" w:hAnsi="宋体" w:cs="宋体"/>
          <w:b/>
          <w:sz w:val="28"/>
          <w:szCs w:val="28"/>
        </w:rPr>
      </w:pPr>
      <w:r>
        <w:rPr>
          <w:rFonts w:hint="eastAsia" w:ascii="宋体" w:hAnsi="宋体" w:cs="宋体"/>
          <w:b/>
          <w:bCs/>
          <w:sz w:val="28"/>
          <w:szCs w:val="28"/>
        </w:rPr>
        <w:t>初步评审表</w:t>
      </w:r>
    </w:p>
    <w:tbl>
      <w:tblPr>
        <w:tblStyle w:val="22"/>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1982"/>
        <w:gridCol w:w="5430"/>
      </w:tblGrid>
      <w:tr w14:paraId="7B4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3AABDBB8">
            <w:pPr>
              <w:spacing w:line="360" w:lineRule="auto"/>
              <w:jc w:val="center"/>
              <w:rPr>
                <w:rFonts w:hint="eastAsia" w:ascii="宋体" w:hAnsi="宋体" w:cs="宋体"/>
                <w:b/>
                <w:bCs/>
              </w:rPr>
            </w:pPr>
            <w:r>
              <w:rPr>
                <w:rFonts w:hint="eastAsia" w:ascii="宋体" w:hAnsi="宋体" w:cs="宋体"/>
                <w:b/>
                <w:bCs/>
              </w:rPr>
              <w:t>条款号</w:t>
            </w:r>
          </w:p>
        </w:tc>
        <w:tc>
          <w:tcPr>
            <w:tcW w:w="1982" w:type="dxa"/>
            <w:tcBorders>
              <w:top w:val="single" w:color="auto" w:sz="4" w:space="0"/>
              <w:left w:val="nil"/>
              <w:bottom w:val="single" w:color="auto" w:sz="4" w:space="0"/>
              <w:right w:val="single" w:color="auto" w:sz="4" w:space="0"/>
            </w:tcBorders>
            <w:vAlign w:val="center"/>
          </w:tcPr>
          <w:p w14:paraId="6E190785">
            <w:pPr>
              <w:spacing w:line="360" w:lineRule="auto"/>
              <w:jc w:val="center"/>
              <w:rPr>
                <w:rFonts w:hint="eastAsia" w:ascii="宋体" w:hAnsi="宋体" w:cs="宋体"/>
                <w:b/>
                <w:bCs/>
              </w:rPr>
            </w:pPr>
            <w:r>
              <w:rPr>
                <w:rFonts w:hint="eastAsia" w:ascii="宋体" w:hAnsi="宋体" w:cs="宋体"/>
                <w:b/>
                <w:bCs/>
              </w:rPr>
              <w:t>评审因素</w:t>
            </w:r>
          </w:p>
        </w:tc>
        <w:tc>
          <w:tcPr>
            <w:tcW w:w="5430" w:type="dxa"/>
            <w:tcBorders>
              <w:top w:val="single" w:color="auto" w:sz="4" w:space="0"/>
              <w:left w:val="nil"/>
              <w:bottom w:val="single" w:color="auto" w:sz="4" w:space="0"/>
              <w:right w:val="single" w:color="auto" w:sz="4" w:space="0"/>
            </w:tcBorders>
            <w:vAlign w:val="center"/>
          </w:tcPr>
          <w:p w14:paraId="514265D0">
            <w:pPr>
              <w:spacing w:line="360" w:lineRule="auto"/>
              <w:jc w:val="center"/>
              <w:rPr>
                <w:rFonts w:hint="eastAsia" w:ascii="宋体" w:hAnsi="宋体" w:cs="宋体"/>
                <w:b/>
                <w:bCs/>
              </w:rPr>
            </w:pPr>
            <w:r>
              <w:rPr>
                <w:rFonts w:hint="eastAsia" w:ascii="宋体" w:hAnsi="宋体" w:cs="宋体"/>
                <w:b/>
                <w:bCs/>
              </w:rPr>
              <w:t>评审标准</w:t>
            </w:r>
          </w:p>
        </w:tc>
      </w:tr>
      <w:tr w14:paraId="50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restart"/>
            <w:tcBorders>
              <w:top w:val="nil"/>
              <w:left w:val="single" w:color="auto" w:sz="4" w:space="0"/>
              <w:bottom w:val="single" w:color="auto" w:sz="4" w:space="0"/>
              <w:right w:val="single" w:color="auto" w:sz="4" w:space="0"/>
            </w:tcBorders>
            <w:vAlign w:val="center"/>
          </w:tcPr>
          <w:p w14:paraId="2FA15E0E">
            <w:pPr>
              <w:spacing w:line="360" w:lineRule="auto"/>
              <w:jc w:val="center"/>
              <w:rPr>
                <w:rFonts w:hint="eastAsia" w:ascii="宋体" w:hAnsi="宋体" w:cs="宋体"/>
              </w:rPr>
            </w:pPr>
            <w:r>
              <w:rPr>
                <w:rFonts w:hint="eastAsia" w:ascii="宋体" w:hAnsi="宋体" w:cs="宋体"/>
              </w:rPr>
              <w:t>2.1.1</w:t>
            </w:r>
          </w:p>
        </w:tc>
        <w:tc>
          <w:tcPr>
            <w:tcW w:w="745" w:type="dxa"/>
            <w:vMerge w:val="restart"/>
            <w:tcBorders>
              <w:top w:val="nil"/>
              <w:left w:val="nil"/>
              <w:bottom w:val="single" w:color="auto" w:sz="4" w:space="0"/>
              <w:right w:val="single" w:color="auto" w:sz="4" w:space="0"/>
            </w:tcBorders>
            <w:vAlign w:val="center"/>
          </w:tcPr>
          <w:p w14:paraId="5CA21E05">
            <w:pPr>
              <w:spacing w:line="360" w:lineRule="auto"/>
              <w:jc w:val="center"/>
              <w:rPr>
                <w:rFonts w:hint="eastAsia" w:ascii="宋体" w:hAnsi="宋体" w:cs="宋体"/>
              </w:rPr>
            </w:pPr>
            <w:r>
              <w:rPr>
                <w:rFonts w:hint="eastAsia" w:ascii="宋体" w:hAnsi="宋体" w:cs="宋体"/>
              </w:rPr>
              <w:t>形式 评审 标准</w:t>
            </w:r>
          </w:p>
        </w:tc>
        <w:tc>
          <w:tcPr>
            <w:tcW w:w="1982" w:type="dxa"/>
            <w:tcBorders>
              <w:top w:val="single" w:color="auto" w:sz="4" w:space="0"/>
              <w:left w:val="nil"/>
              <w:bottom w:val="single" w:color="auto" w:sz="4" w:space="0"/>
              <w:right w:val="single" w:color="auto" w:sz="4" w:space="0"/>
            </w:tcBorders>
            <w:vAlign w:val="center"/>
          </w:tcPr>
          <w:p w14:paraId="526684F9">
            <w:pPr>
              <w:spacing w:line="360" w:lineRule="auto"/>
              <w:jc w:val="center"/>
              <w:rPr>
                <w:rFonts w:hint="eastAsia" w:ascii="宋体" w:hAnsi="宋体" w:cs="宋体"/>
              </w:rPr>
            </w:pPr>
            <w:r>
              <w:rPr>
                <w:rFonts w:hint="eastAsia" w:ascii="宋体" w:hAnsi="宋体" w:cs="宋体"/>
              </w:rPr>
              <w:t>供应商名称</w:t>
            </w:r>
          </w:p>
        </w:tc>
        <w:tc>
          <w:tcPr>
            <w:tcW w:w="5430" w:type="dxa"/>
            <w:tcBorders>
              <w:top w:val="single" w:color="auto" w:sz="4" w:space="0"/>
              <w:left w:val="nil"/>
              <w:bottom w:val="single" w:color="auto" w:sz="4" w:space="0"/>
              <w:right w:val="single" w:color="auto" w:sz="4" w:space="0"/>
            </w:tcBorders>
            <w:vAlign w:val="center"/>
          </w:tcPr>
          <w:p w14:paraId="42083885">
            <w:pPr>
              <w:spacing w:line="360" w:lineRule="auto"/>
              <w:jc w:val="left"/>
              <w:rPr>
                <w:rFonts w:hint="eastAsia" w:ascii="宋体" w:hAnsi="宋体" w:cs="宋体"/>
              </w:rPr>
            </w:pPr>
            <w:r>
              <w:rPr>
                <w:rFonts w:hint="eastAsia" w:ascii="宋体" w:hAnsi="宋体" w:cs="宋体"/>
              </w:rPr>
              <w:t>与营业执照或其他组织机构证书一致</w:t>
            </w:r>
          </w:p>
        </w:tc>
      </w:tr>
      <w:tr w14:paraId="4B16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continue"/>
            <w:tcBorders>
              <w:top w:val="nil"/>
              <w:left w:val="single" w:color="auto" w:sz="4" w:space="0"/>
              <w:bottom w:val="single" w:color="auto" w:sz="4" w:space="0"/>
              <w:right w:val="single" w:color="auto" w:sz="4" w:space="0"/>
            </w:tcBorders>
            <w:vAlign w:val="center"/>
          </w:tcPr>
          <w:p w14:paraId="078B3848">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2FADA0F">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C8C11E4">
            <w:pPr>
              <w:spacing w:line="360" w:lineRule="auto"/>
              <w:jc w:val="center"/>
              <w:rPr>
                <w:rFonts w:hint="eastAsia" w:ascii="宋体" w:hAnsi="宋体" w:cs="宋体"/>
              </w:rPr>
            </w:pPr>
            <w:r>
              <w:rPr>
                <w:rFonts w:hint="eastAsia" w:ascii="宋体" w:hAnsi="宋体" w:cs="宋体"/>
              </w:rPr>
              <w:t>投标文件签字盖章</w:t>
            </w:r>
          </w:p>
        </w:tc>
        <w:tc>
          <w:tcPr>
            <w:tcW w:w="5430" w:type="dxa"/>
            <w:tcBorders>
              <w:top w:val="single" w:color="auto" w:sz="4" w:space="0"/>
              <w:left w:val="nil"/>
              <w:bottom w:val="single" w:color="auto" w:sz="4" w:space="0"/>
              <w:right w:val="single" w:color="auto" w:sz="4" w:space="0"/>
            </w:tcBorders>
            <w:vAlign w:val="center"/>
          </w:tcPr>
          <w:p w14:paraId="54974A9F">
            <w:pPr>
              <w:spacing w:line="360" w:lineRule="auto"/>
              <w:jc w:val="left"/>
              <w:rPr>
                <w:rFonts w:hint="eastAsia" w:ascii="宋体" w:hAnsi="宋体" w:cs="宋体"/>
              </w:rPr>
            </w:pPr>
            <w:r>
              <w:rPr>
                <w:rFonts w:hint="eastAsia" w:ascii="宋体" w:hAnsi="宋体" w:cs="宋体"/>
                <w:color w:val="000000" w:themeColor="text1"/>
                <w14:textFill>
                  <w14:solidFill>
                    <w14:schemeClr w14:val="tx1"/>
                  </w14:solidFill>
                </w14:textFill>
              </w:rPr>
              <w:t>符合招标文件要求</w:t>
            </w:r>
          </w:p>
        </w:tc>
      </w:tr>
      <w:tr w14:paraId="0DCF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1" w:type="dxa"/>
            <w:vMerge w:val="continue"/>
            <w:tcBorders>
              <w:top w:val="nil"/>
              <w:left w:val="single" w:color="auto" w:sz="4" w:space="0"/>
              <w:bottom w:val="single" w:color="auto" w:sz="4" w:space="0"/>
              <w:right w:val="single" w:color="auto" w:sz="4" w:space="0"/>
            </w:tcBorders>
            <w:vAlign w:val="center"/>
          </w:tcPr>
          <w:p w14:paraId="3AD7E0E5">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6DB85CA">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A84CA2">
            <w:pPr>
              <w:spacing w:line="360" w:lineRule="auto"/>
              <w:jc w:val="center"/>
              <w:rPr>
                <w:rFonts w:hint="eastAsia" w:ascii="宋体" w:hAnsi="宋体" w:cs="宋体"/>
              </w:rPr>
            </w:pPr>
            <w:r>
              <w:rPr>
                <w:rFonts w:hint="eastAsia" w:ascii="宋体" w:hAnsi="宋体" w:cs="宋体"/>
              </w:rPr>
              <w:t>报价唯一</w:t>
            </w:r>
          </w:p>
        </w:tc>
        <w:tc>
          <w:tcPr>
            <w:tcW w:w="5430" w:type="dxa"/>
            <w:tcBorders>
              <w:top w:val="single" w:color="auto" w:sz="4" w:space="0"/>
              <w:left w:val="nil"/>
              <w:bottom w:val="single" w:color="auto" w:sz="4" w:space="0"/>
              <w:right w:val="single" w:color="auto" w:sz="4" w:space="0"/>
            </w:tcBorders>
            <w:vAlign w:val="center"/>
          </w:tcPr>
          <w:p w14:paraId="0990A9D0">
            <w:pPr>
              <w:spacing w:line="360" w:lineRule="auto"/>
              <w:jc w:val="left"/>
              <w:rPr>
                <w:rFonts w:hint="eastAsia" w:ascii="宋体" w:hAnsi="宋体" w:eastAsia="宋体" w:cs="宋体"/>
                <w:lang w:eastAsia="zh-CN"/>
              </w:rPr>
            </w:pPr>
            <w:r>
              <w:rPr>
                <w:rFonts w:hint="eastAsia" w:ascii="宋体" w:hAnsi="宋体" w:cs="宋体"/>
              </w:rPr>
              <w:t>只能有一个有效投标报价，且不超过</w:t>
            </w:r>
            <w:r>
              <w:rPr>
                <w:rFonts w:hint="eastAsia" w:ascii="宋体" w:hAnsi="宋体" w:cs="宋体"/>
                <w:lang w:eastAsia="zh-CN"/>
              </w:rPr>
              <w:t>最高限价</w:t>
            </w:r>
          </w:p>
        </w:tc>
      </w:tr>
      <w:tr w14:paraId="1B1C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3862466">
            <w:pPr>
              <w:spacing w:line="360" w:lineRule="auto"/>
              <w:jc w:val="center"/>
              <w:rPr>
                <w:rFonts w:hint="eastAsia" w:ascii="宋体" w:hAnsi="宋体" w:cs="宋体"/>
              </w:rPr>
            </w:pPr>
            <w:r>
              <w:rPr>
                <w:rFonts w:hint="eastAsia" w:ascii="宋体" w:hAnsi="宋体" w:cs="宋体"/>
              </w:rPr>
              <w:t>2.1.2</w:t>
            </w:r>
          </w:p>
        </w:tc>
        <w:tc>
          <w:tcPr>
            <w:tcW w:w="745" w:type="dxa"/>
            <w:vMerge w:val="restart"/>
            <w:tcBorders>
              <w:top w:val="nil"/>
              <w:left w:val="nil"/>
              <w:right w:val="single" w:color="auto" w:sz="4" w:space="0"/>
            </w:tcBorders>
            <w:vAlign w:val="center"/>
          </w:tcPr>
          <w:p w14:paraId="2C2F3FF6">
            <w:pPr>
              <w:spacing w:line="360" w:lineRule="auto"/>
              <w:jc w:val="center"/>
              <w:rPr>
                <w:rFonts w:hint="eastAsia" w:ascii="宋体" w:hAnsi="宋体" w:cs="宋体"/>
              </w:rPr>
            </w:pPr>
            <w:r>
              <w:rPr>
                <w:rFonts w:hint="eastAsia" w:ascii="宋体" w:hAnsi="宋体" w:cs="宋体"/>
              </w:rPr>
              <w:t>资格 评审</w:t>
            </w:r>
          </w:p>
          <w:p w14:paraId="2BB59137">
            <w:pPr>
              <w:spacing w:line="360" w:lineRule="auto"/>
              <w:jc w:val="center"/>
              <w:rPr>
                <w:rFonts w:hint="eastAsia" w:ascii="宋体" w:hAnsi="宋体" w:cs="宋体"/>
              </w:rPr>
            </w:pPr>
            <w:r>
              <w:rPr>
                <w:rFonts w:hint="eastAsia" w:ascii="宋体" w:hAnsi="宋体" w:cs="宋体"/>
              </w:rPr>
              <w:t>标准</w:t>
            </w:r>
          </w:p>
        </w:tc>
        <w:tc>
          <w:tcPr>
            <w:tcW w:w="1982" w:type="dxa"/>
            <w:tcBorders>
              <w:top w:val="single" w:color="auto" w:sz="4" w:space="0"/>
              <w:left w:val="nil"/>
              <w:bottom w:val="single" w:color="auto" w:sz="4" w:space="0"/>
              <w:right w:val="single" w:color="auto" w:sz="4" w:space="0"/>
            </w:tcBorders>
            <w:vAlign w:val="center"/>
          </w:tcPr>
          <w:p w14:paraId="6F90C471">
            <w:pPr>
              <w:spacing w:line="360" w:lineRule="auto"/>
              <w:jc w:val="center"/>
              <w:rPr>
                <w:rFonts w:hint="eastAsia" w:ascii="宋体" w:hAnsi="宋体" w:cs="宋体"/>
              </w:rPr>
            </w:pPr>
            <w:r>
              <w:rPr>
                <w:rFonts w:hint="eastAsia" w:ascii="宋体" w:hAnsi="宋体" w:cs="宋体"/>
              </w:rPr>
              <w:t>满足《中华人民共和国政府采购法》第二十二条规定</w:t>
            </w:r>
          </w:p>
        </w:tc>
        <w:tc>
          <w:tcPr>
            <w:tcW w:w="5430" w:type="dxa"/>
            <w:tcBorders>
              <w:top w:val="single" w:color="auto" w:sz="4" w:space="0"/>
              <w:left w:val="nil"/>
              <w:bottom w:val="single" w:color="auto" w:sz="4" w:space="0"/>
              <w:right w:val="single" w:color="auto" w:sz="4" w:space="0"/>
            </w:tcBorders>
            <w:vAlign w:val="center"/>
          </w:tcPr>
          <w:p w14:paraId="1FCD1E9C">
            <w:pPr>
              <w:pStyle w:val="26"/>
              <w:spacing w:line="360" w:lineRule="auto"/>
              <w:rPr>
                <w:rFonts w:hint="eastAsia" w:ascii="宋体" w:hAnsi="宋体" w:cs="宋体"/>
                <w:sz w:val="21"/>
              </w:rPr>
            </w:pPr>
            <w:r>
              <w:rPr>
                <w:rFonts w:hint="eastAsia" w:ascii="宋体" w:hAnsi="宋体" w:cs="宋体"/>
                <w:sz w:val="21"/>
              </w:rPr>
              <w:t>供应商满足《中华人民共和国政府采购法》第二十二条规定条件（提供承诺书）</w:t>
            </w:r>
          </w:p>
        </w:tc>
      </w:tr>
      <w:tr w14:paraId="6FF6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2F32EDCF">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47F54C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707B84AA">
            <w:pPr>
              <w:spacing w:line="360" w:lineRule="auto"/>
              <w:jc w:val="center"/>
              <w:rPr>
                <w:rFonts w:hint="eastAsia" w:ascii="宋体" w:hAnsi="宋体" w:cs="宋体"/>
              </w:rPr>
            </w:pPr>
            <w:r>
              <w:rPr>
                <w:rFonts w:hint="eastAsia" w:ascii="宋体" w:hAnsi="宋体" w:cs="宋体"/>
              </w:rPr>
              <w:t>营业执照</w:t>
            </w:r>
          </w:p>
        </w:tc>
        <w:tc>
          <w:tcPr>
            <w:tcW w:w="5430" w:type="dxa"/>
            <w:tcBorders>
              <w:top w:val="single" w:color="auto" w:sz="4" w:space="0"/>
              <w:left w:val="nil"/>
              <w:bottom w:val="single" w:color="auto" w:sz="4" w:space="0"/>
              <w:right w:val="single" w:color="auto" w:sz="4" w:space="0"/>
            </w:tcBorders>
            <w:vAlign w:val="center"/>
          </w:tcPr>
          <w:p w14:paraId="79A44549">
            <w:pPr>
              <w:spacing w:line="360" w:lineRule="auto"/>
              <w:jc w:val="both"/>
              <w:rPr>
                <w:rFonts w:hint="eastAsia" w:ascii="宋体" w:hAnsi="宋体" w:cs="宋体"/>
              </w:rPr>
            </w:pPr>
            <w:r>
              <w:rPr>
                <w:rFonts w:hint="eastAsia" w:ascii="宋体" w:hAnsi="宋体" w:cs="宋体"/>
              </w:rPr>
              <w:t>供应商须具有合法有效的营业执照</w:t>
            </w:r>
          </w:p>
        </w:tc>
      </w:tr>
      <w:tr w14:paraId="09A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0D006278">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517B13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8F56517">
            <w:pPr>
              <w:spacing w:line="360" w:lineRule="auto"/>
              <w:jc w:val="center"/>
              <w:rPr>
                <w:rFonts w:hint="eastAsia" w:ascii="宋体" w:hAnsi="宋体" w:cs="宋体"/>
              </w:rPr>
            </w:pPr>
            <w:r>
              <w:rPr>
                <w:rFonts w:hint="eastAsia" w:ascii="宋体" w:hAnsi="宋体" w:cs="宋体"/>
              </w:rPr>
              <w:t>无商业贿赂和不正当竞争行为承诺书</w:t>
            </w:r>
          </w:p>
        </w:tc>
        <w:tc>
          <w:tcPr>
            <w:tcW w:w="5430" w:type="dxa"/>
            <w:tcBorders>
              <w:top w:val="single" w:color="auto" w:sz="4" w:space="0"/>
              <w:left w:val="nil"/>
              <w:bottom w:val="single" w:color="auto" w:sz="4" w:space="0"/>
              <w:right w:val="single" w:color="auto" w:sz="4" w:space="0"/>
            </w:tcBorders>
            <w:vAlign w:val="center"/>
          </w:tcPr>
          <w:p w14:paraId="6933F77F">
            <w:pPr>
              <w:snapToGrid w:val="0"/>
              <w:spacing w:line="360" w:lineRule="auto"/>
              <w:textAlignment w:val="baseline"/>
              <w:rPr>
                <w:rFonts w:hint="eastAsia" w:ascii="宋体" w:hAnsi="宋体" w:eastAsia="宋体" w:cs="宋体"/>
                <w:lang w:val="en-US" w:eastAsia="zh-CN" w:bidi="en-US"/>
              </w:rPr>
            </w:pPr>
            <w:r>
              <w:rPr>
                <w:rFonts w:hint="eastAsia" w:ascii="宋体" w:hAnsi="宋体" w:cs="宋体"/>
                <w:lang w:eastAsia="zh-CN"/>
              </w:rPr>
              <w:t>供应商</w:t>
            </w:r>
            <w:r>
              <w:rPr>
                <w:rFonts w:hint="eastAsia" w:ascii="宋体" w:hAnsi="宋体" w:cs="宋体"/>
              </w:rPr>
              <w:t>须出具本企业无商业贿赂和不正当竞争行为承诺</w:t>
            </w:r>
            <w:r>
              <w:rPr>
                <w:rFonts w:hint="eastAsia" w:ascii="宋体" w:hAnsi="宋体" w:cs="宋体"/>
                <w:lang w:eastAsia="zh-CN"/>
              </w:rPr>
              <w:t>书</w:t>
            </w:r>
          </w:p>
        </w:tc>
      </w:tr>
      <w:tr w14:paraId="0870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76FAD370">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0F8E6E2B">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6253279">
            <w:pPr>
              <w:spacing w:line="360" w:lineRule="auto"/>
              <w:jc w:val="center"/>
              <w:rPr>
                <w:rFonts w:hint="eastAsia" w:ascii="宋体" w:hAnsi="宋体" w:cs="宋体"/>
              </w:rPr>
            </w:pPr>
            <w:r>
              <w:rPr>
                <w:rFonts w:hint="eastAsia" w:ascii="宋体" w:hAnsi="宋体" w:cs="宋体"/>
              </w:rPr>
              <w:t>信用查询</w:t>
            </w:r>
          </w:p>
        </w:tc>
        <w:tc>
          <w:tcPr>
            <w:tcW w:w="5430" w:type="dxa"/>
            <w:tcBorders>
              <w:top w:val="single" w:color="auto" w:sz="4" w:space="0"/>
              <w:left w:val="nil"/>
              <w:bottom w:val="single" w:color="auto" w:sz="4" w:space="0"/>
              <w:right w:val="single" w:color="auto" w:sz="4" w:space="0"/>
            </w:tcBorders>
            <w:vAlign w:val="center"/>
          </w:tcPr>
          <w:p w14:paraId="3C0E3768">
            <w:pPr>
              <w:snapToGrid w:val="0"/>
              <w:spacing w:line="360" w:lineRule="auto"/>
              <w:textAlignment w:val="baseline"/>
              <w:rPr>
                <w:rFonts w:hint="eastAsia" w:ascii="宋体" w:hAnsi="宋体" w:cs="宋体"/>
                <w:lang w:bidi="en-US"/>
              </w:rPr>
            </w:pPr>
            <w:r>
              <w:rPr>
                <w:rFonts w:hint="eastAsia" w:ascii="宋体" w:hAnsi="宋体" w:cs="宋体"/>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s://zxgk.court.gov.cn/）关于“失信被执行人”查询截图；信用中国(www.creditchina.gov.cn）关于“重大税收违法失信主体”查询截图；中国政府采购网（www.ccgp.gov.cn）关于“政府采购严重违法失信行为记录名单”查询截图。</w:t>
            </w:r>
            <w:r>
              <w:rPr>
                <w:rFonts w:hint="eastAsia" w:ascii="宋体" w:hAnsi="宋体" w:cs="宋体"/>
                <w:lang w:val="zh-TW" w:bidi="en-US"/>
              </w:rPr>
              <w:t>提供的网站查询结果截图要显示查询时间，查询时间自本公告发布之日起</w:t>
            </w:r>
          </w:p>
        </w:tc>
      </w:tr>
      <w:tr w14:paraId="36F2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58AF0A5A">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4E2CF83C">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3BF1F6">
            <w:pPr>
              <w:spacing w:line="360" w:lineRule="auto"/>
              <w:jc w:val="center"/>
              <w:rPr>
                <w:rFonts w:hint="eastAsia" w:ascii="宋体" w:hAnsi="宋体" w:cs="宋体"/>
              </w:rPr>
            </w:pPr>
            <w:r>
              <w:rPr>
                <w:rFonts w:hint="eastAsia" w:ascii="宋体" w:hAnsi="宋体" w:cs="宋体"/>
                <w:lang w:val="zh-TW"/>
              </w:rPr>
              <w:t>供应商的单位负责人为同一人或者存在控股、管理关系的不同单位，不得参加同一项目投标</w:t>
            </w:r>
          </w:p>
        </w:tc>
        <w:tc>
          <w:tcPr>
            <w:tcW w:w="5430" w:type="dxa"/>
            <w:tcBorders>
              <w:top w:val="single" w:color="auto" w:sz="4" w:space="0"/>
              <w:left w:val="nil"/>
              <w:bottom w:val="single" w:color="auto" w:sz="4" w:space="0"/>
              <w:right w:val="single" w:color="auto" w:sz="4" w:space="0"/>
            </w:tcBorders>
            <w:vAlign w:val="center"/>
          </w:tcPr>
          <w:p w14:paraId="4CBE2DE1">
            <w:pPr>
              <w:spacing w:line="360" w:lineRule="auto"/>
              <w:rPr>
                <w:rFonts w:hint="eastAsia" w:ascii="宋体" w:hAnsi="宋体" w:cs="宋体"/>
              </w:rPr>
            </w:pPr>
            <w:r>
              <w:rPr>
                <w:rFonts w:hint="eastAsia" w:ascii="宋体" w:hAnsi="宋体" w:cs="宋体"/>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2734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1E26F812">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58079C36">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7009D02">
            <w:pPr>
              <w:spacing w:line="360" w:lineRule="auto"/>
              <w:jc w:val="center"/>
              <w:rPr>
                <w:rFonts w:hint="eastAsia" w:ascii="宋体" w:hAnsi="宋体" w:cs="宋体"/>
              </w:rPr>
            </w:pPr>
            <w:r>
              <w:rPr>
                <w:rFonts w:hint="eastAsia" w:ascii="宋体" w:hAnsi="宋体" w:cs="宋体"/>
              </w:rPr>
              <w:t>资质要求</w:t>
            </w:r>
          </w:p>
        </w:tc>
        <w:tc>
          <w:tcPr>
            <w:tcW w:w="5430" w:type="dxa"/>
            <w:tcBorders>
              <w:top w:val="single" w:color="auto" w:sz="4" w:space="0"/>
              <w:left w:val="nil"/>
              <w:bottom w:val="single" w:color="auto" w:sz="4" w:space="0"/>
              <w:right w:val="single" w:color="auto" w:sz="4" w:space="0"/>
            </w:tcBorders>
            <w:vAlign w:val="center"/>
          </w:tcPr>
          <w:p w14:paraId="2D9423F4">
            <w:pPr>
              <w:spacing w:line="360" w:lineRule="auto"/>
              <w:rPr>
                <w:rFonts w:hint="eastAsia" w:ascii="宋体" w:hAnsi="宋体" w:cs="宋体"/>
                <w:lang w:val="zh-TW"/>
              </w:rPr>
            </w:pPr>
            <w:r>
              <w:rPr>
                <w:rFonts w:hint="eastAsia" w:ascii="宋体" w:hAnsi="宋体" w:cs="宋体"/>
                <w:lang w:val="zh-TW"/>
              </w:rPr>
              <w:t>符合招标文件资质要求</w:t>
            </w:r>
          </w:p>
        </w:tc>
      </w:tr>
      <w:tr w14:paraId="56B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41" w:type="dxa"/>
            <w:vMerge w:val="restart"/>
            <w:tcBorders>
              <w:top w:val="nil"/>
              <w:left w:val="single" w:color="auto" w:sz="4" w:space="0"/>
              <w:bottom w:val="single" w:color="auto" w:sz="4" w:space="0"/>
              <w:right w:val="single" w:color="auto" w:sz="4" w:space="0"/>
            </w:tcBorders>
            <w:vAlign w:val="center"/>
          </w:tcPr>
          <w:p w14:paraId="13D8D5AC">
            <w:pPr>
              <w:spacing w:line="360" w:lineRule="auto"/>
              <w:rPr>
                <w:rFonts w:hint="eastAsia" w:ascii="宋体" w:hAnsi="宋体" w:cs="宋体"/>
              </w:rPr>
            </w:pPr>
            <w:r>
              <w:rPr>
                <w:rFonts w:hint="eastAsia" w:ascii="宋体" w:hAnsi="宋体" w:cs="宋体"/>
              </w:rPr>
              <w:t>2.1.3</w:t>
            </w:r>
          </w:p>
        </w:tc>
        <w:tc>
          <w:tcPr>
            <w:tcW w:w="745" w:type="dxa"/>
            <w:vMerge w:val="restart"/>
            <w:tcBorders>
              <w:top w:val="single" w:color="auto" w:sz="4" w:space="0"/>
              <w:left w:val="nil"/>
              <w:bottom w:val="single" w:color="auto" w:sz="4" w:space="0"/>
              <w:right w:val="single" w:color="auto" w:sz="4" w:space="0"/>
            </w:tcBorders>
            <w:vAlign w:val="center"/>
          </w:tcPr>
          <w:p w14:paraId="0089E202">
            <w:pPr>
              <w:spacing w:line="360" w:lineRule="auto"/>
              <w:jc w:val="center"/>
              <w:rPr>
                <w:rFonts w:hint="eastAsia" w:ascii="宋体" w:hAnsi="宋体" w:cs="宋体"/>
              </w:rPr>
            </w:pPr>
            <w:r>
              <w:rPr>
                <w:rFonts w:hint="eastAsia" w:ascii="宋体" w:hAnsi="宋体" w:cs="宋体"/>
              </w:rPr>
              <w:t>响</w:t>
            </w:r>
          </w:p>
          <w:p w14:paraId="44B014E2">
            <w:pPr>
              <w:spacing w:line="360" w:lineRule="auto"/>
              <w:jc w:val="center"/>
              <w:rPr>
                <w:rFonts w:hint="eastAsia" w:ascii="宋体" w:hAnsi="宋体" w:cs="宋体"/>
              </w:rPr>
            </w:pPr>
            <w:r>
              <w:rPr>
                <w:rFonts w:hint="eastAsia" w:ascii="宋体" w:hAnsi="宋体" w:cs="宋体"/>
              </w:rPr>
              <w:t>应</w:t>
            </w:r>
          </w:p>
          <w:p w14:paraId="321DF7BF">
            <w:pPr>
              <w:spacing w:line="360" w:lineRule="auto"/>
              <w:jc w:val="center"/>
              <w:rPr>
                <w:rFonts w:hint="eastAsia" w:ascii="宋体" w:hAnsi="宋体" w:cs="宋体"/>
              </w:rPr>
            </w:pPr>
            <w:r>
              <w:rPr>
                <w:rFonts w:hint="eastAsia" w:ascii="宋体" w:hAnsi="宋体" w:cs="宋体"/>
              </w:rPr>
              <w:t>性</w:t>
            </w:r>
          </w:p>
          <w:p w14:paraId="42B630EE">
            <w:pPr>
              <w:spacing w:line="360" w:lineRule="auto"/>
              <w:jc w:val="center"/>
              <w:rPr>
                <w:rFonts w:hint="eastAsia" w:ascii="宋体" w:hAnsi="宋体" w:cs="宋体"/>
              </w:rPr>
            </w:pPr>
            <w:r>
              <w:rPr>
                <w:rFonts w:hint="eastAsia" w:ascii="宋体" w:hAnsi="宋体" w:cs="宋体"/>
              </w:rPr>
              <w:t>评</w:t>
            </w:r>
          </w:p>
          <w:p w14:paraId="627FEC6E">
            <w:pPr>
              <w:spacing w:line="360" w:lineRule="auto"/>
              <w:jc w:val="center"/>
              <w:rPr>
                <w:rFonts w:hint="eastAsia" w:ascii="宋体" w:hAnsi="宋体" w:cs="宋体"/>
              </w:rPr>
            </w:pPr>
            <w:r>
              <w:rPr>
                <w:rFonts w:hint="eastAsia" w:ascii="宋体" w:hAnsi="宋体" w:cs="宋体"/>
              </w:rPr>
              <w:t>审</w:t>
            </w:r>
          </w:p>
        </w:tc>
        <w:tc>
          <w:tcPr>
            <w:tcW w:w="1982" w:type="dxa"/>
            <w:tcBorders>
              <w:top w:val="single" w:color="auto" w:sz="4" w:space="0"/>
              <w:left w:val="nil"/>
              <w:bottom w:val="single" w:color="auto" w:sz="4" w:space="0"/>
              <w:right w:val="single" w:color="auto" w:sz="4" w:space="0"/>
            </w:tcBorders>
            <w:vAlign w:val="center"/>
          </w:tcPr>
          <w:p w14:paraId="609E2D39">
            <w:pPr>
              <w:widowControl/>
              <w:autoSpaceDE w:val="0"/>
              <w:autoSpaceDN w:val="0"/>
              <w:adjustRightInd w:val="0"/>
              <w:spacing w:line="360" w:lineRule="auto"/>
              <w:jc w:val="center"/>
              <w:rPr>
                <w:rFonts w:hint="eastAsia" w:ascii="宋体" w:hAnsi="宋体" w:cs="宋体"/>
              </w:rPr>
            </w:pPr>
            <w:r>
              <w:rPr>
                <w:rFonts w:hint="eastAsia" w:ascii="宋体" w:hAnsi="宋体" w:cs="宋体"/>
              </w:rPr>
              <w:t>投标有效期</w:t>
            </w:r>
          </w:p>
        </w:tc>
        <w:tc>
          <w:tcPr>
            <w:tcW w:w="5430" w:type="dxa"/>
            <w:tcBorders>
              <w:top w:val="single" w:color="auto" w:sz="4" w:space="0"/>
              <w:left w:val="nil"/>
              <w:bottom w:val="single" w:color="auto" w:sz="4" w:space="0"/>
              <w:right w:val="single" w:color="auto" w:sz="4" w:space="0"/>
            </w:tcBorders>
            <w:vAlign w:val="center"/>
          </w:tcPr>
          <w:p w14:paraId="2F39C7D0">
            <w:pPr>
              <w:widowControl/>
              <w:snapToGrid w:val="0"/>
              <w:spacing w:line="360" w:lineRule="auto"/>
              <w:jc w:val="center"/>
              <w:textAlignment w:val="baseline"/>
              <w:rPr>
                <w:rFonts w:hint="eastAsia" w:ascii="宋体" w:hAnsi="宋体" w:cs="宋体"/>
              </w:rPr>
            </w:pPr>
            <w:r>
              <w:rPr>
                <w:rFonts w:hint="eastAsia" w:ascii="宋体" w:hAnsi="宋体" w:cs="宋体"/>
              </w:rPr>
              <w:t>投标截止之日起60日历天</w:t>
            </w:r>
          </w:p>
        </w:tc>
      </w:tr>
      <w:tr w14:paraId="1A4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1" w:type="dxa"/>
            <w:vMerge w:val="continue"/>
            <w:tcBorders>
              <w:top w:val="nil"/>
              <w:left w:val="single" w:color="auto" w:sz="4" w:space="0"/>
              <w:bottom w:val="single" w:color="auto" w:sz="4" w:space="0"/>
              <w:right w:val="single" w:color="auto" w:sz="4" w:space="0"/>
            </w:tcBorders>
            <w:vAlign w:val="center"/>
          </w:tcPr>
          <w:p w14:paraId="363D66D1">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6C9E3B1C">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0D4EA38D">
            <w:pPr>
              <w:widowControl/>
              <w:autoSpaceDE w:val="0"/>
              <w:autoSpaceDN w:val="0"/>
              <w:adjustRightInd w:val="0"/>
              <w:spacing w:line="360" w:lineRule="auto"/>
              <w:jc w:val="center"/>
              <w:rPr>
                <w:rFonts w:hint="eastAsia" w:ascii="宋体" w:hAnsi="宋体" w:cs="宋体"/>
              </w:rPr>
            </w:pPr>
            <w:r>
              <w:rPr>
                <w:rFonts w:hint="eastAsia" w:ascii="宋体" w:hAnsi="宋体" w:cs="宋体"/>
              </w:rPr>
              <w:t>服务期限</w:t>
            </w:r>
          </w:p>
        </w:tc>
        <w:tc>
          <w:tcPr>
            <w:tcW w:w="5430" w:type="dxa"/>
            <w:tcBorders>
              <w:top w:val="single" w:color="auto" w:sz="4" w:space="0"/>
              <w:left w:val="nil"/>
              <w:bottom w:val="single" w:color="auto" w:sz="4" w:space="0"/>
              <w:right w:val="single" w:color="auto" w:sz="4" w:space="0"/>
            </w:tcBorders>
            <w:vAlign w:val="center"/>
          </w:tcPr>
          <w:p w14:paraId="1CE50DCD">
            <w:pPr>
              <w:autoSpaceDE w:val="0"/>
              <w:autoSpaceDN w:val="0"/>
              <w:adjustRightInd w:val="0"/>
              <w:spacing w:line="360" w:lineRule="auto"/>
              <w:jc w:val="center"/>
              <w:rPr>
                <w:rFonts w:hint="eastAsia" w:ascii="宋体" w:hAnsi="宋体" w:cs="宋体"/>
                <w:color w:val="FF0000"/>
              </w:rPr>
            </w:pPr>
            <w:r>
              <w:rPr>
                <w:rFonts w:hint="eastAsia" w:ascii="宋体" w:hAnsi="宋体" w:cs="宋体"/>
              </w:rPr>
              <w:t>符合</w:t>
            </w:r>
            <w:r>
              <w:rPr>
                <w:rFonts w:hint="eastAsia" w:ascii="宋体" w:hAnsi="宋体" w:cs="宋体"/>
                <w:lang w:eastAsia="zh-CN"/>
              </w:rPr>
              <w:t>供应商</w:t>
            </w:r>
            <w:r>
              <w:rPr>
                <w:rFonts w:hint="eastAsia" w:ascii="宋体" w:hAnsi="宋体" w:cs="宋体"/>
              </w:rPr>
              <w:t>须知前附表规定</w:t>
            </w:r>
          </w:p>
        </w:tc>
      </w:tr>
      <w:tr w14:paraId="45F6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1" w:type="dxa"/>
            <w:vMerge w:val="continue"/>
            <w:tcBorders>
              <w:top w:val="nil"/>
              <w:left w:val="single" w:color="auto" w:sz="4" w:space="0"/>
              <w:bottom w:val="single" w:color="auto" w:sz="4" w:space="0"/>
              <w:right w:val="single" w:color="auto" w:sz="4" w:space="0"/>
            </w:tcBorders>
            <w:vAlign w:val="center"/>
          </w:tcPr>
          <w:p w14:paraId="688E785A">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3CAC13C6">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07F6F2B">
            <w:pPr>
              <w:widowControl/>
              <w:autoSpaceDE w:val="0"/>
              <w:autoSpaceDN w:val="0"/>
              <w:adjustRightInd w:val="0"/>
              <w:spacing w:line="360" w:lineRule="auto"/>
              <w:jc w:val="center"/>
              <w:rPr>
                <w:rFonts w:hint="eastAsia" w:ascii="宋体" w:hAnsi="宋体" w:cs="宋体"/>
              </w:rPr>
            </w:pPr>
            <w:r>
              <w:rPr>
                <w:rFonts w:hint="eastAsia" w:ascii="宋体" w:hAnsi="宋体" w:cs="宋体"/>
              </w:rPr>
              <w:t>质量要求</w:t>
            </w:r>
          </w:p>
        </w:tc>
        <w:tc>
          <w:tcPr>
            <w:tcW w:w="5430" w:type="dxa"/>
            <w:tcBorders>
              <w:top w:val="single" w:color="auto" w:sz="4" w:space="0"/>
              <w:left w:val="nil"/>
              <w:bottom w:val="single" w:color="auto" w:sz="4" w:space="0"/>
              <w:right w:val="single" w:color="auto" w:sz="4" w:space="0"/>
            </w:tcBorders>
            <w:vAlign w:val="center"/>
          </w:tcPr>
          <w:p w14:paraId="23D88F1A">
            <w:pPr>
              <w:widowControl/>
              <w:snapToGrid w:val="0"/>
              <w:spacing w:line="360" w:lineRule="auto"/>
              <w:jc w:val="center"/>
              <w:textAlignment w:val="baseline"/>
              <w:rPr>
                <w:rFonts w:hint="eastAsia" w:ascii="宋体" w:hAnsi="宋体" w:cs="宋体"/>
              </w:rPr>
            </w:pPr>
            <w:r>
              <w:rPr>
                <w:rFonts w:hint="eastAsia" w:ascii="宋体" w:hAnsi="宋体" w:cs="宋体"/>
              </w:rPr>
              <w:t>合格，符合国家及行业标准，并满足采购人要求。</w:t>
            </w:r>
          </w:p>
        </w:tc>
      </w:tr>
    </w:tbl>
    <w:p w14:paraId="218D49F0">
      <w:pPr>
        <w:spacing w:line="320" w:lineRule="exact"/>
        <w:rPr>
          <w:rFonts w:hint="eastAsia" w:ascii="宋体" w:hAnsi="宋体" w:cs="宋体"/>
          <w:b/>
          <w:bCs/>
          <w:kern w:val="0"/>
          <w:sz w:val="24"/>
          <w:szCs w:val="24"/>
        </w:rPr>
      </w:pPr>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以上评审相关原件以投标文件中上传资料为准。开标结束后由采购人</w:t>
      </w:r>
      <w:r>
        <w:rPr>
          <w:rFonts w:hint="eastAsia" w:ascii="宋体" w:hAnsi="宋体" w:cs="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w:t>
      </w:r>
      <w:r>
        <w:rPr>
          <w:rFonts w:hint="eastAsia" w:ascii="宋体" w:hAnsi="宋体" w:cs="宋体"/>
          <w:b/>
          <w:bCs/>
          <w:kern w:val="0"/>
          <w:sz w:val="24"/>
          <w:szCs w:val="24"/>
          <w:lang w:eastAsia="zh-CN"/>
        </w:rPr>
        <w:t>供应商</w:t>
      </w:r>
      <w:r>
        <w:rPr>
          <w:rFonts w:hint="eastAsia" w:ascii="宋体" w:hAnsi="宋体" w:cs="宋体"/>
          <w:b/>
          <w:bCs/>
          <w:kern w:val="0"/>
          <w:sz w:val="24"/>
          <w:szCs w:val="24"/>
        </w:rPr>
        <w:t>未按要求上传资料的或上传的资料不符合招标文件要求的均视为资格审查不通过，资格审查不通过的</w:t>
      </w:r>
      <w:r>
        <w:rPr>
          <w:rFonts w:hint="eastAsia" w:ascii="宋体" w:hAnsi="宋体" w:cs="宋体"/>
          <w:b/>
          <w:bCs/>
          <w:kern w:val="0"/>
          <w:sz w:val="24"/>
          <w:szCs w:val="24"/>
          <w:lang w:eastAsia="zh-CN"/>
        </w:rPr>
        <w:t>供应商</w:t>
      </w:r>
      <w:r>
        <w:rPr>
          <w:rFonts w:hint="eastAsia" w:ascii="宋体" w:hAnsi="宋体" w:cs="宋体"/>
          <w:b/>
          <w:bCs/>
          <w:kern w:val="0"/>
          <w:sz w:val="24"/>
          <w:szCs w:val="24"/>
        </w:rPr>
        <w:t>按无效投标处理，不再进行下一步的评审。</w:t>
      </w:r>
    </w:p>
    <w:p w14:paraId="445A4A56">
      <w:pPr>
        <w:rPr>
          <w:rFonts w:hint="eastAsia" w:ascii="宋体" w:hAnsi="宋体" w:cs="宋体"/>
        </w:rPr>
      </w:pPr>
      <w:r>
        <w:rPr>
          <w:rFonts w:hint="eastAsia" w:ascii="宋体" w:hAnsi="宋体" w:cs="宋体"/>
        </w:rPr>
        <w:br w:type="page"/>
      </w:r>
    </w:p>
    <w:p w14:paraId="56E2B063">
      <w:pPr>
        <w:pStyle w:val="13"/>
        <w:ind w:left="0"/>
        <w:rPr>
          <w:rFonts w:hint="eastAsia" w:ascii="宋体" w:hAnsi="宋体" w:cs="宋体"/>
        </w:rPr>
      </w:pPr>
      <w:r>
        <w:rPr>
          <w:rFonts w:hint="eastAsia" w:ascii="宋体" w:hAnsi="宋体" w:cs="宋体"/>
          <w:b/>
          <w:bCs/>
          <w:sz w:val="24"/>
          <w:szCs w:val="24"/>
        </w:rPr>
        <w:t>详细评审表包1：</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1D9B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5195BC6D">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786A821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290E1DD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732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038BE6B5">
            <w:pPr>
              <w:spacing w:line="360" w:lineRule="auto"/>
              <w:ind w:left="210" w:leftChars="100"/>
              <w:jc w:val="center"/>
              <w:rPr>
                <w:rFonts w:hint="eastAsia" w:ascii="宋体" w:hAnsi="宋体" w:cs="宋体"/>
                <w:b/>
                <w:bCs/>
                <w:color w:val="000000"/>
                <w:sz w:val="24"/>
                <w:szCs w:val="24"/>
              </w:rPr>
            </w:pPr>
          </w:p>
          <w:p w14:paraId="291E6ED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Align w:val="center"/>
          </w:tcPr>
          <w:p w14:paraId="0F900E92">
            <w:pPr>
              <w:spacing w:line="360" w:lineRule="auto"/>
              <w:ind w:left="210" w:leftChars="100"/>
              <w:jc w:val="center"/>
              <w:rPr>
                <w:rFonts w:hint="eastAsia" w:ascii="宋体" w:hAnsi="宋体" w:cs="宋体"/>
                <w:b/>
                <w:bCs/>
                <w:color w:val="000000"/>
                <w:sz w:val="24"/>
                <w:szCs w:val="24"/>
              </w:rPr>
            </w:pPr>
          </w:p>
          <w:p w14:paraId="248BBB4D">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F9D3EA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6E798A0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47B0D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4901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07144C4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30BE11BC">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06BB35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项目组织管理措施：项目组织机构设置（包含岗位设置及岗位职责等）、人员安排、仪器设备配备、项目实施步骤、协调方案及措施，本项5分。</w:t>
            </w:r>
          </w:p>
          <w:p w14:paraId="56ED742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6E8DE19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415685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54512B9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1AE3A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623A46A">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0675F8F">
            <w:pPr>
              <w:spacing w:line="360" w:lineRule="auto"/>
              <w:ind w:left="210" w:leftChars="100"/>
              <w:jc w:val="center"/>
              <w:rPr>
                <w:rFonts w:hint="eastAsia" w:ascii="宋体" w:hAnsi="宋体" w:cs="宋体"/>
                <w:color w:val="000000"/>
                <w:sz w:val="24"/>
                <w:szCs w:val="24"/>
              </w:rPr>
            </w:pPr>
          </w:p>
        </w:tc>
        <w:tc>
          <w:tcPr>
            <w:tcW w:w="5430" w:type="dxa"/>
            <w:vAlign w:val="center"/>
          </w:tcPr>
          <w:p w14:paraId="08C9BDC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3E814F8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01D5EE8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072B7E4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2A97C16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34E9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2A95776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4313288A">
            <w:pPr>
              <w:spacing w:line="360" w:lineRule="auto"/>
              <w:ind w:left="210" w:leftChars="100"/>
              <w:jc w:val="center"/>
              <w:rPr>
                <w:rFonts w:hint="eastAsia" w:ascii="宋体" w:hAnsi="宋体" w:cs="宋体"/>
                <w:color w:val="000000"/>
                <w:sz w:val="24"/>
                <w:szCs w:val="24"/>
              </w:rPr>
            </w:pPr>
          </w:p>
        </w:tc>
        <w:tc>
          <w:tcPr>
            <w:tcW w:w="5430" w:type="dxa"/>
            <w:vAlign w:val="center"/>
          </w:tcPr>
          <w:p w14:paraId="5106FE1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144F04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659B56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2A90900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06F30A9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22F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439042E">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1A6219C0">
            <w:pPr>
              <w:spacing w:line="360" w:lineRule="auto"/>
              <w:ind w:left="210" w:leftChars="100"/>
              <w:jc w:val="center"/>
              <w:rPr>
                <w:rFonts w:hint="eastAsia" w:ascii="宋体" w:hAnsi="宋体" w:cs="宋体"/>
                <w:color w:val="000000"/>
                <w:sz w:val="24"/>
                <w:szCs w:val="24"/>
              </w:rPr>
            </w:pPr>
          </w:p>
        </w:tc>
        <w:tc>
          <w:tcPr>
            <w:tcW w:w="5430" w:type="dxa"/>
            <w:vAlign w:val="center"/>
          </w:tcPr>
          <w:p w14:paraId="4082A7B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6F686CC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1421AD3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6AFFD7B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7404AB6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6149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30" w:hRule="atLeast"/>
          <w:jc w:val="center"/>
        </w:trPr>
        <w:tc>
          <w:tcPr>
            <w:tcW w:w="1983" w:type="dxa"/>
            <w:vMerge w:val="continue"/>
            <w:vAlign w:val="center"/>
          </w:tcPr>
          <w:p w14:paraId="231F90B4">
            <w:pPr>
              <w:spacing w:line="360" w:lineRule="auto"/>
              <w:ind w:left="210" w:leftChars="100"/>
              <w:jc w:val="center"/>
              <w:rPr>
                <w:rFonts w:hint="eastAsia" w:ascii="宋体" w:hAnsi="宋体" w:cs="宋体"/>
                <w:color w:val="000000"/>
                <w:sz w:val="24"/>
                <w:szCs w:val="24"/>
              </w:rPr>
            </w:pPr>
          </w:p>
        </w:tc>
        <w:tc>
          <w:tcPr>
            <w:tcW w:w="2125" w:type="dxa"/>
            <w:vAlign w:val="center"/>
          </w:tcPr>
          <w:p w14:paraId="0CFF1F5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项目技术方案（25分）</w:t>
            </w:r>
          </w:p>
        </w:tc>
        <w:tc>
          <w:tcPr>
            <w:tcW w:w="5430" w:type="dxa"/>
            <w:vAlign w:val="center"/>
          </w:tcPr>
          <w:p w14:paraId="3261E6D5">
            <w:pPr>
              <w:spacing w:line="360" w:lineRule="auto"/>
              <w:rPr>
                <w:rFonts w:hint="eastAsia" w:ascii="宋体" w:hAnsi="宋体" w:cs="宋体"/>
                <w:color w:val="000000"/>
                <w:sz w:val="24"/>
                <w:szCs w:val="24"/>
              </w:rPr>
            </w:pPr>
            <w:r>
              <w:rPr>
                <w:rFonts w:hint="eastAsia" w:ascii="宋体" w:hAnsi="宋体" w:cs="宋体"/>
                <w:color w:val="000000"/>
                <w:sz w:val="24"/>
                <w:szCs w:val="24"/>
              </w:rPr>
              <w:t>项目技术方案应围绕对服务需求及现状的理解、技术路线、关键技术研究、技术实施、成果提交等方面开展编制，包括但不限于以下内容：</w:t>
            </w:r>
          </w:p>
          <w:p w14:paraId="70E142E2">
            <w:pPr>
              <w:spacing w:line="360" w:lineRule="auto"/>
              <w:rPr>
                <w:rFonts w:hint="eastAsia" w:ascii="宋体" w:hAnsi="宋体" w:cs="宋体"/>
                <w:color w:val="000000"/>
                <w:sz w:val="24"/>
                <w:szCs w:val="24"/>
              </w:rPr>
            </w:pPr>
            <w:r>
              <w:rPr>
                <w:rFonts w:hint="eastAsia" w:ascii="宋体" w:hAnsi="宋体" w:cs="宋体"/>
                <w:color w:val="000000"/>
                <w:sz w:val="24"/>
                <w:szCs w:val="24"/>
              </w:rPr>
              <w:t>1.对服务需求及现状的理解；</w:t>
            </w:r>
          </w:p>
          <w:p w14:paraId="0CCFB936">
            <w:pPr>
              <w:spacing w:line="360" w:lineRule="auto"/>
              <w:rPr>
                <w:rFonts w:hint="eastAsia" w:ascii="宋体" w:hAnsi="宋体" w:cs="宋体"/>
                <w:color w:val="000000"/>
                <w:sz w:val="24"/>
                <w:szCs w:val="24"/>
              </w:rPr>
            </w:pPr>
            <w:r>
              <w:rPr>
                <w:rFonts w:hint="eastAsia" w:ascii="宋体" w:hAnsi="宋体" w:cs="宋体"/>
                <w:color w:val="000000"/>
                <w:sz w:val="24"/>
                <w:szCs w:val="24"/>
              </w:rPr>
              <w:t>2.主要技术指标和成果规格；</w:t>
            </w:r>
          </w:p>
          <w:p w14:paraId="18010FAE">
            <w:pPr>
              <w:spacing w:line="360" w:lineRule="auto"/>
              <w:rPr>
                <w:rFonts w:hint="eastAsia" w:ascii="宋体" w:hAnsi="宋体" w:cs="宋体"/>
                <w:color w:val="000000"/>
                <w:sz w:val="24"/>
                <w:szCs w:val="24"/>
              </w:rPr>
            </w:pPr>
            <w:r>
              <w:rPr>
                <w:rFonts w:hint="eastAsia" w:ascii="宋体" w:hAnsi="宋体" w:cs="宋体"/>
                <w:color w:val="000000"/>
                <w:sz w:val="24"/>
                <w:szCs w:val="24"/>
              </w:rPr>
              <w:t>3.技术路线；</w:t>
            </w:r>
          </w:p>
          <w:p w14:paraId="7BC34F7D">
            <w:pPr>
              <w:spacing w:line="360" w:lineRule="auto"/>
              <w:rPr>
                <w:rFonts w:hint="eastAsia" w:ascii="宋体" w:hAnsi="宋体" w:cs="宋体"/>
                <w:color w:val="000000"/>
                <w:sz w:val="24"/>
                <w:szCs w:val="24"/>
              </w:rPr>
            </w:pPr>
            <w:r>
              <w:rPr>
                <w:rFonts w:hint="eastAsia" w:ascii="宋体" w:hAnsi="宋体" w:cs="宋体"/>
                <w:color w:val="000000"/>
                <w:sz w:val="24"/>
                <w:szCs w:val="24"/>
              </w:rPr>
              <w:t>4.关键技术研究；</w:t>
            </w:r>
          </w:p>
          <w:p w14:paraId="0ECD60FB">
            <w:pPr>
              <w:spacing w:line="360" w:lineRule="auto"/>
              <w:rPr>
                <w:rFonts w:hint="eastAsia" w:ascii="宋体" w:hAnsi="宋体" w:cs="宋体"/>
                <w:color w:val="000000"/>
                <w:sz w:val="24"/>
                <w:szCs w:val="24"/>
              </w:rPr>
            </w:pPr>
            <w:r>
              <w:rPr>
                <w:rFonts w:hint="eastAsia" w:ascii="宋体" w:hAnsi="宋体" w:cs="宋体"/>
                <w:color w:val="000000"/>
                <w:sz w:val="24"/>
                <w:szCs w:val="24"/>
              </w:rPr>
              <w:t>5.技术实施；</w:t>
            </w:r>
          </w:p>
          <w:p w14:paraId="780E2651">
            <w:pPr>
              <w:spacing w:line="360" w:lineRule="auto"/>
              <w:rPr>
                <w:rFonts w:hint="eastAsia" w:ascii="宋体" w:hAnsi="宋体" w:cs="宋体"/>
                <w:color w:val="000000"/>
                <w:sz w:val="24"/>
                <w:szCs w:val="24"/>
              </w:rPr>
            </w:pPr>
            <w:r>
              <w:rPr>
                <w:rFonts w:hint="eastAsia" w:ascii="宋体" w:hAnsi="宋体" w:cs="宋体"/>
                <w:color w:val="000000"/>
                <w:sz w:val="24"/>
                <w:szCs w:val="24"/>
              </w:rPr>
              <w:t>6.资料整理与成果提交；</w:t>
            </w:r>
          </w:p>
          <w:p w14:paraId="51E0E6EA">
            <w:pPr>
              <w:spacing w:line="360" w:lineRule="auto"/>
              <w:rPr>
                <w:rFonts w:hint="eastAsia" w:ascii="宋体" w:hAnsi="宋体" w:cs="宋体"/>
                <w:color w:val="000000"/>
                <w:sz w:val="24"/>
                <w:szCs w:val="24"/>
              </w:rPr>
            </w:pPr>
            <w:r>
              <w:rPr>
                <w:rFonts w:hint="eastAsia" w:ascii="宋体" w:hAnsi="宋体" w:cs="宋体"/>
                <w:color w:val="000000"/>
                <w:sz w:val="24"/>
                <w:szCs w:val="24"/>
              </w:rPr>
              <w:t>7.售后技术支持。</w:t>
            </w:r>
          </w:p>
          <w:p w14:paraId="3C0771A7">
            <w:pPr>
              <w:spacing w:line="360" w:lineRule="auto"/>
              <w:rPr>
                <w:rFonts w:hint="eastAsia" w:ascii="宋体" w:hAnsi="宋体" w:cs="宋体"/>
                <w:color w:val="000000"/>
                <w:sz w:val="24"/>
                <w:szCs w:val="24"/>
              </w:rPr>
            </w:pPr>
            <w:r>
              <w:rPr>
                <w:rFonts w:hint="eastAsia" w:ascii="宋体" w:hAnsi="宋体" w:cs="宋体"/>
                <w:color w:val="000000"/>
                <w:sz w:val="24"/>
                <w:szCs w:val="24"/>
              </w:rPr>
              <w:t>以上7项内容，第3项7分，其他项3分。</w:t>
            </w:r>
          </w:p>
          <w:p w14:paraId="049FFAEC">
            <w:pPr>
              <w:spacing w:line="360" w:lineRule="auto"/>
              <w:rPr>
                <w:rFonts w:hint="eastAsia" w:ascii="宋体" w:hAnsi="宋体" w:cs="宋体"/>
                <w:color w:val="000000"/>
                <w:sz w:val="24"/>
                <w:szCs w:val="24"/>
              </w:rPr>
            </w:pPr>
            <w:r>
              <w:rPr>
                <w:rFonts w:hint="eastAsia" w:ascii="宋体" w:hAnsi="宋体" w:cs="宋体"/>
                <w:color w:val="000000"/>
                <w:sz w:val="24"/>
                <w:szCs w:val="24"/>
              </w:rPr>
              <w:t>其中，第3项内容评分标准：</w:t>
            </w:r>
          </w:p>
          <w:p w14:paraId="0869EEC1">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（1）方案科学、技术手段先进，完全满足本项目建设需求的，得7分；</w:t>
            </w:r>
          </w:p>
          <w:p w14:paraId="62F90C5F">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（2）方案较合理、技术手段较可行，满足本项目建设需求的，得5分；</w:t>
            </w:r>
          </w:p>
          <w:p w14:paraId="075C8370">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（3）方案不合理、技术手段不可行，不满足本项目建设需求的，得2分；</w:t>
            </w:r>
          </w:p>
          <w:p w14:paraId="032B1AE3">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（4）缺失相关内容</w:t>
            </w:r>
            <w:r>
              <w:rPr>
                <w:rFonts w:hint="eastAsia" w:ascii="宋体" w:hAnsi="宋体" w:cs="宋体"/>
                <w:color w:val="000000"/>
                <w:sz w:val="24"/>
                <w:szCs w:val="24"/>
                <w:lang w:val="zh-CN"/>
              </w:rPr>
              <w:t>的</w:t>
            </w:r>
            <w:r>
              <w:rPr>
                <w:rFonts w:hint="eastAsia" w:ascii="宋体" w:hAnsi="宋体" w:cs="宋体"/>
                <w:color w:val="000000"/>
                <w:sz w:val="24"/>
                <w:szCs w:val="24"/>
              </w:rPr>
              <w:t>，得0分。</w:t>
            </w:r>
          </w:p>
          <w:p w14:paraId="27B3169C">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第1-2、4-7项内容评分标准：</w:t>
            </w:r>
          </w:p>
          <w:p w14:paraId="1C773598">
            <w:pPr>
              <w:pStyle w:val="34"/>
              <w:spacing w:line="360" w:lineRule="auto"/>
              <w:jc w:val="both"/>
              <w:rPr>
                <w:rFonts w:hint="eastAsia" w:cs="宋体"/>
                <w:color w:val="000000"/>
                <w:sz w:val="24"/>
                <w:szCs w:val="24"/>
                <w:lang w:val="zh-CN"/>
              </w:rPr>
            </w:pPr>
            <w:r>
              <w:rPr>
                <w:rFonts w:hint="eastAsia" w:cs="宋体"/>
                <w:color w:val="000000"/>
                <w:sz w:val="24"/>
                <w:szCs w:val="24"/>
              </w:rPr>
              <w:t>（1）理解充分</w:t>
            </w:r>
            <w:r>
              <w:rPr>
                <w:rFonts w:hint="eastAsia" w:cs="宋体"/>
                <w:color w:val="000000"/>
                <w:sz w:val="24"/>
                <w:szCs w:val="24"/>
                <w:lang w:val="zh-CN"/>
              </w:rPr>
              <w:t>、指标分析全面、</w:t>
            </w:r>
            <w:r>
              <w:rPr>
                <w:rFonts w:hint="eastAsia" w:cs="宋体"/>
                <w:color w:val="000000"/>
                <w:sz w:val="24"/>
                <w:szCs w:val="24"/>
              </w:rPr>
              <w:t>措施得当</w:t>
            </w:r>
            <w:r>
              <w:rPr>
                <w:rFonts w:hint="eastAsia" w:cs="宋体"/>
                <w:color w:val="000000"/>
                <w:sz w:val="24"/>
                <w:szCs w:val="24"/>
                <w:lang w:val="zh-CN"/>
              </w:rPr>
              <w:t>，完全满足本项目建设需求的，得</w:t>
            </w:r>
            <w:r>
              <w:rPr>
                <w:rFonts w:hint="eastAsia" w:cs="宋体"/>
                <w:color w:val="000000"/>
                <w:sz w:val="24"/>
                <w:szCs w:val="24"/>
              </w:rPr>
              <w:t>3</w:t>
            </w:r>
            <w:r>
              <w:rPr>
                <w:rFonts w:hint="eastAsia" w:cs="宋体"/>
                <w:color w:val="000000"/>
                <w:sz w:val="24"/>
                <w:szCs w:val="24"/>
                <w:lang w:val="zh-CN"/>
              </w:rPr>
              <w:t>分；</w:t>
            </w:r>
          </w:p>
          <w:p w14:paraId="244FC74F">
            <w:pPr>
              <w:pStyle w:val="34"/>
              <w:spacing w:line="360" w:lineRule="auto"/>
              <w:jc w:val="both"/>
              <w:rPr>
                <w:rFonts w:hint="eastAsia" w:cs="宋体"/>
                <w:color w:val="000000"/>
                <w:sz w:val="24"/>
                <w:szCs w:val="24"/>
                <w:lang w:val="zh-CN"/>
              </w:rPr>
            </w:pPr>
            <w:r>
              <w:rPr>
                <w:rFonts w:hint="eastAsia" w:cs="宋体"/>
                <w:color w:val="000000"/>
                <w:sz w:val="24"/>
                <w:szCs w:val="24"/>
              </w:rPr>
              <w:t>（2）理解较充分</w:t>
            </w:r>
            <w:r>
              <w:rPr>
                <w:rFonts w:hint="eastAsia" w:cs="宋体"/>
                <w:color w:val="000000"/>
                <w:sz w:val="24"/>
                <w:szCs w:val="24"/>
                <w:lang w:val="zh-CN"/>
              </w:rPr>
              <w:t>、指标分析</w:t>
            </w:r>
            <w:r>
              <w:rPr>
                <w:rFonts w:hint="eastAsia" w:cs="宋体"/>
                <w:color w:val="000000"/>
                <w:sz w:val="24"/>
                <w:szCs w:val="24"/>
              </w:rPr>
              <w:t>较</w:t>
            </w:r>
            <w:r>
              <w:rPr>
                <w:rFonts w:hint="eastAsia" w:cs="宋体"/>
                <w:color w:val="000000"/>
                <w:sz w:val="24"/>
                <w:szCs w:val="24"/>
                <w:lang w:val="zh-CN"/>
              </w:rPr>
              <w:t>完整、</w:t>
            </w:r>
            <w:r>
              <w:rPr>
                <w:rFonts w:hint="eastAsia" w:cs="宋体"/>
                <w:color w:val="000000"/>
                <w:sz w:val="24"/>
                <w:szCs w:val="24"/>
              </w:rPr>
              <w:t>措施较得当</w:t>
            </w:r>
            <w:r>
              <w:rPr>
                <w:rFonts w:hint="eastAsia" w:cs="宋体"/>
                <w:color w:val="000000"/>
                <w:sz w:val="24"/>
                <w:szCs w:val="24"/>
                <w:lang w:val="zh-CN"/>
              </w:rPr>
              <w:t>，满足本项目建设需求的，得</w:t>
            </w:r>
            <w:r>
              <w:rPr>
                <w:rFonts w:hint="eastAsia" w:cs="宋体"/>
                <w:color w:val="000000"/>
                <w:sz w:val="24"/>
                <w:szCs w:val="24"/>
              </w:rPr>
              <w:t>2</w:t>
            </w:r>
            <w:r>
              <w:rPr>
                <w:rFonts w:hint="eastAsia" w:cs="宋体"/>
                <w:color w:val="000000"/>
                <w:sz w:val="24"/>
                <w:szCs w:val="24"/>
                <w:lang w:val="zh-CN"/>
              </w:rPr>
              <w:t>分；</w:t>
            </w:r>
          </w:p>
          <w:p w14:paraId="239DF94B">
            <w:pPr>
              <w:pStyle w:val="34"/>
              <w:spacing w:line="360" w:lineRule="auto"/>
              <w:jc w:val="both"/>
              <w:rPr>
                <w:rFonts w:hint="eastAsia" w:cs="宋体"/>
                <w:color w:val="000000"/>
                <w:sz w:val="24"/>
                <w:szCs w:val="24"/>
                <w:lang w:val="zh-CN"/>
              </w:rPr>
            </w:pPr>
            <w:r>
              <w:rPr>
                <w:rFonts w:hint="eastAsia" w:cs="宋体"/>
                <w:color w:val="000000"/>
                <w:sz w:val="24"/>
                <w:szCs w:val="24"/>
              </w:rPr>
              <w:t>（3）理解不充分</w:t>
            </w:r>
            <w:r>
              <w:rPr>
                <w:rFonts w:hint="eastAsia" w:cs="宋体"/>
                <w:color w:val="000000"/>
                <w:sz w:val="24"/>
                <w:szCs w:val="24"/>
                <w:lang w:val="zh-CN"/>
              </w:rPr>
              <w:t>、指标分析</w:t>
            </w:r>
            <w:r>
              <w:rPr>
                <w:rFonts w:hint="eastAsia" w:cs="宋体"/>
                <w:color w:val="000000"/>
                <w:sz w:val="24"/>
                <w:szCs w:val="24"/>
              </w:rPr>
              <w:t>不</w:t>
            </w:r>
            <w:r>
              <w:rPr>
                <w:rFonts w:hint="eastAsia" w:cs="宋体"/>
                <w:color w:val="000000"/>
                <w:sz w:val="24"/>
                <w:szCs w:val="24"/>
                <w:lang w:val="zh-CN"/>
              </w:rPr>
              <w:t>完整、</w:t>
            </w:r>
            <w:r>
              <w:rPr>
                <w:rFonts w:hint="eastAsia" w:cs="宋体"/>
                <w:color w:val="000000"/>
                <w:sz w:val="24"/>
                <w:szCs w:val="24"/>
              </w:rPr>
              <w:t>措施不得当</w:t>
            </w:r>
            <w:r>
              <w:rPr>
                <w:rFonts w:hint="eastAsia" w:cs="宋体"/>
                <w:color w:val="000000"/>
                <w:sz w:val="24"/>
                <w:szCs w:val="24"/>
                <w:lang w:val="zh-CN"/>
              </w:rPr>
              <w:t>，</w:t>
            </w:r>
            <w:r>
              <w:rPr>
                <w:rFonts w:hint="eastAsia" w:cs="宋体"/>
                <w:color w:val="000000"/>
                <w:sz w:val="24"/>
                <w:szCs w:val="24"/>
              </w:rPr>
              <w:t>不</w:t>
            </w:r>
            <w:r>
              <w:rPr>
                <w:rFonts w:hint="eastAsia" w:cs="宋体"/>
                <w:color w:val="000000"/>
                <w:sz w:val="24"/>
                <w:szCs w:val="24"/>
                <w:lang w:val="zh-CN"/>
              </w:rPr>
              <w:t>满足本项目建设需求的，得</w:t>
            </w:r>
            <w:r>
              <w:rPr>
                <w:rFonts w:hint="eastAsia" w:cs="宋体"/>
                <w:color w:val="000000"/>
                <w:sz w:val="24"/>
                <w:szCs w:val="24"/>
              </w:rPr>
              <w:t>1</w:t>
            </w:r>
            <w:r>
              <w:rPr>
                <w:rFonts w:hint="eastAsia" w:cs="宋体"/>
                <w:color w:val="000000"/>
                <w:sz w:val="24"/>
                <w:szCs w:val="24"/>
                <w:lang w:val="zh-CN"/>
              </w:rPr>
              <w:t>分；</w:t>
            </w:r>
          </w:p>
          <w:p w14:paraId="7E7172AE">
            <w:pPr>
              <w:rPr>
                <w:rFonts w:hint="eastAsia" w:ascii="宋体" w:hAnsi="宋体" w:cs="宋体"/>
                <w:color w:val="000000"/>
                <w:sz w:val="24"/>
                <w:szCs w:val="24"/>
              </w:rPr>
            </w:pPr>
            <w:r>
              <w:rPr>
                <w:rFonts w:hint="eastAsia" w:ascii="宋体" w:hAnsi="宋体" w:cs="宋体"/>
                <w:color w:val="000000"/>
                <w:sz w:val="24"/>
                <w:szCs w:val="24"/>
              </w:rPr>
              <w:t>（4）缺失相关内容的，得0分。</w:t>
            </w:r>
          </w:p>
        </w:tc>
      </w:tr>
      <w:tr w14:paraId="212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C938F49">
            <w:pPr>
              <w:spacing w:line="360" w:lineRule="auto"/>
              <w:ind w:left="210" w:leftChars="100"/>
              <w:jc w:val="center"/>
              <w:rPr>
                <w:rFonts w:hint="eastAsia" w:ascii="宋体" w:hAnsi="宋体" w:cs="宋体"/>
                <w:color w:val="000000"/>
                <w:sz w:val="24"/>
                <w:szCs w:val="24"/>
              </w:rPr>
            </w:pPr>
          </w:p>
        </w:tc>
        <w:tc>
          <w:tcPr>
            <w:tcW w:w="2125" w:type="dxa"/>
            <w:vAlign w:val="center"/>
          </w:tcPr>
          <w:p w14:paraId="23ECD32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430" w:type="dxa"/>
            <w:vAlign w:val="center"/>
          </w:tcPr>
          <w:p w14:paraId="4F6DBE7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403084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（1）对项目的工作重点、难点分析科学合理，提出的建议及对策措施操作性强的，得5分；</w:t>
            </w:r>
          </w:p>
          <w:p w14:paraId="204FF96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371FBB3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575CE0F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A46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79CAA94">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048B273">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2FF2D8F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12797670">
            <w:pPr>
              <w:spacing w:line="360" w:lineRule="auto"/>
              <w:ind w:right="54"/>
              <w:rPr>
                <w:rFonts w:hint="eastAsia" w:ascii="宋体" w:hAnsi="宋体" w:cs="宋体"/>
                <w:color w:val="000000"/>
                <w:sz w:val="24"/>
                <w:szCs w:val="24"/>
                <w:highlight w:val="none"/>
              </w:rPr>
            </w:pPr>
            <w:r>
              <w:rPr>
                <w:rFonts w:hint="eastAsia" w:ascii="宋体" w:hAnsi="宋体" w:cs="宋体"/>
                <w:color w:val="000000"/>
                <w:spacing w:val="7"/>
                <w:sz w:val="24"/>
                <w:szCs w:val="24"/>
              </w:rPr>
              <w:t>同时具有注册测绘师资格证书、</w:t>
            </w:r>
            <w:r>
              <w:rPr>
                <w:rFonts w:hint="eastAsia" w:ascii="宋体" w:hAnsi="宋体" w:cs="宋体"/>
                <w:color w:val="000000"/>
                <w:spacing w:val="8"/>
                <w:sz w:val="24"/>
                <w:szCs w:val="24"/>
              </w:rPr>
              <w:t>测绘类或土地资源管理类等相关</w:t>
            </w:r>
            <w:r>
              <w:rPr>
                <w:rFonts w:hint="eastAsia" w:ascii="宋体" w:hAnsi="宋体" w:cs="宋体"/>
                <w:color w:val="000000"/>
                <w:spacing w:val="8"/>
                <w:sz w:val="24"/>
                <w:szCs w:val="24"/>
                <w:highlight w:val="none"/>
              </w:rPr>
              <w:t>专业</w:t>
            </w:r>
            <w:r>
              <w:rPr>
                <w:rFonts w:hint="eastAsia" w:ascii="宋体" w:hAnsi="宋体" w:cs="宋体"/>
                <w:color w:val="000000"/>
                <w:spacing w:val="8"/>
                <w:sz w:val="24"/>
                <w:szCs w:val="24"/>
                <w:highlight w:val="none"/>
                <w:lang w:eastAsia="zh-CN"/>
              </w:rPr>
              <w:t>正</w:t>
            </w:r>
            <w:r>
              <w:rPr>
                <w:rFonts w:hint="eastAsia" w:ascii="宋体" w:hAnsi="宋体" w:cs="宋体"/>
                <w:color w:val="000000"/>
                <w:spacing w:val="8"/>
                <w:sz w:val="24"/>
                <w:szCs w:val="24"/>
                <w:highlight w:val="none"/>
              </w:rPr>
              <w:t>高级</w:t>
            </w:r>
            <w:r>
              <w:rPr>
                <w:rFonts w:hint="eastAsia" w:ascii="宋体" w:hAnsi="宋体" w:cs="宋体"/>
                <w:color w:val="000000"/>
                <w:spacing w:val="1"/>
                <w:sz w:val="24"/>
                <w:szCs w:val="24"/>
                <w:highlight w:val="none"/>
              </w:rPr>
              <w:t>工程师及以上职称证书、地理信息安全保密培训证书的，得2分；</w:t>
            </w:r>
            <w:r>
              <w:rPr>
                <w:rFonts w:hint="eastAsia" w:ascii="宋体" w:hAnsi="宋体" w:cs="宋体"/>
                <w:color w:val="000000"/>
                <w:spacing w:val="6"/>
                <w:sz w:val="24"/>
                <w:szCs w:val="24"/>
                <w:highlight w:val="none"/>
              </w:rPr>
              <w:t>否则不得分；</w:t>
            </w:r>
          </w:p>
          <w:p w14:paraId="58C154D8">
            <w:pPr>
              <w:spacing w:line="360" w:lineRule="auto"/>
              <w:rPr>
                <w:rFonts w:hint="eastAsia" w:ascii="宋体" w:hAnsi="宋体" w:cs="宋体"/>
                <w:color w:val="000000"/>
                <w:sz w:val="24"/>
                <w:szCs w:val="24"/>
                <w:highlight w:val="none"/>
              </w:rPr>
            </w:pPr>
            <w:r>
              <w:rPr>
                <w:rFonts w:hint="eastAsia" w:ascii="宋体" w:hAnsi="宋体" w:cs="宋体"/>
                <w:color w:val="000000"/>
                <w:spacing w:val="6"/>
                <w:sz w:val="24"/>
                <w:szCs w:val="24"/>
                <w:highlight w:val="none"/>
              </w:rPr>
              <w:t>（2）拟派技术负责人：</w:t>
            </w:r>
          </w:p>
          <w:p w14:paraId="0BE0B81E">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highlight w:val="none"/>
              </w:rPr>
              <w:t>同时具有注册测绘师资格证书、测绘类</w:t>
            </w:r>
            <w:r>
              <w:rPr>
                <w:rFonts w:hint="eastAsia" w:ascii="宋体" w:hAnsi="宋体" w:cs="宋体"/>
                <w:color w:val="000000"/>
                <w:spacing w:val="8"/>
                <w:sz w:val="24"/>
                <w:szCs w:val="24"/>
                <w:highlight w:val="none"/>
              </w:rPr>
              <w:t>或土地资源管理类等相关</w:t>
            </w:r>
            <w:r>
              <w:rPr>
                <w:rFonts w:hint="eastAsia" w:ascii="宋体" w:hAnsi="宋体" w:cs="宋体"/>
                <w:color w:val="000000"/>
                <w:spacing w:val="7"/>
                <w:sz w:val="24"/>
                <w:szCs w:val="24"/>
                <w:highlight w:val="none"/>
              </w:rPr>
              <w:t>专业</w:t>
            </w:r>
            <w:r>
              <w:rPr>
                <w:rFonts w:hint="eastAsia" w:ascii="宋体" w:hAnsi="宋体" w:cs="宋体"/>
                <w:color w:val="000000"/>
                <w:spacing w:val="7"/>
                <w:sz w:val="24"/>
                <w:szCs w:val="24"/>
                <w:highlight w:val="none"/>
                <w:lang w:eastAsia="zh-CN"/>
              </w:rPr>
              <w:t>正</w:t>
            </w:r>
            <w:r>
              <w:rPr>
                <w:rFonts w:hint="eastAsia" w:ascii="宋体" w:hAnsi="宋体" w:cs="宋体"/>
                <w:color w:val="000000"/>
                <w:spacing w:val="7"/>
                <w:sz w:val="24"/>
                <w:szCs w:val="24"/>
                <w:highlight w:val="none"/>
              </w:rPr>
              <w:t>高级工程师</w:t>
            </w:r>
            <w:r>
              <w:rPr>
                <w:rFonts w:hint="eastAsia" w:ascii="宋体" w:hAnsi="宋体" w:cs="宋体"/>
                <w:color w:val="000000"/>
                <w:spacing w:val="1"/>
                <w:sz w:val="24"/>
                <w:szCs w:val="24"/>
                <w:highlight w:val="none"/>
              </w:rPr>
              <w:t>及以上职称证书、地理信息安全保密培训证书的，得2分；</w:t>
            </w:r>
            <w:r>
              <w:rPr>
                <w:rFonts w:hint="eastAsia" w:ascii="宋体" w:hAnsi="宋体" w:cs="宋体"/>
                <w:color w:val="000000"/>
                <w:spacing w:val="6"/>
                <w:sz w:val="24"/>
                <w:szCs w:val="24"/>
                <w:highlight w:val="none"/>
              </w:rPr>
              <w:t>否</w:t>
            </w:r>
            <w:r>
              <w:rPr>
                <w:rFonts w:hint="eastAsia" w:ascii="宋体" w:hAnsi="宋体" w:cs="宋体"/>
                <w:color w:val="000000"/>
                <w:spacing w:val="6"/>
                <w:sz w:val="24"/>
                <w:szCs w:val="24"/>
              </w:rPr>
              <w:t>则不得分；</w:t>
            </w:r>
          </w:p>
          <w:p w14:paraId="4703FB9D">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7ED89005">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551A15CA">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64C2B78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1D07AB62">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27BE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108E2D32">
            <w:pPr>
              <w:jc w:val="center"/>
              <w:rPr>
                <w:rFonts w:hint="eastAsia" w:ascii="宋体" w:hAnsi="宋体" w:cs="宋体"/>
                <w:b/>
                <w:bCs/>
                <w:color w:val="000000"/>
                <w:sz w:val="24"/>
                <w:szCs w:val="24"/>
              </w:rPr>
            </w:pPr>
          </w:p>
        </w:tc>
        <w:tc>
          <w:tcPr>
            <w:tcW w:w="2125" w:type="dxa"/>
            <w:vAlign w:val="center"/>
          </w:tcPr>
          <w:p w14:paraId="3968956E">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7C3974A0">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433C0BE5">
            <w:pPr>
              <w:spacing w:line="360" w:lineRule="auto"/>
              <w:ind w:right="108"/>
              <w:rPr>
                <w:rFonts w:hint="eastAsia" w:ascii="宋体" w:hAnsi="宋体" w:cs="宋体"/>
                <w:color w:val="000000"/>
                <w:spacing w:val="2"/>
                <w:sz w:val="24"/>
                <w:szCs w:val="24"/>
              </w:rPr>
            </w:pPr>
            <w:r>
              <w:rPr>
                <w:rFonts w:hint="eastAsia" w:ascii="宋体" w:hAnsi="宋体" w:cs="宋体"/>
                <w:color w:val="000000"/>
                <w:spacing w:val="8"/>
                <w:sz w:val="24"/>
                <w:szCs w:val="24"/>
              </w:rPr>
              <w:t>（2）团队成员中具有注册测绘师资格证书的，每有1人</w:t>
            </w:r>
            <w:r>
              <w:rPr>
                <w:rFonts w:hint="eastAsia" w:ascii="宋体" w:hAnsi="宋体" w:cs="宋体"/>
                <w:color w:val="000000"/>
                <w:spacing w:val="2"/>
                <w:sz w:val="24"/>
                <w:szCs w:val="24"/>
              </w:rPr>
              <w:t>得0.5分，最高得3分；</w:t>
            </w:r>
          </w:p>
          <w:p w14:paraId="71A12E13">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4F717F98">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的，每有1人得0.1分，最高得3分；</w:t>
            </w:r>
          </w:p>
          <w:p w14:paraId="5038CB40">
            <w:pPr>
              <w:spacing w:line="360" w:lineRule="auto"/>
              <w:ind w:right="109"/>
              <w:rPr>
                <w:rFonts w:hint="eastAsia" w:ascii="宋体" w:hAnsi="宋体" w:cs="宋体"/>
                <w:color w:val="000000"/>
                <w:sz w:val="24"/>
                <w:szCs w:val="24"/>
              </w:rPr>
            </w:pPr>
            <w:r>
              <w:rPr>
                <w:rFonts w:hint="eastAsia" w:ascii="宋体" w:hAnsi="宋体" w:cs="宋体"/>
                <w:color w:val="000000"/>
                <w:spacing w:val="4"/>
                <w:sz w:val="24"/>
                <w:szCs w:val="24"/>
              </w:rPr>
              <w:t>（5）2022年1月1日以来，实施团队成员或管</w:t>
            </w:r>
            <w:r>
              <w:rPr>
                <w:rFonts w:hint="eastAsia" w:ascii="宋体" w:hAnsi="宋体" w:cs="宋体"/>
                <w:color w:val="000000"/>
                <w:spacing w:val="3"/>
                <w:sz w:val="24"/>
                <w:szCs w:val="24"/>
              </w:rPr>
              <w:t>理团队成</w:t>
            </w:r>
            <w:r>
              <w:rPr>
                <w:rFonts w:hint="eastAsia" w:ascii="宋体" w:hAnsi="宋体" w:cs="宋体"/>
                <w:color w:val="000000"/>
                <w:spacing w:val="7"/>
                <w:sz w:val="24"/>
                <w:szCs w:val="24"/>
              </w:rPr>
              <w:t>员中获得国家级测绘专业技能竞赛表彰的，每有1人</w:t>
            </w:r>
            <w:r>
              <w:rPr>
                <w:rFonts w:hint="eastAsia" w:ascii="宋体" w:hAnsi="宋体" w:cs="宋体"/>
                <w:color w:val="000000"/>
                <w:spacing w:val="6"/>
                <w:sz w:val="24"/>
                <w:szCs w:val="24"/>
              </w:rPr>
              <w:t>得2</w:t>
            </w:r>
            <w:r>
              <w:rPr>
                <w:rFonts w:hint="eastAsia" w:ascii="宋体" w:hAnsi="宋体" w:cs="宋体"/>
                <w:color w:val="000000"/>
                <w:sz w:val="24"/>
                <w:szCs w:val="24"/>
              </w:rPr>
              <w:t>分；获得省级测绘专业技能竞赛一等奖的，每有1人得1</w:t>
            </w:r>
            <w:r>
              <w:rPr>
                <w:rFonts w:hint="eastAsia" w:ascii="宋体" w:hAnsi="宋体" w:cs="宋体"/>
                <w:color w:val="000000"/>
                <w:spacing w:val="4"/>
                <w:sz w:val="24"/>
                <w:szCs w:val="24"/>
              </w:rPr>
              <w:t>分；二等奖的，每有1人得0.6分；三等奖的，</w:t>
            </w:r>
            <w:r>
              <w:rPr>
                <w:rFonts w:hint="eastAsia" w:ascii="宋体" w:hAnsi="宋体" w:cs="宋体"/>
                <w:color w:val="000000"/>
                <w:spacing w:val="3"/>
                <w:sz w:val="24"/>
                <w:szCs w:val="24"/>
              </w:rPr>
              <w:t>每有1人得0.4分；最高得2分。</w:t>
            </w:r>
          </w:p>
          <w:p w14:paraId="2DDA38B5">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开标前三个月任意一个月的社保证明材料及相关资格、职称、获</w:t>
            </w:r>
            <w:r>
              <w:rPr>
                <w:rFonts w:hint="eastAsia" w:ascii="宋体" w:hAnsi="宋体" w:cs="宋体"/>
                <w:b/>
                <w:bCs/>
                <w:color w:val="000000"/>
                <w:spacing w:val="6"/>
                <w:sz w:val="24"/>
                <w:szCs w:val="24"/>
              </w:rPr>
              <w:t>奖证书等，证明材料复印件并加盖供应商公章，未提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得重复计分。奖项类单人获奖不重复计算。管理团队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与实施团队人员不得重复。3.奖项类证书</w:t>
            </w:r>
            <w:r>
              <w:rPr>
                <w:rFonts w:hint="eastAsia" w:ascii="宋体" w:hAnsi="宋体" w:cs="宋体"/>
                <w:b/>
                <w:bCs/>
                <w:color w:val="000000"/>
                <w:spacing w:val="7"/>
                <w:sz w:val="24"/>
                <w:szCs w:val="24"/>
              </w:rPr>
              <w:t>以发证时间为准。如重复仅按照出现先后顺序计一次分】</w:t>
            </w:r>
          </w:p>
        </w:tc>
      </w:tr>
      <w:tr w14:paraId="0779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96FDB5C">
            <w:pPr>
              <w:jc w:val="center"/>
              <w:rPr>
                <w:rFonts w:hint="eastAsia" w:ascii="宋体" w:hAnsi="宋体" w:cs="宋体"/>
                <w:b/>
                <w:bCs/>
                <w:color w:val="000000"/>
                <w:sz w:val="24"/>
                <w:szCs w:val="24"/>
              </w:rPr>
            </w:pPr>
          </w:p>
        </w:tc>
        <w:tc>
          <w:tcPr>
            <w:tcW w:w="2125" w:type="dxa"/>
            <w:vAlign w:val="center"/>
          </w:tcPr>
          <w:p w14:paraId="633F2B5E">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096F91EA">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2022年1月1日以来，供应商完成类似项目的，每个得1</w:t>
            </w:r>
            <w:r>
              <w:rPr>
                <w:rFonts w:hint="eastAsia" w:ascii="宋体" w:hAnsi="宋体" w:cs="宋体"/>
                <w:color w:val="000000"/>
                <w:spacing w:val="4"/>
                <w:sz w:val="24"/>
                <w:szCs w:val="24"/>
              </w:rPr>
              <w:t>分，最高得4分。</w:t>
            </w:r>
          </w:p>
          <w:p w14:paraId="183D6C8B">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提供上级部门的任务下达文件作为有效证明文件（合同内容或上级部门下达的任务文件的主要任务须包含“实景三</w:t>
            </w:r>
            <w:r>
              <w:rPr>
                <w:rFonts w:hint="eastAsia" w:ascii="宋体" w:hAnsi="宋体" w:cs="宋体"/>
                <w:b/>
                <w:bCs/>
                <w:color w:val="000000"/>
                <w:spacing w:val="-7"/>
                <w:sz w:val="24"/>
                <w:szCs w:val="24"/>
              </w:rPr>
              <w:t>维”“基础地理实体”“三维模型”</w:t>
            </w:r>
            <w:r>
              <w:rPr>
                <w:rFonts w:hint="eastAsia" w:ascii="宋体" w:hAnsi="宋体" w:cs="宋体"/>
                <w:b/>
                <w:bCs/>
                <w:color w:val="000000"/>
                <w:spacing w:val="2"/>
                <w:sz w:val="24"/>
                <w:szCs w:val="24"/>
              </w:rPr>
              <w:t>任一字样</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001A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6437E673">
            <w:pPr>
              <w:jc w:val="center"/>
              <w:rPr>
                <w:rFonts w:hint="eastAsia" w:ascii="宋体" w:hAnsi="宋体" w:cs="宋体"/>
                <w:b/>
                <w:bCs/>
                <w:color w:val="000000"/>
                <w:sz w:val="24"/>
                <w:szCs w:val="24"/>
              </w:rPr>
            </w:pPr>
          </w:p>
        </w:tc>
        <w:tc>
          <w:tcPr>
            <w:tcW w:w="2125" w:type="dxa"/>
            <w:vAlign w:val="center"/>
          </w:tcPr>
          <w:p w14:paraId="4F90A5A4">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7B2F5293">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617FD4FA">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53F69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F52BA8">
            <w:pPr>
              <w:jc w:val="center"/>
              <w:rPr>
                <w:rFonts w:hint="eastAsia" w:ascii="宋体" w:hAnsi="宋体" w:cs="宋体"/>
                <w:b/>
                <w:bCs/>
                <w:color w:val="000000"/>
                <w:sz w:val="24"/>
                <w:szCs w:val="24"/>
              </w:rPr>
            </w:pPr>
          </w:p>
        </w:tc>
        <w:tc>
          <w:tcPr>
            <w:tcW w:w="2125" w:type="dxa"/>
            <w:vAlign w:val="center"/>
          </w:tcPr>
          <w:p w14:paraId="349884C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5A29B539">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（1）2022年1月1日以来，供应商获得测绘地</w:t>
            </w:r>
            <w:r>
              <w:rPr>
                <w:rFonts w:hint="eastAsia" w:ascii="宋体" w:hAnsi="宋体" w:cs="宋体"/>
                <w:color w:val="000000"/>
                <w:spacing w:val="3"/>
                <w:sz w:val="24"/>
                <w:szCs w:val="24"/>
              </w:rPr>
              <w:t>理信息类</w:t>
            </w:r>
            <w:r>
              <w:rPr>
                <w:rFonts w:hint="eastAsia" w:ascii="宋体" w:hAnsi="宋体" w:cs="宋体"/>
                <w:color w:val="000000"/>
                <w:sz w:val="24"/>
                <w:szCs w:val="24"/>
              </w:rPr>
              <w:t>优质（优秀）测绘工程奖、测绘地理信息类科技进步奖（科</w:t>
            </w:r>
            <w:r>
              <w:rPr>
                <w:rFonts w:hint="eastAsia" w:ascii="宋体" w:hAnsi="宋体" w:cs="宋体"/>
                <w:color w:val="000000"/>
                <w:spacing w:val="6"/>
                <w:sz w:val="24"/>
                <w:szCs w:val="24"/>
              </w:rPr>
              <w:t>学技术奖）获奖证书的，每提供1个省部级及以上的，得</w:t>
            </w:r>
            <w:r>
              <w:rPr>
                <w:rFonts w:hint="eastAsia" w:ascii="宋体" w:hAnsi="宋体" w:cs="宋体"/>
                <w:color w:val="000000"/>
                <w:spacing w:val="1"/>
                <w:sz w:val="24"/>
                <w:szCs w:val="24"/>
              </w:rPr>
              <w:t>1分；每提供1个地厅级的，得0.5分。本项最高得4分；</w:t>
            </w:r>
          </w:p>
          <w:p w14:paraId="0D1A237D">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3ED0310D">
            <w:pPr>
              <w:spacing w:line="360" w:lineRule="auto"/>
              <w:ind w:right="89"/>
              <w:rPr>
                <w:rFonts w:hint="eastAsia" w:ascii="宋体" w:hAnsi="宋体" w:cs="宋体"/>
                <w:color w:val="000000"/>
                <w:sz w:val="24"/>
                <w:szCs w:val="24"/>
              </w:rPr>
            </w:pPr>
            <w:r>
              <w:rPr>
                <w:rFonts w:hint="eastAsia" w:ascii="宋体" w:hAnsi="宋体" w:cs="宋体"/>
                <w:color w:val="000000"/>
                <w:spacing w:val="11"/>
                <w:sz w:val="24"/>
                <w:szCs w:val="24"/>
              </w:rPr>
              <w:t>（3）供应商同时具有质量管理体系、环境管理体系、职业健康安全管理体系认证证书的，得2分，否则不得分。</w:t>
            </w: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359384D0">
      <w:pPr>
        <w:rPr>
          <w:rFonts w:hint="eastAsia" w:ascii="宋体" w:hAnsi="宋体" w:cs="宋体"/>
        </w:rPr>
      </w:pPr>
    </w:p>
    <w:p w14:paraId="775AFF3E">
      <w:pPr>
        <w:rPr>
          <w:rFonts w:hint="eastAsia" w:ascii="宋体" w:hAnsi="宋体" w:cs="宋体"/>
        </w:rPr>
      </w:pPr>
      <w:r>
        <w:rPr>
          <w:rFonts w:hint="eastAsia" w:ascii="宋体" w:hAnsi="宋体" w:cs="宋体"/>
        </w:rPr>
        <w:br w:type="page"/>
      </w:r>
    </w:p>
    <w:p w14:paraId="78FEEC00">
      <w:pPr>
        <w:rPr>
          <w:rFonts w:hint="eastAsia" w:ascii="宋体" w:hAnsi="宋体" w:cs="宋体"/>
        </w:rPr>
      </w:pPr>
      <w:r>
        <w:rPr>
          <w:rFonts w:hint="eastAsia" w:ascii="宋体" w:hAnsi="宋体" w:cs="宋体"/>
          <w:b/>
          <w:bCs/>
          <w:sz w:val="24"/>
          <w:szCs w:val="24"/>
        </w:rPr>
        <w:t>详细评审表包2：</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542D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6B0AD37">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22F2028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3956DB7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177C7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87AEF8D">
            <w:pPr>
              <w:spacing w:line="360" w:lineRule="auto"/>
              <w:ind w:left="210" w:leftChars="100"/>
              <w:jc w:val="center"/>
              <w:rPr>
                <w:rFonts w:hint="eastAsia" w:ascii="宋体" w:hAnsi="宋体" w:cs="宋体"/>
                <w:b/>
                <w:bCs/>
                <w:color w:val="000000"/>
                <w:sz w:val="24"/>
                <w:szCs w:val="24"/>
              </w:rPr>
            </w:pPr>
          </w:p>
          <w:p w14:paraId="4F44F33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Merge w:val="restart"/>
            <w:vAlign w:val="center"/>
          </w:tcPr>
          <w:p w14:paraId="2333CD57">
            <w:pPr>
              <w:spacing w:line="360" w:lineRule="auto"/>
              <w:ind w:left="210" w:leftChars="100"/>
              <w:jc w:val="center"/>
              <w:rPr>
                <w:rFonts w:hint="eastAsia" w:ascii="宋体" w:hAnsi="宋体" w:cs="宋体"/>
                <w:b/>
                <w:bCs/>
                <w:color w:val="000000"/>
                <w:sz w:val="24"/>
                <w:szCs w:val="24"/>
              </w:rPr>
            </w:pPr>
          </w:p>
          <w:p w14:paraId="1559513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E8D267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280A40C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2C641B6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62D7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C8B0E9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1DBB183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2D9C9E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项目组织管理措施：项目组织机构设置（包含岗位设置及岗位职责等）、人员安排、项目实施步骤、协调方案及措施，本项5分。</w:t>
            </w:r>
          </w:p>
          <w:p w14:paraId="6C7172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574059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AA444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6AEB60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067C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83CDB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7786955">
            <w:pPr>
              <w:spacing w:line="360" w:lineRule="auto"/>
              <w:ind w:left="210" w:leftChars="100"/>
              <w:jc w:val="center"/>
              <w:rPr>
                <w:rFonts w:hint="eastAsia" w:ascii="宋体" w:hAnsi="宋体" w:cs="宋体"/>
                <w:color w:val="000000"/>
                <w:sz w:val="24"/>
                <w:szCs w:val="24"/>
              </w:rPr>
            </w:pPr>
          </w:p>
        </w:tc>
        <w:tc>
          <w:tcPr>
            <w:tcW w:w="5430" w:type="dxa"/>
            <w:vAlign w:val="center"/>
          </w:tcPr>
          <w:p w14:paraId="216DB90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095FD82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3CF4E44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19E65EE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35D34EA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6A8E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6FBCD7A7">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AAA0A45">
            <w:pPr>
              <w:spacing w:line="360" w:lineRule="auto"/>
              <w:ind w:left="210" w:leftChars="100"/>
              <w:jc w:val="center"/>
              <w:rPr>
                <w:rFonts w:hint="eastAsia" w:ascii="宋体" w:hAnsi="宋体" w:cs="宋体"/>
                <w:color w:val="000000"/>
                <w:sz w:val="24"/>
                <w:szCs w:val="24"/>
              </w:rPr>
            </w:pPr>
          </w:p>
        </w:tc>
        <w:tc>
          <w:tcPr>
            <w:tcW w:w="5430" w:type="dxa"/>
            <w:vAlign w:val="center"/>
          </w:tcPr>
          <w:p w14:paraId="2858C2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70277C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5DC6D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6451A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2C7DA0C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A7C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77DB4F1F">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3774EB9">
            <w:pPr>
              <w:spacing w:line="360" w:lineRule="auto"/>
              <w:ind w:left="210" w:leftChars="100"/>
              <w:jc w:val="center"/>
              <w:rPr>
                <w:rFonts w:hint="eastAsia" w:ascii="宋体" w:hAnsi="宋体" w:cs="宋体"/>
                <w:color w:val="000000"/>
                <w:sz w:val="24"/>
                <w:szCs w:val="24"/>
              </w:rPr>
            </w:pPr>
          </w:p>
        </w:tc>
        <w:tc>
          <w:tcPr>
            <w:tcW w:w="5430" w:type="dxa"/>
            <w:vAlign w:val="center"/>
          </w:tcPr>
          <w:p w14:paraId="0313EFC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2EE2F76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54399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415A72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45D7950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0844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215" w:hRule="atLeast"/>
          <w:jc w:val="center"/>
        </w:trPr>
        <w:tc>
          <w:tcPr>
            <w:tcW w:w="1983" w:type="dxa"/>
            <w:vMerge w:val="continue"/>
            <w:vAlign w:val="center"/>
          </w:tcPr>
          <w:p w14:paraId="032A4692">
            <w:pPr>
              <w:spacing w:line="360" w:lineRule="auto"/>
              <w:ind w:left="210" w:leftChars="100"/>
              <w:jc w:val="center"/>
              <w:rPr>
                <w:rFonts w:hint="eastAsia" w:ascii="宋体" w:hAnsi="宋体" w:cs="宋体"/>
                <w:color w:val="000000"/>
                <w:sz w:val="24"/>
                <w:szCs w:val="24"/>
              </w:rPr>
            </w:pPr>
          </w:p>
        </w:tc>
        <w:tc>
          <w:tcPr>
            <w:tcW w:w="2125" w:type="dxa"/>
            <w:vAlign w:val="center"/>
          </w:tcPr>
          <w:p w14:paraId="07E210E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项目技术方案（24分）</w:t>
            </w:r>
          </w:p>
        </w:tc>
        <w:tc>
          <w:tcPr>
            <w:tcW w:w="5430" w:type="dxa"/>
            <w:vAlign w:val="center"/>
          </w:tcPr>
          <w:p w14:paraId="06AF3A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根据本项目特点制定实景三维平台及示范应用建设技术方案，包含但不限于以下内容：</w:t>
            </w:r>
          </w:p>
          <w:p w14:paraId="0B6F7C8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1.项目建设的认识与理解；</w:t>
            </w:r>
          </w:p>
          <w:p w14:paraId="4F08AB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2.任务区概况和已有资料分析；</w:t>
            </w:r>
          </w:p>
          <w:p w14:paraId="1AA52E8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3.主要技术指标和成果规格；</w:t>
            </w:r>
          </w:p>
          <w:p w14:paraId="4DF60B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4.工作任务安排；</w:t>
            </w:r>
          </w:p>
          <w:p w14:paraId="7321BC3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5.技术方案（包括实景三维平台、示范应用建设）；</w:t>
            </w:r>
          </w:p>
          <w:p w14:paraId="703DDB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6.售后技术支持。</w:t>
            </w:r>
          </w:p>
          <w:p w14:paraId="10214C1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lang w:val="zh-CN"/>
              </w:rPr>
              <w:t>以上</w:t>
            </w:r>
            <w:r>
              <w:rPr>
                <w:rFonts w:hint="eastAsia" w:ascii="宋体" w:hAnsi="宋体" w:cs="宋体"/>
                <w:color w:val="000000"/>
                <w:sz w:val="24"/>
                <w:szCs w:val="24"/>
              </w:rPr>
              <w:t>6</w:t>
            </w:r>
            <w:r>
              <w:rPr>
                <w:rFonts w:hint="eastAsia" w:ascii="宋体" w:hAnsi="宋体" w:cs="宋体"/>
                <w:color w:val="000000"/>
                <w:sz w:val="24"/>
                <w:szCs w:val="24"/>
                <w:lang w:val="zh-CN"/>
              </w:rPr>
              <w:t>项内容，</w:t>
            </w:r>
            <w:r>
              <w:rPr>
                <w:rFonts w:hint="eastAsia" w:ascii="宋体" w:hAnsi="宋体" w:cs="宋体"/>
                <w:color w:val="000000"/>
                <w:sz w:val="24"/>
                <w:szCs w:val="24"/>
              </w:rPr>
              <w:t>每项内容评分要求：</w:t>
            </w:r>
          </w:p>
          <w:p w14:paraId="687123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（1）方案符合实际、措施得当、内容详细，完全满足本项目建设需求的，得4分；</w:t>
            </w:r>
          </w:p>
          <w:p w14:paraId="5761B1E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（2）方案较符合实际、措施较得当、内容较详细，满足本项目建设需求的，得2分；</w:t>
            </w:r>
          </w:p>
          <w:p w14:paraId="59F3B7F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（3）方案不符合实际、措施不得当、内容不详细，不满足本项目建设需求的，得1分；</w:t>
            </w:r>
          </w:p>
          <w:p w14:paraId="75E5B45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（4）技术方案缺失的，得0分。</w:t>
            </w:r>
          </w:p>
        </w:tc>
      </w:tr>
      <w:tr w14:paraId="11ED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72995A5">
            <w:pPr>
              <w:spacing w:line="360" w:lineRule="auto"/>
              <w:ind w:left="210" w:leftChars="100"/>
              <w:jc w:val="center"/>
              <w:rPr>
                <w:rFonts w:hint="eastAsia" w:ascii="宋体" w:hAnsi="宋体" w:cs="宋体"/>
                <w:color w:val="000000"/>
                <w:sz w:val="24"/>
                <w:szCs w:val="24"/>
              </w:rPr>
            </w:pPr>
          </w:p>
        </w:tc>
        <w:tc>
          <w:tcPr>
            <w:tcW w:w="2125" w:type="dxa"/>
            <w:vAlign w:val="center"/>
          </w:tcPr>
          <w:p w14:paraId="715EAEB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项目重点、难点分析以及对策措施（6分）</w:t>
            </w:r>
          </w:p>
        </w:tc>
        <w:tc>
          <w:tcPr>
            <w:tcW w:w="5430" w:type="dxa"/>
            <w:vAlign w:val="center"/>
          </w:tcPr>
          <w:p w14:paraId="586158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2998A4D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（1）对项目的工作重点、难点分析科学合理，提出的建议及对策措施操作性强的，得6分；</w:t>
            </w:r>
          </w:p>
          <w:p w14:paraId="5FF882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5BC4A2F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21AD56F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3DF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54EF45F2">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A5B40BC">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19CF54C0">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41F30551">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w:t>
            </w:r>
            <w:r>
              <w:rPr>
                <w:rFonts w:hint="eastAsia" w:ascii="宋体" w:hAnsi="宋体" w:cs="宋体"/>
                <w:color w:val="000000"/>
                <w:spacing w:val="8"/>
                <w:sz w:val="24"/>
                <w:szCs w:val="24"/>
              </w:rPr>
              <w:t>具有测绘类或土地资源管理类等相关专业高级</w:t>
            </w:r>
            <w:r>
              <w:rPr>
                <w:rFonts w:hint="eastAsia" w:ascii="宋体" w:hAnsi="宋体" w:cs="宋体"/>
                <w:color w:val="000000"/>
                <w:spacing w:val="1"/>
                <w:sz w:val="24"/>
                <w:szCs w:val="24"/>
              </w:rPr>
              <w:t>工程师及以上职称证书、地理信息安全保密培训证书的，得2分；</w:t>
            </w:r>
            <w:r>
              <w:rPr>
                <w:rFonts w:hint="eastAsia" w:ascii="宋体" w:hAnsi="宋体" w:cs="宋体"/>
                <w:color w:val="000000"/>
                <w:spacing w:val="6"/>
                <w:sz w:val="24"/>
                <w:szCs w:val="24"/>
              </w:rPr>
              <w:t>否则不得分；</w:t>
            </w:r>
          </w:p>
          <w:p w14:paraId="231FDDC7">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（2）拟派技术负责人：</w:t>
            </w:r>
          </w:p>
          <w:p w14:paraId="188BDD9B">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w:t>
            </w:r>
            <w:r>
              <w:rPr>
                <w:rFonts w:hint="eastAsia" w:ascii="宋体" w:hAnsi="宋体" w:cs="宋体"/>
                <w:color w:val="000000"/>
                <w:spacing w:val="1"/>
                <w:sz w:val="24"/>
                <w:szCs w:val="24"/>
              </w:rPr>
              <w:t>及以上职称证书、地理信息安全保密培训证书的，得2分；</w:t>
            </w:r>
            <w:r>
              <w:rPr>
                <w:rFonts w:hint="eastAsia" w:ascii="宋体" w:hAnsi="宋体" w:cs="宋体"/>
                <w:color w:val="000000"/>
                <w:spacing w:val="6"/>
                <w:sz w:val="24"/>
                <w:szCs w:val="24"/>
              </w:rPr>
              <w:t>否则不得分；</w:t>
            </w:r>
          </w:p>
          <w:p w14:paraId="48C153A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3BB23CE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3FD73599">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3E2FF39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50A0CCDC">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6118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7FD6AD56">
            <w:pPr>
              <w:jc w:val="center"/>
              <w:rPr>
                <w:rFonts w:hint="eastAsia" w:ascii="宋体" w:hAnsi="宋体" w:cs="宋体"/>
                <w:b/>
                <w:bCs/>
                <w:color w:val="000000"/>
                <w:sz w:val="24"/>
                <w:szCs w:val="24"/>
              </w:rPr>
            </w:pPr>
          </w:p>
        </w:tc>
        <w:tc>
          <w:tcPr>
            <w:tcW w:w="2125" w:type="dxa"/>
            <w:vAlign w:val="center"/>
          </w:tcPr>
          <w:p w14:paraId="69C4C249">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3C5E6913">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0CF1CFBA">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（2）团队成员中具有测绘类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的，每有1人得1分，最高得5分；</w:t>
            </w:r>
          </w:p>
          <w:p w14:paraId="33BAD389">
            <w:pPr>
              <w:spacing w:line="360" w:lineRule="auto"/>
              <w:ind w:right="109"/>
              <w:rPr>
                <w:rFonts w:hint="eastAsia" w:ascii="宋体" w:hAnsi="宋体" w:cs="宋体"/>
                <w:color w:val="000000"/>
                <w:spacing w:val="2"/>
                <w:sz w:val="24"/>
                <w:szCs w:val="24"/>
              </w:rPr>
            </w:pPr>
            <w:r>
              <w:rPr>
                <w:rFonts w:hint="eastAsia" w:ascii="宋体" w:hAnsi="宋体" w:cs="宋体"/>
                <w:color w:val="000000"/>
                <w:spacing w:val="4"/>
                <w:sz w:val="24"/>
                <w:szCs w:val="24"/>
              </w:rPr>
              <w:t>（3）</w:t>
            </w:r>
            <w:r>
              <w:rPr>
                <w:rFonts w:hint="eastAsia" w:ascii="宋体" w:hAnsi="宋体" w:cs="宋体"/>
                <w:color w:val="000000"/>
                <w:spacing w:val="10"/>
                <w:sz w:val="24"/>
                <w:szCs w:val="24"/>
              </w:rPr>
              <w:t>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2151F4C1">
            <w:pPr>
              <w:spacing w:line="360" w:lineRule="auto"/>
              <w:ind w:right="114"/>
              <w:rPr>
                <w:rFonts w:hint="eastAsia" w:ascii="宋体" w:hAnsi="宋体" w:cs="宋体"/>
                <w:color w:val="000000"/>
                <w:spacing w:val="2"/>
                <w:sz w:val="24"/>
                <w:szCs w:val="24"/>
              </w:rPr>
            </w:pPr>
            <w:r>
              <w:rPr>
                <w:rFonts w:hint="eastAsia" w:ascii="宋体" w:hAnsi="宋体" w:cs="宋体"/>
                <w:color w:val="000000"/>
                <w:spacing w:val="10"/>
                <w:sz w:val="24"/>
                <w:szCs w:val="24"/>
              </w:rPr>
              <w:t>（4）团队成员中具有</w:t>
            </w:r>
            <w:r>
              <w:rPr>
                <w:rFonts w:hint="eastAsia" w:ascii="宋体" w:hAnsi="宋体" w:cs="宋体"/>
                <w:color w:val="000000"/>
                <w:spacing w:val="7"/>
                <w:sz w:val="24"/>
                <w:szCs w:val="24"/>
              </w:rPr>
              <w:t>地理信息安全保密培训证书</w:t>
            </w:r>
            <w:r>
              <w:rPr>
                <w:rFonts w:hint="eastAsia" w:ascii="宋体" w:hAnsi="宋体" w:cs="宋体"/>
                <w:color w:val="000000"/>
                <w:spacing w:val="2"/>
                <w:sz w:val="24"/>
                <w:szCs w:val="24"/>
              </w:rPr>
              <w:t>的，每有1人得0.5分，最高得3分；</w:t>
            </w:r>
          </w:p>
          <w:p w14:paraId="60275C9D">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w:t>
            </w:r>
            <w:r>
              <w:rPr>
                <w:rFonts w:hint="eastAsia" w:ascii="宋体" w:hAnsi="宋体" w:cs="宋体"/>
                <w:b/>
                <w:bCs/>
                <w:color w:val="000000"/>
                <w:spacing w:val="6"/>
                <w:sz w:val="24"/>
                <w:szCs w:val="24"/>
              </w:rPr>
              <w:t>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w:t>
            </w:r>
            <w:r>
              <w:rPr>
                <w:rFonts w:hint="eastAsia" w:ascii="宋体" w:hAnsi="宋体" w:cs="宋体"/>
                <w:b/>
                <w:bCs/>
                <w:color w:val="000000"/>
                <w:spacing w:val="7"/>
                <w:sz w:val="24"/>
                <w:szCs w:val="24"/>
              </w:rPr>
              <w:t>如重复仅按照出现先后顺序计一次分】</w:t>
            </w:r>
          </w:p>
        </w:tc>
      </w:tr>
      <w:tr w14:paraId="7D1B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1640EB">
            <w:pPr>
              <w:jc w:val="center"/>
              <w:rPr>
                <w:rFonts w:hint="eastAsia" w:ascii="宋体" w:hAnsi="宋体" w:cs="宋体"/>
                <w:b/>
                <w:bCs/>
                <w:color w:val="000000"/>
                <w:sz w:val="24"/>
                <w:szCs w:val="24"/>
              </w:rPr>
            </w:pPr>
          </w:p>
        </w:tc>
        <w:tc>
          <w:tcPr>
            <w:tcW w:w="2125" w:type="dxa"/>
            <w:vAlign w:val="center"/>
          </w:tcPr>
          <w:p w14:paraId="7AC52945">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78CD3B37">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2022年1月1日以来，供应商完成实景三维类或自然资源业务管理类相关项目业绩的，每个得1</w:t>
            </w:r>
            <w:r>
              <w:rPr>
                <w:rFonts w:hint="eastAsia" w:ascii="宋体" w:hAnsi="宋体" w:cs="宋体"/>
                <w:color w:val="000000"/>
                <w:spacing w:val="4"/>
                <w:sz w:val="24"/>
                <w:szCs w:val="24"/>
              </w:rPr>
              <w:t>分，最高得4分。</w:t>
            </w:r>
          </w:p>
          <w:p w14:paraId="7465B69F">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7A6C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24137F2">
            <w:pPr>
              <w:jc w:val="center"/>
              <w:rPr>
                <w:rFonts w:hint="eastAsia" w:ascii="宋体" w:hAnsi="宋体" w:cs="宋体"/>
                <w:b/>
                <w:bCs/>
                <w:color w:val="000000"/>
                <w:sz w:val="24"/>
                <w:szCs w:val="24"/>
              </w:rPr>
            </w:pPr>
          </w:p>
        </w:tc>
        <w:tc>
          <w:tcPr>
            <w:tcW w:w="2125" w:type="dxa"/>
            <w:vAlign w:val="center"/>
          </w:tcPr>
          <w:p w14:paraId="0B0C18E8">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6A243586">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0A264D32">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207D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210BDA01">
            <w:pPr>
              <w:jc w:val="center"/>
              <w:rPr>
                <w:rFonts w:hint="eastAsia" w:ascii="宋体" w:hAnsi="宋体" w:cs="宋体"/>
                <w:b/>
                <w:bCs/>
                <w:color w:val="000000"/>
                <w:sz w:val="24"/>
                <w:szCs w:val="24"/>
              </w:rPr>
            </w:pPr>
          </w:p>
        </w:tc>
        <w:tc>
          <w:tcPr>
            <w:tcW w:w="2125" w:type="dxa"/>
            <w:vAlign w:val="center"/>
          </w:tcPr>
          <w:p w14:paraId="5EB7219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328FA346">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（1）2022年1月1日以来，供应商获得省级及以上自然资源主管部门颁发的奖项证书（荣誉证书），每有一项得2分，最多得4分（以证书颁发时间为准）；</w:t>
            </w:r>
          </w:p>
          <w:p w14:paraId="4B7787F9">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43A8499A">
            <w:pPr>
              <w:spacing w:line="360" w:lineRule="auto"/>
              <w:ind w:right="108"/>
              <w:rPr>
                <w:rFonts w:hint="eastAsia" w:ascii="宋体" w:hAnsi="宋体" w:cs="宋体"/>
                <w:color w:val="000000"/>
                <w:spacing w:val="11"/>
                <w:sz w:val="24"/>
                <w:szCs w:val="24"/>
                <w:highlight w:val="yellow"/>
              </w:rPr>
            </w:pPr>
            <w:r>
              <w:rPr>
                <w:rFonts w:hint="eastAsia" w:ascii="宋体" w:hAnsi="宋体" w:cs="宋体"/>
                <w:color w:val="000000"/>
                <w:spacing w:val="11"/>
                <w:sz w:val="24"/>
                <w:szCs w:val="24"/>
              </w:rPr>
              <w:t>（3）供应商同时具有质量管理体系、环境管理体系、职业健康安全管理体系认证证书的，得2分，否则不得分；</w:t>
            </w:r>
          </w:p>
          <w:p w14:paraId="2A1C733C">
            <w:pPr>
              <w:spacing w:line="360" w:lineRule="auto"/>
              <w:ind w:right="89"/>
              <w:rPr>
                <w:rFonts w:hint="eastAsia" w:ascii="宋体" w:hAnsi="宋体" w:cs="宋体"/>
                <w:color w:val="000000"/>
                <w:sz w:val="24"/>
                <w:szCs w:val="24"/>
              </w:rPr>
            </w:pP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0D868D0A">
      <w:pPr>
        <w:rPr>
          <w:rFonts w:hint="eastAsia" w:ascii="宋体" w:hAnsi="宋体" w:cs="宋体"/>
        </w:rPr>
      </w:pPr>
    </w:p>
    <w:p w14:paraId="7DDD62BD">
      <w:pPr>
        <w:rPr>
          <w:rFonts w:hint="eastAsia" w:ascii="宋体" w:hAnsi="宋体" w:cs="宋体"/>
        </w:rPr>
      </w:pPr>
      <w:r>
        <w:rPr>
          <w:rFonts w:hint="eastAsia" w:ascii="宋体" w:hAnsi="宋体" w:cs="宋体"/>
        </w:rPr>
        <w:br w:type="page"/>
      </w:r>
    </w:p>
    <w:p w14:paraId="3121F003">
      <w:pPr>
        <w:rPr>
          <w:rFonts w:hint="eastAsia" w:ascii="宋体" w:hAnsi="宋体" w:cs="宋体"/>
        </w:rPr>
      </w:pPr>
      <w:r>
        <w:rPr>
          <w:rFonts w:hint="eastAsia" w:ascii="宋体" w:hAnsi="宋体" w:cs="宋体"/>
          <w:b/>
          <w:bCs/>
          <w:sz w:val="24"/>
          <w:szCs w:val="24"/>
        </w:rPr>
        <w:t>详细评审表包3：</w:t>
      </w:r>
    </w:p>
    <w:tbl>
      <w:tblPr>
        <w:tblStyle w:val="22"/>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852"/>
        <w:gridCol w:w="5703"/>
      </w:tblGrid>
      <w:tr w14:paraId="3F23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Align w:val="center"/>
          </w:tcPr>
          <w:p w14:paraId="7E016699">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6"/>
                <w:sz w:val="24"/>
                <w:szCs w:val="24"/>
              </w:rPr>
              <w:t>条款号</w:t>
            </w:r>
          </w:p>
        </w:tc>
        <w:tc>
          <w:tcPr>
            <w:tcW w:w="1852" w:type="dxa"/>
            <w:vAlign w:val="center"/>
          </w:tcPr>
          <w:p w14:paraId="16C9EEAD">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评分因素</w:t>
            </w:r>
          </w:p>
        </w:tc>
        <w:tc>
          <w:tcPr>
            <w:tcW w:w="5703" w:type="dxa"/>
            <w:vAlign w:val="center"/>
          </w:tcPr>
          <w:p w14:paraId="5BD61652">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评分标准</w:t>
            </w:r>
          </w:p>
        </w:tc>
      </w:tr>
      <w:tr w14:paraId="5852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46545B0B">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w:t>
            </w:r>
          </w:p>
        </w:tc>
        <w:tc>
          <w:tcPr>
            <w:tcW w:w="1852" w:type="dxa"/>
            <w:vMerge w:val="restart"/>
            <w:vAlign w:val="center"/>
          </w:tcPr>
          <w:p w14:paraId="2D358339">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703" w:type="dxa"/>
            <w:vAlign w:val="center"/>
          </w:tcPr>
          <w:p w14:paraId="78F7E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价格分采用低价优先法计算，即满足招标文件实质性要求且价格最低的报价为评标基准价，其价格分为满分，其他供应</w:t>
            </w:r>
            <w:r>
              <w:rPr>
                <w:rFonts w:hint="eastAsia" w:ascii="宋体" w:hAnsi="宋体" w:cs="宋体"/>
                <w:color w:val="000000"/>
                <w:spacing w:val="5"/>
                <w:sz w:val="24"/>
                <w:szCs w:val="24"/>
              </w:rPr>
              <w:t>商的价格分统一按下列公式计算：报价得分=（评标基准价/</w:t>
            </w:r>
            <w:r>
              <w:rPr>
                <w:rFonts w:hint="eastAsia" w:ascii="宋体" w:hAnsi="宋体" w:cs="宋体"/>
                <w:color w:val="000000"/>
                <w:spacing w:val="3"/>
                <w:sz w:val="24"/>
                <w:szCs w:val="24"/>
              </w:rPr>
              <w:t>投标报价）×10（小数点后保留2位小数）</w:t>
            </w:r>
          </w:p>
          <w:p w14:paraId="5A5D93D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依据《政府采购货物和服务招标投标管理办法》财政部令第</w:t>
            </w:r>
            <w:r>
              <w:rPr>
                <w:rFonts w:hint="eastAsia" w:ascii="宋体" w:hAnsi="宋体" w:cs="宋体"/>
                <w:color w:val="000000"/>
                <w:spacing w:val="8"/>
                <w:sz w:val="24"/>
                <w:szCs w:val="24"/>
              </w:rPr>
              <w:t>87号，评标委员会认为供应商的报价明显低于其</w:t>
            </w:r>
            <w:r>
              <w:rPr>
                <w:rFonts w:hint="eastAsia" w:ascii="宋体" w:hAnsi="宋体" w:cs="宋体"/>
                <w:color w:val="000000"/>
                <w:spacing w:val="7"/>
                <w:sz w:val="24"/>
                <w:szCs w:val="24"/>
              </w:rPr>
              <w:t>他通过有效</w:t>
            </w:r>
            <w:r>
              <w:rPr>
                <w:rFonts w:hint="eastAsia" w:ascii="宋体" w:hAnsi="宋体" w:cs="宋体"/>
                <w:color w:val="000000"/>
                <w:spacing w:val="9"/>
                <w:sz w:val="24"/>
                <w:szCs w:val="24"/>
              </w:rPr>
              <w:t>供应商报价，有可能影响服务质量或者不能诚信履约的，应当要求其在评标现场合理时间内提供书面说明，必要时提供相关证明材料；供应商不能证明其报价合理性的，评标委员</w:t>
            </w:r>
            <w:r>
              <w:rPr>
                <w:rFonts w:hint="eastAsia" w:ascii="宋体" w:hAnsi="宋体" w:cs="宋体"/>
                <w:color w:val="000000"/>
                <w:spacing w:val="8"/>
                <w:sz w:val="24"/>
                <w:szCs w:val="24"/>
              </w:rPr>
              <w:t>会应当将其作为无效投标处理。</w:t>
            </w:r>
          </w:p>
          <w:p w14:paraId="52FDA68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价格扣除：为了促进中小企业发展对小型和微型企业的投标</w:t>
            </w:r>
            <w:r>
              <w:rPr>
                <w:rFonts w:hint="eastAsia" w:ascii="宋体" w:hAnsi="宋体" w:cs="宋体"/>
                <w:color w:val="000000"/>
                <w:spacing w:val="8"/>
                <w:sz w:val="24"/>
                <w:szCs w:val="24"/>
              </w:rPr>
              <w:t>总价给予20%的扣除，用扣除后的价格参与评审。参加本项目的中小企业应当提供《中小企业声明函》。根据《政府采</w:t>
            </w:r>
            <w:r>
              <w:rPr>
                <w:rFonts w:hint="eastAsia" w:ascii="宋体" w:hAnsi="宋体" w:cs="宋体"/>
                <w:color w:val="000000"/>
                <w:sz w:val="24"/>
                <w:szCs w:val="24"/>
              </w:rPr>
              <w:t>购促进中小企业发展管理办法》（财库〔2020〕46号）、《关</w:t>
            </w:r>
            <w:r>
              <w:rPr>
                <w:rFonts w:hint="eastAsia" w:ascii="宋体" w:hAnsi="宋体" w:cs="宋体"/>
                <w:color w:val="000000"/>
                <w:spacing w:val="9"/>
                <w:sz w:val="24"/>
                <w:szCs w:val="24"/>
              </w:rPr>
              <w:t>于进一步加大政府采购支持中小企业力度的通知》（财库</w:t>
            </w:r>
            <w:r>
              <w:rPr>
                <w:rFonts w:hint="eastAsia" w:ascii="宋体" w:hAnsi="宋体" w:cs="宋体"/>
                <w:color w:val="000000"/>
                <w:spacing w:val="6"/>
                <w:sz w:val="24"/>
                <w:szCs w:val="24"/>
              </w:rPr>
              <w:t>〔2022〕19号）、《财政部司法部关于政府采购支持监狱企</w:t>
            </w:r>
            <w:r>
              <w:rPr>
                <w:rFonts w:hint="eastAsia" w:ascii="宋体" w:hAnsi="宋体" w:cs="宋体"/>
                <w:color w:val="000000"/>
                <w:spacing w:val="7"/>
                <w:sz w:val="24"/>
                <w:szCs w:val="24"/>
              </w:rPr>
              <w:t>业发展有关问题的通知》（财库〔2014〕68号）和《三部门</w:t>
            </w:r>
            <w:r>
              <w:rPr>
                <w:rFonts w:hint="eastAsia" w:ascii="宋体" w:hAnsi="宋体" w:cs="宋体"/>
                <w:color w:val="000000"/>
                <w:spacing w:val="9"/>
                <w:sz w:val="24"/>
                <w:szCs w:val="24"/>
              </w:rPr>
              <w:t>联合发布关于促进残疾人就业政府采购政策的通知》（财库</w:t>
            </w:r>
            <w:r>
              <w:rPr>
                <w:rFonts w:hint="eastAsia" w:ascii="宋体" w:hAnsi="宋体" w:cs="宋体"/>
                <w:color w:val="000000"/>
                <w:spacing w:val="7"/>
                <w:sz w:val="24"/>
                <w:szCs w:val="24"/>
              </w:rPr>
              <w:t>〔2017〕141号）的规定，对在投标文件中提交了《中小企</w:t>
            </w:r>
            <w:r>
              <w:rPr>
                <w:rFonts w:hint="eastAsia" w:ascii="宋体" w:hAnsi="宋体" w:cs="宋体"/>
                <w:color w:val="000000"/>
                <w:spacing w:val="9"/>
                <w:sz w:val="24"/>
                <w:szCs w:val="24"/>
              </w:rPr>
              <w:t>业声明函》等注明应享受价格折扣优惠政策的小微企业，应</w:t>
            </w:r>
            <w:r>
              <w:rPr>
                <w:rFonts w:hint="eastAsia" w:ascii="宋体" w:hAnsi="宋体" w:cs="宋体"/>
                <w:color w:val="000000"/>
                <w:spacing w:val="6"/>
                <w:sz w:val="24"/>
                <w:szCs w:val="24"/>
              </w:rPr>
              <w:t>予以认定。</w:t>
            </w:r>
          </w:p>
          <w:p w14:paraId="67E95E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所投小微企业报价＝所投小微企业报价合计*（1－2</w:t>
            </w:r>
            <w:r>
              <w:rPr>
                <w:rFonts w:hint="eastAsia" w:ascii="宋体" w:hAnsi="宋体" w:cs="宋体"/>
                <w:color w:val="000000"/>
                <w:spacing w:val="11"/>
                <w:sz w:val="24"/>
                <w:szCs w:val="24"/>
              </w:rPr>
              <w:t>0%)</w:t>
            </w:r>
          </w:p>
          <w:p w14:paraId="7EECAA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所投残疾人企业报价＝所投监狱企业报价合计*（</w:t>
            </w:r>
            <w:r>
              <w:rPr>
                <w:rFonts w:hint="eastAsia" w:ascii="宋体" w:hAnsi="宋体" w:cs="宋体"/>
                <w:color w:val="000000"/>
                <w:spacing w:val="11"/>
                <w:sz w:val="24"/>
                <w:szCs w:val="24"/>
              </w:rPr>
              <w:t>1－20%)</w:t>
            </w:r>
            <w:r>
              <w:rPr>
                <w:rFonts w:hint="eastAsia" w:ascii="宋体" w:hAnsi="宋体" w:cs="宋体"/>
                <w:color w:val="000000"/>
                <w:spacing w:val="12"/>
                <w:sz w:val="24"/>
                <w:szCs w:val="24"/>
              </w:rPr>
              <w:t>所投监狱企业报价＝所投监狱企业报价合计*（1－2</w:t>
            </w:r>
            <w:r>
              <w:rPr>
                <w:rFonts w:hint="eastAsia" w:ascii="宋体" w:hAnsi="宋体" w:cs="宋体"/>
                <w:color w:val="000000"/>
                <w:spacing w:val="11"/>
                <w:sz w:val="24"/>
                <w:szCs w:val="24"/>
              </w:rPr>
              <w:t>0%)</w:t>
            </w:r>
            <w:r>
              <w:rPr>
                <w:rFonts w:hint="eastAsia" w:ascii="宋体" w:hAnsi="宋体" w:cs="宋体"/>
                <w:color w:val="000000"/>
                <w:spacing w:val="9"/>
                <w:sz w:val="24"/>
                <w:szCs w:val="24"/>
              </w:rPr>
              <w:t>同一供应商，小微企业、残疾人企业、监狱</w:t>
            </w:r>
            <w:r>
              <w:rPr>
                <w:rFonts w:hint="eastAsia" w:ascii="宋体" w:hAnsi="宋体" w:cs="宋体"/>
                <w:color w:val="000000"/>
                <w:spacing w:val="8"/>
                <w:sz w:val="24"/>
                <w:szCs w:val="24"/>
              </w:rPr>
              <w:t>企业价格扣除优</w:t>
            </w:r>
            <w:r>
              <w:rPr>
                <w:rFonts w:hint="eastAsia" w:ascii="宋体" w:hAnsi="宋体" w:cs="宋体"/>
                <w:color w:val="000000"/>
                <w:spacing w:val="7"/>
                <w:sz w:val="24"/>
                <w:szCs w:val="24"/>
              </w:rPr>
              <w:t>惠只享受一次，不得重复享受。</w:t>
            </w:r>
          </w:p>
        </w:tc>
      </w:tr>
      <w:tr w14:paraId="0FA6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22CEA9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技术部分（44分）</w:t>
            </w:r>
          </w:p>
        </w:tc>
        <w:tc>
          <w:tcPr>
            <w:tcW w:w="1852" w:type="dxa"/>
            <w:vMerge w:val="restart"/>
            <w:vAlign w:val="center"/>
          </w:tcPr>
          <w:p w14:paraId="70318C2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监理实施方案（34分）</w:t>
            </w:r>
          </w:p>
        </w:tc>
        <w:tc>
          <w:tcPr>
            <w:tcW w:w="5703" w:type="dxa"/>
            <w:vAlign w:val="center"/>
          </w:tcPr>
          <w:p w14:paraId="37DAD5CA">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项目管理措施：项目组织机构设置（包含岗位设置及岗位职责等）、人员安排、仪器设备配备、项目实施步骤，本项6分</w:t>
            </w:r>
          </w:p>
          <w:p w14:paraId="6148789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（1）项目管理措施详尽，描述完整、科学、针对性强，得6分；</w:t>
            </w:r>
          </w:p>
          <w:p w14:paraId="3446A99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（2）项目管理措施较详尽，描述较完整、较科学、针对性较强，得4分；</w:t>
            </w:r>
          </w:p>
          <w:p w14:paraId="15E41DC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（3）项目管理措施不详尽，描述不完整、不科学、针对性不强的，得2分；</w:t>
            </w:r>
          </w:p>
          <w:p w14:paraId="6B5750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（4）管理措施缺失的，得0分。</w:t>
            </w:r>
          </w:p>
        </w:tc>
      </w:tr>
      <w:tr w14:paraId="2E19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2A3DD64">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13712DEE">
            <w:pPr>
              <w:spacing w:line="360" w:lineRule="auto"/>
              <w:ind w:left="210" w:leftChars="100"/>
              <w:jc w:val="center"/>
              <w:rPr>
                <w:rFonts w:hint="eastAsia" w:ascii="宋体" w:hAnsi="宋体" w:cs="宋体"/>
                <w:b/>
                <w:bCs/>
                <w:color w:val="000000"/>
                <w:sz w:val="24"/>
                <w:szCs w:val="24"/>
              </w:rPr>
            </w:pPr>
          </w:p>
        </w:tc>
        <w:tc>
          <w:tcPr>
            <w:tcW w:w="5703" w:type="dxa"/>
            <w:vAlign w:val="center"/>
          </w:tcPr>
          <w:p w14:paraId="77FBCCD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质量控制措施：各生产流程的质量控制措施，质量管理、质量事故处理制度等，本项7分</w:t>
            </w:r>
          </w:p>
          <w:p w14:paraId="11ED411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（1）内容详细，措施得当，符合实际的，得7分；</w:t>
            </w:r>
          </w:p>
          <w:p w14:paraId="55E727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（2）内容较为详细，措施较为得当，较为符合实际的，得4分；</w:t>
            </w:r>
          </w:p>
          <w:p w14:paraId="1FE4893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（3）内容不详细，措施不得当，不符合实际的，得2分；</w:t>
            </w:r>
          </w:p>
          <w:p w14:paraId="1D71B42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（4）质量控制措施缺失的，得0分。</w:t>
            </w:r>
          </w:p>
        </w:tc>
      </w:tr>
      <w:tr w14:paraId="0613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3A7C186">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75B80273">
            <w:pPr>
              <w:spacing w:line="360" w:lineRule="auto"/>
              <w:ind w:left="210" w:leftChars="100"/>
              <w:jc w:val="center"/>
              <w:rPr>
                <w:rFonts w:hint="eastAsia" w:ascii="宋体" w:hAnsi="宋体" w:cs="宋体"/>
                <w:b/>
                <w:bCs/>
                <w:color w:val="000000"/>
                <w:sz w:val="24"/>
                <w:szCs w:val="24"/>
              </w:rPr>
            </w:pPr>
          </w:p>
        </w:tc>
        <w:tc>
          <w:tcPr>
            <w:tcW w:w="5703" w:type="dxa"/>
            <w:vAlign w:val="center"/>
          </w:tcPr>
          <w:p w14:paraId="2F42EE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进度控制措施：进度控制目标、进度控制措施、进度控制工具、责任分工及风险应对等，本项6分</w:t>
            </w:r>
          </w:p>
          <w:p w14:paraId="35C9BC9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（1）进度控制措施详细、完善、针对性强的，得6分；</w:t>
            </w:r>
          </w:p>
          <w:p w14:paraId="175554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（2）进度控制措施较详细、较完善、针对性较强的，得4分；</w:t>
            </w:r>
          </w:p>
          <w:p w14:paraId="3F98D78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（3）进度控制措施不详细、不完善、针对性不强的，得2分；</w:t>
            </w:r>
          </w:p>
          <w:p w14:paraId="6590FB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（4）进度控制措施缺失的，得0分。</w:t>
            </w:r>
          </w:p>
        </w:tc>
      </w:tr>
      <w:tr w14:paraId="233A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B14B187">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53EB5DAF">
            <w:pPr>
              <w:spacing w:line="360" w:lineRule="auto"/>
              <w:ind w:left="210" w:leftChars="100"/>
              <w:jc w:val="center"/>
              <w:rPr>
                <w:rFonts w:hint="eastAsia" w:ascii="宋体" w:hAnsi="宋体" w:cs="宋体"/>
                <w:b/>
                <w:bCs/>
                <w:color w:val="000000"/>
                <w:sz w:val="24"/>
                <w:szCs w:val="24"/>
              </w:rPr>
            </w:pPr>
          </w:p>
        </w:tc>
        <w:tc>
          <w:tcPr>
            <w:tcW w:w="5703" w:type="dxa"/>
            <w:vAlign w:val="center"/>
          </w:tcPr>
          <w:p w14:paraId="0775F40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变更控制措施：变更控制流程、控制原则、控制措施、责任分工、风险应对等，本项5分</w:t>
            </w:r>
          </w:p>
          <w:p w14:paraId="531F177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（1）控制措施内容全面、具体、合理、针对性强的，得5分；</w:t>
            </w:r>
          </w:p>
          <w:p w14:paraId="6AD329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（2）控制措施内容全面、具体、合理、针对性较强的，得3分；</w:t>
            </w:r>
          </w:p>
          <w:p w14:paraId="41F209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（3）控制措施内容全面、具体、合理、针对性不强的，得1分；</w:t>
            </w:r>
          </w:p>
          <w:p w14:paraId="7D64E8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（4）变更控制措施缺失的，得0分。</w:t>
            </w:r>
          </w:p>
        </w:tc>
      </w:tr>
      <w:tr w14:paraId="5E92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054C894C">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643BCED2">
            <w:pPr>
              <w:spacing w:line="360" w:lineRule="auto"/>
              <w:ind w:left="210" w:leftChars="100"/>
              <w:jc w:val="center"/>
              <w:rPr>
                <w:rFonts w:hint="eastAsia" w:ascii="宋体" w:hAnsi="宋体" w:cs="宋体"/>
                <w:b/>
                <w:bCs/>
                <w:color w:val="000000"/>
                <w:sz w:val="24"/>
                <w:szCs w:val="24"/>
              </w:rPr>
            </w:pPr>
          </w:p>
        </w:tc>
        <w:tc>
          <w:tcPr>
            <w:tcW w:w="5703" w:type="dxa"/>
            <w:vAlign w:val="center"/>
          </w:tcPr>
          <w:p w14:paraId="657A408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档案管理措施：档案管理目标、档案分类、档案管理流程、档案管理工具、责任分工、风险控制、考核机制等，本项得5分</w:t>
            </w:r>
          </w:p>
          <w:p w14:paraId="1E0B618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（1）项目全过程记录完整、准确、可追溯的，得5分；</w:t>
            </w:r>
          </w:p>
          <w:p w14:paraId="35A8442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（2）项目全过程记录较为完整、较为准确，具备一定的可追溯性的，得3分；</w:t>
            </w:r>
          </w:p>
          <w:p w14:paraId="134AEE5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（3）项目全过程记录不完整、不准确，不可追溯的，得1分；</w:t>
            </w:r>
          </w:p>
          <w:p w14:paraId="3CA69AE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（4）档案管理措施缺失的，得0分。</w:t>
            </w:r>
          </w:p>
        </w:tc>
      </w:tr>
      <w:tr w14:paraId="4C41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6ED75D2">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4ECDDC0B">
            <w:pPr>
              <w:spacing w:line="360" w:lineRule="auto"/>
              <w:ind w:left="210" w:leftChars="100"/>
              <w:jc w:val="center"/>
              <w:rPr>
                <w:rFonts w:hint="eastAsia" w:ascii="宋体" w:hAnsi="宋体" w:cs="宋体"/>
                <w:b/>
                <w:bCs/>
                <w:color w:val="000000"/>
                <w:sz w:val="24"/>
                <w:szCs w:val="24"/>
              </w:rPr>
            </w:pPr>
          </w:p>
        </w:tc>
        <w:tc>
          <w:tcPr>
            <w:tcW w:w="5703" w:type="dxa"/>
            <w:vAlign w:val="center"/>
          </w:tcPr>
          <w:p w14:paraId="4A7F7B4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组织协调措施：组织协调目标和原则、组织架构和沟通机制、信息管理和问题解决机制、资源协调和风险管理、责任分工和考核机制等，本项5分</w:t>
            </w:r>
          </w:p>
          <w:p w14:paraId="17A8E7C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（1）组织协调措施合理、科学、可行的，完全能够满足项目推进需求的，得5分；</w:t>
            </w:r>
          </w:p>
          <w:p w14:paraId="45D06B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（2）组织协调措施较合理、较科学、较可行的，基本满足项目推进需求的，得3分；</w:t>
            </w:r>
          </w:p>
          <w:p w14:paraId="67B4108C">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（3）组织协调措施不合理、不科学、不可行的，不满足项目推进需求的，得1分；</w:t>
            </w:r>
          </w:p>
          <w:p w14:paraId="01EBC06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（4）组织协调措施缺失的，得0分。</w:t>
            </w:r>
          </w:p>
        </w:tc>
      </w:tr>
      <w:tr w14:paraId="4705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C30FF8">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0484D1F">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703" w:type="dxa"/>
            <w:vAlign w:val="center"/>
          </w:tcPr>
          <w:p w14:paraId="50C388A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对本项目的工作重点、难点进行分析，并提出针对本项目工作重点、难点的建议及对策措施。</w:t>
            </w:r>
          </w:p>
          <w:p w14:paraId="785E928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（1）对项目的工作重点、难点分析科学合理，提出的建议及对策措施操作性强，得5分；</w:t>
            </w:r>
          </w:p>
          <w:p w14:paraId="5F28751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（2）对项目的工作重点、难点分析较为合理，提出的建议及对策措施操作性较强，得3分；</w:t>
            </w:r>
          </w:p>
          <w:p w14:paraId="2E2221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（3）对项目的工作重点、难点分析不合理，提出的建议及对策措施操作性不强，得1分。</w:t>
            </w:r>
          </w:p>
          <w:p w14:paraId="6E5B7E3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（4）项目的工作重点、难点分析缺失的，得0分。</w:t>
            </w:r>
          </w:p>
        </w:tc>
      </w:tr>
      <w:tr w14:paraId="789D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5836566">
            <w:pPr>
              <w:spacing w:line="360" w:lineRule="auto"/>
              <w:ind w:left="210" w:leftChars="100"/>
              <w:jc w:val="center"/>
              <w:rPr>
                <w:rFonts w:hint="eastAsia" w:ascii="宋体" w:hAnsi="宋体" w:cs="宋体"/>
                <w:b/>
                <w:bCs/>
                <w:color w:val="000000"/>
                <w:sz w:val="24"/>
                <w:szCs w:val="24"/>
              </w:rPr>
            </w:pPr>
          </w:p>
        </w:tc>
        <w:tc>
          <w:tcPr>
            <w:tcW w:w="1852" w:type="dxa"/>
            <w:vAlign w:val="center"/>
          </w:tcPr>
          <w:p w14:paraId="5CD5E42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项目完成（服务期满）后的服务承诺（5分）</w:t>
            </w:r>
          </w:p>
        </w:tc>
        <w:tc>
          <w:tcPr>
            <w:tcW w:w="5703" w:type="dxa"/>
            <w:vAlign w:val="center"/>
          </w:tcPr>
          <w:p w14:paraId="149E8DC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项目完成后的服务承诺包含：承诺与采购人保持密切沟通、随时跟进项目后续的服务需求、为项目验收后相关工作提供必要的解释咨询等服务工作、项目完成后做好保密事项。</w:t>
            </w:r>
          </w:p>
          <w:p w14:paraId="21B2BEF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lang w:eastAsia="zh-CN"/>
              </w:rPr>
              <w:t>供应商</w:t>
            </w:r>
            <w:r>
              <w:rPr>
                <w:rFonts w:hint="eastAsia" w:ascii="宋体" w:hAnsi="宋体" w:cs="宋体"/>
                <w:color w:val="000000"/>
                <w:spacing w:val="9"/>
                <w:sz w:val="24"/>
                <w:szCs w:val="24"/>
              </w:rPr>
              <w:t>有以上承诺的，得5分；缺失的，不得分。</w:t>
            </w:r>
          </w:p>
          <w:p w14:paraId="615443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【证明材料：要求提供承诺（格式自定）作为得分依据，未提供承诺或承诺内容不满足要求不得分】</w:t>
            </w:r>
          </w:p>
        </w:tc>
      </w:tr>
      <w:tr w14:paraId="6BF6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04202B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综合部分（46分）</w:t>
            </w:r>
          </w:p>
        </w:tc>
        <w:tc>
          <w:tcPr>
            <w:tcW w:w="1852" w:type="dxa"/>
            <w:vAlign w:val="center"/>
          </w:tcPr>
          <w:p w14:paraId="5F6EAB33">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监理团队（20分）</w:t>
            </w:r>
          </w:p>
        </w:tc>
        <w:tc>
          <w:tcPr>
            <w:tcW w:w="5703" w:type="dxa"/>
            <w:vAlign w:val="center"/>
          </w:tcPr>
          <w:p w14:paraId="33AAAE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（1）拟派总监理工程师：</w:t>
            </w:r>
          </w:p>
          <w:p w14:paraId="35F073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w:t>
            </w:r>
            <w:r>
              <w:rPr>
                <w:rFonts w:hint="eastAsia" w:ascii="宋体" w:hAnsi="宋体" w:cs="宋体"/>
                <w:color w:val="000000"/>
                <w:spacing w:val="9"/>
                <w:sz w:val="24"/>
                <w:szCs w:val="24"/>
              </w:rPr>
              <w:t>等相关专业专业高级工程师职称证书、地理信息安全保密培训证书的，得3分；否则不得分；</w:t>
            </w:r>
          </w:p>
          <w:p w14:paraId="648A66D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（2）拟派质量负责人：</w:t>
            </w:r>
          </w:p>
          <w:p w14:paraId="2C98DC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9"/>
                <w:sz w:val="24"/>
                <w:szCs w:val="24"/>
              </w:rPr>
              <w:t>专业高级工程师及以上职称证书的，得3分；否则不得分；</w:t>
            </w:r>
          </w:p>
          <w:p w14:paraId="7F4E933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（3）拟派驻场监理人员：</w:t>
            </w:r>
          </w:p>
          <w:p w14:paraId="047200C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1)拟派驻场监理人员大于（含）10人的，得4分；团队小于10人或证明材料不齐全的，不得分；</w:t>
            </w:r>
          </w:p>
          <w:p w14:paraId="2495299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2)团队成员中具有注册测绘师资格证书的，每有1人得1分，最高得4分；</w:t>
            </w:r>
          </w:p>
          <w:p w14:paraId="09684D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高级工程师及以上职称证书的，每有1人得1分，最高得4分；</w:t>
            </w:r>
          </w:p>
          <w:p w14:paraId="01733A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工程师及以上职称证书的，每有1人得1分，最高得2分。</w:t>
            </w:r>
          </w:p>
          <w:p w14:paraId="3C999BB2">
            <w:pPr>
              <w:spacing w:line="360" w:lineRule="auto"/>
              <w:ind w:right="89"/>
              <w:rPr>
                <w:rFonts w:hint="eastAsia" w:ascii="宋体" w:hAnsi="宋体" w:cs="宋体"/>
                <w:color w:val="000000"/>
                <w:sz w:val="24"/>
                <w:szCs w:val="24"/>
              </w:rPr>
            </w:pPr>
            <w:r>
              <w:rPr>
                <w:rFonts w:hint="eastAsia" w:ascii="宋体" w:hAnsi="宋体" w:cs="宋体"/>
                <w:b/>
                <w:bCs/>
                <w:color w:val="000000"/>
                <w:spacing w:val="9"/>
                <w:sz w:val="24"/>
                <w:szCs w:val="24"/>
              </w:rPr>
              <w:t>【证明材料：须提供团队人员花名册、个人身份证信息、开标前三个月任意一个月的社保</w:t>
            </w:r>
            <w:r>
              <w:rPr>
                <w:rFonts w:hint="eastAsia" w:ascii="宋体" w:hAnsi="宋体" w:cs="宋体"/>
                <w:b/>
                <w:bCs/>
                <w:color w:val="000000"/>
                <w:spacing w:val="7"/>
                <w:sz w:val="24"/>
                <w:szCs w:val="24"/>
              </w:rPr>
              <w:t>证明材料及相关资格、职称证书</w:t>
            </w:r>
            <w:r>
              <w:rPr>
                <w:rFonts w:hint="eastAsia" w:ascii="宋体" w:hAnsi="宋体" w:cs="宋体"/>
                <w:b/>
                <w:bCs/>
                <w:color w:val="000000"/>
                <w:spacing w:val="9"/>
                <w:sz w:val="24"/>
                <w:szCs w:val="24"/>
              </w:rPr>
              <w:t>等，证明材料复印件并</w:t>
            </w:r>
            <w:r>
              <w:rPr>
                <w:rFonts w:hint="eastAsia" w:ascii="宋体" w:hAnsi="宋体" w:cs="宋体"/>
                <w:b/>
                <w:bCs/>
                <w:color w:val="000000"/>
                <w:spacing w:val="3"/>
                <w:sz w:val="24"/>
                <w:szCs w:val="24"/>
              </w:rPr>
              <w:t>加盖供应商公章，未提供的不得分。以上人员不得重复计分，</w:t>
            </w:r>
            <w:r>
              <w:rPr>
                <w:rFonts w:hint="eastAsia" w:ascii="宋体" w:hAnsi="宋体" w:cs="宋体"/>
                <w:b/>
                <w:bCs/>
                <w:color w:val="000000"/>
                <w:spacing w:val="7"/>
                <w:sz w:val="24"/>
                <w:szCs w:val="24"/>
              </w:rPr>
              <w:t>如重复仅按照出现先后顺序计一次分】</w:t>
            </w:r>
          </w:p>
        </w:tc>
      </w:tr>
      <w:tr w14:paraId="44DB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735D553">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745C66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供应商业绩（9分）</w:t>
            </w:r>
          </w:p>
        </w:tc>
        <w:tc>
          <w:tcPr>
            <w:tcW w:w="5703" w:type="dxa"/>
            <w:vAlign w:val="center"/>
          </w:tcPr>
          <w:p w14:paraId="7AD9B4A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2022年1月1日以来，供应商承担过测绘项目相关监理任务的，每有一个得3分，最高9分。</w:t>
            </w:r>
          </w:p>
          <w:p w14:paraId="0CF5982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1.如提供合同，供应商须提供正式合同及中标通知书或中标结果公告查询截图；2.如不提供合同，须提供上级部门的任务下达文件作为有效证明文件；3.监理项目合同名称须包含“监理”字样，且监理内容为测绘项目；4.时间以合同签订时间或任务书下达时间为准。证明材料复印件并加盖供应商公章，未提供的不得分。不符合上述要求或未按要求提供有效证明文件的业绩在评审时将不予承认。</w:t>
            </w:r>
            <w:r>
              <w:rPr>
                <w:rFonts w:hint="eastAsia" w:ascii="宋体" w:hAnsi="宋体" w:cs="宋体"/>
                <w:color w:val="000000"/>
                <w:spacing w:val="9"/>
                <w:sz w:val="24"/>
                <w:szCs w:val="24"/>
              </w:rPr>
              <w:t>】</w:t>
            </w:r>
          </w:p>
        </w:tc>
      </w:tr>
      <w:tr w14:paraId="7D4F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4015352">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1E6494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项目评价（6分）</w:t>
            </w:r>
          </w:p>
        </w:tc>
        <w:tc>
          <w:tcPr>
            <w:tcW w:w="5703" w:type="dxa"/>
            <w:vAlign w:val="center"/>
          </w:tcPr>
          <w:p w14:paraId="5A96167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提供2022年1月1日以来已完成测绘项目相关监理的业主方项目评价。每提供1份，得2分，最多得6分。</w:t>
            </w:r>
          </w:p>
          <w:p w14:paraId="4AE9904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【证明材料：项目评价包括反馈表、评价书、验收单、回访单等均可。同一业主不重复计算。评价意见为良好、合格、满意、优秀等均可；评价意见为不合格、不满意、差等不作为加分。】</w:t>
            </w:r>
          </w:p>
        </w:tc>
      </w:tr>
      <w:tr w14:paraId="10F1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AAEDE7E">
            <w:pPr>
              <w:spacing w:line="360" w:lineRule="auto"/>
              <w:ind w:left="210" w:leftChars="100"/>
              <w:jc w:val="center"/>
              <w:rPr>
                <w:rFonts w:hint="eastAsia" w:ascii="宋体" w:hAnsi="宋体" w:cs="宋体"/>
                <w:b/>
                <w:bCs/>
                <w:color w:val="000000"/>
                <w:sz w:val="24"/>
                <w:szCs w:val="24"/>
              </w:rPr>
            </w:pPr>
          </w:p>
        </w:tc>
        <w:tc>
          <w:tcPr>
            <w:tcW w:w="1852" w:type="dxa"/>
            <w:vAlign w:val="center"/>
          </w:tcPr>
          <w:p w14:paraId="219A93D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拟为本项目配备的设备（4分）</w:t>
            </w:r>
          </w:p>
        </w:tc>
        <w:tc>
          <w:tcPr>
            <w:tcW w:w="5703" w:type="dxa"/>
            <w:vAlign w:val="center"/>
          </w:tcPr>
          <w:p w14:paraId="42257F2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为本项目配备必要的设施设备，至少包含：办公、交通、GNSS接收机相关设备。</w:t>
            </w:r>
          </w:p>
          <w:p w14:paraId="338B1CC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设备配备齐全、能满足项目需求的，得4分；设备配备不齐全的，得2分；</w:t>
            </w:r>
          </w:p>
          <w:p w14:paraId="7ADB1D6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未提供的，得0分。</w:t>
            </w:r>
          </w:p>
          <w:p w14:paraId="4304244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【证明材料：提供设备采购发票复印件、GNSS接收机须提供省级测绘产品质量检验机构出具的检定证书复印件并加盖供应商公章。未提供的不得分】</w:t>
            </w:r>
          </w:p>
        </w:tc>
      </w:tr>
      <w:tr w14:paraId="4058F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E820AB7">
            <w:pPr>
              <w:spacing w:line="360" w:lineRule="auto"/>
              <w:ind w:left="210" w:leftChars="100"/>
              <w:jc w:val="center"/>
              <w:rPr>
                <w:rFonts w:hint="eastAsia" w:ascii="宋体" w:hAnsi="宋体" w:cs="宋体"/>
                <w:b/>
                <w:bCs/>
                <w:color w:val="000000"/>
                <w:sz w:val="24"/>
                <w:szCs w:val="24"/>
              </w:rPr>
            </w:pPr>
          </w:p>
        </w:tc>
        <w:tc>
          <w:tcPr>
            <w:tcW w:w="1852" w:type="dxa"/>
            <w:vAlign w:val="center"/>
          </w:tcPr>
          <w:p w14:paraId="7DE1C8B2">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综合实力（7分）</w:t>
            </w:r>
          </w:p>
        </w:tc>
        <w:tc>
          <w:tcPr>
            <w:tcW w:w="5703" w:type="dxa"/>
            <w:vAlign w:val="center"/>
          </w:tcPr>
          <w:p w14:paraId="59DD5A0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2022年1月1日以来，供应商获得测绘地理信息类优质（优秀）测绘工程奖、测绘地理信息类科技进步奖（科学技术奖）获奖证书的，每提供1个省部级及以上的，得1分；每提供1个地厅级的，得0.5分。本项最高得4分。</w:t>
            </w:r>
          </w:p>
          <w:p w14:paraId="1BD3F16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w:t>
            </w:r>
            <w:r>
              <w:rPr>
                <w:rFonts w:hint="eastAsia" w:ascii="宋体" w:hAnsi="宋体" w:cs="宋体"/>
                <w:color w:val="000000"/>
                <w:spacing w:val="11"/>
                <w:sz w:val="24"/>
                <w:szCs w:val="24"/>
              </w:rPr>
              <w:t>供应商同时具有质量管理体系、环境管理体系、职业健康安全管理体系认证证书的，得3分，否则不得分.</w:t>
            </w:r>
          </w:p>
          <w:p w14:paraId="2CE09F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【证明材料：奖项类证书以发证时间为准。须提供相关证明文件并加盖公章，不提供或无法提供有效证明材料不得分】</w:t>
            </w:r>
          </w:p>
        </w:tc>
      </w:tr>
    </w:tbl>
    <w:p w14:paraId="2F45F667">
      <w:pPr>
        <w:rPr>
          <w:rFonts w:hint="eastAsia" w:ascii="宋体" w:hAnsi="宋体" w:cs="宋体"/>
        </w:rPr>
      </w:pPr>
    </w:p>
    <w:p w14:paraId="2A0A9713">
      <w:pPr>
        <w:rPr>
          <w:rStyle w:val="30"/>
          <w:rFonts w:hint="eastAsia" w:ascii="宋体" w:hAnsi="宋体" w:cs="宋体"/>
          <w:bCs w:val="0"/>
          <w:kern w:val="0"/>
          <w:sz w:val="32"/>
          <w:szCs w:val="24"/>
        </w:rPr>
      </w:pPr>
      <w:r>
        <w:rPr>
          <w:rFonts w:hint="eastAsia" w:ascii="宋体" w:hAnsi="宋体" w:cs="宋体"/>
          <w:b/>
          <w:bCs/>
          <w:color w:val="000000" w:themeColor="text1"/>
          <w:sz w:val="28"/>
          <w:szCs w:val="28"/>
          <w:highlight w:val="yellow"/>
          <w14:textFill>
            <w14:solidFill>
              <w14:schemeClr w14:val="tx1"/>
            </w14:solidFill>
          </w14:textFill>
        </w:rPr>
        <w:br w:type="page"/>
      </w:r>
      <w:bookmarkEnd w:id="142"/>
      <w:bookmarkEnd w:id="143"/>
    </w:p>
    <w:p w14:paraId="73527C94">
      <w:pPr>
        <w:pStyle w:val="28"/>
        <w:rPr>
          <w:rStyle w:val="30"/>
          <w:rFonts w:hint="eastAsia" w:ascii="宋体" w:hAnsi="宋体" w:cs="宋体"/>
          <w:b/>
          <w:bCs w:val="0"/>
          <w:kern w:val="0"/>
          <w:sz w:val="32"/>
          <w:szCs w:val="24"/>
        </w:rPr>
      </w:pPr>
      <w:bookmarkStart w:id="144" w:name="_Toc18036"/>
      <w:bookmarkStart w:id="145" w:name="_Toc22297"/>
      <w:r>
        <w:rPr>
          <w:rStyle w:val="30"/>
          <w:rFonts w:hint="eastAsia" w:ascii="宋体" w:hAnsi="宋体" w:cs="宋体"/>
          <w:b/>
          <w:bCs w:val="0"/>
          <w:kern w:val="0"/>
          <w:sz w:val="32"/>
          <w:szCs w:val="24"/>
        </w:rPr>
        <w:t>第四章  合同条款及格式</w:t>
      </w:r>
    </w:p>
    <w:bookmarkEnd w:id="144"/>
    <w:bookmarkEnd w:id="145"/>
    <w:p w14:paraId="3E824150">
      <w:pPr>
        <w:pStyle w:val="28"/>
        <w:rPr>
          <w:rFonts w:hint="eastAsia" w:ascii="宋体" w:hAnsi="宋体" w:cs="宋体"/>
        </w:rPr>
      </w:pPr>
    </w:p>
    <w:p w14:paraId="2610642B">
      <w:pPr>
        <w:pStyle w:val="7"/>
        <w:ind w:firstLine="472"/>
        <w:rPr>
          <w:rFonts w:hint="eastAsia" w:ascii="宋体" w:hAnsi="宋体" w:eastAsia="宋体" w:cs="宋体"/>
          <w:b w:val="0"/>
        </w:rPr>
      </w:pPr>
      <w:r>
        <w:rPr>
          <w:rFonts w:hint="eastAsia" w:ascii="宋体" w:hAnsi="宋体" w:eastAsia="宋体" w:cs="宋体"/>
          <w:b w:val="0"/>
        </w:rPr>
        <w:t>双方应根据招标文件、中标通知书、中标单位投标文件（包括澄清说明），以及与本项目相关的资料签订合同。所签订的合同不得背离招标文件的实质性内容要求和投标文件的承诺。</w:t>
      </w:r>
    </w:p>
    <w:p w14:paraId="5DDF91BF">
      <w:pPr>
        <w:pStyle w:val="7"/>
        <w:ind w:firstLine="472"/>
        <w:rPr>
          <w:rFonts w:hint="eastAsia" w:ascii="宋体" w:hAnsi="宋体" w:eastAsia="宋体" w:cs="宋体"/>
          <w:b w:val="0"/>
        </w:rPr>
      </w:pPr>
      <w:r>
        <w:rPr>
          <w:rFonts w:hint="eastAsia" w:ascii="宋体" w:hAnsi="宋体" w:eastAsia="宋体" w:cs="宋体"/>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14:paraId="64E73B34">
      <w:pPr>
        <w:pStyle w:val="7"/>
        <w:rPr>
          <w:rFonts w:hint="eastAsia" w:ascii="宋体" w:hAnsi="宋体" w:eastAsia="宋体" w:cs="宋体"/>
        </w:rPr>
      </w:pPr>
    </w:p>
    <w:p w14:paraId="15D72C89">
      <w:pPr>
        <w:pStyle w:val="7"/>
        <w:rPr>
          <w:rFonts w:hint="eastAsia" w:ascii="宋体" w:hAnsi="宋体" w:eastAsia="宋体" w:cs="宋体"/>
        </w:rPr>
      </w:pPr>
    </w:p>
    <w:p w14:paraId="7AD433CC">
      <w:pPr>
        <w:pStyle w:val="7"/>
        <w:rPr>
          <w:rFonts w:hint="eastAsia" w:ascii="宋体" w:hAnsi="宋体" w:eastAsia="宋体" w:cs="宋体"/>
        </w:rPr>
      </w:pPr>
    </w:p>
    <w:p w14:paraId="39D40382">
      <w:pPr>
        <w:pStyle w:val="7"/>
        <w:rPr>
          <w:rFonts w:hint="eastAsia" w:ascii="宋体" w:hAnsi="宋体" w:eastAsia="宋体" w:cs="宋体"/>
        </w:rPr>
      </w:pPr>
    </w:p>
    <w:p w14:paraId="1597695F">
      <w:pPr>
        <w:pStyle w:val="7"/>
        <w:rPr>
          <w:rFonts w:hint="eastAsia" w:ascii="宋体" w:hAnsi="宋体" w:eastAsia="宋体" w:cs="宋体"/>
        </w:rPr>
      </w:pPr>
    </w:p>
    <w:p w14:paraId="6CB21E80">
      <w:pPr>
        <w:pStyle w:val="7"/>
        <w:rPr>
          <w:rFonts w:hint="eastAsia" w:ascii="宋体" w:hAnsi="宋体" w:eastAsia="宋体" w:cs="宋体"/>
        </w:rPr>
      </w:pPr>
    </w:p>
    <w:p w14:paraId="08490F29">
      <w:pPr>
        <w:pStyle w:val="7"/>
        <w:rPr>
          <w:rFonts w:hint="eastAsia" w:ascii="宋体" w:hAnsi="宋体" w:eastAsia="宋体" w:cs="宋体"/>
        </w:rPr>
      </w:pPr>
    </w:p>
    <w:p w14:paraId="75D758B4">
      <w:pPr>
        <w:pStyle w:val="7"/>
        <w:rPr>
          <w:rFonts w:hint="eastAsia" w:ascii="宋体" w:hAnsi="宋体" w:eastAsia="宋体" w:cs="宋体"/>
        </w:rPr>
      </w:pPr>
    </w:p>
    <w:p w14:paraId="6172F629">
      <w:pPr>
        <w:pStyle w:val="7"/>
        <w:rPr>
          <w:rFonts w:hint="eastAsia" w:ascii="宋体" w:hAnsi="宋体" w:eastAsia="宋体" w:cs="宋体"/>
        </w:rPr>
      </w:pPr>
    </w:p>
    <w:p w14:paraId="125A7E01">
      <w:pPr>
        <w:pStyle w:val="7"/>
        <w:rPr>
          <w:rFonts w:hint="eastAsia" w:ascii="宋体" w:hAnsi="宋体" w:eastAsia="宋体" w:cs="宋体"/>
        </w:rPr>
      </w:pPr>
    </w:p>
    <w:p w14:paraId="34A0B08D">
      <w:pPr>
        <w:pStyle w:val="7"/>
        <w:rPr>
          <w:rFonts w:hint="eastAsia" w:ascii="宋体" w:hAnsi="宋体" w:eastAsia="宋体" w:cs="宋体"/>
        </w:rPr>
      </w:pPr>
    </w:p>
    <w:p w14:paraId="13A1CFF1">
      <w:pPr>
        <w:pStyle w:val="7"/>
        <w:rPr>
          <w:rFonts w:hint="eastAsia" w:ascii="宋体" w:hAnsi="宋体" w:eastAsia="宋体" w:cs="宋体"/>
        </w:rPr>
      </w:pPr>
    </w:p>
    <w:p w14:paraId="41B3054D">
      <w:pPr>
        <w:pStyle w:val="7"/>
        <w:rPr>
          <w:rFonts w:hint="eastAsia" w:ascii="宋体" w:hAnsi="宋体" w:eastAsia="宋体" w:cs="宋体"/>
        </w:rPr>
      </w:pPr>
    </w:p>
    <w:p w14:paraId="0BDF3005">
      <w:pPr>
        <w:pStyle w:val="7"/>
        <w:rPr>
          <w:rFonts w:hint="eastAsia" w:ascii="宋体" w:hAnsi="宋体" w:eastAsia="宋体" w:cs="宋体"/>
        </w:rPr>
      </w:pPr>
    </w:p>
    <w:p w14:paraId="0C41E984">
      <w:pPr>
        <w:pStyle w:val="7"/>
        <w:rPr>
          <w:rFonts w:hint="eastAsia" w:ascii="宋体" w:hAnsi="宋体" w:eastAsia="宋体" w:cs="宋体"/>
        </w:rPr>
      </w:pPr>
    </w:p>
    <w:p w14:paraId="57A81B2F">
      <w:pPr>
        <w:pStyle w:val="7"/>
        <w:rPr>
          <w:rFonts w:hint="eastAsia" w:ascii="宋体" w:hAnsi="宋体" w:eastAsia="宋体" w:cs="宋体"/>
        </w:rPr>
      </w:pPr>
    </w:p>
    <w:p w14:paraId="6727B6AF">
      <w:pPr>
        <w:pStyle w:val="7"/>
        <w:rPr>
          <w:rFonts w:hint="eastAsia" w:ascii="宋体" w:hAnsi="宋体" w:eastAsia="宋体" w:cs="宋体"/>
        </w:rPr>
      </w:pPr>
    </w:p>
    <w:p w14:paraId="799844E4">
      <w:pPr>
        <w:pStyle w:val="7"/>
        <w:rPr>
          <w:rFonts w:hint="eastAsia" w:ascii="宋体" w:hAnsi="宋体" w:eastAsia="宋体" w:cs="宋体"/>
        </w:rPr>
      </w:pPr>
    </w:p>
    <w:p w14:paraId="6197DF8E">
      <w:pPr>
        <w:pStyle w:val="7"/>
        <w:rPr>
          <w:rFonts w:hint="eastAsia" w:ascii="宋体" w:hAnsi="宋体" w:eastAsia="宋体" w:cs="宋体"/>
        </w:rPr>
      </w:pPr>
    </w:p>
    <w:p w14:paraId="1A6826D3">
      <w:pPr>
        <w:pStyle w:val="7"/>
        <w:rPr>
          <w:rFonts w:hint="eastAsia" w:ascii="宋体" w:hAnsi="宋体" w:eastAsia="宋体" w:cs="宋体"/>
        </w:rPr>
      </w:pPr>
    </w:p>
    <w:p w14:paraId="28A63722">
      <w:pPr>
        <w:pStyle w:val="7"/>
        <w:rPr>
          <w:rFonts w:hint="eastAsia" w:ascii="宋体" w:hAnsi="宋体" w:eastAsia="宋体" w:cs="宋体"/>
        </w:rPr>
      </w:pPr>
    </w:p>
    <w:p w14:paraId="0B9DDBF6">
      <w:pPr>
        <w:pStyle w:val="7"/>
        <w:rPr>
          <w:rFonts w:hint="eastAsia" w:ascii="宋体" w:hAnsi="宋体" w:eastAsia="宋体" w:cs="宋体"/>
        </w:rPr>
      </w:pPr>
    </w:p>
    <w:p w14:paraId="420C2038">
      <w:pPr>
        <w:pStyle w:val="7"/>
        <w:rPr>
          <w:rFonts w:hint="eastAsia" w:ascii="宋体" w:hAnsi="宋体" w:eastAsia="宋体" w:cs="宋体"/>
        </w:rPr>
      </w:pPr>
    </w:p>
    <w:p w14:paraId="663CD27E">
      <w:pPr>
        <w:pStyle w:val="7"/>
        <w:rPr>
          <w:rFonts w:hint="eastAsia" w:ascii="宋体" w:hAnsi="宋体" w:eastAsia="宋体" w:cs="宋体"/>
        </w:rPr>
      </w:pPr>
    </w:p>
    <w:p w14:paraId="466416EC">
      <w:pPr>
        <w:pStyle w:val="7"/>
        <w:rPr>
          <w:rFonts w:hint="eastAsia" w:ascii="宋体" w:hAnsi="宋体" w:eastAsia="宋体" w:cs="宋体"/>
        </w:rPr>
      </w:pPr>
    </w:p>
    <w:p w14:paraId="08D02BD6">
      <w:pPr>
        <w:pStyle w:val="7"/>
        <w:rPr>
          <w:rFonts w:hint="eastAsia" w:ascii="宋体" w:hAnsi="宋体" w:eastAsia="宋体" w:cs="宋体"/>
        </w:rPr>
      </w:pPr>
    </w:p>
    <w:p w14:paraId="352E6AE3">
      <w:pPr>
        <w:pStyle w:val="7"/>
        <w:rPr>
          <w:rFonts w:hint="eastAsia" w:ascii="宋体" w:hAnsi="宋体" w:eastAsia="宋体" w:cs="宋体"/>
        </w:rPr>
      </w:pPr>
      <w:r>
        <w:rPr>
          <w:rFonts w:hint="eastAsia" w:ascii="宋体" w:hAnsi="宋体" w:eastAsia="宋体" w:cs="宋体"/>
        </w:rPr>
        <w:t>（本合同为政府采购合同范本，合同内容及条款仅供参考，具体合同以双方签订合同为准）</w:t>
      </w:r>
    </w:p>
    <w:p w14:paraId="50C75E81">
      <w:pPr>
        <w:spacing w:line="276" w:lineRule="auto"/>
        <w:rPr>
          <w:rFonts w:hint="eastAsia" w:ascii="宋体" w:hAnsi="宋体" w:cs="宋体"/>
          <w:bCs/>
          <w:spacing w:val="7"/>
          <w:sz w:val="24"/>
          <w:szCs w:val="24"/>
        </w:rPr>
      </w:pPr>
      <w:bookmarkStart w:id="146" w:name="_Toc12464209"/>
      <w:bookmarkStart w:id="147" w:name="_Toc514226064"/>
      <w:bookmarkStart w:id="148" w:name="_Toc377025612"/>
      <w:bookmarkStart w:id="149" w:name="_Toc632"/>
      <w:bookmarkStart w:id="150" w:name="_Toc512673808"/>
      <w:r>
        <w:rPr>
          <w:rFonts w:hint="eastAsia" w:ascii="宋体" w:hAnsi="宋体" w:cs="宋体"/>
          <w:bCs/>
          <w:spacing w:val="7"/>
          <w:sz w:val="24"/>
          <w:szCs w:val="24"/>
        </w:rPr>
        <w:t xml:space="preserve">甲  方：           </w:t>
      </w:r>
    </w:p>
    <w:p w14:paraId="0B81651D">
      <w:pPr>
        <w:spacing w:line="276" w:lineRule="auto"/>
        <w:rPr>
          <w:rFonts w:hint="eastAsia" w:ascii="宋体" w:hAnsi="宋体" w:cs="宋体"/>
          <w:bCs/>
          <w:spacing w:val="7"/>
          <w:sz w:val="24"/>
          <w:szCs w:val="24"/>
        </w:rPr>
      </w:pPr>
      <w:r>
        <w:rPr>
          <w:rFonts w:hint="eastAsia" w:ascii="宋体" w:hAnsi="宋体" w:cs="宋体"/>
          <w:bCs/>
          <w:spacing w:val="7"/>
          <w:sz w:val="24"/>
          <w:szCs w:val="24"/>
        </w:rPr>
        <w:t xml:space="preserve">乙  方： </w:t>
      </w:r>
    </w:p>
    <w:p w14:paraId="7E10D2B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甲方名称根据的批复，组织对***项目进行公开招标，招标编号（），于年月日通过公开招标，确定乙方为***项目中标人。为了保护供需各方合法权益,根据《中华人民共和国政府采购法》</w:t>
      </w:r>
      <w:r>
        <w:rPr>
          <w:rFonts w:hint="eastAsia" w:ascii="宋体" w:hAnsi="宋体" w:cs="宋体"/>
          <w:bCs/>
          <w:spacing w:val="7"/>
          <w:sz w:val="24"/>
          <w:szCs w:val="24"/>
          <w:highlight w:val="none"/>
        </w:rPr>
        <w:t>、《</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》等相</w:t>
      </w:r>
      <w:r>
        <w:rPr>
          <w:rFonts w:hint="eastAsia" w:ascii="宋体" w:hAnsi="宋体" w:cs="宋体"/>
          <w:bCs/>
          <w:spacing w:val="7"/>
          <w:sz w:val="24"/>
          <w:szCs w:val="24"/>
        </w:rPr>
        <w:t xml:space="preserve">关法律、法规的规定，并严格遵循政府采购项目招标文件的相关规定，经甲乙双方协商一致，订立本合同。 </w:t>
      </w:r>
    </w:p>
    <w:p w14:paraId="66718841">
      <w:pPr>
        <w:spacing w:line="276" w:lineRule="auto"/>
        <w:rPr>
          <w:rFonts w:hint="eastAsia" w:ascii="宋体" w:hAnsi="宋体" w:cs="宋体"/>
          <w:bCs/>
          <w:spacing w:val="7"/>
          <w:sz w:val="24"/>
          <w:szCs w:val="24"/>
        </w:rPr>
      </w:pPr>
      <w:r>
        <w:rPr>
          <w:rFonts w:hint="eastAsia" w:ascii="宋体" w:hAnsi="宋体" w:cs="宋体"/>
          <w:bCs/>
          <w:spacing w:val="7"/>
          <w:sz w:val="24"/>
          <w:szCs w:val="24"/>
        </w:rPr>
        <w:t>一、项目概况、合同金额（详见报价表，附后）</w:t>
      </w:r>
    </w:p>
    <w:p w14:paraId="2C851F8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1.项目编号：。</w:t>
      </w:r>
    </w:p>
    <w:p w14:paraId="0A171F7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2.项目名称：。</w:t>
      </w:r>
    </w:p>
    <w:p w14:paraId="341ECC2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3.具体内容：（详见乙方报价表）</w:t>
      </w:r>
    </w:p>
    <w:p w14:paraId="1C8AEFA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4.合同金额：人民币元（大写：），以上价格以人民币结算。</w:t>
      </w:r>
    </w:p>
    <w:p w14:paraId="19189A55">
      <w:pPr>
        <w:spacing w:line="276" w:lineRule="auto"/>
        <w:rPr>
          <w:rFonts w:hint="eastAsia" w:ascii="宋体" w:hAnsi="宋体" w:cs="宋体"/>
          <w:bCs/>
          <w:spacing w:val="7"/>
          <w:sz w:val="24"/>
          <w:szCs w:val="24"/>
        </w:rPr>
      </w:pPr>
      <w:r>
        <w:rPr>
          <w:rFonts w:hint="eastAsia" w:ascii="宋体" w:hAnsi="宋体" w:cs="宋体"/>
          <w:bCs/>
          <w:spacing w:val="7"/>
          <w:sz w:val="24"/>
          <w:szCs w:val="24"/>
        </w:rPr>
        <w:t>二、付款方式</w:t>
      </w:r>
    </w:p>
    <w:p w14:paraId="5FE57F5A">
      <w:pPr>
        <w:spacing w:line="276" w:lineRule="auto"/>
        <w:rPr>
          <w:rFonts w:hint="eastAsia" w:ascii="宋体" w:hAnsi="宋体" w:cs="宋体"/>
          <w:bCs/>
          <w:spacing w:val="7"/>
          <w:sz w:val="24"/>
          <w:szCs w:val="24"/>
        </w:rPr>
      </w:pPr>
      <w:r>
        <w:rPr>
          <w:rFonts w:hint="eastAsia" w:ascii="宋体" w:hAnsi="宋体" w:cs="宋体"/>
          <w:bCs/>
          <w:spacing w:val="7"/>
          <w:sz w:val="24"/>
          <w:szCs w:val="24"/>
        </w:rPr>
        <w:t>三、交货时间、交货地点</w:t>
      </w:r>
    </w:p>
    <w:p w14:paraId="02537CA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1.交货时间：     年   月   日。</w:t>
      </w:r>
    </w:p>
    <w:p w14:paraId="57E3090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2.交货地点：采购人指定地点</w:t>
      </w:r>
    </w:p>
    <w:p w14:paraId="3BDD7DDA">
      <w:pPr>
        <w:spacing w:line="276" w:lineRule="auto"/>
        <w:rPr>
          <w:rFonts w:hint="eastAsia" w:ascii="宋体" w:hAnsi="宋体" w:cs="宋体"/>
          <w:bCs/>
          <w:spacing w:val="7"/>
          <w:sz w:val="24"/>
          <w:szCs w:val="24"/>
        </w:rPr>
      </w:pPr>
      <w:r>
        <w:rPr>
          <w:rFonts w:hint="eastAsia" w:ascii="宋体" w:hAnsi="宋体" w:cs="宋体"/>
          <w:bCs/>
          <w:spacing w:val="7"/>
          <w:sz w:val="24"/>
          <w:szCs w:val="24"/>
        </w:rPr>
        <w:t>四、履约验收</w:t>
      </w:r>
    </w:p>
    <w:p w14:paraId="3B31E2CC">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1.乙方提供的产品为原装正品，各项指标符合出产国检测标准和出厂标准，各项技术参数符合招标文件要求和乙方响应文件承诺。</w:t>
      </w:r>
    </w:p>
    <w:p w14:paraId="03D6745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2.乙方所交产品不符合规定或质量不合格的，由乙方负责包换，并承担换货而支付的一切费用。乙方不能调换的，按不能交货处理。</w:t>
      </w:r>
    </w:p>
    <w:p w14:paraId="553A0B5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2ED1EB5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4.甲方按国家相关标准和本招标文件的相关要求自行组织有关专业人员验收。</w:t>
      </w:r>
    </w:p>
    <w:p w14:paraId="463F11B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5.验收内容：所采购的数量、参数标准、规格和质量。</w:t>
      </w:r>
    </w:p>
    <w:p w14:paraId="7C96BB5E">
      <w:pPr>
        <w:spacing w:line="276" w:lineRule="auto"/>
        <w:rPr>
          <w:rFonts w:hint="eastAsia" w:ascii="宋体" w:hAnsi="宋体" w:cs="宋体"/>
          <w:bCs/>
          <w:spacing w:val="7"/>
          <w:sz w:val="24"/>
          <w:szCs w:val="24"/>
        </w:rPr>
      </w:pPr>
      <w:r>
        <w:rPr>
          <w:rFonts w:hint="eastAsia" w:ascii="宋体" w:hAnsi="宋体" w:cs="宋体"/>
          <w:bCs/>
          <w:spacing w:val="7"/>
          <w:sz w:val="24"/>
          <w:szCs w:val="24"/>
        </w:rPr>
        <w:t>五、相关权利及义务</w:t>
      </w:r>
    </w:p>
    <w:p w14:paraId="3D9EFFF5">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1.甲方在验收时对不符合招标文件要求的产品有权拒绝接收和追究违约责任。</w:t>
      </w:r>
    </w:p>
    <w:p w14:paraId="17CE28C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2.甲方有权监督乙方的售后服务，并对乙方的售后服务不符合响应文件承诺内容时加以指出乃至追究合同责任。</w:t>
      </w:r>
    </w:p>
    <w:p w14:paraId="5AFE4A4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3.甲方在合同规定期限内协助履行付款责任。</w:t>
      </w:r>
    </w:p>
    <w:p w14:paraId="687481A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4.甲方对乙方的技术及商业机密予以保密。</w:t>
      </w:r>
    </w:p>
    <w:p w14:paraId="589EA0C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5.乙方有权按照合同要求及时支付相应合同款项。</w:t>
      </w:r>
    </w:p>
    <w:p w14:paraId="588C076E">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6.乙方有义务按投标文件中的售后服务承诺提供良好的服务。</w:t>
      </w:r>
    </w:p>
    <w:p w14:paraId="0F05E5D3">
      <w:pPr>
        <w:spacing w:line="276" w:lineRule="auto"/>
        <w:rPr>
          <w:rFonts w:hint="eastAsia" w:ascii="宋体" w:hAnsi="宋体" w:cs="宋体"/>
          <w:bCs/>
          <w:spacing w:val="7"/>
          <w:sz w:val="24"/>
          <w:szCs w:val="24"/>
        </w:rPr>
      </w:pPr>
      <w:r>
        <w:rPr>
          <w:rFonts w:hint="eastAsia" w:ascii="宋体" w:hAnsi="宋体" w:cs="宋体"/>
          <w:bCs/>
          <w:spacing w:val="7"/>
          <w:sz w:val="24"/>
          <w:szCs w:val="24"/>
        </w:rPr>
        <w:t>七、违约责任</w:t>
      </w:r>
    </w:p>
    <w:p w14:paraId="704E817A">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w:t>
      </w:r>
      <w:r>
        <w:rPr>
          <w:rFonts w:hint="eastAsia" w:ascii="宋体" w:hAnsi="宋体" w:cs="宋体"/>
          <w:bCs/>
          <w:spacing w:val="7"/>
          <w:sz w:val="24"/>
          <w:szCs w:val="24"/>
          <w:highlight w:val="none"/>
        </w:rPr>
        <w:t>府采购监管部门将其列入不良行为记录。因不可抗力所导致的交货及付款延迟等按照《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》有关条文及本合同第八条处理。</w:t>
      </w:r>
    </w:p>
    <w:p w14:paraId="0ECA1D82">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八、不可抗力</w:t>
      </w:r>
    </w:p>
    <w:p w14:paraId="7ADAC530">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5CBAEC9">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九、争议</w:t>
      </w:r>
    </w:p>
    <w:p w14:paraId="61FD21A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双方本着友好合作的态度，对合同履行过程中发生的违约行为进行及时的协商解决，如不能协商解决可向甲方所在地人民法院提起诉讼。</w:t>
      </w:r>
    </w:p>
    <w:p w14:paraId="4701965B">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十、其它</w:t>
      </w:r>
    </w:p>
    <w:p w14:paraId="22F1F6D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1.本合同一式陆份，甲方叁份，乙方叁份。</w:t>
      </w:r>
    </w:p>
    <w:p w14:paraId="3797E236">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2.本合同自双方签订之日起生效。</w:t>
      </w:r>
    </w:p>
    <w:p w14:paraId="58CE035D">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3.本项目招标文件、投标文件等是本合同的附件，与合同具有同等的法律效力。</w:t>
      </w:r>
    </w:p>
    <w:p w14:paraId="7263E724">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highlight w:val="none"/>
        </w:rPr>
        <w:t>4.其它未尽事宜，由甲乙双方友好协商解决，并参照《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w:t>
      </w:r>
      <w:r>
        <w:rPr>
          <w:rFonts w:hint="eastAsia" w:ascii="宋体" w:hAnsi="宋体" w:cs="宋体"/>
          <w:bCs/>
          <w:spacing w:val="7"/>
          <w:sz w:val="24"/>
          <w:szCs w:val="24"/>
        </w:rPr>
        <w:t>有关条款执行。</w:t>
      </w:r>
    </w:p>
    <w:p w14:paraId="7DA7408B">
      <w:pPr>
        <w:spacing w:line="276" w:lineRule="auto"/>
        <w:rPr>
          <w:rFonts w:hint="eastAsia" w:ascii="宋体" w:hAnsi="宋体" w:cs="宋体"/>
          <w:bCs/>
          <w:spacing w:val="7"/>
          <w:sz w:val="24"/>
          <w:szCs w:val="24"/>
        </w:rPr>
      </w:pPr>
      <w:r>
        <w:rPr>
          <w:rFonts w:hint="eastAsia" w:ascii="宋体" w:hAnsi="宋体" w:cs="宋体"/>
          <w:bCs/>
          <w:spacing w:val="7"/>
          <w:sz w:val="24"/>
          <w:szCs w:val="24"/>
        </w:rPr>
        <w:t>委托人（盖章）：                     受托人（盖章）：</w:t>
      </w:r>
    </w:p>
    <w:p w14:paraId="14640710">
      <w:pPr>
        <w:spacing w:line="276" w:lineRule="auto"/>
        <w:rPr>
          <w:rFonts w:hint="eastAsia" w:ascii="宋体" w:hAnsi="宋体" w:cs="宋体"/>
          <w:bCs/>
          <w:spacing w:val="7"/>
          <w:sz w:val="24"/>
          <w:szCs w:val="24"/>
        </w:rPr>
      </w:pPr>
      <w:r>
        <w:rPr>
          <w:rFonts w:hint="eastAsia" w:ascii="宋体" w:hAnsi="宋体" w:cs="宋体"/>
          <w:bCs/>
          <w:spacing w:val="7"/>
          <w:sz w:val="24"/>
          <w:szCs w:val="24"/>
        </w:rPr>
        <w:t>法定代表人（签字或盖章）：           法定代表人（签字或盖章）：</w:t>
      </w:r>
    </w:p>
    <w:p w14:paraId="5C6FC04F">
      <w:pPr>
        <w:spacing w:line="276" w:lineRule="auto"/>
        <w:rPr>
          <w:rFonts w:hint="eastAsia" w:ascii="宋体" w:hAnsi="宋体" w:cs="宋体"/>
          <w:bCs/>
          <w:spacing w:val="7"/>
          <w:sz w:val="24"/>
          <w:szCs w:val="24"/>
        </w:rPr>
      </w:pPr>
      <w:r>
        <w:rPr>
          <w:rFonts w:hint="eastAsia" w:ascii="宋体" w:hAnsi="宋体" w:cs="宋体"/>
          <w:bCs/>
          <w:spacing w:val="7"/>
          <w:sz w:val="24"/>
          <w:szCs w:val="24"/>
        </w:rPr>
        <w:t>或授权委托人（签字或盖章）：         或授权委托人（签字或盖章）：</w:t>
      </w:r>
    </w:p>
    <w:p w14:paraId="46318C30">
      <w:pPr>
        <w:spacing w:line="276" w:lineRule="auto"/>
        <w:rPr>
          <w:rFonts w:hint="eastAsia" w:ascii="宋体" w:hAnsi="宋体" w:cs="宋体"/>
          <w:bCs/>
          <w:spacing w:val="7"/>
          <w:sz w:val="24"/>
          <w:szCs w:val="24"/>
        </w:rPr>
      </w:pPr>
      <w:r>
        <w:rPr>
          <w:rFonts w:hint="eastAsia" w:ascii="宋体" w:hAnsi="宋体" w:cs="宋体"/>
          <w:bCs/>
          <w:spacing w:val="7"/>
          <w:sz w:val="24"/>
          <w:szCs w:val="24"/>
        </w:rPr>
        <w:t>单位地址：                          单位地址：</w:t>
      </w:r>
    </w:p>
    <w:p w14:paraId="75DBE015">
      <w:pPr>
        <w:spacing w:line="276" w:lineRule="auto"/>
        <w:rPr>
          <w:rFonts w:hint="eastAsia" w:ascii="宋体" w:hAnsi="宋体" w:cs="宋体"/>
          <w:bCs/>
          <w:spacing w:val="7"/>
          <w:sz w:val="24"/>
          <w:szCs w:val="24"/>
        </w:rPr>
      </w:pPr>
      <w:r>
        <w:rPr>
          <w:rFonts w:hint="eastAsia" w:ascii="宋体" w:hAnsi="宋体" w:cs="宋体"/>
          <w:bCs/>
          <w:spacing w:val="7"/>
          <w:sz w:val="24"/>
          <w:szCs w:val="24"/>
        </w:rPr>
        <w:t>邮政编码：                          邮政编码：</w:t>
      </w:r>
    </w:p>
    <w:p w14:paraId="0F306CE2">
      <w:pPr>
        <w:spacing w:line="276" w:lineRule="auto"/>
        <w:rPr>
          <w:rFonts w:hint="eastAsia" w:ascii="宋体" w:hAnsi="宋体" w:cs="宋体"/>
          <w:bCs/>
          <w:spacing w:val="7"/>
          <w:sz w:val="24"/>
          <w:szCs w:val="24"/>
        </w:rPr>
      </w:pPr>
      <w:r>
        <w:rPr>
          <w:rFonts w:hint="eastAsia" w:ascii="宋体" w:hAnsi="宋体" w:cs="宋体"/>
          <w:bCs/>
          <w:spacing w:val="7"/>
          <w:sz w:val="24"/>
          <w:szCs w:val="24"/>
        </w:rPr>
        <w:t>联系电话：                          联系电话：</w:t>
      </w:r>
    </w:p>
    <w:p w14:paraId="4FCDD944">
      <w:pPr>
        <w:spacing w:line="276" w:lineRule="auto"/>
        <w:rPr>
          <w:rFonts w:hint="eastAsia" w:ascii="宋体" w:hAnsi="宋体" w:cs="宋体"/>
          <w:bCs/>
          <w:spacing w:val="7"/>
          <w:sz w:val="24"/>
          <w:szCs w:val="24"/>
        </w:rPr>
      </w:pPr>
      <w:r>
        <w:rPr>
          <w:rFonts w:hint="eastAsia" w:ascii="宋体" w:hAnsi="宋体" w:cs="宋体"/>
          <w:bCs/>
          <w:spacing w:val="7"/>
          <w:sz w:val="24"/>
          <w:szCs w:val="24"/>
        </w:rPr>
        <w:t>传    真：                          传    真：</w:t>
      </w:r>
    </w:p>
    <w:p w14:paraId="2714E444">
      <w:pPr>
        <w:spacing w:line="276" w:lineRule="auto"/>
        <w:rPr>
          <w:rFonts w:hint="eastAsia" w:ascii="宋体" w:hAnsi="宋体" w:cs="宋体"/>
          <w:bCs/>
          <w:spacing w:val="7"/>
          <w:sz w:val="24"/>
          <w:szCs w:val="24"/>
        </w:rPr>
      </w:pPr>
      <w:r>
        <w:rPr>
          <w:rFonts w:hint="eastAsia" w:ascii="宋体" w:hAnsi="宋体" w:cs="宋体"/>
          <w:bCs/>
          <w:spacing w:val="7"/>
          <w:sz w:val="24"/>
          <w:szCs w:val="24"/>
        </w:rPr>
        <w:t>电子信箱：                          电子信箱：</w:t>
      </w:r>
    </w:p>
    <w:p w14:paraId="6785C105">
      <w:pPr>
        <w:spacing w:line="276" w:lineRule="auto"/>
        <w:rPr>
          <w:rFonts w:hint="eastAsia" w:ascii="宋体" w:hAnsi="宋体" w:cs="宋体"/>
          <w:bCs/>
          <w:spacing w:val="7"/>
          <w:sz w:val="24"/>
          <w:szCs w:val="24"/>
        </w:rPr>
      </w:pPr>
      <w:r>
        <w:rPr>
          <w:rFonts w:hint="eastAsia" w:ascii="宋体" w:hAnsi="宋体" w:cs="宋体"/>
          <w:bCs/>
          <w:spacing w:val="7"/>
          <w:sz w:val="24"/>
          <w:szCs w:val="24"/>
        </w:rPr>
        <w:t>开户银行：                          开户银行：</w:t>
      </w:r>
    </w:p>
    <w:p w14:paraId="114ABF20">
      <w:pPr>
        <w:spacing w:line="276" w:lineRule="auto"/>
        <w:rPr>
          <w:rFonts w:hint="eastAsia" w:ascii="宋体" w:hAnsi="宋体" w:cs="宋体"/>
          <w:bCs/>
          <w:spacing w:val="7"/>
          <w:sz w:val="24"/>
          <w:szCs w:val="24"/>
        </w:rPr>
      </w:pPr>
      <w:r>
        <w:rPr>
          <w:rFonts w:hint="eastAsia" w:ascii="宋体" w:hAnsi="宋体" w:cs="宋体"/>
          <w:bCs/>
          <w:spacing w:val="7"/>
          <w:sz w:val="24"/>
          <w:szCs w:val="24"/>
        </w:rPr>
        <w:t>账    号：                          账    号：</w:t>
      </w:r>
    </w:p>
    <w:p w14:paraId="7B92EE16">
      <w:pPr>
        <w:pStyle w:val="28"/>
        <w:spacing w:line="276" w:lineRule="auto"/>
        <w:rPr>
          <w:rStyle w:val="30"/>
          <w:rFonts w:hint="eastAsia" w:ascii="宋体" w:hAnsi="宋体" w:cs="宋体"/>
          <w:b/>
          <w:bCs w:val="0"/>
          <w:kern w:val="0"/>
          <w:sz w:val="32"/>
          <w:szCs w:val="36"/>
        </w:rPr>
      </w:pPr>
    </w:p>
    <w:p w14:paraId="4EC4BC6D">
      <w:pPr>
        <w:pStyle w:val="28"/>
        <w:spacing w:line="276" w:lineRule="auto"/>
        <w:rPr>
          <w:rStyle w:val="30"/>
          <w:rFonts w:hint="eastAsia" w:ascii="宋体" w:hAnsi="宋体" w:cs="宋体"/>
          <w:b/>
          <w:bCs w:val="0"/>
          <w:kern w:val="0"/>
          <w:sz w:val="32"/>
          <w:szCs w:val="36"/>
        </w:rPr>
      </w:pPr>
    </w:p>
    <w:p w14:paraId="6C7D73F1">
      <w:pPr>
        <w:pStyle w:val="28"/>
        <w:spacing w:line="276" w:lineRule="auto"/>
        <w:outlineLvl w:val="0"/>
        <w:rPr>
          <w:rStyle w:val="30"/>
          <w:rFonts w:hint="eastAsia" w:ascii="宋体" w:hAnsi="宋体" w:cs="宋体"/>
          <w:b/>
          <w:bCs w:val="0"/>
          <w:kern w:val="0"/>
          <w:sz w:val="32"/>
          <w:szCs w:val="36"/>
        </w:rPr>
      </w:pPr>
      <w:bookmarkStart w:id="151" w:name="_Toc11525"/>
      <w:bookmarkStart w:id="152" w:name="_Toc27051"/>
      <w:r>
        <w:rPr>
          <w:rStyle w:val="30"/>
          <w:rFonts w:hint="eastAsia" w:ascii="宋体" w:hAnsi="宋体" w:cs="宋体"/>
          <w:b/>
          <w:bCs w:val="0"/>
          <w:kern w:val="0"/>
          <w:sz w:val="32"/>
          <w:szCs w:val="36"/>
        </w:rPr>
        <w:t>第五章采购内容及要求</w:t>
      </w:r>
      <w:bookmarkEnd w:id="151"/>
    </w:p>
    <w:bookmarkEnd w:id="146"/>
    <w:bookmarkEnd w:id="147"/>
    <w:bookmarkEnd w:id="152"/>
    <w:p w14:paraId="23D5D64B">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3" w:name="_Toc5123"/>
      <w:bookmarkStart w:id="154" w:name="_Toc18032"/>
      <w:bookmarkStart w:id="155" w:name="_Toc25817"/>
      <w:bookmarkStart w:id="156" w:name="_Toc161674182"/>
      <w:bookmarkStart w:id="157" w:name="_Toc147655515"/>
      <w:bookmarkStart w:id="158" w:name="_Toc161674300"/>
      <w:r>
        <w:rPr>
          <w:rFonts w:hint="eastAsia" w:ascii="宋体" w:hAnsi="宋体" w:cs="宋体"/>
          <w:sz w:val="24"/>
          <w:szCs w:val="24"/>
        </w:rPr>
        <w:t>包1：</w:t>
      </w:r>
      <w:bookmarkEnd w:id="153"/>
      <w:bookmarkEnd w:id="154"/>
      <w:bookmarkEnd w:id="155"/>
    </w:p>
    <w:p w14:paraId="5D8ACAE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9" w:name="_Toc16163"/>
      <w:bookmarkStart w:id="160" w:name="_Toc17937"/>
      <w:bookmarkStart w:id="161" w:name="_Toc17517"/>
      <w:r>
        <w:rPr>
          <w:rFonts w:hint="eastAsia" w:ascii="宋体" w:hAnsi="宋体" w:cs="宋体"/>
          <w:sz w:val="24"/>
          <w:szCs w:val="24"/>
        </w:rPr>
        <w:t>一、项目</w:t>
      </w:r>
      <w:bookmarkEnd w:id="156"/>
      <w:bookmarkEnd w:id="157"/>
      <w:bookmarkEnd w:id="158"/>
      <w:r>
        <w:rPr>
          <w:rFonts w:hint="eastAsia" w:ascii="宋体" w:hAnsi="宋体" w:cs="宋体"/>
          <w:sz w:val="24"/>
          <w:szCs w:val="24"/>
        </w:rPr>
        <w:t>目标</w:t>
      </w:r>
      <w:bookmarkEnd w:id="159"/>
      <w:bookmarkEnd w:id="160"/>
      <w:bookmarkEnd w:id="161"/>
    </w:p>
    <w:p w14:paraId="30969041">
      <w:pPr>
        <w:adjustRightInd w:val="0"/>
        <w:snapToGrid w:val="0"/>
        <w:spacing w:line="360" w:lineRule="auto"/>
        <w:ind w:firstLine="480" w:firstLineChars="200"/>
        <w:rPr>
          <w:rFonts w:hint="eastAsia" w:ascii="宋体" w:hAnsi="宋体" w:cs="宋体"/>
          <w:sz w:val="24"/>
          <w:szCs w:val="24"/>
        </w:rPr>
      </w:pPr>
      <w:bookmarkStart w:id="162" w:name="OLE_LINK68"/>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bookmarkEnd w:id="162"/>
    <w:p w14:paraId="1B28D80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63" w:name="_Toc10191"/>
      <w:bookmarkStart w:id="164" w:name="_Toc25843"/>
      <w:bookmarkStart w:id="165" w:name="_Toc8881"/>
      <w:bookmarkStart w:id="166" w:name="OLE_LINK70"/>
      <w:r>
        <w:rPr>
          <w:rFonts w:hint="eastAsia" w:ascii="宋体" w:hAnsi="宋体" w:cs="宋体"/>
          <w:sz w:val="24"/>
          <w:szCs w:val="24"/>
        </w:rPr>
        <w:t>二、项目建设主要内容</w:t>
      </w:r>
      <w:bookmarkEnd w:id="163"/>
      <w:bookmarkEnd w:id="164"/>
      <w:bookmarkEnd w:id="165"/>
    </w:p>
    <w:bookmarkEnd w:id="166"/>
    <w:p w14:paraId="08F3F975">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本项目建设内容包括城市级实景三维、数据融合</w:t>
      </w:r>
      <w:r>
        <w:rPr>
          <w:rFonts w:hint="eastAsia" w:ascii="宋体" w:hAnsi="宋体" w:cs="宋体"/>
          <w:sz w:val="24"/>
          <w:szCs w:val="24"/>
          <w:highlight w:val="none"/>
        </w:rPr>
        <w:t>、支撑环境建设三部分内容。</w:t>
      </w:r>
    </w:p>
    <w:p w14:paraId="12B5B57A">
      <w:pPr>
        <w:pStyle w:val="3"/>
        <w:keepNext w:val="0"/>
        <w:keepLines w:val="0"/>
        <w:adjustRightInd w:val="0"/>
        <w:snapToGrid w:val="0"/>
        <w:spacing w:before="0" w:after="0" w:line="360" w:lineRule="auto"/>
        <w:ind w:firstLine="482" w:firstLineChars="200"/>
        <w:rPr>
          <w:rFonts w:hint="eastAsia" w:hAnsi="宋体"/>
          <w:sz w:val="24"/>
          <w:szCs w:val="24"/>
        </w:rPr>
      </w:pPr>
      <w:bookmarkStart w:id="167" w:name="_Toc195866756"/>
      <w:bookmarkStart w:id="168" w:name="_Toc826"/>
      <w:bookmarkStart w:id="169" w:name="_Toc14678"/>
      <w:r>
        <w:rPr>
          <w:rFonts w:hint="eastAsia" w:hAnsi="宋体"/>
          <w:sz w:val="24"/>
          <w:szCs w:val="24"/>
        </w:rPr>
        <w:t>（一）城市级实景三维建设</w:t>
      </w:r>
      <w:bookmarkEnd w:id="167"/>
      <w:bookmarkEnd w:id="168"/>
      <w:bookmarkEnd w:id="169"/>
    </w:p>
    <w:p w14:paraId="5FFFD7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城市级实景三维建设主要包括地理场景和地理实体两部分。</w:t>
      </w:r>
    </w:p>
    <w:p w14:paraId="74EBA263">
      <w:pPr>
        <w:adjustRightInd w:val="0"/>
        <w:snapToGrid w:val="0"/>
        <w:spacing w:line="360" w:lineRule="auto"/>
        <w:ind w:firstLine="482" w:firstLineChars="200"/>
        <w:rPr>
          <w:rFonts w:hint="eastAsia" w:ascii="宋体" w:hAnsi="宋体" w:cs="宋体"/>
          <w:b/>
          <w:sz w:val="24"/>
          <w:szCs w:val="24"/>
        </w:rPr>
      </w:pPr>
      <w:bookmarkStart w:id="170" w:name="_Toc195866757"/>
      <w:r>
        <w:rPr>
          <w:rFonts w:hint="eastAsia" w:ascii="宋体" w:hAnsi="宋体" w:cs="宋体"/>
          <w:b/>
          <w:sz w:val="24"/>
          <w:szCs w:val="24"/>
        </w:rPr>
        <w:t>1.地理场景</w:t>
      </w:r>
      <w:bookmarkEnd w:id="170"/>
    </w:p>
    <w:p w14:paraId="0EC194A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0.03米分辨率的倾斜摄影影像、激光点云等数据，制作市本级城镇开发边界范围内0.03米分辨率的倾斜摄影三维模型和TDOM以及优于0.5米格网间距DEM、DSM，覆盖城镇开发边界范围；并对三门峡市主城区和城市主干道两侧的倾斜摄影三维模型进行精细修饰，对重点建（构）筑物进行0.02米倾斜模型制作和单体化，数据整体现势性应优于2023年。</w:t>
      </w:r>
    </w:p>
    <w:p w14:paraId="337142C2">
      <w:pPr>
        <w:adjustRightInd w:val="0"/>
        <w:snapToGrid w:val="0"/>
        <w:spacing w:line="360" w:lineRule="auto"/>
        <w:ind w:firstLine="482" w:firstLineChars="200"/>
        <w:rPr>
          <w:rFonts w:hint="eastAsia" w:ascii="宋体" w:hAnsi="宋体" w:cs="宋体"/>
          <w:b/>
          <w:sz w:val="24"/>
          <w:szCs w:val="24"/>
        </w:rPr>
      </w:pPr>
      <w:bookmarkStart w:id="171" w:name="_Toc195866758"/>
      <w:r>
        <w:rPr>
          <w:rFonts w:hint="eastAsia" w:ascii="宋体" w:hAnsi="宋体" w:cs="宋体"/>
          <w:b/>
          <w:sz w:val="24"/>
          <w:szCs w:val="24"/>
        </w:rPr>
        <w:t>2.基础地理实体</w:t>
      </w:r>
      <w:bookmarkEnd w:id="171"/>
    </w:p>
    <w:p w14:paraId="1B1ACFC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基于原有大比例基础地理信息要素数据转换生产城市级基础地理实体数据，整体现势性优于2023年，覆盖三门峡城镇开发边界范围，并开展该范围内建（构）筑物城市三维模型（LOD1.3级）快速构建。</w:t>
      </w:r>
      <w:bookmarkStart w:id="172" w:name="_Toc195866759"/>
      <w:bookmarkStart w:id="173" w:name="_Toc19260"/>
    </w:p>
    <w:p w14:paraId="6EA14A06">
      <w:pPr>
        <w:pStyle w:val="3"/>
        <w:keepNext w:val="0"/>
        <w:keepLines w:val="0"/>
        <w:adjustRightInd w:val="0"/>
        <w:snapToGrid w:val="0"/>
        <w:spacing w:before="0" w:after="0" w:line="360" w:lineRule="auto"/>
        <w:ind w:firstLine="482" w:firstLineChars="200"/>
        <w:rPr>
          <w:rFonts w:hint="eastAsia" w:hAnsi="宋体"/>
          <w:sz w:val="24"/>
          <w:szCs w:val="24"/>
        </w:rPr>
      </w:pPr>
      <w:bookmarkStart w:id="174" w:name="_Toc19372"/>
      <w:bookmarkStart w:id="175" w:name="_Toc31478"/>
      <w:r>
        <w:rPr>
          <w:rFonts w:hint="eastAsia" w:hAnsi="宋体"/>
          <w:sz w:val="24"/>
          <w:szCs w:val="24"/>
        </w:rPr>
        <w:t>（二）数据融合</w:t>
      </w:r>
      <w:bookmarkEnd w:id="172"/>
      <w:bookmarkEnd w:id="174"/>
      <w:bookmarkEnd w:id="175"/>
    </w:p>
    <w:p w14:paraId="3CA1AE62">
      <w:pPr>
        <w:adjustRightInd w:val="0"/>
        <w:snapToGrid w:val="0"/>
        <w:spacing w:line="360" w:lineRule="auto"/>
        <w:ind w:firstLine="482" w:firstLineChars="200"/>
        <w:rPr>
          <w:rFonts w:hint="eastAsia" w:ascii="宋体" w:hAnsi="宋体" w:cs="宋体"/>
          <w:b/>
          <w:sz w:val="24"/>
          <w:szCs w:val="24"/>
        </w:rPr>
      </w:pPr>
      <w:bookmarkStart w:id="176" w:name="_Toc195866760"/>
      <w:r>
        <w:rPr>
          <w:rFonts w:hint="eastAsia" w:ascii="宋体" w:hAnsi="宋体" w:cs="宋体"/>
          <w:b/>
          <w:sz w:val="24"/>
          <w:szCs w:val="24"/>
        </w:rPr>
        <w:t>1.三维模型轻量化</w:t>
      </w:r>
      <w:bookmarkEnd w:id="176"/>
    </w:p>
    <w:p w14:paraId="21ABB62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由于三维模型数据量较大，直接调用速率较低，不能达到应用需求。通过模型化简方法对三维模型数据进行多细节层级处理，提高大规模数据渲染效果与性能，满足多终端、多场景的可视化与统计分析应用需求。</w:t>
      </w:r>
    </w:p>
    <w:p w14:paraId="5377B3C2">
      <w:pPr>
        <w:adjustRightInd w:val="0"/>
        <w:snapToGrid w:val="0"/>
        <w:spacing w:line="360" w:lineRule="auto"/>
        <w:ind w:firstLine="482" w:firstLineChars="200"/>
        <w:rPr>
          <w:rFonts w:hint="eastAsia" w:ascii="宋体" w:hAnsi="宋体" w:cs="宋体"/>
          <w:b/>
          <w:sz w:val="24"/>
          <w:szCs w:val="24"/>
        </w:rPr>
      </w:pPr>
      <w:bookmarkStart w:id="177" w:name="_Toc195866761"/>
      <w:r>
        <w:rPr>
          <w:rFonts w:hint="eastAsia" w:ascii="宋体" w:hAnsi="宋体" w:cs="宋体"/>
          <w:b/>
          <w:sz w:val="24"/>
          <w:szCs w:val="24"/>
        </w:rPr>
        <w:t>2.地形级三维模型与城市级三维模型融合</w:t>
      </w:r>
      <w:bookmarkEnd w:id="177"/>
      <w:r>
        <w:rPr>
          <w:rFonts w:hint="eastAsia" w:ascii="宋体" w:hAnsi="宋体" w:cs="宋体"/>
          <w:b/>
          <w:sz w:val="24"/>
          <w:szCs w:val="24"/>
        </w:rPr>
        <w:t xml:space="preserve"> </w:t>
      </w:r>
    </w:p>
    <w:p w14:paraId="3237FF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范围内地形级三维模型与城市级三维模型融合以及相邻区域城市级地理实体数据接边，满足省级数据、市级数据的对接应用需求，构建三门峡实景三维一张图。</w:t>
      </w:r>
    </w:p>
    <w:p w14:paraId="294467AA">
      <w:pPr>
        <w:adjustRightInd w:val="0"/>
        <w:snapToGrid w:val="0"/>
        <w:spacing w:line="360" w:lineRule="auto"/>
        <w:ind w:firstLine="482" w:firstLineChars="200"/>
        <w:rPr>
          <w:rFonts w:hint="eastAsia" w:ascii="宋体" w:hAnsi="宋体" w:cs="宋体"/>
          <w:b/>
          <w:sz w:val="24"/>
          <w:szCs w:val="24"/>
        </w:rPr>
      </w:pPr>
      <w:bookmarkStart w:id="178" w:name="_Toc195866762"/>
      <w:r>
        <w:rPr>
          <w:rFonts w:hint="eastAsia" w:ascii="宋体" w:hAnsi="宋体" w:cs="宋体"/>
          <w:b/>
          <w:sz w:val="24"/>
          <w:szCs w:val="24"/>
        </w:rPr>
        <w:t>3.物联感知数据接入与融合</w:t>
      </w:r>
      <w:bookmarkEnd w:id="173"/>
      <w:bookmarkEnd w:id="178"/>
    </w:p>
    <w:p w14:paraId="4049BF3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在基础地理实体与地理场景的基础上，将地理实体与地形场景相融合，真正做到立体化、实体化和真实化。同时可实时接入自然资源、农业农村等相关部门的视频监控及传感器数据。</w:t>
      </w:r>
    </w:p>
    <w:p w14:paraId="6838C438">
      <w:pPr>
        <w:adjustRightInd w:val="0"/>
        <w:snapToGrid w:val="0"/>
        <w:spacing w:line="360" w:lineRule="auto"/>
        <w:ind w:firstLine="482" w:firstLineChars="200"/>
        <w:rPr>
          <w:rFonts w:hint="eastAsia" w:ascii="宋体" w:hAnsi="宋体" w:cs="宋体"/>
          <w:b/>
          <w:sz w:val="24"/>
          <w:szCs w:val="24"/>
        </w:rPr>
      </w:pPr>
      <w:bookmarkStart w:id="179" w:name="_Toc195866764"/>
      <w:r>
        <w:rPr>
          <w:rFonts w:hint="eastAsia" w:ascii="宋体" w:hAnsi="宋体" w:cs="宋体"/>
          <w:b/>
          <w:sz w:val="24"/>
          <w:szCs w:val="24"/>
        </w:rPr>
        <w:t>4.数据库建设</w:t>
      </w:r>
      <w:bookmarkEnd w:id="179"/>
    </w:p>
    <w:p w14:paraId="64CC772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按照分级建设模式，采用自底向上，逐级汇聚，建设地理场景数据库、基础地理实体数据库以及元数据库，实景三维数据库主要包括：</w:t>
      </w:r>
    </w:p>
    <w:p w14:paraId="1302FE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（1）优于0.5米格网间距DEM、DSM数据库；</w:t>
      </w:r>
    </w:p>
    <w:p w14:paraId="74DF338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（2）0.03米分辨率倾斜摄影三维模型数据库；</w:t>
      </w:r>
    </w:p>
    <w:p w14:paraId="31C9DBE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（3）0.03米分辨率TDOM数据库；</w:t>
      </w:r>
    </w:p>
    <w:p w14:paraId="2805F69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（4）城市级基础地理实体数据库；</w:t>
      </w:r>
    </w:p>
    <w:p w14:paraId="07D12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（5）城市三维模型（LOD1.3级）数据库；</w:t>
      </w:r>
    </w:p>
    <w:p w14:paraId="7EE1BCC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（6）各类数据成果的元数据库。</w:t>
      </w:r>
    </w:p>
    <w:p w14:paraId="35154198">
      <w:pPr>
        <w:adjustRightInd w:val="0"/>
        <w:snapToGrid w:val="0"/>
        <w:spacing w:line="360" w:lineRule="auto"/>
        <w:ind w:firstLine="482" w:firstLineChars="200"/>
        <w:rPr>
          <w:rFonts w:hint="eastAsia" w:ascii="宋体" w:hAnsi="宋体" w:cs="宋体"/>
          <w:b/>
          <w:sz w:val="24"/>
          <w:szCs w:val="24"/>
        </w:rPr>
      </w:pPr>
      <w:bookmarkStart w:id="180" w:name="_Toc195866765"/>
      <w:r>
        <w:rPr>
          <w:rFonts w:hint="eastAsia" w:ascii="宋体" w:hAnsi="宋体" w:cs="宋体"/>
          <w:b/>
          <w:sz w:val="24"/>
          <w:szCs w:val="24"/>
        </w:rPr>
        <w:t>5.电子地图制作</w:t>
      </w:r>
      <w:bookmarkEnd w:id="180"/>
    </w:p>
    <w:p w14:paraId="0B822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利用已有的大比例尺DLG数据与DOM数据、实景三维模型数据进行叠加，根据电子地图制作规范，在不同比例尺显示不同内容的标注信息，并对电子地图成果进行切片缓存，提升展示和浏览效果。</w:t>
      </w:r>
    </w:p>
    <w:p w14:paraId="1B7A3AD1">
      <w:pPr>
        <w:spacing w:line="360" w:lineRule="auto"/>
        <w:ind w:firstLine="482" w:firstLineChars="200"/>
        <w:outlineLvl w:val="1"/>
        <w:rPr>
          <w:rFonts w:hint="eastAsia" w:ascii="宋体" w:hAnsi="宋体" w:cs="宋体"/>
          <w:b/>
          <w:sz w:val="24"/>
          <w:szCs w:val="24"/>
          <w:highlight w:val="none"/>
        </w:rPr>
      </w:pPr>
      <w:bookmarkStart w:id="181" w:name="_Toc195866768"/>
      <w:bookmarkStart w:id="182" w:name="_Toc6732"/>
      <w:bookmarkStart w:id="183" w:name="_Toc22267"/>
      <w:bookmarkStart w:id="184" w:name="_Toc15957"/>
      <w:bookmarkStart w:id="185" w:name="OLE_LINK72"/>
      <w:bookmarkStart w:id="186" w:name="OLE_LINK73"/>
      <w:r>
        <w:rPr>
          <w:rFonts w:hint="eastAsia" w:ascii="宋体" w:hAnsi="宋体" w:cs="宋体"/>
          <w:b/>
          <w:sz w:val="24"/>
          <w:szCs w:val="24"/>
          <w:highlight w:val="none"/>
        </w:rPr>
        <w:t>（三）支撑环境建设</w:t>
      </w:r>
      <w:bookmarkEnd w:id="181"/>
    </w:p>
    <w:p w14:paraId="3B2F2FD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支撑环境建设主要内容包括涉密基础地理信息数据存储、管理、分发和应用等方面的软件系统，以及支撑上述软件运行的硬件及网络基础设施等。按照自主可控的要求，鼓励采用国产软件，开展支撑环境建设。</w:t>
      </w:r>
    </w:p>
    <w:p w14:paraId="1C4AB1EF">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三、技术要求</w:t>
      </w:r>
      <w:bookmarkEnd w:id="182"/>
      <w:bookmarkEnd w:id="183"/>
      <w:bookmarkEnd w:id="184"/>
    </w:p>
    <w:bookmarkEnd w:id="185"/>
    <w:bookmarkEnd w:id="186"/>
    <w:p w14:paraId="7898D019">
      <w:pPr>
        <w:adjustRightInd w:val="0"/>
        <w:snapToGrid w:val="0"/>
        <w:spacing w:line="360" w:lineRule="auto"/>
        <w:ind w:firstLine="482" w:firstLineChars="200"/>
        <w:rPr>
          <w:rFonts w:hint="eastAsia" w:ascii="宋体" w:hAnsi="宋体" w:cs="宋体"/>
          <w:b/>
          <w:sz w:val="24"/>
          <w:szCs w:val="24"/>
        </w:rPr>
      </w:pPr>
      <w:bookmarkStart w:id="187" w:name="_Toc11791"/>
      <w:bookmarkStart w:id="188" w:name="_Toc2159"/>
      <w:bookmarkStart w:id="189" w:name="_Toc28744"/>
      <w:bookmarkStart w:id="190" w:name="_Toc12404"/>
      <w:bookmarkStart w:id="191" w:name="_Toc6521"/>
      <w:r>
        <w:rPr>
          <w:rFonts w:hint="eastAsia" w:ascii="宋体" w:hAnsi="宋体" w:cs="宋体"/>
          <w:b/>
          <w:sz w:val="24"/>
          <w:szCs w:val="24"/>
        </w:rPr>
        <w:t>（一）总体技术指标</w:t>
      </w:r>
      <w:bookmarkEnd w:id="187"/>
      <w:bookmarkEnd w:id="188"/>
    </w:p>
    <w:p w14:paraId="19744AB7">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1.技术依据</w:t>
      </w:r>
    </w:p>
    <w:p w14:paraId="1D631D3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技术大纲（2024版）》《实景三维河南建设总体实施方案（2023—2025）》《实景三维三门峡建设总体实施方案（2023—2025年）》及相关文件要求。</w:t>
      </w:r>
    </w:p>
    <w:p w14:paraId="7E6536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2.数据要求</w:t>
      </w:r>
    </w:p>
    <w:p w14:paraId="0BEC877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（1）坐标系统：采用2000国家大地坐标系（China Geodetic Coordinate System 2000，CGCS2000）。</w:t>
      </w:r>
    </w:p>
    <w:p w14:paraId="0C14B74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（2）高程基准：采用1985国家高程基准，高程系统为正常高；高程值单位为“米”。</w:t>
      </w:r>
    </w:p>
    <w:p w14:paraId="11C794E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（3）投影方式：高斯-克吕格投影，3度分带。</w:t>
      </w:r>
    </w:p>
    <w:p w14:paraId="30A83CA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（4）时间基准：采用公元纪年和北京时间（UTC+8:00）。</w:t>
      </w:r>
    </w:p>
    <w:p w14:paraId="412BD1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（5）现势性要求：本次新生产数据现势性优于2024年。</w:t>
      </w:r>
    </w:p>
    <w:p w14:paraId="4914A8E2">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3.数据格式</w:t>
      </w:r>
    </w:p>
    <w:p w14:paraId="389FB8D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（1）0.03米倾斜摄影单片影像数据采用TIF格式。</w:t>
      </w:r>
    </w:p>
    <w:p w14:paraId="62823E8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（2）0.03米倾斜模型、0.02米单体化模型采用OSGB、OBJ、S3MB等通用格式。</w:t>
      </w:r>
    </w:p>
    <w:p w14:paraId="39A4E27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（3）激光点云数据采用LAS格式。</w:t>
      </w:r>
    </w:p>
    <w:p w14:paraId="059180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（4）DEM、DSM、TDOM数据采用TIFF、Image等通用格式。</w:t>
      </w:r>
    </w:p>
    <w:p w14:paraId="39EA0D6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（5）二维基础地理实体数据采用GDB格式。</w:t>
      </w:r>
    </w:p>
    <w:p w14:paraId="6310CF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（6）LOD1.3级城市三维模型数据格式采用OBJ，属性数据格式采用SHP。</w:t>
      </w:r>
    </w:p>
    <w:p w14:paraId="16E2481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（7）电子地图数据集在线服务格式采用 WMTS、WFS、3DTiles、S3M、I3S等。</w:t>
      </w:r>
    </w:p>
    <w:p w14:paraId="01F51F7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（8）城市三维模型（LOD1.3 级）元数据格式为XLS，其他数据元数据格式为MDB。</w:t>
      </w:r>
    </w:p>
    <w:p w14:paraId="33C58C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4.成果内容</w:t>
      </w:r>
    </w:p>
    <w:p w14:paraId="3CA0443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本项目成果以电子、纸质文档形式交付。成果目录组织按照河南省自然资源厅实景三维成果汇交要求执行。</w:t>
      </w:r>
    </w:p>
    <w:p w14:paraId="6B64D71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（1）数据成果</w:t>
      </w:r>
    </w:p>
    <w:p w14:paraId="169CEF5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1）城镇开发边界内无图区范围160平方千米0.03米分辨率倾斜航摄影像数据；</w:t>
      </w:r>
    </w:p>
    <w:p w14:paraId="1D96AFD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2）城镇开发边界范围内160平方千米LIDAR激光点云数据；</w:t>
      </w:r>
    </w:p>
    <w:p w14:paraId="38E510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3）城镇开发边界范围内160平方千米0.03米分辨率倾三维模型成果；</w:t>
      </w:r>
    </w:p>
    <w:p w14:paraId="46B590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4）城镇开发边界范围内160平方千米0.5米格网DEM、DSM成果；</w:t>
      </w:r>
    </w:p>
    <w:p w14:paraId="3E6249F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5）城镇开发边界范围内160平方千米0.05米分辨率TDOM 成果；</w:t>
      </w:r>
    </w:p>
    <w:p w14:paraId="5BBD17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6）城镇开发边界范围内160平方千米1:1000 DLG成果；</w:t>
      </w:r>
    </w:p>
    <w:p w14:paraId="003394C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7）城镇开发边界范围内160平方千米基础地理实体数据；</w:t>
      </w:r>
    </w:p>
    <w:p w14:paraId="55DF6BC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w:t>
      </w:r>
      <w:bookmarkStart w:id="192" w:name="OLE_LINK25"/>
      <w:r>
        <w:rPr>
          <w:rFonts w:hint="eastAsia" w:ascii="宋体" w:hAnsi="宋体" w:cs="宋体"/>
          <w:sz w:val="24"/>
          <w:szCs w:val="24"/>
        </w:rPr>
        <w:t>城镇开发边界范围160平方千米城市三维模型（LOD1.3级）成果；</w:t>
      </w:r>
      <w:bookmarkEnd w:id="192"/>
    </w:p>
    <w:p w14:paraId="7736E18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9）重点区域50KM²、重点道路两侧154KM模型精修成果；</w:t>
      </w:r>
    </w:p>
    <w:p w14:paraId="0F76C24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10）分辨率优于0.02分辨率单体化模型；</w:t>
      </w:r>
    </w:p>
    <w:p w14:paraId="5A08B7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11）城镇开发边界范围160</w:t>
      </w:r>
      <w:bookmarkStart w:id="193" w:name="OLE_LINK27"/>
      <w:bookmarkStart w:id="194" w:name="OLE_LINK28"/>
      <w:r>
        <w:rPr>
          <w:rFonts w:hint="eastAsia" w:ascii="宋体" w:hAnsi="宋体" w:cs="宋体"/>
          <w:sz w:val="24"/>
          <w:szCs w:val="24"/>
        </w:rPr>
        <w:t>平方千米三维模型轻量化成果</w:t>
      </w:r>
      <w:bookmarkEnd w:id="193"/>
      <w:bookmarkEnd w:id="194"/>
      <w:r>
        <w:rPr>
          <w:rFonts w:hint="eastAsia" w:ascii="宋体" w:hAnsi="宋体" w:cs="宋体"/>
          <w:sz w:val="24"/>
          <w:szCs w:val="24"/>
        </w:rPr>
        <w:t>；</w:t>
      </w:r>
    </w:p>
    <w:p w14:paraId="1B7E07E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12）三门峡市域2600平方千米地形级和城市级数据融合成果；</w:t>
      </w:r>
    </w:p>
    <w:p w14:paraId="4D0324B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13）物联感知接入与融合数据；</w:t>
      </w:r>
    </w:p>
    <w:p w14:paraId="0CA4E9A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14）电子地图数据成果。</w:t>
      </w:r>
    </w:p>
    <w:p w14:paraId="2DA4B61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（2）数据库成果</w:t>
      </w:r>
    </w:p>
    <w:p w14:paraId="22E94A1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w:t>
      </w:r>
    </w:p>
    <w:p w14:paraId="6ACC631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包括DEM、DSM、TDOM、倾斜摄影三维模型数据库等。</w:t>
      </w:r>
    </w:p>
    <w:p w14:paraId="3E026A8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2）数字线划图（DLG）数据库</w:t>
      </w:r>
    </w:p>
    <w:p w14:paraId="7DBDC2F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1∶1000比例尺DLG数据库。</w:t>
      </w:r>
    </w:p>
    <w:p w14:paraId="73EC61B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3）基础地理实体数据库</w:t>
      </w:r>
    </w:p>
    <w:p w14:paraId="4E6E16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包括城市级基础地理实体数据库和城市三维模型（LOD1.3级）数据库。</w:t>
      </w:r>
    </w:p>
    <w:p w14:paraId="7055B50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（3）支撑环境成果</w:t>
      </w:r>
    </w:p>
    <w:p w14:paraId="230FCB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1）实景三维数据库管理系统；</w:t>
      </w:r>
    </w:p>
    <w:p w14:paraId="300B53A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2）数据存储、管理应用等硬件基础设施；</w:t>
      </w:r>
    </w:p>
    <w:p w14:paraId="3D957D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3）GIS基础软件；</w:t>
      </w:r>
    </w:p>
    <w:p w14:paraId="2B08ABB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4）多测合一信息服务平台。</w:t>
      </w:r>
    </w:p>
    <w:p w14:paraId="06AF8D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（4）文档资料</w:t>
      </w:r>
    </w:p>
    <w:p w14:paraId="17CCA14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项目总体文档成果包括：项目技术设计书、项目技术总结、项目工作报告、项目成果质量检查报告、项目成果质量检验报告、项目验收报告等。</w:t>
      </w:r>
    </w:p>
    <w:p w14:paraId="2055217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5.质量要求</w:t>
      </w:r>
    </w:p>
    <w:p w14:paraId="7CF20D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实景三维成果须通过省级测绘产品质量检验机构检验，质量合格率达到100%，成果质量优良品率达到80%以上。</w:t>
      </w:r>
    </w:p>
    <w:p w14:paraId="6D0197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质量控制严格按照“两级检查、一级验收”制度这项基本原则执行，由中标（成交）单位负责两级检查。在质检过程中要严格遵循项目技术文件中的技术指标、规格和要求，确保成果质量合格。</w:t>
      </w:r>
    </w:p>
    <w:p w14:paraId="712A7E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采购单位会同省级测绘产品质量检验机构对项目成果进行质量检验，中标（成交）供应商予以配合。</w:t>
      </w:r>
    </w:p>
    <w:p w14:paraId="06499008">
      <w:pPr>
        <w:adjustRightInd w:val="0"/>
        <w:snapToGrid w:val="0"/>
        <w:spacing w:line="360" w:lineRule="auto"/>
        <w:ind w:firstLine="482" w:firstLineChars="200"/>
        <w:rPr>
          <w:rFonts w:hint="eastAsia" w:ascii="宋体" w:hAnsi="宋体" w:cs="宋体"/>
          <w:b/>
          <w:sz w:val="24"/>
          <w:szCs w:val="24"/>
        </w:rPr>
      </w:pPr>
      <w:bookmarkStart w:id="195" w:name="_Toc31157"/>
      <w:bookmarkStart w:id="196" w:name="_Toc13820"/>
      <w:r>
        <w:rPr>
          <w:rFonts w:hint="eastAsia" w:ascii="宋体" w:hAnsi="宋体" w:cs="宋体"/>
          <w:b/>
          <w:sz w:val="24"/>
          <w:szCs w:val="24"/>
        </w:rPr>
        <w:t>（二）专业技术要求</w:t>
      </w:r>
      <w:bookmarkEnd w:id="195"/>
      <w:bookmarkEnd w:id="196"/>
    </w:p>
    <w:p w14:paraId="4F2741C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 分辨率0.03米倾斜摄影</w:t>
      </w:r>
    </w:p>
    <w:p w14:paraId="30130B9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（1）相关指标参照GB/T 39610-2020《倾斜数字航空摄影技术规程》、CH/T 3021-2018《倾斜数字航空摄影技术规程》执行。具体航摄要求如下。</w:t>
      </w:r>
    </w:p>
    <w:p w14:paraId="65B1793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（2）航摄种类：倾斜数字航空摄影。</w:t>
      </w:r>
    </w:p>
    <w:p w14:paraId="64837A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（3）影像地面分辨率：0.03米（下视）。</w:t>
      </w:r>
    </w:p>
    <w:p w14:paraId="22F902C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航摄分区：航摄分区界线应与图廓线相一致。航线一般按东西向平行于图廓线直线飞行，特定条件下亦可作南北向飞行或沿线路、河流、境界等方向飞行；在满足分辨率与重叠度要求的前提下，航摄分区的跨度应尽量大。</w:t>
      </w:r>
    </w:p>
    <w:p w14:paraId="45ECFF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（5）航线敷设：航线按摄区范围特征直线敷设；曝光点的分布依地形起伏、建筑物高低采用DEM或DSM 设计；摄影区域含有水域时，航线应尽量避免垂直影像像主点落水。航摄成果用于三维建模时，对建筑物低矮、稀疏区域可根据大部分建筑物分布、朝向以及地形敷设；对建筑物高大、密集区域宜纵横交叉敷设或加大航向旁向重叠度。</w:t>
      </w:r>
    </w:p>
    <w:p w14:paraId="30130F4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（6）摄区、分区航线覆盖：保证摄区边缘区域倾斜视角影像的覆盖范围，旁向范围超出摄区边界不少于3条航线；航向超出摄区边界不少于7条基线，覆盖不全须补测。分区的覆盖要求与摄区覆盖的要求相同。</w:t>
      </w:r>
    </w:p>
    <w:p w14:paraId="663E8DC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（7）垂直影像重叠度：航向重叠度和旁向重叠度均不低于70%，考虑城市地区建筑物遮挡等因素，应适当加大重叠度。</w:t>
      </w:r>
    </w:p>
    <w:p w14:paraId="08D119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（8）倾斜影像重叠度：当满足垂直影像重叠度后，倾斜影像的航向和旁向重叠度可不再重新设计。</w:t>
      </w:r>
    </w:p>
    <w:p w14:paraId="58C57A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垂直影像倾角和旋角：垂直影像倾角一般应不大于6°，最大应不大于10°。垂直影像旋角一般应不大于25°；在确保像片航向和旁向重叠度满足要求的前提下最大不超过35°；同一航线连续达到或接近最大旋偏角的像片数不应超过3张；同一摄区出现最大旋偏角的像片数不应大于摄区像片总数的4%。</w:t>
      </w:r>
    </w:p>
    <w:p w14:paraId="2B0477F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（10）航高保持：同一航线上相邻影像的航高差应不大于30m，最大航高与最小航高之差应不大于50m，实际航高与设计航高之差应不大于50m。</w:t>
      </w:r>
    </w:p>
    <w:p w14:paraId="657B1DB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（11）航线弯曲度：航线弯曲度应不大于1%，当航线长度小于5000m时，航线弯曲度最大不大于3%。</w:t>
      </w:r>
    </w:p>
    <w:p w14:paraId="3F30C1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（12）影像质量要求：影像应清晰，层次丰富，反差适中，色调柔和，应能辨认出与地面分辨率相适应的细小地物影像，能够建立清晰的立体模型。影像上不应有云、云影、烟、大面积反光、污点等缺陷。</w:t>
      </w:r>
    </w:p>
    <w:p w14:paraId="4C872BF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（13）航摄时间：在规定的航摄期限内，选择对成图影响较小、云雾少、无扬尘（沙）、光照充足、大气透明度好的晴或多云天气进行摄影。</w:t>
      </w:r>
    </w:p>
    <w:p w14:paraId="78AE6470">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补摄与重摄：航摄过程中出现的绝对漏洞、相对漏洞及其它严重缺陷必须及时补摄，补摄航线的长度应超出漏洞外五条基线；当某段POS数据经分析后无法使用，应对该段航线进行补摄，补摄航线的长度应超出该段航线外五条基线；应采用前一次航摄飞行的同型号倾斜数字航摄仪补摄。</w:t>
      </w:r>
    </w:p>
    <w:p w14:paraId="5550285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2.激光点云数据获取</w:t>
      </w:r>
    </w:p>
    <w:p w14:paraId="7F28F4B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航摄分区应综合考虑地形类型、激光有效距离、航线长度等情况进行设计；航线敷设应考虑 IMU 误差累积确定每条航线飞行时间，一条航线飞行时间一般不超过30分钟；飞行高度及航速设计应综合考虑点云密度、精度要求等。</w:t>
      </w:r>
    </w:p>
    <w:p w14:paraId="6140D92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（1）选用的机载激光扫描仪、POS系统、GNSS接收机应满足规范要求，航摄飞行实施参照 CH/T 8024-2011 执行。</w:t>
      </w:r>
    </w:p>
    <w:p w14:paraId="0FD7DB3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（2）飞行季节和时间：在规定的期限内，尽量选择地面无积雪、植被稀疏的季节，同时考虑云量、云高等因素，根据实际情况可选择夜间获取。</w:t>
      </w:r>
    </w:p>
    <w:p w14:paraId="6702180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（3）飞行质量</w:t>
      </w:r>
    </w:p>
    <w:p w14:paraId="5660F48C">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1）覆盖保证</w:t>
      </w:r>
    </w:p>
    <w:p w14:paraId="6092928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航线敷设：原则上要求按常规方法敷设，正东正西或正南正北方向敷设。对于不规则摄区，可根据摄区范围、摄区内地形特点等，采用非常规方法敷设。</w:t>
      </w:r>
    </w:p>
    <w:p w14:paraId="720CF0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旁向覆盖：航线旁向重叠设计应达到20%，最少为13%，应保证飞行倾斜姿态变化较大情况下不产生数据覆盖漏洞。航向起始和结束应超出半幅图幅范围，旁向应超出半幅图幅范围，超出部分不少于500米，不大于2000米。</w:t>
      </w:r>
    </w:p>
    <w:p w14:paraId="75632CB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分区覆盖：各分区应分别满足本分区旁向覆盖和航向覆盖。</w:t>
      </w:r>
    </w:p>
    <w:p w14:paraId="78B685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2）旁向重叠</w:t>
      </w:r>
    </w:p>
    <w:p w14:paraId="0D20DBF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点云旁向重叠不低于20%，丘陵、山地及建筑物密集地区，设计时适当加大重叠。</w:t>
      </w:r>
    </w:p>
    <w:p w14:paraId="40A3052B">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3）航高保持</w:t>
      </w:r>
    </w:p>
    <w:p w14:paraId="490A212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相对航高应综合考虑点云密度、影像分辨率、精度要求等，原则上要求采用同一高。航高保持原则上要求同一航线航高变化不大于相对航高的5%-10%，实际航高变化不大于设计航高的 5%-10%。</w:t>
      </w:r>
    </w:p>
    <w:p w14:paraId="24A7C46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4）航速保持</w:t>
      </w:r>
    </w:p>
    <w:p w14:paraId="532612A2">
      <w:pPr>
        <w:adjustRightInd w:val="0"/>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rPr>
        <w:t>飞行速度根据点云密度、精度要求及地形起伏、激光频率等确定，摄区内飞行速度尽可能保持一致，在一条航线内，飞机上升、下降速率不大</w:t>
      </w:r>
      <w:r>
        <w:rPr>
          <w:rFonts w:hint="eastAsia" w:ascii="宋体" w:hAnsi="宋体" w:cs="宋体"/>
          <w:b/>
          <w:sz w:val="24"/>
          <w:szCs w:val="24"/>
        </w:rPr>
        <w:t>于 10m/s。</w:t>
      </w:r>
    </w:p>
    <w:p w14:paraId="76A5B6AD">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5）姿态保持</w:t>
      </w:r>
    </w:p>
    <w:p w14:paraId="4E5E054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①航线俯仰角、侧翻角一般不大于2°，最大不超过4°；</w:t>
      </w:r>
    </w:p>
    <w:p w14:paraId="07FD6D82">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②飞机转弯时，坡度不大于15°，最大不超过 22°；</w:t>
      </w:r>
    </w:p>
    <w:p w14:paraId="205EB93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③航线弯曲度不大于3%；</w:t>
      </w:r>
    </w:p>
    <w:p w14:paraId="6CF54F0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④需要时，为避免 IMU 误差积累，每次进入测区前，飞机应先平飞 3至5 分钟，再做个“8”字形飞行；当次飞行结束后，飞机应先做“8”字形飞行后平飞3至5 分钟。</w:t>
      </w:r>
    </w:p>
    <w:p w14:paraId="19E568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（4）补飞或重飞</w:t>
      </w:r>
    </w:p>
    <w:p w14:paraId="10DF4AF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数据获取应全覆盖测区范围，不得有漏洞，有以下情形应及时补飞或重飞：</w:t>
      </w:r>
    </w:p>
    <w:p w14:paraId="614C666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1）POS系统局部数据记录缺失；</w:t>
      </w:r>
    </w:p>
    <w:p w14:paraId="4B0295B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2）其他情况根据各个设备评价指标检查是否满足要求，并决定是否补飞或重飞；</w:t>
      </w:r>
    </w:p>
    <w:p w14:paraId="3D35EB0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3）原始数据质量存在局部缺陷而影响点云的精度或密度；</w:t>
      </w:r>
    </w:p>
    <w:p w14:paraId="5885BD0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补飞或重飞航线的两端一般应超出补飞范围外半幅图，超出部分不小于500m，且不大于2000m，并应满足与原航线的旁向与航向重叠要求。</w:t>
      </w:r>
    </w:p>
    <w:p w14:paraId="1DB0FDA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（5）激光点云成果规格要求：①点云密度要求：≥16点/平方米，②点云数据高程要求：点云数据高程中误差优于0.15米。</w:t>
      </w:r>
    </w:p>
    <w:p w14:paraId="29FF8FD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3.倾斜摄影模型和TDOM制作</w:t>
      </w:r>
    </w:p>
    <w:p w14:paraId="4C3CF5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（1）倾斜摄影模型制作</w:t>
      </w:r>
    </w:p>
    <w:p w14:paraId="59A23E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1）收集、分析已有像控资料，利用倾斜航空影像经过空中三角测量、密集匹配生成倾斜摄影三维模型；</w:t>
      </w:r>
    </w:p>
    <w:p w14:paraId="40367F0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2）对倾斜摄影三维模型内的明显漏洞进行补充修饰。</w:t>
      </w:r>
    </w:p>
    <w:p w14:paraId="05B355B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（2）TDOM制作</w:t>
      </w:r>
    </w:p>
    <w:p w14:paraId="4BEBBC6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1）分幅与编号要求</w:t>
      </w:r>
    </w:p>
    <w:p w14:paraId="2DA75F0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0.03米分辨率TDOM数据图幅均采用正方形标准分幅，其规格为50cm×50cm；</w:t>
      </w:r>
    </w:p>
    <w:p w14:paraId="08F4B44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0.03米分辨率TDOM数据编号采用图西南角坐标公里数编号法，x坐标在前，y坐标在后，中间用短线“—”隔开，数值取至0.01 km，如：744.50—415.00（百公里数）；</w:t>
      </w:r>
    </w:p>
    <w:p w14:paraId="2EB4FED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2）精度要求：0.03米分辨率TDOM平面位置中误差优于0.3米。</w:t>
      </w:r>
    </w:p>
    <w:p w14:paraId="70A1E31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3）接边要求：与相邻影像图接边，接边误差不应大于2个像元。</w:t>
      </w:r>
    </w:p>
    <w:p w14:paraId="0D91A0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4）其他要求：影像不应存在明显错位、扭曲、变形，图幅内影像应反差适中，色调均匀，纹理清楚，层次丰富，无明显失真，灰度直方图一般呈正态分布。</w:t>
      </w:r>
    </w:p>
    <w:p w14:paraId="26C462E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 0.5米格网间距高程模型（DEM）、地表模型（DSM）制作</w:t>
      </w:r>
    </w:p>
    <w:p w14:paraId="5713ABB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（1）激光点云数据分类要求</w:t>
      </w:r>
    </w:p>
    <w:p w14:paraId="28B027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数据分为非地面点、地面点等十类。其中地面点和特征点用于构建DEM，地面点、非地面点、桥点、特征点用于生成DSM。所有分类滤除的、不用于DEM和DSM生产的点均归类到噪点、临时点、水面点等其他层内，不能删除。</w:t>
      </w:r>
    </w:p>
    <w:p w14:paraId="08E3BD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（2）分幅与编号要求</w:t>
      </w:r>
    </w:p>
    <w:p w14:paraId="23E9F5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1）0.5米格网DEM、DSM数据图幅均采用正方形标准分幅，其规格为50cm×50cm；</w:t>
      </w:r>
    </w:p>
    <w:p w14:paraId="616BB35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2）0.5米格网DEM、DSM数据编号采用图西南角坐标公里数编号法，x坐标在前y坐标在后，中间用短线“—”隔开，数值取至0.01 km，如：744.50—415.00（百公里数）；</w:t>
      </w:r>
    </w:p>
    <w:p w14:paraId="7BCCF257">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（3）精度要求：DEM、DSM格网分辨率为0.5米，精度用格网点的高程中误差表示，平地优于0.25米、丘陵地优于0.5米、山地优于0.7米。</w:t>
      </w:r>
    </w:p>
    <w:p w14:paraId="0079E19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（4）接边要求：相邻DEM、DSM应接边。接边后数据应连续，接边的DEM、DSM格网不应出现错位现象，相邻图幅重叠范围内同一格网点的高程值应一致。</w:t>
      </w:r>
    </w:p>
    <w:p w14:paraId="5ED09D4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（5）0.5米DEM、DSM空白区域高程值赋-99999；</w:t>
      </w:r>
    </w:p>
    <w:p w14:paraId="042F49F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DSM其他要求：水域的高程值应为数据获取时的瞬时水位高。在格网类数字表面模型中，静止水域的高程应一致；流动水域的高程应与水陆边界处的地形高程关系合理，且过渡平缓。移动物体指位置随时间变化的物体（如车辆、船舶、飞机等），数字表面模型中不表达。电力线、通信线等横截面积小的架空管线不表达。</w:t>
      </w:r>
    </w:p>
    <w:p w14:paraId="2535A0D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5.倾斜三维模型精细修饰要求</w:t>
      </w:r>
    </w:p>
    <w:p w14:paraId="1568013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自动化建模的基础上，对三门峡市本级实景三维建设范围内160km²模型进行修饰，主要包括道路凹凸置平、水面漏洞修补置平、建筑物漏洞修补、模型整体匀光匀色和悬浮物剔除等内容，模型达到以下修饰标准：</w:t>
      </w:r>
    </w:p>
    <w:p w14:paraId="520476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（1）模型整体要求</w:t>
      </w:r>
    </w:p>
    <w:p w14:paraId="104890F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①模型不存在不合理悬浮物、碎片；</w:t>
      </w:r>
    </w:p>
    <w:p w14:paraId="4AEDA18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②整体颜色均匀自然、色调一致。</w:t>
      </w:r>
    </w:p>
    <w:p w14:paraId="195A9D6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（2）水系、水利及附属设施</w:t>
      </w:r>
    </w:p>
    <w:p w14:paraId="445608DB">
      <w:pPr>
        <w:adjustRightInd w:val="0"/>
        <w:snapToGrid w:val="0"/>
        <w:spacing w:line="360" w:lineRule="auto"/>
        <w:ind w:firstLine="480" w:firstLineChars="200"/>
        <w:rPr>
          <w:rFonts w:hint="eastAsia" w:ascii="宋体" w:hAnsi="宋体" w:cs="宋体"/>
          <w:sz w:val="24"/>
          <w:szCs w:val="24"/>
        </w:rPr>
      </w:pPr>
      <w:bookmarkStart w:id="197" w:name="OLE_LINK46"/>
      <w:r>
        <w:rPr>
          <w:rFonts w:hint="eastAsia" w:ascii="宋体" w:hAnsi="宋体" w:cs="宋体"/>
          <w:sz w:val="24"/>
          <w:szCs w:val="24"/>
        </w:rPr>
        <w:t>①</w:t>
      </w:r>
      <w:bookmarkEnd w:id="197"/>
      <w:r>
        <w:rPr>
          <w:rFonts w:hint="eastAsia" w:ascii="宋体" w:hAnsi="宋体" w:cs="宋体"/>
          <w:sz w:val="24"/>
          <w:szCs w:val="24"/>
        </w:rPr>
        <w:t>水面漏洞修补；</w:t>
      </w:r>
    </w:p>
    <w:p w14:paraId="339EA47B">
      <w:pPr>
        <w:adjustRightInd w:val="0"/>
        <w:snapToGrid w:val="0"/>
        <w:spacing w:line="360" w:lineRule="auto"/>
        <w:ind w:firstLine="480" w:firstLineChars="200"/>
        <w:rPr>
          <w:rFonts w:hint="eastAsia" w:ascii="宋体" w:hAnsi="宋体" w:cs="宋体"/>
          <w:sz w:val="24"/>
          <w:szCs w:val="24"/>
        </w:rPr>
      </w:pPr>
      <w:bookmarkStart w:id="198" w:name="OLE_LINK48"/>
      <w:bookmarkStart w:id="199" w:name="OLE_LINK47"/>
      <w:r>
        <w:rPr>
          <w:rFonts w:hint="eastAsia" w:ascii="宋体" w:hAnsi="宋体" w:cs="宋体"/>
          <w:sz w:val="24"/>
          <w:szCs w:val="24"/>
        </w:rPr>
        <w:t>②</w:t>
      </w:r>
      <w:bookmarkEnd w:id="198"/>
      <w:bookmarkEnd w:id="199"/>
      <w:r>
        <w:rPr>
          <w:rFonts w:hint="eastAsia" w:ascii="宋体" w:hAnsi="宋体" w:cs="宋体"/>
          <w:sz w:val="24"/>
          <w:szCs w:val="24"/>
        </w:rPr>
        <w:t>水面异常起伏超过0.5m的区域置平；</w:t>
      </w:r>
    </w:p>
    <w:p w14:paraId="6818E43D">
      <w:pPr>
        <w:adjustRightInd w:val="0"/>
        <w:snapToGrid w:val="0"/>
        <w:spacing w:line="360" w:lineRule="auto"/>
        <w:ind w:firstLine="480" w:firstLineChars="200"/>
        <w:rPr>
          <w:rFonts w:hint="eastAsia" w:ascii="宋体" w:hAnsi="宋体" w:cs="宋体"/>
          <w:sz w:val="24"/>
          <w:szCs w:val="24"/>
        </w:rPr>
      </w:pPr>
      <w:bookmarkStart w:id="200" w:name="OLE_LINK49"/>
      <w:r>
        <w:rPr>
          <w:rFonts w:hint="eastAsia" w:ascii="宋体" w:hAnsi="宋体" w:cs="宋体"/>
          <w:sz w:val="24"/>
          <w:szCs w:val="24"/>
        </w:rPr>
        <w:t>③</w:t>
      </w:r>
      <w:bookmarkEnd w:id="200"/>
      <w:r>
        <w:rPr>
          <w:rFonts w:hint="eastAsia" w:ascii="宋体" w:hAnsi="宋体" w:cs="宋体"/>
          <w:sz w:val="24"/>
          <w:szCs w:val="24"/>
        </w:rPr>
        <w:t>水岸分界明显，过渡自然。</w:t>
      </w:r>
    </w:p>
    <w:p w14:paraId="1DF8E50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0773A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w:t>
      </w:r>
    </w:p>
    <w:p w14:paraId="29187F1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①破损车辆置平，纹理处理；</w:t>
      </w:r>
    </w:p>
    <w:p w14:paraId="2BD0E9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②路面异常凹凸起伏超过0.5m的区域置平；</w:t>
      </w:r>
    </w:p>
    <w:p w14:paraId="088E50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③去除悬空路灯。</w:t>
      </w:r>
    </w:p>
    <w:p w14:paraId="56AB2B2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7FA281A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修补城市重要主干道两侧建（构）筑物、城市重要建（构）筑物墙体、商业中心等墙体漏洞。</w:t>
      </w:r>
    </w:p>
    <w:p w14:paraId="1855D13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2F491A0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对直径小于1m的悬空部分进行删除。</w:t>
      </w:r>
    </w:p>
    <w:p w14:paraId="22795F7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254FD33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主要的学校操场、大型露天体育场、大型公园广场等地异常起伏超过0.5m区域应置平；</w:t>
      </w:r>
    </w:p>
    <w:p w14:paraId="026691F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F97D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城市主要快速路、主干道、次干道两侧，去除悬空的电杆、电线、通信杆等；</w:t>
      </w:r>
    </w:p>
    <w:p w14:paraId="054DA54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获取多源数据，对三门峡市本级实景三维建设范围内重点区域模型（50km²）、重点道路（道路两侧）模型（154km）开展模型精修工作，按以下标准进行修饰：</w:t>
      </w:r>
    </w:p>
    <w:p w14:paraId="0EC9734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（1）重点区域、重点道路模型整体要求</w:t>
      </w:r>
    </w:p>
    <w:p w14:paraId="61572069">
      <w:pPr>
        <w:adjustRightInd w:val="0"/>
        <w:snapToGrid w:val="0"/>
        <w:spacing w:line="360" w:lineRule="auto"/>
        <w:ind w:firstLine="480" w:firstLineChars="200"/>
        <w:rPr>
          <w:rFonts w:hint="eastAsia" w:ascii="宋体" w:hAnsi="宋体" w:cs="宋体"/>
          <w:sz w:val="24"/>
          <w:szCs w:val="24"/>
        </w:rPr>
      </w:pPr>
      <w:bookmarkStart w:id="201" w:name="OLE_LINK50"/>
      <w:r>
        <w:rPr>
          <w:rFonts w:hint="eastAsia" w:ascii="宋体" w:hAnsi="宋体" w:cs="宋体"/>
          <w:sz w:val="24"/>
          <w:szCs w:val="24"/>
        </w:rPr>
        <w:t>①</w:t>
      </w:r>
      <w:bookmarkEnd w:id="201"/>
      <w:r>
        <w:rPr>
          <w:rFonts w:hint="eastAsia" w:ascii="宋体" w:hAnsi="宋体" w:cs="宋体"/>
          <w:sz w:val="24"/>
          <w:szCs w:val="24"/>
        </w:rPr>
        <w:t>模型上下不存在不合理悬浮物、碎片；</w:t>
      </w:r>
    </w:p>
    <w:p w14:paraId="668344E4">
      <w:pPr>
        <w:adjustRightInd w:val="0"/>
        <w:snapToGrid w:val="0"/>
        <w:spacing w:line="360" w:lineRule="auto"/>
        <w:ind w:firstLine="480" w:firstLineChars="200"/>
        <w:rPr>
          <w:rFonts w:hint="eastAsia" w:ascii="宋体" w:hAnsi="宋体" w:cs="宋体"/>
          <w:sz w:val="24"/>
          <w:szCs w:val="24"/>
        </w:rPr>
      </w:pPr>
      <w:bookmarkStart w:id="202" w:name="OLE_LINK52"/>
      <w:bookmarkStart w:id="203" w:name="OLE_LINK51"/>
      <w:r>
        <w:rPr>
          <w:rFonts w:hint="eastAsia" w:ascii="宋体" w:hAnsi="宋体" w:cs="宋体"/>
          <w:sz w:val="24"/>
          <w:szCs w:val="24"/>
        </w:rPr>
        <w:t>②</w:t>
      </w:r>
      <w:bookmarkEnd w:id="202"/>
      <w:bookmarkEnd w:id="203"/>
      <w:r>
        <w:rPr>
          <w:rFonts w:hint="eastAsia" w:ascii="宋体" w:hAnsi="宋体" w:cs="宋体"/>
          <w:sz w:val="24"/>
          <w:szCs w:val="24"/>
        </w:rPr>
        <w:t>整体颜色均匀自然、色调一致。</w:t>
      </w:r>
    </w:p>
    <w:p w14:paraId="54F6DC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（2）重点区域内水系、水利及附属设施</w:t>
      </w:r>
    </w:p>
    <w:p w14:paraId="1D754BFA">
      <w:pPr>
        <w:adjustRightInd w:val="0"/>
        <w:snapToGrid w:val="0"/>
        <w:spacing w:line="360" w:lineRule="auto"/>
        <w:ind w:firstLine="480" w:firstLineChars="200"/>
        <w:rPr>
          <w:rFonts w:hint="eastAsia" w:ascii="宋体" w:hAnsi="宋体" w:cs="宋体"/>
          <w:sz w:val="24"/>
          <w:szCs w:val="24"/>
        </w:rPr>
      </w:pPr>
      <w:bookmarkStart w:id="204" w:name="OLE_LINK54"/>
      <w:bookmarkStart w:id="205" w:name="OLE_LINK53"/>
      <w:r>
        <w:rPr>
          <w:rFonts w:hint="eastAsia" w:ascii="宋体" w:hAnsi="宋体" w:cs="宋体"/>
          <w:sz w:val="24"/>
          <w:szCs w:val="24"/>
        </w:rPr>
        <w:t>①</w:t>
      </w:r>
      <w:bookmarkEnd w:id="204"/>
      <w:bookmarkEnd w:id="205"/>
      <w:r>
        <w:rPr>
          <w:rFonts w:hint="eastAsia" w:ascii="宋体" w:hAnsi="宋体" w:cs="宋体"/>
          <w:sz w:val="24"/>
          <w:szCs w:val="24"/>
        </w:rPr>
        <w:t>水面漏洞修补；</w:t>
      </w:r>
    </w:p>
    <w:p w14:paraId="37F081E0">
      <w:pPr>
        <w:adjustRightInd w:val="0"/>
        <w:snapToGrid w:val="0"/>
        <w:spacing w:line="360" w:lineRule="auto"/>
        <w:ind w:firstLine="480" w:firstLineChars="200"/>
        <w:rPr>
          <w:rFonts w:hint="eastAsia" w:ascii="宋体" w:hAnsi="宋体" w:cs="宋体"/>
          <w:sz w:val="24"/>
          <w:szCs w:val="24"/>
        </w:rPr>
      </w:pPr>
      <w:bookmarkStart w:id="206" w:name="OLE_LINK56"/>
      <w:bookmarkStart w:id="207" w:name="OLE_LINK55"/>
      <w:r>
        <w:rPr>
          <w:rFonts w:hint="eastAsia" w:ascii="宋体" w:hAnsi="宋体" w:cs="宋体"/>
          <w:sz w:val="24"/>
          <w:szCs w:val="24"/>
        </w:rPr>
        <w:t>②</w:t>
      </w:r>
      <w:bookmarkEnd w:id="206"/>
      <w:bookmarkEnd w:id="207"/>
      <w:r>
        <w:rPr>
          <w:rFonts w:hint="eastAsia" w:ascii="宋体" w:hAnsi="宋体" w:cs="宋体"/>
          <w:sz w:val="24"/>
          <w:szCs w:val="24"/>
        </w:rPr>
        <w:t>水面起伏超过0.5m的水面整平；</w:t>
      </w:r>
    </w:p>
    <w:p w14:paraId="20B32FDD">
      <w:pPr>
        <w:adjustRightInd w:val="0"/>
        <w:snapToGrid w:val="0"/>
        <w:spacing w:line="360" w:lineRule="auto"/>
        <w:ind w:firstLine="480" w:firstLineChars="200"/>
        <w:rPr>
          <w:rFonts w:hint="eastAsia" w:ascii="宋体" w:hAnsi="宋体" w:cs="宋体"/>
          <w:sz w:val="24"/>
          <w:szCs w:val="24"/>
        </w:rPr>
      </w:pPr>
      <w:bookmarkStart w:id="208" w:name="OLE_LINK57"/>
      <w:r>
        <w:rPr>
          <w:rFonts w:hint="eastAsia" w:ascii="宋体" w:hAnsi="宋体" w:cs="宋体"/>
          <w:sz w:val="24"/>
          <w:szCs w:val="24"/>
        </w:rPr>
        <w:t>③</w:t>
      </w:r>
      <w:bookmarkEnd w:id="208"/>
      <w:r>
        <w:rPr>
          <w:rFonts w:hint="eastAsia" w:ascii="宋体" w:hAnsi="宋体" w:cs="宋体"/>
          <w:sz w:val="24"/>
          <w:szCs w:val="24"/>
        </w:rPr>
        <w:t>水岸分界明显，过渡自然。</w:t>
      </w:r>
    </w:p>
    <w:p w14:paraId="154001B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④重要河流上的桥梁结构贯通、纹理统一。</w:t>
      </w:r>
    </w:p>
    <w:p w14:paraId="538D6C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38BCAC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重点道路中的城市快速路、主干道、次干道：</w:t>
      </w:r>
    </w:p>
    <w:p w14:paraId="54EEF9AD">
      <w:pPr>
        <w:adjustRightInd w:val="0"/>
        <w:snapToGrid w:val="0"/>
        <w:spacing w:line="360" w:lineRule="auto"/>
        <w:ind w:firstLine="480" w:firstLineChars="200"/>
        <w:rPr>
          <w:rFonts w:hint="eastAsia" w:ascii="宋体" w:hAnsi="宋体" w:cs="宋体"/>
          <w:sz w:val="24"/>
          <w:szCs w:val="24"/>
        </w:rPr>
      </w:pPr>
      <w:bookmarkStart w:id="209" w:name="OLE_LINK60"/>
      <w:r>
        <w:rPr>
          <w:rFonts w:hint="eastAsia" w:ascii="宋体" w:hAnsi="宋体" w:cs="宋体"/>
          <w:sz w:val="24"/>
          <w:szCs w:val="24"/>
        </w:rPr>
        <w:t>①</w:t>
      </w:r>
      <w:bookmarkEnd w:id="209"/>
      <w:r>
        <w:rPr>
          <w:rFonts w:hint="eastAsia" w:ascii="宋体" w:hAnsi="宋体" w:cs="宋体"/>
          <w:sz w:val="24"/>
          <w:szCs w:val="24"/>
        </w:rPr>
        <w:t>破损车辆置平，纹理处理；</w:t>
      </w:r>
    </w:p>
    <w:p w14:paraId="6EED437A">
      <w:pPr>
        <w:adjustRightInd w:val="0"/>
        <w:snapToGrid w:val="0"/>
        <w:spacing w:line="360" w:lineRule="auto"/>
        <w:ind w:firstLine="480" w:firstLineChars="200"/>
        <w:rPr>
          <w:rFonts w:hint="eastAsia" w:ascii="宋体" w:hAnsi="宋体" w:cs="宋体"/>
          <w:sz w:val="24"/>
          <w:szCs w:val="24"/>
        </w:rPr>
      </w:pPr>
      <w:bookmarkStart w:id="210" w:name="OLE_LINK62"/>
      <w:bookmarkStart w:id="211" w:name="OLE_LINK61"/>
      <w:r>
        <w:rPr>
          <w:rFonts w:hint="eastAsia" w:ascii="宋体" w:hAnsi="宋体" w:cs="宋体"/>
          <w:sz w:val="24"/>
          <w:szCs w:val="24"/>
        </w:rPr>
        <w:t>②</w:t>
      </w:r>
      <w:bookmarkEnd w:id="210"/>
      <w:bookmarkEnd w:id="211"/>
      <w:r>
        <w:rPr>
          <w:rFonts w:hint="eastAsia" w:ascii="宋体" w:hAnsi="宋体" w:cs="宋体"/>
          <w:sz w:val="24"/>
          <w:szCs w:val="24"/>
        </w:rPr>
        <w:t>路面异常凹凸起伏超过0.5m的区域置平；</w:t>
      </w:r>
    </w:p>
    <w:p w14:paraId="1F429329">
      <w:pPr>
        <w:adjustRightInd w:val="0"/>
        <w:snapToGrid w:val="0"/>
        <w:spacing w:line="360" w:lineRule="auto"/>
        <w:ind w:firstLine="480" w:firstLineChars="200"/>
        <w:rPr>
          <w:rFonts w:hint="eastAsia" w:ascii="宋体" w:hAnsi="宋体" w:cs="宋体"/>
          <w:sz w:val="24"/>
          <w:szCs w:val="24"/>
        </w:rPr>
      </w:pPr>
      <w:bookmarkStart w:id="212" w:name="OLE_LINK63"/>
      <w:r>
        <w:rPr>
          <w:rFonts w:hint="eastAsia" w:ascii="宋体" w:hAnsi="宋体" w:cs="宋体"/>
          <w:sz w:val="24"/>
          <w:szCs w:val="24"/>
        </w:rPr>
        <w:t>③</w:t>
      </w:r>
      <w:bookmarkEnd w:id="212"/>
      <w:r>
        <w:rPr>
          <w:rFonts w:hint="eastAsia" w:ascii="宋体" w:hAnsi="宋体" w:cs="宋体"/>
          <w:sz w:val="24"/>
          <w:szCs w:val="24"/>
        </w:rPr>
        <w:t>快速路、立交下涵洞贯通，并赋予合适纹理；</w:t>
      </w:r>
    </w:p>
    <w:p w14:paraId="58145E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④补充不完整的路灯（可用建模较好的路灯模型替换）；</w:t>
      </w:r>
    </w:p>
    <w:p w14:paraId="20873AD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⑤破损道路指示牌结构修补、纹理修饰；</w:t>
      </w:r>
    </w:p>
    <w:p w14:paraId="7EEA2B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⑥立交、高架下方粘连处贯通，车道断裂处连通。</w:t>
      </w:r>
    </w:p>
    <w:p w14:paraId="789545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119C9B3D">
      <w:pPr>
        <w:adjustRightInd w:val="0"/>
        <w:snapToGrid w:val="0"/>
        <w:spacing w:line="360" w:lineRule="auto"/>
        <w:ind w:firstLine="480" w:firstLineChars="200"/>
        <w:rPr>
          <w:rFonts w:hint="eastAsia" w:ascii="宋体" w:hAnsi="宋体" w:cs="宋体"/>
          <w:sz w:val="24"/>
          <w:szCs w:val="24"/>
        </w:rPr>
      </w:pPr>
      <w:bookmarkStart w:id="213" w:name="OLE_LINK64"/>
      <w:r>
        <w:rPr>
          <w:rFonts w:hint="eastAsia" w:ascii="宋体" w:hAnsi="宋体" w:cs="宋体"/>
          <w:sz w:val="24"/>
          <w:szCs w:val="24"/>
        </w:rPr>
        <w:t>①</w:t>
      </w:r>
      <w:bookmarkEnd w:id="213"/>
      <w:r>
        <w:rPr>
          <w:rFonts w:hint="eastAsia" w:ascii="宋体" w:hAnsi="宋体" w:cs="宋体"/>
          <w:sz w:val="24"/>
          <w:szCs w:val="24"/>
        </w:rPr>
        <w:t>修补重点道路中主干道两侧建（构）筑物、重点区域内城市重要建（构）筑物、商业中心等墙体漏洞，并将纹理与周围墙体纹理统一，包括实心围墙；</w:t>
      </w:r>
    </w:p>
    <w:p w14:paraId="3FFC28BC">
      <w:pPr>
        <w:adjustRightInd w:val="0"/>
        <w:snapToGrid w:val="0"/>
        <w:spacing w:line="360" w:lineRule="auto"/>
        <w:ind w:firstLine="480" w:firstLineChars="200"/>
        <w:rPr>
          <w:rFonts w:hint="eastAsia" w:ascii="宋体" w:hAnsi="宋体" w:cs="宋体"/>
          <w:sz w:val="24"/>
          <w:szCs w:val="24"/>
        </w:rPr>
      </w:pPr>
      <w:bookmarkStart w:id="214" w:name="OLE_LINK66"/>
      <w:bookmarkStart w:id="215" w:name="OLE_LINK65"/>
      <w:r>
        <w:rPr>
          <w:rFonts w:hint="eastAsia" w:ascii="宋体" w:hAnsi="宋体" w:cs="宋体"/>
          <w:sz w:val="24"/>
          <w:szCs w:val="24"/>
        </w:rPr>
        <w:t>②</w:t>
      </w:r>
      <w:bookmarkEnd w:id="214"/>
      <w:bookmarkEnd w:id="215"/>
      <w:r>
        <w:rPr>
          <w:rFonts w:hint="eastAsia" w:ascii="宋体" w:hAnsi="宋体" w:cs="宋体"/>
          <w:sz w:val="24"/>
          <w:szCs w:val="24"/>
        </w:rPr>
        <w:t>重点区域内城市重要建（构）筑物、商业中心立面异常凹凸（指建筑墙体结构上的异常凹凸，不包括阳台、窗户处凹陷，包括玻璃幕墙）整平、纹理统一；</w:t>
      </w:r>
    </w:p>
    <w:p w14:paraId="47B389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③重点道路两侧、重点区域内主干道底商修饰；</w:t>
      </w:r>
    </w:p>
    <w:p w14:paraId="4DA5CE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6CFB1A75">
      <w:pPr>
        <w:adjustRightInd w:val="0"/>
        <w:snapToGrid w:val="0"/>
        <w:spacing w:line="360" w:lineRule="auto"/>
        <w:ind w:firstLine="480" w:firstLineChars="200"/>
        <w:rPr>
          <w:rFonts w:hint="eastAsia" w:ascii="宋体" w:hAnsi="宋体" w:cs="宋体"/>
          <w:sz w:val="24"/>
          <w:szCs w:val="24"/>
        </w:rPr>
      </w:pPr>
      <w:bookmarkStart w:id="216" w:name="OLE_LINK67"/>
      <w:r>
        <w:rPr>
          <w:rFonts w:hint="eastAsia" w:ascii="宋体" w:hAnsi="宋体" w:cs="宋体"/>
          <w:sz w:val="24"/>
          <w:szCs w:val="24"/>
        </w:rPr>
        <w:t>①</w:t>
      </w:r>
      <w:bookmarkEnd w:id="216"/>
      <w:r>
        <w:rPr>
          <w:rFonts w:hint="eastAsia" w:ascii="宋体" w:hAnsi="宋体" w:cs="宋体"/>
          <w:sz w:val="24"/>
          <w:szCs w:val="24"/>
        </w:rPr>
        <w:t>对直径小于1m的悬空部分进行删除；</w:t>
      </w:r>
    </w:p>
    <w:p w14:paraId="7832FD1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②古树名木等重要植被应保留，树干缺失的补充完整，底部无纹理区域（底灰）赋予合适纹理。</w:t>
      </w:r>
    </w:p>
    <w:p w14:paraId="5724BF5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37CE226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重点区域内的主要学校操场、大型露天体育场、大型公园广场等地异常起伏超过0.5m区域应置平；</w:t>
      </w:r>
    </w:p>
    <w:p w14:paraId="7A0BD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9F75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重点道路两侧，去除悬空的电杆、电线、通信杆等，大型广告牌漏洞修补。</w:t>
      </w:r>
    </w:p>
    <w:p w14:paraId="07667F3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6.分辨率优于0.02米单体化建模要求</w:t>
      </w:r>
    </w:p>
    <w:p w14:paraId="022B9304">
      <w:pPr>
        <w:adjustRightInd w:val="0"/>
        <w:snapToGrid w:val="0"/>
        <w:spacing w:line="360" w:lineRule="auto"/>
        <w:ind w:firstLine="480" w:firstLineChars="200"/>
        <w:rPr>
          <w:rFonts w:hint="eastAsia" w:ascii="宋体" w:hAnsi="宋体" w:cs="宋体"/>
          <w:sz w:val="24"/>
          <w:szCs w:val="24"/>
        </w:rPr>
      </w:pPr>
      <w:bookmarkStart w:id="217" w:name="OLE_LINK59"/>
      <w:bookmarkStart w:id="218" w:name="OLE_LINK58"/>
      <w:r>
        <w:rPr>
          <w:rFonts w:hint="eastAsia" w:ascii="宋体" w:hAnsi="宋体" w:cs="宋体"/>
          <w:sz w:val="24"/>
          <w:szCs w:val="24"/>
        </w:rPr>
        <w:t>（1）建筑模型采用的坐标系统与倾斜摄影模型保持一致，准确反映现状。</w:t>
      </w:r>
    </w:p>
    <w:p w14:paraId="5CB3A3B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（2）单体模型采用建筑分栋（幢）独立建模的方式进行模型制作，不得将多个建筑物模型结合在一起。</w:t>
      </w:r>
    </w:p>
    <w:p w14:paraId="729D9F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模型应真实反映建筑物的外观形态和细节特征，对于建筑附属结构，如屋檐和立面突出物等结构超过0.5米的要做出结构，应避免整个墙面一张贴图导致损失模型立体效果。由于树木遮挡等原因，造成城市重要建筑物遮挡超过20%，需现场采集建筑照片，对建筑遮挡部分的贴图进行修正。</w:t>
      </w:r>
    </w:p>
    <w:p w14:paraId="23EC475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数据的基底、立面轮廓结构与建筑高度须准确，纹理拼接过渡自然，不得有漏缝、交叉点、废点、废线等现象，模型与模型之间不得出现裂缝、漏面和反面。模型的面数、段数、曲面必须进行精简优化，删除模型之间的相交面、底面。保证单体建筑的墙面、房顶面等在一个平面内，除开柱状建筑，一般不出现曲面形状。模型与周边倾斜摄影三维模型在平面、高程上无缝融合。</w:t>
      </w:r>
    </w:p>
    <w:p w14:paraId="3A7A7BC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整体采用倾斜航片纹理进行贴图映射，不得使用通用材质纹理。建筑模型物体面都必须附加贴图，不能漏贴或出现贴图错误，选取色彩一致的航片纹理，保证纹理贴图光效的一致性，确保影像色调均匀、清晰可辨、无缝拼接、过度自然。</w:t>
      </w:r>
    </w:p>
    <w:p w14:paraId="07EA3AB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（6）在可保证模型视觉表现和精度的前提下，避免集中使用大量细分面片表达表面形态。</w:t>
      </w:r>
    </w:p>
    <w:p w14:paraId="3FDC0AC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（7）应提供重建三维模型单体与周边倾斜摄影三维模型融合后的OSGB模型瓦片集，维持瓦片集目录结构规则，不得新增OSGB文件或变更OSGB文件命名。</w:t>
      </w:r>
    </w:p>
    <w:p w14:paraId="77971F6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（8）对于提取出的OBJ格式单体模型，应保留原始矢量结构线，不作三角化处理。模型目录结构和命名应与倾斜摄影三维模型一致，按模型几何中心点所属的瓦片目录范围存储。</w:t>
      </w:r>
      <w:bookmarkEnd w:id="217"/>
      <w:bookmarkEnd w:id="218"/>
    </w:p>
    <w:p w14:paraId="7B9CB6D0">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7.三维模型轻量化要求</w:t>
      </w:r>
    </w:p>
    <w:p w14:paraId="461E48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（1）瓦片数据的瓦片大小宜小于1M，最大不超过5M，以利于网络传输。</w:t>
      </w:r>
    </w:p>
    <w:p w14:paraId="12C738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（2）轻量化模型子节点的贴图宽高符合2的N次幂，并且控制贴图尺寸不宜超过1024×1024，采用贴图集时贴图尺寸不宜超过2048×2048。</w:t>
      </w:r>
    </w:p>
    <w:p w14:paraId="7FD0C5D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（3）轻量化模型的根节点宜合并，其数目不宜过多。</w:t>
      </w:r>
    </w:p>
    <w:p w14:paraId="0741F2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（4）轻量化模型应能够在目标应用终端流畅显示，显示帧率不低于25 帧/秒。</w:t>
      </w:r>
    </w:p>
    <w:p w14:paraId="07F7E0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（5）轻量化模型宜存储为层次网格结构的通用数据格式，如 OSGB、3DTiles、S3MB、SLPK等格式。</w:t>
      </w:r>
    </w:p>
    <w:p w14:paraId="4B70AC9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8.地形级和城市级数据融合要求</w:t>
      </w:r>
    </w:p>
    <w:p w14:paraId="3C9926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市范围内地形级三维模型与城市级三维模型融合以及相邻区域城市级地理实体数据接边，满足省级数据、市级数据的对接应用需求，构建三门峡市实景三维一张图。</w:t>
      </w:r>
    </w:p>
    <w:p w14:paraId="5A57446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9.城市级基础地理实体生产</w:t>
      </w:r>
    </w:p>
    <w:p w14:paraId="60E7190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1）基础地理实体数据粒度要求：基于基础地理信息要素数据转换生产基础地理实体数据的粒度与转换源数据保持一致。</w:t>
      </w:r>
    </w:p>
    <w:p w14:paraId="1CB7E89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2）基础地理实体数据几何精度要求：需与转换源数据的精度保持一致。</w:t>
      </w:r>
    </w:p>
    <w:p w14:paraId="566230B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3）属性数据要求</w:t>
      </w:r>
    </w:p>
    <w:p w14:paraId="0FF474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分类代码应符合《实景三维中国建设技术大纲（2024版）》附件1基础地理实体分类与代码规定。</w:t>
      </w:r>
    </w:p>
    <w:p w14:paraId="301D11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空间身份编码应符合《新型基础测绘与实景三维中国建设技术文件-3 基础地理实体空间身份编码规则》的规定，采用5层60位数字字符定长码的编码范式，对基础地理实体的编码结构和内容进行规范。</w:t>
      </w:r>
    </w:p>
    <w:p w14:paraId="6639C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4）映射转换及语义化要求</w:t>
      </w:r>
    </w:p>
    <w:p w14:paraId="52A40D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 实体的转换、语义化处理符合《实景三维中国建设技术大纲（2024版）》附件8基于1∶500 1∶1 000 1∶2 000基础地理信息要素数据转换生产基础地理实体数据技术规程、《实景三维中国建设技术大纲（2024版）》附录D基础地理实体语义关系。</w:t>
      </w:r>
    </w:p>
    <w:p w14:paraId="7A9BCE0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 基础地理信息要素数据应转尽转，不能转换的要素，依据《新型基础测绘与实景三维中国建设技术文件-6 基础地理实体数据采集生产技术规程》采集生产。</w:t>
      </w:r>
    </w:p>
    <w:p w14:paraId="463C7E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 存量数据转换前，根据编码属性映射表配置存量数据转换方案，对与基础地理实体不存在映射关系的基础地理信息要素数据（如等高线、高程点等），保留该部分基础地理信息要素数据，统一归为制图要素数据集，作为成图辅助数据进行存储或管理。</w:t>
      </w:r>
    </w:p>
    <w:p w14:paraId="19D73DE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10.城市三维模型（LOD1.3级）制作</w:t>
      </w:r>
    </w:p>
    <w:p w14:paraId="716DA8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综合利用大比例尺地形图、基础地理实体数据等，生产制作城市三维模型（LOD1.3级）。产品按照《实景三维中国建设技术大纲（2024版）》附件7实景三维中国建设城市三维模型（LOD1.3级）快速构建技术规定的相关要求生产。</w:t>
      </w:r>
    </w:p>
    <w:p w14:paraId="16D591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LOD1.3级城市三维模型几何精度要求：需与转换源数据的精度保持一致。</w:t>
      </w:r>
      <w:r>
        <w:rPr>
          <w:rFonts w:hint="eastAsia" w:ascii="宋体" w:hAnsi="宋体" w:cs="宋体"/>
          <w:color w:val="000000"/>
          <w:sz w:val="24"/>
          <w:szCs w:val="24"/>
        </w:rPr>
        <w:t>高度小于5米（含）的建（构）筑物，三维模型高度（三维模型顶部到基底面的垂直距离）与建（构）筑物实际高度（顶部到基底面的垂直距离，不含顶部建筑附属设施，坡屋顶按最高处计算）之差不大于0.5米；高度大于5米且小于30米（含）建（构）筑物，三维模型高度与实际高度之差与实际高度的比值不大于10%。</w:t>
      </w:r>
      <w:r>
        <w:rPr>
          <w:rFonts w:hint="eastAsia" w:ascii="宋体" w:hAnsi="宋体" w:cs="宋体"/>
          <w:sz w:val="24"/>
          <w:szCs w:val="24"/>
        </w:rPr>
        <w:t>高于30米的，三维模型高度与实际高度之差不应大于3.0米。高度值取位至 0.1米。</w:t>
      </w:r>
    </w:p>
    <w:p w14:paraId="1A3724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精细度要求：普通建筑物基底面大于（含）1.5米的凹凸变化应正确表示，顶部大于3米的高度变化，当变化部分基底面积大于12平方米时，高度变化应正确表示。城市标志性建筑物和各类构筑物应正确表示建（构）筑物整体形态，外立面和顶部的细节无需表示。</w:t>
      </w:r>
    </w:p>
    <w:p w14:paraId="5072FE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要求：数据范围完整，模型、纹理、属性数据齐全，无遗漏、无多余文件，模型几何结构完整。属性多边形完整，位置、大小、形状、拓扑关系正确，属性项数量、定义正确，属性内容正确。格式正确，数据现势性符合要求。</w:t>
      </w:r>
    </w:p>
    <w:p w14:paraId="6691CB4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11.物联网感知数据接入与融合要求</w:t>
      </w:r>
    </w:p>
    <w:p w14:paraId="0230225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实时接入自然资源、农业农村等相关部门的视频监控或其他传感器数据，接入视频监控数据约1350路，并将视频监控数据与实景三维数据融合。</w:t>
      </w:r>
    </w:p>
    <w:p w14:paraId="0BA1F1EC">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12.数据库建设要求</w:t>
      </w:r>
    </w:p>
    <w:p w14:paraId="5ECA927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（1）地理场景数据库建设</w:t>
      </w:r>
    </w:p>
    <w:p w14:paraId="1C611A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地理场景数据库包括DEM、DSM数据库、TDOM数据库及倾斜摄影三维模型数据库。</w:t>
      </w:r>
    </w:p>
    <w:p w14:paraId="5445CEB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（2）城市级基础地理实体数据库建设</w:t>
      </w:r>
    </w:p>
    <w:p w14:paraId="15186E1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城市级基础地理实体数据库主要存储自然地理实体、人工地理实体和管理地理实体数据。</w:t>
      </w:r>
    </w:p>
    <w:p w14:paraId="65435A5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13.电子地图制作</w:t>
      </w:r>
    </w:p>
    <w:p w14:paraId="63EE99F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地形级三维模型、城市级三维模型数据融合需求，通过人工和计算机自动处理相结合的方式，实现不同三维模型在三角网层面上的精细融合，提升地理场景的连续性。并基于三门峡市基础地理信息数据，对数据进行提取、融合、地图制作等，形成适用于实景三维三门峡建设的数据瓦片和地图服务配置文件。</w:t>
      </w:r>
    </w:p>
    <w:p w14:paraId="5395A66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14.实景三维数据库管理系统</w:t>
      </w:r>
    </w:p>
    <w:p w14:paraId="2F1E433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（1）总体架构</w:t>
      </w:r>
    </w:p>
    <w:p w14:paraId="370587D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用开放式架构，基于统一的服务接口规范，开展实景三维数据库系统建设。建立一个集中节点，聚合本级多类实景三维数据服务；依托省级节点，提供区域内实景三维数据服务，与省级节点共同构成分级分类、连续无缝、逻辑集成的服务集群，形成规模服务能力和互联互通能力。</w:t>
      </w:r>
    </w:p>
    <w:p w14:paraId="6A3954C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库系统由设施层、数据层、服务层和应用层构成。设施层保障系统存储、传输、分布式计算能力；数据层统一管理本级节点的分类、分时序实景三维数据；服务层提供实景三维数据服务调用和扩展服务应用；应用层实现在线应用、专业管理和运维监管。系统架构见下图。</w:t>
      </w:r>
    </w:p>
    <w:p w14:paraId="3475C13D">
      <w:pPr>
        <w:rPr>
          <w:rFonts w:hint="eastAsia" w:ascii="宋体" w:hAnsi="宋体" w:cs="宋体"/>
        </w:rPr>
      </w:pPr>
      <w:r>
        <w:rPr>
          <w:rFonts w:hint="eastAsia" w:ascii="宋体" w:hAnsi="宋体" w:cs="宋体"/>
        </w:rPr>
        <w:drawing>
          <wp:inline distT="0" distB="0" distL="114300" distR="114300">
            <wp:extent cx="5592445" cy="3103880"/>
            <wp:effectExtent l="0" t="0" r="635" b="5080"/>
            <wp:docPr id="5" name="图片 1" descr="实景三维中国建设总体实施方案（2022-2025年）_评审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实景三维中国建设总体实施方案（2022-2025年）_评审稿"/>
                    <pic:cNvPicPr>
                      <a:picLocks noChangeAspect="1"/>
                    </pic:cNvPicPr>
                  </pic:nvPicPr>
                  <pic:blipFill>
                    <a:blip r:embed="rId13">
                      <a:lum contrast="11999"/>
                    </a:blip>
                    <a:stretch>
                      <a:fillRect/>
                    </a:stretch>
                  </pic:blipFill>
                  <pic:spPr>
                    <a:xfrm>
                      <a:off x="0" y="0"/>
                      <a:ext cx="5592445" cy="3103880"/>
                    </a:xfrm>
                    <a:prstGeom prst="rect">
                      <a:avLst/>
                    </a:prstGeom>
                    <a:noFill/>
                    <a:ln>
                      <a:noFill/>
                    </a:ln>
                  </pic:spPr>
                </pic:pic>
              </a:graphicData>
            </a:graphic>
          </wp:inline>
        </w:drawing>
      </w:r>
    </w:p>
    <w:p w14:paraId="2483196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（2）数据库结构</w:t>
      </w:r>
    </w:p>
    <w:p w14:paraId="547343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采用统一标准框架，详细设计遵循统一规范，便于数据的汇聚和使用。实景三维数据库包括地理场景数据分库、基础地理实体数据分库及元数据分库等，各分库根据数据内容分为不同子库，各子库根据数据内容分为若干数据集。也可根据实际需要对数据库结构进行扩展。数据库结构见下图。</w:t>
      </w:r>
    </w:p>
    <w:p w14:paraId="64ED102B">
      <w:pPr>
        <w:rPr>
          <w:rFonts w:hint="eastAsia" w:ascii="宋体" w:hAnsi="宋体" w:cs="宋体"/>
          <w:bCs/>
        </w:rPr>
      </w:pPr>
      <w:r>
        <w:rPr>
          <w:rFonts w:hint="eastAsia" w:ascii="宋体" w:hAnsi="宋体" w:cs="宋体"/>
          <w:bCs/>
        </w:rPr>
        <w:drawing>
          <wp:inline distT="0" distB="0" distL="114300" distR="114300">
            <wp:extent cx="5274310" cy="2106930"/>
            <wp:effectExtent l="0" t="0" r="1397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4310" cy="2106930"/>
                    </a:xfrm>
                    <a:prstGeom prst="rect">
                      <a:avLst/>
                    </a:prstGeom>
                    <a:noFill/>
                    <a:ln>
                      <a:noFill/>
                    </a:ln>
                  </pic:spPr>
                </pic:pic>
              </a:graphicData>
            </a:graphic>
          </wp:inline>
        </w:drawing>
      </w:r>
    </w:p>
    <w:p w14:paraId="75922E57">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（3）系统功能</w:t>
      </w:r>
    </w:p>
    <w:p w14:paraId="0408AEF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建设数据库管理系统，集成管理市本级实景三维数据库，包含成果数据管理、三维应用、数据分析等模块，提供基础地形图转地理实体、地理实体与业务数据融合处理、多源实景三维成果管理、地理实体成果管理等功能，满足实景三维建设中基础测绘成果与实景三维成果统一管理需求。</w:t>
      </w:r>
    </w:p>
    <w:p w14:paraId="5C2C771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（4）建设流程</w:t>
      </w:r>
    </w:p>
    <w:p w14:paraId="30E2A7B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实景三维数据库系统建设包括实景三维数据成果入库、整合处理、管理系统等环节，建设流程见下图。</w:t>
      </w:r>
    </w:p>
    <w:p w14:paraId="024A08CE">
      <w:pPr>
        <w:widowControl/>
        <w:adjustRightInd w:val="0"/>
        <w:snapToGrid w:val="0"/>
        <w:spacing w:line="360" w:lineRule="auto"/>
        <w:jc w:val="center"/>
        <w:rPr>
          <w:rFonts w:hint="eastAsia" w:ascii="宋体" w:hAnsi="宋体" w:cs="宋体"/>
          <w:sz w:val="28"/>
          <w:szCs w:val="28"/>
          <w:u w:val="single"/>
        </w:rPr>
      </w:pPr>
      <w:r>
        <w:rPr>
          <w:rFonts w:hint="eastAsia" w:ascii="宋体" w:hAnsi="宋体" w:cs="宋体"/>
        </w:rPr>
        <w:drawing>
          <wp:inline distT="0" distB="0" distL="114300" distR="114300">
            <wp:extent cx="5680075" cy="4015105"/>
            <wp:effectExtent l="0" t="0" r="444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680075" cy="4015105"/>
                    </a:xfrm>
                    <a:prstGeom prst="rect">
                      <a:avLst/>
                    </a:prstGeom>
                    <a:noFill/>
                    <a:ln>
                      <a:noFill/>
                    </a:ln>
                  </pic:spPr>
                </pic:pic>
              </a:graphicData>
            </a:graphic>
          </wp:inline>
        </w:drawing>
      </w:r>
    </w:p>
    <w:p w14:paraId="6D408613">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15.支撑环境建设</w:t>
      </w:r>
    </w:p>
    <w:p w14:paraId="5F646C6E">
      <w:pPr>
        <w:spacing w:line="360" w:lineRule="auto"/>
        <w:ind w:firstLine="480" w:firstLineChars="200"/>
        <w:rPr>
          <w:rFonts w:hint="eastAsia" w:ascii="宋体" w:hAnsi="宋体" w:cs="宋体"/>
          <w:sz w:val="24"/>
          <w:szCs w:val="24"/>
        </w:rPr>
      </w:pPr>
      <w:r>
        <w:rPr>
          <w:rFonts w:hint="eastAsia" w:ascii="宋体" w:hAnsi="宋体" w:cs="宋体"/>
          <w:sz w:val="24"/>
          <w:szCs w:val="24"/>
        </w:rPr>
        <w:t>支撑环境建设主要包括：支撑数据处理、存储、管理、应用及系统部署运行所需的软硬件环境，包括存储服务器、数据库服务器、图形工作站、移动工作站、移动存储、涉密数据加密软件、GIS基础软件等。支撑环境采用云租赁和采购相结合的方式，详见表1。云租赁的清单见表2。</w:t>
      </w:r>
    </w:p>
    <w:p w14:paraId="2AA0AD86">
      <w:pPr>
        <w:jc w:val="center"/>
        <w:rPr>
          <w:rFonts w:hint="eastAsia" w:ascii="宋体" w:hAnsi="宋体" w:cs="宋体"/>
          <w:sz w:val="24"/>
        </w:rPr>
      </w:pPr>
      <w:r>
        <w:rPr>
          <w:rFonts w:hint="eastAsia" w:ascii="宋体" w:hAnsi="宋体" w:cs="宋体"/>
          <w:b/>
          <w:bCs/>
          <w:sz w:val="24"/>
        </w:rPr>
        <w:t>表1 支撑环境配置清单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234"/>
        <w:gridCol w:w="3903"/>
        <w:gridCol w:w="638"/>
        <w:gridCol w:w="638"/>
      </w:tblGrid>
      <w:tr w14:paraId="4EC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1311" w:type="dxa"/>
            <w:shd w:val="clear" w:color="auto" w:fill="D8D8D8"/>
            <w:vAlign w:val="center"/>
          </w:tcPr>
          <w:p w14:paraId="712DC74B">
            <w:pPr>
              <w:widowControl/>
              <w:spacing w:line="360" w:lineRule="auto"/>
              <w:jc w:val="center"/>
              <w:rPr>
                <w:rFonts w:hint="eastAsia" w:ascii="宋体" w:hAnsi="宋体" w:cs="宋体"/>
                <w:kern w:val="0"/>
              </w:rPr>
            </w:pPr>
            <w:r>
              <w:rPr>
                <w:rFonts w:hint="eastAsia" w:ascii="宋体" w:hAnsi="宋体" w:cs="宋体"/>
                <w:b/>
                <w:bCs/>
                <w:kern w:val="0"/>
              </w:rPr>
              <w:t>建设内容</w:t>
            </w:r>
          </w:p>
        </w:tc>
        <w:tc>
          <w:tcPr>
            <w:tcW w:w="2234" w:type="dxa"/>
            <w:shd w:val="clear" w:color="auto" w:fill="D8D8D8"/>
            <w:vAlign w:val="center"/>
          </w:tcPr>
          <w:p w14:paraId="04436B61">
            <w:pPr>
              <w:widowControl/>
              <w:spacing w:line="360" w:lineRule="auto"/>
              <w:jc w:val="center"/>
              <w:rPr>
                <w:rFonts w:hint="eastAsia" w:ascii="宋体" w:hAnsi="宋体" w:cs="宋体"/>
                <w:kern w:val="0"/>
              </w:rPr>
            </w:pPr>
            <w:r>
              <w:rPr>
                <w:rFonts w:hint="eastAsia" w:ascii="宋体" w:hAnsi="宋体" w:cs="宋体"/>
                <w:b/>
                <w:bCs/>
                <w:color w:val="000000"/>
                <w:kern w:val="0"/>
              </w:rPr>
              <w:t>内容细分</w:t>
            </w:r>
          </w:p>
        </w:tc>
        <w:tc>
          <w:tcPr>
            <w:tcW w:w="3903" w:type="dxa"/>
            <w:shd w:val="clear" w:color="auto" w:fill="D8D8D8"/>
            <w:noWrap/>
            <w:vAlign w:val="center"/>
          </w:tcPr>
          <w:p w14:paraId="297B27B4">
            <w:pPr>
              <w:widowControl/>
              <w:spacing w:line="360" w:lineRule="auto"/>
              <w:jc w:val="center"/>
              <w:rPr>
                <w:rFonts w:hint="eastAsia" w:ascii="宋体" w:hAnsi="宋体" w:cs="宋体"/>
                <w:color w:val="000000"/>
                <w:kern w:val="0"/>
              </w:rPr>
            </w:pPr>
            <w:r>
              <w:rPr>
                <w:rFonts w:hint="eastAsia" w:ascii="宋体" w:hAnsi="宋体" w:cs="宋体"/>
                <w:b/>
                <w:bCs/>
                <w:color w:val="000000"/>
                <w:kern w:val="0"/>
              </w:rPr>
              <w:t>规格参数</w:t>
            </w:r>
          </w:p>
        </w:tc>
        <w:tc>
          <w:tcPr>
            <w:tcW w:w="0" w:type="auto"/>
            <w:shd w:val="clear" w:color="auto" w:fill="D8D8D8"/>
            <w:vAlign w:val="center"/>
          </w:tcPr>
          <w:p w14:paraId="74AEF875">
            <w:pPr>
              <w:widowControl/>
              <w:spacing w:line="360" w:lineRule="auto"/>
              <w:jc w:val="center"/>
              <w:rPr>
                <w:rFonts w:hint="eastAsia" w:ascii="宋体" w:hAnsi="宋体" w:cs="宋体"/>
                <w:kern w:val="0"/>
              </w:rPr>
            </w:pPr>
            <w:r>
              <w:rPr>
                <w:rFonts w:hint="eastAsia" w:ascii="宋体" w:hAnsi="宋体" w:cs="宋体"/>
                <w:b/>
                <w:bCs/>
                <w:kern w:val="0"/>
              </w:rPr>
              <w:t>数量</w:t>
            </w:r>
          </w:p>
        </w:tc>
        <w:tc>
          <w:tcPr>
            <w:tcW w:w="0" w:type="auto"/>
            <w:shd w:val="clear" w:color="auto" w:fill="D8D8D8"/>
            <w:vAlign w:val="center"/>
          </w:tcPr>
          <w:p w14:paraId="777E990F">
            <w:pPr>
              <w:widowControl/>
              <w:spacing w:line="360" w:lineRule="auto"/>
              <w:jc w:val="center"/>
              <w:rPr>
                <w:rFonts w:hint="eastAsia" w:ascii="宋体" w:hAnsi="宋体" w:cs="宋体"/>
                <w:kern w:val="0"/>
              </w:rPr>
            </w:pPr>
            <w:r>
              <w:rPr>
                <w:rFonts w:hint="eastAsia" w:ascii="宋体" w:hAnsi="宋体" w:cs="宋体"/>
                <w:b/>
                <w:bCs/>
                <w:kern w:val="0"/>
              </w:rPr>
              <w:t>单位</w:t>
            </w:r>
          </w:p>
        </w:tc>
      </w:tr>
      <w:tr w14:paraId="6DA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24E60B16">
            <w:pPr>
              <w:widowControl/>
              <w:spacing w:line="360" w:lineRule="auto"/>
              <w:jc w:val="center"/>
              <w:rPr>
                <w:rFonts w:hint="eastAsia" w:ascii="宋体" w:hAnsi="宋体" w:cs="宋体"/>
                <w:kern w:val="0"/>
              </w:rPr>
            </w:pPr>
            <w:r>
              <w:rPr>
                <w:rFonts w:hint="eastAsia" w:ascii="宋体" w:hAnsi="宋体" w:cs="宋体"/>
                <w:kern w:val="0"/>
              </w:rPr>
              <w:t>云资源租赁费（年费）</w:t>
            </w:r>
          </w:p>
        </w:tc>
        <w:tc>
          <w:tcPr>
            <w:tcW w:w="2234" w:type="dxa"/>
            <w:vAlign w:val="center"/>
          </w:tcPr>
          <w:p w14:paraId="28441C37">
            <w:pPr>
              <w:widowControl/>
              <w:spacing w:line="360" w:lineRule="auto"/>
              <w:jc w:val="center"/>
              <w:rPr>
                <w:rFonts w:hint="eastAsia" w:ascii="宋体" w:hAnsi="宋体" w:cs="宋体"/>
                <w:kern w:val="0"/>
              </w:rPr>
            </w:pPr>
            <w:r>
              <w:rPr>
                <w:rFonts w:hint="eastAsia" w:ascii="宋体" w:hAnsi="宋体" w:cs="宋体"/>
                <w:kern w:val="0"/>
              </w:rPr>
              <w:t>主要包括云主机、系统、云安全、数据库及中间件等</w:t>
            </w:r>
          </w:p>
        </w:tc>
        <w:tc>
          <w:tcPr>
            <w:tcW w:w="3903" w:type="dxa"/>
            <w:noWrap/>
            <w:vAlign w:val="center"/>
          </w:tcPr>
          <w:p w14:paraId="57FB3FEC">
            <w:pPr>
              <w:widowControl/>
              <w:spacing w:line="360" w:lineRule="auto"/>
              <w:jc w:val="center"/>
              <w:rPr>
                <w:rFonts w:hint="eastAsia" w:ascii="宋体" w:hAnsi="宋体" w:cs="宋体"/>
                <w:color w:val="000000"/>
                <w:kern w:val="0"/>
              </w:rPr>
            </w:pPr>
          </w:p>
        </w:tc>
        <w:tc>
          <w:tcPr>
            <w:tcW w:w="0" w:type="auto"/>
            <w:vAlign w:val="center"/>
          </w:tcPr>
          <w:p w14:paraId="5CD027AF">
            <w:pPr>
              <w:widowControl/>
              <w:spacing w:line="360" w:lineRule="auto"/>
              <w:jc w:val="center"/>
              <w:rPr>
                <w:rFonts w:hint="eastAsia" w:ascii="宋体" w:hAnsi="宋体" w:cs="宋体"/>
                <w:kern w:val="0"/>
              </w:rPr>
            </w:pPr>
            <w:r>
              <w:rPr>
                <w:rFonts w:hint="eastAsia" w:ascii="宋体" w:hAnsi="宋体" w:cs="宋体"/>
                <w:kern w:val="0"/>
              </w:rPr>
              <w:t>——</w:t>
            </w:r>
          </w:p>
        </w:tc>
        <w:tc>
          <w:tcPr>
            <w:tcW w:w="0" w:type="auto"/>
            <w:vAlign w:val="center"/>
          </w:tcPr>
          <w:p w14:paraId="388F5471">
            <w:pPr>
              <w:widowControl/>
              <w:spacing w:line="360" w:lineRule="auto"/>
              <w:jc w:val="center"/>
              <w:rPr>
                <w:rFonts w:hint="eastAsia" w:ascii="宋体" w:hAnsi="宋体" w:cs="宋体"/>
                <w:kern w:val="0"/>
              </w:rPr>
            </w:pPr>
            <w:r>
              <w:rPr>
                <w:rFonts w:hint="eastAsia" w:ascii="宋体" w:hAnsi="宋体" w:cs="宋体"/>
                <w:kern w:val="0"/>
              </w:rPr>
              <w:t>——</w:t>
            </w:r>
          </w:p>
        </w:tc>
      </w:tr>
      <w:tr w14:paraId="1B9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47546BF5">
            <w:pPr>
              <w:widowControl/>
              <w:spacing w:line="360" w:lineRule="auto"/>
              <w:jc w:val="center"/>
              <w:rPr>
                <w:rFonts w:hint="eastAsia" w:ascii="宋体" w:hAnsi="宋体" w:cs="宋体"/>
                <w:kern w:val="0"/>
              </w:rPr>
            </w:pPr>
            <w:r>
              <w:rPr>
                <w:rFonts w:hint="eastAsia" w:ascii="宋体" w:hAnsi="宋体" w:cs="宋体"/>
                <w:kern w:val="0"/>
              </w:rPr>
              <w:t>展示大屏</w:t>
            </w:r>
          </w:p>
        </w:tc>
        <w:tc>
          <w:tcPr>
            <w:tcW w:w="2234" w:type="dxa"/>
            <w:vAlign w:val="center"/>
          </w:tcPr>
          <w:p w14:paraId="0CBE5F5D">
            <w:pPr>
              <w:widowControl/>
              <w:spacing w:line="360" w:lineRule="auto"/>
              <w:jc w:val="center"/>
              <w:rPr>
                <w:rFonts w:hint="eastAsia" w:ascii="宋体" w:hAnsi="宋体" w:cs="宋体"/>
                <w:kern w:val="0"/>
              </w:rPr>
            </w:pPr>
            <w:r>
              <w:rPr>
                <w:rFonts w:hint="eastAsia" w:ascii="宋体" w:hAnsi="宋体" w:cs="宋体"/>
                <w:kern w:val="0"/>
              </w:rPr>
              <w:t>覆盖面积为58平方米，主要包括LED屏、配套操作系统、备件等。</w:t>
            </w:r>
          </w:p>
        </w:tc>
        <w:tc>
          <w:tcPr>
            <w:tcW w:w="3903" w:type="dxa"/>
            <w:noWrap/>
            <w:vAlign w:val="center"/>
          </w:tcPr>
          <w:p w14:paraId="7E5D1F97">
            <w:pPr>
              <w:widowControl/>
              <w:spacing w:line="360" w:lineRule="auto"/>
              <w:ind w:firstLine="174" w:firstLineChars="83"/>
              <w:jc w:val="center"/>
              <w:rPr>
                <w:rFonts w:hint="eastAsia" w:ascii="宋体" w:hAnsi="宋体" w:cs="宋体"/>
                <w:color w:val="000000"/>
                <w:kern w:val="0"/>
              </w:rPr>
            </w:pPr>
          </w:p>
        </w:tc>
        <w:tc>
          <w:tcPr>
            <w:tcW w:w="0" w:type="auto"/>
            <w:vAlign w:val="center"/>
          </w:tcPr>
          <w:p w14:paraId="5591D585">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6B93E49">
            <w:pPr>
              <w:widowControl/>
              <w:spacing w:line="360" w:lineRule="auto"/>
              <w:jc w:val="center"/>
              <w:rPr>
                <w:rFonts w:hint="eastAsia" w:ascii="宋体" w:hAnsi="宋体" w:cs="宋体"/>
                <w:kern w:val="0"/>
              </w:rPr>
            </w:pPr>
            <w:r>
              <w:rPr>
                <w:rFonts w:hint="eastAsia" w:ascii="宋体" w:hAnsi="宋体" w:cs="宋体"/>
                <w:kern w:val="0"/>
              </w:rPr>
              <w:t>套</w:t>
            </w:r>
          </w:p>
        </w:tc>
      </w:tr>
      <w:tr w14:paraId="4618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1311" w:type="dxa"/>
            <w:vMerge w:val="restart"/>
            <w:vAlign w:val="center"/>
          </w:tcPr>
          <w:p w14:paraId="17010A73">
            <w:pPr>
              <w:widowControl/>
              <w:spacing w:line="360" w:lineRule="auto"/>
              <w:jc w:val="center"/>
              <w:rPr>
                <w:rFonts w:hint="eastAsia" w:ascii="宋体" w:hAnsi="宋体" w:cs="宋体"/>
                <w:kern w:val="0"/>
              </w:rPr>
            </w:pPr>
            <w:r>
              <w:rPr>
                <w:rFonts w:hint="eastAsia" w:ascii="宋体" w:hAnsi="宋体" w:cs="宋体"/>
                <w:kern w:val="0"/>
              </w:rPr>
              <w:t>涉密管理终端</w:t>
            </w:r>
          </w:p>
        </w:tc>
        <w:tc>
          <w:tcPr>
            <w:tcW w:w="2234" w:type="dxa"/>
            <w:vAlign w:val="center"/>
          </w:tcPr>
          <w:p w14:paraId="1DFAA290">
            <w:pPr>
              <w:widowControl/>
              <w:spacing w:line="360" w:lineRule="auto"/>
              <w:jc w:val="center"/>
              <w:rPr>
                <w:rFonts w:hint="eastAsia" w:ascii="宋体" w:hAnsi="宋体" w:cs="宋体"/>
                <w:kern w:val="0"/>
              </w:rPr>
            </w:pPr>
            <w:r>
              <w:rPr>
                <w:rFonts w:hint="eastAsia" w:ascii="宋体" w:hAnsi="宋体" w:cs="宋体"/>
                <w:kern w:val="0"/>
              </w:rPr>
              <w:t>图形工作站</w:t>
            </w:r>
          </w:p>
        </w:tc>
        <w:tc>
          <w:tcPr>
            <w:tcW w:w="3903" w:type="dxa"/>
            <w:vAlign w:val="center"/>
          </w:tcPr>
          <w:p w14:paraId="333B3E69">
            <w:pPr>
              <w:widowControl/>
              <w:spacing w:line="360" w:lineRule="auto"/>
              <w:jc w:val="left"/>
              <w:rPr>
                <w:rFonts w:hint="eastAsia" w:ascii="宋体" w:hAnsi="宋体" w:cs="宋体"/>
                <w:kern w:val="0"/>
              </w:rPr>
            </w:pPr>
            <w:r>
              <w:rPr>
                <w:rFonts w:hint="eastAsia" w:ascii="宋体" w:hAnsi="宋体" w:cs="宋体"/>
                <w:kern w:val="0"/>
              </w:rPr>
              <w:t>1.处理器：intel Core i7-12700（12核心20线程 2.1主频）</w:t>
            </w:r>
            <w:r>
              <w:rPr>
                <w:rFonts w:hint="eastAsia" w:ascii="宋体" w:hAnsi="宋体" w:cs="宋体"/>
                <w:kern w:val="0"/>
              </w:rPr>
              <w:br w:type="textWrapping"/>
            </w:r>
            <w:r>
              <w:rPr>
                <w:rFonts w:hint="eastAsia" w:ascii="宋体" w:hAnsi="宋体" w:cs="宋体"/>
                <w:kern w:val="0"/>
              </w:rPr>
              <w:t>2.芯片组：intel W680芯片组</w:t>
            </w:r>
            <w:r>
              <w:rPr>
                <w:rFonts w:hint="eastAsia" w:ascii="宋体" w:hAnsi="宋体" w:cs="宋体"/>
                <w:kern w:val="0"/>
              </w:rPr>
              <w:br w:type="textWrapping"/>
            </w:r>
            <w:r>
              <w:rPr>
                <w:rFonts w:hint="eastAsia" w:ascii="宋体" w:hAnsi="宋体" w:cs="宋体"/>
                <w:kern w:val="0"/>
              </w:rPr>
              <w:t>3.内存：64GB DDR5 4800内存</w:t>
            </w:r>
            <w:r>
              <w:rPr>
                <w:rFonts w:hint="eastAsia" w:ascii="宋体" w:hAnsi="宋体" w:cs="宋体"/>
                <w:kern w:val="0"/>
              </w:rPr>
              <w:br w:type="textWrapping"/>
            </w:r>
            <w:r>
              <w:rPr>
                <w:rFonts w:hint="eastAsia" w:ascii="宋体" w:hAnsi="宋体" w:cs="宋体"/>
                <w:kern w:val="0"/>
              </w:rPr>
              <w:t>4.硬盘：256GB SSD+10TB SATA 7200转机械硬盘</w:t>
            </w:r>
            <w:r>
              <w:rPr>
                <w:rFonts w:hint="eastAsia" w:ascii="宋体" w:hAnsi="宋体" w:cs="宋体"/>
                <w:kern w:val="0"/>
              </w:rPr>
              <w:br w:type="textWrapping"/>
            </w:r>
            <w:r>
              <w:rPr>
                <w:rFonts w:hint="eastAsia" w:ascii="宋体" w:hAnsi="宋体" w:cs="宋体"/>
                <w:kern w:val="0"/>
              </w:rPr>
              <w:t>5.显卡：NVIDIA RTX3070 8GB 显卡</w:t>
            </w:r>
            <w:r>
              <w:rPr>
                <w:rFonts w:hint="eastAsia" w:ascii="宋体" w:hAnsi="宋体" w:cs="宋体"/>
                <w:kern w:val="0"/>
              </w:rPr>
              <w:br w:type="textWrapping"/>
            </w:r>
            <w:r>
              <w:rPr>
                <w:rFonts w:hint="eastAsia" w:ascii="宋体" w:hAnsi="宋体" w:cs="宋体"/>
                <w:kern w:val="0"/>
              </w:rPr>
              <w:t>6.网卡：集成千兆以太网口4个，万兆网口2个；电源：750W电源</w:t>
            </w:r>
          </w:p>
        </w:tc>
        <w:tc>
          <w:tcPr>
            <w:tcW w:w="0" w:type="auto"/>
            <w:vAlign w:val="center"/>
          </w:tcPr>
          <w:p w14:paraId="02D622A8">
            <w:pPr>
              <w:widowControl/>
              <w:spacing w:line="360" w:lineRule="auto"/>
              <w:jc w:val="center"/>
              <w:rPr>
                <w:rFonts w:hint="eastAsia" w:ascii="宋体" w:hAnsi="宋体" w:cs="宋体"/>
                <w:kern w:val="0"/>
              </w:rPr>
            </w:pPr>
            <w:r>
              <w:rPr>
                <w:rFonts w:hint="eastAsia" w:ascii="宋体" w:hAnsi="宋体" w:cs="宋体"/>
                <w:kern w:val="0"/>
              </w:rPr>
              <w:t>5</w:t>
            </w:r>
          </w:p>
        </w:tc>
        <w:tc>
          <w:tcPr>
            <w:tcW w:w="0" w:type="auto"/>
            <w:vAlign w:val="center"/>
          </w:tcPr>
          <w:p w14:paraId="6BFC38B5">
            <w:pPr>
              <w:widowControl/>
              <w:spacing w:line="360" w:lineRule="auto"/>
              <w:jc w:val="center"/>
              <w:rPr>
                <w:rFonts w:hint="eastAsia" w:ascii="宋体" w:hAnsi="宋体" w:cs="宋体"/>
                <w:kern w:val="0"/>
              </w:rPr>
            </w:pPr>
            <w:r>
              <w:rPr>
                <w:rFonts w:hint="eastAsia" w:ascii="宋体" w:hAnsi="宋体" w:cs="宋体"/>
                <w:kern w:val="0"/>
              </w:rPr>
              <w:t>台</w:t>
            </w:r>
          </w:p>
        </w:tc>
      </w:tr>
      <w:tr w14:paraId="303F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311" w:type="dxa"/>
            <w:vMerge w:val="continue"/>
            <w:vAlign w:val="center"/>
          </w:tcPr>
          <w:p w14:paraId="3074A0A6">
            <w:pPr>
              <w:widowControl/>
              <w:spacing w:line="360" w:lineRule="auto"/>
              <w:ind w:firstLine="480"/>
              <w:jc w:val="center"/>
              <w:rPr>
                <w:rFonts w:hint="eastAsia" w:ascii="宋体" w:hAnsi="宋体" w:cs="宋体"/>
                <w:kern w:val="0"/>
              </w:rPr>
            </w:pPr>
          </w:p>
        </w:tc>
        <w:tc>
          <w:tcPr>
            <w:tcW w:w="2234" w:type="dxa"/>
            <w:vAlign w:val="center"/>
          </w:tcPr>
          <w:p w14:paraId="0543C372">
            <w:pPr>
              <w:widowControl/>
              <w:spacing w:line="360" w:lineRule="auto"/>
              <w:jc w:val="center"/>
              <w:rPr>
                <w:rFonts w:hint="eastAsia" w:ascii="宋体" w:hAnsi="宋体" w:cs="宋体"/>
                <w:kern w:val="0"/>
              </w:rPr>
            </w:pPr>
            <w:r>
              <w:rPr>
                <w:rFonts w:hint="eastAsia" w:ascii="宋体" w:hAnsi="宋体" w:cs="宋体"/>
                <w:kern w:val="0"/>
              </w:rPr>
              <w:t>移动工作站</w:t>
            </w:r>
          </w:p>
        </w:tc>
        <w:tc>
          <w:tcPr>
            <w:tcW w:w="3903" w:type="dxa"/>
            <w:vAlign w:val="center"/>
          </w:tcPr>
          <w:p w14:paraId="13AD964D">
            <w:pPr>
              <w:widowControl/>
              <w:spacing w:line="360" w:lineRule="auto"/>
              <w:jc w:val="left"/>
              <w:rPr>
                <w:rFonts w:hint="eastAsia" w:ascii="宋体" w:hAnsi="宋体" w:cs="宋体"/>
                <w:kern w:val="0"/>
              </w:rPr>
            </w:pPr>
            <w:r>
              <w:rPr>
                <w:rFonts w:hint="eastAsia" w:ascii="宋体" w:hAnsi="宋体" w:cs="宋体"/>
                <w:kern w:val="0"/>
              </w:rPr>
              <w:t>英特尔第13代酷i9-13900H/96G 内存/8TB 固态硬盘/RTXA2000Ada显卡 16G</w:t>
            </w:r>
          </w:p>
        </w:tc>
        <w:tc>
          <w:tcPr>
            <w:tcW w:w="0" w:type="auto"/>
            <w:vAlign w:val="center"/>
          </w:tcPr>
          <w:p w14:paraId="056BD00F">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141978E3">
            <w:pPr>
              <w:widowControl/>
              <w:spacing w:line="360" w:lineRule="auto"/>
              <w:jc w:val="center"/>
              <w:rPr>
                <w:rFonts w:hint="eastAsia" w:ascii="宋体" w:hAnsi="宋体" w:cs="宋体"/>
                <w:kern w:val="0"/>
              </w:rPr>
            </w:pPr>
            <w:r>
              <w:rPr>
                <w:rFonts w:hint="eastAsia" w:ascii="宋体" w:hAnsi="宋体" w:cs="宋体"/>
                <w:kern w:val="0"/>
              </w:rPr>
              <w:t>台</w:t>
            </w:r>
          </w:p>
        </w:tc>
      </w:tr>
      <w:tr w14:paraId="6F0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11" w:type="dxa"/>
            <w:vMerge w:val="continue"/>
            <w:vAlign w:val="center"/>
          </w:tcPr>
          <w:p w14:paraId="0A7CE49C">
            <w:pPr>
              <w:widowControl/>
              <w:spacing w:line="360" w:lineRule="auto"/>
              <w:ind w:firstLine="480"/>
              <w:jc w:val="center"/>
              <w:rPr>
                <w:rFonts w:hint="eastAsia" w:ascii="宋体" w:hAnsi="宋体" w:cs="宋体"/>
                <w:kern w:val="0"/>
              </w:rPr>
            </w:pPr>
          </w:p>
        </w:tc>
        <w:tc>
          <w:tcPr>
            <w:tcW w:w="2234" w:type="dxa"/>
            <w:vAlign w:val="center"/>
          </w:tcPr>
          <w:p w14:paraId="745AF70E">
            <w:pPr>
              <w:widowControl/>
              <w:spacing w:line="360" w:lineRule="auto"/>
              <w:jc w:val="center"/>
              <w:rPr>
                <w:rFonts w:hint="eastAsia" w:ascii="宋体" w:hAnsi="宋体" w:cs="宋体"/>
                <w:kern w:val="0"/>
              </w:rPr>
            </w:pPr>
            <w:r>
              <w:rPr>
                <w:rFonts w:hint="eastAsia" w:ascii="宋体" w:hAnsi="宋体" w:cs="宋体"/>
                <w:kern w:val="0"/>
              </w:rPr>
              <w:t>移动存储</w:t>
            </w:r>
          </w:p>
        </w:tc>
        <w:tc>
          <w:tcPr>
            <w:tcW w:w="3903" w:type="dxa"/>
            <w:vAlign w:val="center"/>
          </w:tcPr>
          <w:p w14:paraId="60C4D1BD">
            <w:pPr>
              <w:widowControl/>
              <w:spacing w:line="360" w:lineRule="auto"/>
              <w:jc w:val="left"/>
              <w:rPr>
                <w:rFonts w:hint="eastAsia" w:ascii="宋体" w:hAnsi="宋体" w:cs="宋体"/>
                <w:kern w:val="0"/>
              </w:rPr>
            </w:pPr>
            <w:r>
              <w:rPr>
                <w:rFonts w:hint="eastAsia" w:ascii="宋体" w:hAnsi="宋体" w:cs="宋体"/>
                <w:kern w:val="0"/>
              </w:rPr>
              <w:t>群晖（Synology） DS2422+ 12盘位NAS磁盘列阵网络存储服务器 12块 3.84TB SSD硬盘</w:t>
            </w:r>
          </w:p>
        </w:tc>
        <w:tc>
          <w:tcPr>
            <w:tcW w:w="0" w:type="auto"/>
            <w:vAlign w:val="center"/>
          </w:tcPr>
          <w:p w14:paraId="79AF3106">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0F8AC90">
            <w:pPr>
              <w:widowControl/>
              <w:spacing w:line="360" w:lineRule="auto"/>
              <w:jc w:val="center"/>
              <w:rPr>
                <w:rFonts w:hint="eastAsia" w:ascii="宋体" w:hAnsi="宋体" w:cs="宋体"/>
                <w:kern w:val="0"/>
              </w:rPr>
            </w:pPr>
            <w:r>
              <w:rPr>
                <w:rFonts w:hint="eastAsia" w:ascii="宋体" w:hAnsi="宋体" w:cs="宋体"/>
                <w:kern w:val="0"/>
              </w:rPr>
              <w:t>套</w:t>
            </w:r>
          </w:p>
        </w:tc>
      </w:tr>
      <w:tr w14:paraId="5BEE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311" w:type="dxa"/>
            <w:vMerge w:val="restart"/>
            <w:vAlign w:val="center"/>
          </w:tcPr>
          <w:p w14:paraId="129F1AC6">
            <w:pPr>
              <w:widowControl/>
              <w:spacing w:line="360" w:lineRule="auto"/>
              <w:jc w:val="center"/>
              <w:rPr>
                <w:rFonts w:hint="eastAsia" w:ascii="宋体" w:hAnsi="宋体" w:cs="宋体"/>
                <w:kern w:val="0"/>
              </w:rPr>
            </w:pPr>
            <w:r>
              <w:rPr>
                <w:rFonts w:hint="eastAsia" w:ascii="宋体" w:hAnsi="宋体" w:cs="宋体"/>
                <w:kern w:val="0"/>
              </w:rPr>
              <w:t>涉密服务器</w:t>
            </w:r>
          </w:p>
        </w:tc>
        <w:tc>
          <w:tcPr>
            <w:tcW w:w="2234" w:type="dxa"/>
            <w:vAlign w:val="center"/>
          </w:tcPr>
          <w:p w14:paraId="7CD2CA35">
            <w:pPr>
              <w:widowControl/>
              <w:spacing w:line="360" w:lineRule="auto"/>
              <w:jc w:val="center"/>
              <w:rPr>
                <w:rFonts w:hint="eastAsia" w:ascii="宋体" w:hAnsi="宋体" w:cs="宋体"/>
                <w:kern w:val="0"/>
              </w:rPr>
            </w:pPr>
            <w:r>
              <w:rPr>
                <w:rFonts w:hint="eastAsia" w:ascii="宋体" w:hAnsi="宋体" w:cs="宋体"/>
                <w:kern w:val="0"/>
              </w:rPr>
              <w:t>数据库服务器</w:t>
            </w:r>
          </w:p>
        </w:tc>
        <w:tc>
          <w:tcPr>
            <w:tcW w:w="3903" w:type="dxa"/>
            <w:vAlign w:val="center"/>
          </w:tcPr>
          <w:p w14:paraId="3DA460DE">
            <w:pPr>
              <w:widowControl/>
              <w:spacing w:line="360" w:lineRule="auto"/>
              <w:jc w:val="left"/>
              <w:rPr>
                <w:rFonts w:hint="eastAsia" w:ascii="宋体" w:hAnsi="宋体" w:cs="宋体"/>
                <w:kern w:val="0"/>
              </w:rPr>
            </w:pPr>
            <w:r>
              <w:rPr>
                <w:rFonts w:hint="eastAsia" w:ascii="宋体" w:hAnsi="宋体" w:cs="宋体"/>
                <w:kern w:val="0"/>
              </w:rPr>
              <w:t>2U24盘位机架服务器机型</w:t>
            </w:r>
            <w:r>
              <w:rPr>
                <w:rFonts w:hint="eastAsia" w:ascii="宋体" w:hAnsi="宋体" w:cs="宋体"/>
                <w:kern w:val="0"/>
              </w:rPr>
              <w:br w:type="textWrapping"/>
            </w:r>
            <w:r>
              <w:rPr>
                <w:rFonts w:hint="eastAsia" w:ascii="宋体" w:hAnsi="宋体" w:cs="宋体"/>
                <w:kern w:val="0"/>
              </w:rPr>
              <w:t>处理器：Intel Xeon 4314 16C 2.4GHz 135W *2</w:t>
            </w:r>
            <w:r>
              <w:rPr>
                <w:rFonts w:hint="eastAsia" w:ascii="宋体" w:hAnsi="宋体" w:cs="宋体"/>
                <w:kern w:val="0"/>
              </w:rPr>
              <w:br w:type="textWrapping"/>
            </w:r>
            <w:r>
              <w:rPr>
                <w:rFonts w:hint="eastAsia" w:ascii="宋体" w:hAnsi="宋体" w:cs="宋体"/>
                <w:kern w:val="0"/>
              </w:rPr>
              <w:t>内存：32G_DDR4-3200MHz_ECC-RDIMM*4</w:t>
            </w:r>
            <w:r>
              <w:rPr>
                <w:rFonts w:hint="eastAsia" w:ascii="宋体" w:hAnsi="宋体" w:cs="宋体"/>
                <w:kern w:val="0"/>
              </w:rPr>
              <w:br w:type="textWrapping"/>
            </w:r>
            <w:r>
              <w:rPr>
                <w:rFonts w:hint="eastAsia" w:ascii="宋体" w:hAnsi="宋体" w:cs="宋体"/>
                <w:kern w:val="0"/>
              </w:rPr>
              <w:t>系统硬盘：SSD 480G *2</w:t>
            </w:r>
            <w:r>
              <w:rPr>
                <w:rFonts w:hint="eastAsia" w:ascii="宋体" w:hAnsi="宋体" w:cs="宋体"/>
                <w:kern w:val="0"/>
              </w:rPr>
              <w:br w:type="textWrapping"/>
            </w:r>
            <w:r>
              <w:rPr>
                <w:rFonts w:hint="eastAsia" w:ascii="宋体" w:hAnsi="宋体" w:cs="宋体"/>
                <w:kern w:val="0"/>
              </w:rPr>
              <w:t>数据盘：6T 7.2K SATA *5</w:t>
            </w:r>
            <w:r>
              <w:rPr>
                <w:rFonts w:hint="eastAsia" w:ascii="宋体" w:hAnsi="宋体" w:cs="宋体"/>
                <w:kern w:val="0"/>
              </w:rPr>
              <w:br w:type="textWrapping"/>
            </w:r>
            <w:r>
              <w:rPr>
                <w:rFonts w:hint="eastAsia" w:ascii="宋体" w:hAnsi="宋体" w:cs="宋体"/>
                <w:kern w:val="0"/>
              </w:rPr>
              <w:t>Raid卡：PM8204-8i_2G_12Gbps_M6*1</w:t>
            </w:r>
            <w:r>
              <w:rPr>
                <w:rFonts w:hint="eastAsia" w:ascii="宋体" w:hAnsi="宋体" w:cs="宋体"/>
                <w:kern w:val="0"/>
              </w:rPr>
              <w:br w:type="textWrapping"/>
            </w:r>
            <w:r>
              <w:rPr>
                <w:rFonts w:hint="eastAsia" w:ascii="宋体" w:hAnsi="宋体" w:cs="宋体"/>
                <w:kern w:val="0"/>
              </w:rPr>
              <w:t>网卡：四口千兆网卡+双口万兆网卡（含光模块）</w:t>
            </w:r>
            <w:r>
              <w:rPr>
                <w:rFonts w:hint="eastAsia" w:ascii="宋体" w:hAnsi="宋体" w:cs="宋体"/>
                <w:kern w:val="0"/>
              </w:rPr>
              <w:br w:type="textWrapping"/>
            </w:r>
            <w:r>
              <w:rPr>
                <w:rFonts w:hint="eastAsia" w:ascii="宋体" w:hAnsi="宋体" w:cs="宋体"/>
                <w:kern w:val="0"/>
              </w:rPr>
              <w:t>电源：800W 双电源</w:t>
            </w:r>
            <w:r>
              <w:rPr>
                <w:rFonts w:hint="eastAsia" w:ascii="宋体" w:hAnsi="宋体" w:cs="宋体"/>
                <w:kern w:val="0"/>
              </w:rPr>
              <w:br w:type="textWrapping"/>
            </w:r>
            <w:r>
              <w:rPr>
                <w:rFonts w:hint="eastAsia" w:ascii="宋体" w:hAnsi="宋体" w:cs="宋体"/>
                <w:kern w:val="0"/>
              </w:rPr>
              <w:t>标准导轨</w:t>
            </w:r>
            <w:r>
              <w:rPr>
                <w:rFonts w:hint="eastAsia" w:ascii="宋体" w:hAnsi="宋体" w:cs="宋体"/>
                <w:kern w:val="0"/>
              </w:rPr>
              <w:br w:type="textWrapping"/>
            </w:r>
            <w:r>
              <w:rPr>
                <w:rFonts w:hint="eastAsia" w:ascii="宋体" w:hAnsi="宋体" w:cs="宋体"/>
                <w:kern w:val="0"/>
              </w:rPr>
              <w:t>三年原厂质保，提供原厂售后服务承诺函，三年故障介质不返还服务。</w:t>
            </w:r>
          </w:p>
        </w:tc>
        <w:tc>
          <w:tcPr>
            <w:tcW w:w="0" w:type="auto"/>
            <w:vAlign w:val="center"/>
          </w:tcPr>
          <w:p w14:paraId="66250A2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6043EE8">
            <w:pPr>
              <w:widowControl/>
              <w:spacing w:line="360" w:lineRule="auto"/>
              <w:jc w:val="center"/>
              <w:rPr>
                <w:rFonts w:hint="eastAsia" w:ascii="宋体" w:hAnsi="宋体" w:cs="宋体"/>
                <w:kern w:val="0"/>
              </w:rPr>
            </w:pPr>
            <w:r>
              <w:rPr>
                <w:rFonts w:hint="eastAsia" w:ascii="宋体" w:hAnsi="宋体" w:cs="宋体"/>
                <w:kern w:val="0"/>
              </w:rPr>
              <w:t>台</w:t>
            </w:r>
          </w:p>
        </w:tc>
      </w:tr>
      <w:tr w14:paraId="571C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11" w:type="dxa"/>
            <w:vMerge w:val="continue"/>
            <w:vAlign w:val="center"/>
          </w:tcPr>
          <w:p w14:paraId="5B3FBBAC">
            <w:pPr>
              <w:widowControl/>
              <w:spacing w:line="360" w:lineRule="auto"/>
              <w:ind w:firstLine="480"/>
              <w:jc w:val="center"/>
              <w:rPr>
                <w:rFonts w:hint="eastAsia" w:ascii="宋体" w:hAnsi="宋体" w:cs="宋体"/>
                <w:kern w:val="0"/>
              </w:rPr>
            </w:pPr>
          </w:p>
        </w:tc>
        <w:tc>
          <w:tcPr>
            <w:tcW w:w="2234" w:type="dxa"/>
            <w:vAlign w:val="center"/>
          </w:tcPr>
          <w:p w14:paraId="370F9B50">
            <w:pPr>
              <w:widowControl/>
              <w:spacing w:line="360" w:lineRule="auto"/>
              <w:jc w:val="center"/>
              <w:rPr>
                <w:rFonts w:hint="eastAsia" w:ascii="宋体" w:hAnsi="宋体" w:cs="宋体"/>
                <w:kern w:val="0"/>
              </w:rPr>
            </w:pPr>
            <w:r>
              <w:rPr>
                <w:rFonts w:hint="eastAsia" w:ascii="宋体" w:hAnsi="宋体" w:cs="宋体"/>
                <w:kern w:val="0"/>
              </w:rPr>
              <w:t>存储服务器</w:t>
            </w:r>
          </w:p>
        </w:tc>
        <w:tc>
          <w:tcPr>
            <w:tcW w:w="3903" w:type="dxa"/>
            <w:vAlign w:val="center"/>
          </w:tcPr>
          <w:p w14:paraId="6CC62021">
            <w:pPr>
              <w:widowControl/>
              <w:spacing w:line="360" w:lineRule="auto"/>
              <w:jc w:val="left"/>
              <w:rPr>
                <w:rFonts w:hint="eastAsia" w:ascii="宋体" w:hAnsi="宋体" w:cs="宋体"/>
                <w:kern w:val="0"/>
              </w:rPr>
            </w:pPr>
            <w:r>
              <w:rPr>
                <w:rFonts w:hint="eastAsia" w:ascii="宋体" w:hAnsi="宋体" w:cs="宋体"/>
                <w:kern w:val="0"/>
              </w:rPr>
              <w:t>2U12盘位盘控一体 - 128GB缓存，双控制器架构；标配BBU+Flash；标配本地复制（快照、卷镜像、卷克隆、卷备份、迁移）、自精简、QoS、DRAID功能；标配8个1Gb  iSCSI主机接口，4个10GE主机接口。</w:t>
            </w:r>
            <w:r>
              <w:rPr>
                <w:rFonts w:hint="eastAsia" w:ascii="宋体" w:hAnsi="宋体" w:cs="宋体"/>
                <w:kern w:val="0"/>
              </w:rPr>
              <w:br w:type="textWrapping"/>
            </w:r>
            <w:r>
              <w:rPr>
                <w:rFonts w:hint="eastAsia" w:ascii="宋体" w:hAnsi="宋体" w:cs="宋体"/>
                <w:kern w:val="0"/>
              </w:rPr>
              <w:t>1、10Gbps以太网卡,SFP+光纤端口(含模块）*4</w:t>
            </w:r>
            <w:r>
              <w:rPr>
                <w:rFonts w:hint="eastAsia" w:ascii="宋体" w:hAnsi="宋体" w:cs="宋体"/>
                <w:kern w:val="0"/>
              </w:rPr>
              <w:br w:type="textWrapping"/>
            </w:r>
            <w:r>
              <w:rPr>
                <w:rFonts w:hint="eastAsia" w:ascii="宋体" w:hAnsi="宋体" w:cs="宋体"/>
                <w:kern w:val="0"/>
              </w:rPr>
              <w:t>2、配置10块NL_SAS硬盘，3.5寸，7.2K RPM 6TB，带专用磁盘托</w:t>
            </w:r>
            <w:r>
              <w:rPr>
                <w:rFonts w:hint="eastAsia" w:ascii="宋体" w:hAnsi="宋体" w:cs="宋体"/>
                <w:color w:val="000000"/>
                <w:kern w:val="0"/>
              </w:rPr>
              <w:t>架;裸容量60T。</w:t>
            </w:r>
            <w:r>
              <w:rPr>
                <w:rFonts w:hint="eastAsia" w:ascii="宋体" w:hAnsi="宋体" w:cs="宋体"/>
                <w:kern w:val="0"/>
              </w:rPr>
              <w:br w:type="textWrapping"/>
            </w:r>
            <w:r>
              <w:rPr>
                <w:rFonts w:hint="eastAsia" w:ascii="宋体" w:hAnsi="宋体" w:cs="宋体"/>
                <w:kern w:val="0"/>
              </w:rPr>
              <w:t>3、1块 SSD 960G SAS 12Gbps 硬盘</w:t>
            </w:r>
            <w:r>
              <w:rPr>
                <w:rFonts w:hint="eastAsia" w:ascii="宋体" w:hAnsi="宋体" w:cs="宋体"/>
                <w:kern w:val="0"/>
              </w:rPr>
              <w:br w:type="textWrapping"/>
            </w:r>
            <w:r>
              <w:rPr>
                <w:rFonts w:hint="eastAsia" w:ascii="宋体" w:hAnsi="宋体" w:cs="宋体"/>
                <w:kern w:val="0"/>
              </w:rPr>
              <w:t>4、三年原厂质保，提供原厂售后服务承诺函，三年故障介质不返还服务。</w:t>
            </w:r>
          </w:p>
        </w:tc>
        <w:tc>
          <w:tcPr>
            <w:tcW w:w="0" w:type="auto"/>
            <w:vAlign w:val="center"/>
          </w:tcPr>
          <w:p w14:paraId="07CB8A8D">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noWrap/>
            <w:vAlign w:val="center"/>
          </w:tcPr>
          <w:p w14:paraId="268F00BE">
            <w:pPr>
              <w:widowControl/>
              <w:spacing w:line="360" w:lineRule="auto"/>
              <w:jc w:val="center"/>
              <w:rPr>
                <w:rFonts w:hint="eastAsia" w:ascii="宋体" w:hAnsi="宋体" w:cs="宋体"/>
                <w:kern w:val="0"/>
              </w:rPr>
            </w:pPr>
            <w:r>
              <w:rPr>
                <w:rFonts w:hint="eastAsia" w:ascii="宋体" w:hAnsi="宋体" w:cs="宋体"/>
                <w:kern w:val="0"/>
              </w:rPr>
              <w:t>台</w:t>
            </w:r>
          </w:p>
        </w:tc>
      </w:tr>
      <w:tr w14:paraId="7718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11" w:type="dxa"/>
            <w:vMerge w:val="restart"/>
            <w:vAlign w:val="center"/>
          </w:tcPr>
          <w:p w14:paraId="6F9ED3C3">
            <w:pPr>
              <w:widowControl/>
              <w:spacing w:line="360" w:lineRule="auto"/>
              <w:jc w:val="center"/>
              <w:rPr>
                <w:rFonts w:hint="eastAsia" w:ascii="宋体" w:hAnsi="宋体" w:cs="宋体"/>
                <w:kern w:val="0"/>
              </w:rPr>
            </w:pPr>
            <w:r>
              <w:rPr>
                <w:rFonts w:hint="eastAsia" w:ascii="宋体" w:hAnsi="宋体" w:cs="宋体"/>
                <w:kern w:val="0"/>
              </w:rPr>
              <w:t>涉密数据分发管理软件</w:t>
            </w:r>
          </w:p>
        </w:tc>
        <w:tc>
          <w:tcPr>
            <w:tcW w:w="2234" w:type="dxa"/>
            <w:vAlign w:val="center"/>
          </w:tcPr>
          <w:p w14:paraId="3B2EE044">
            <w:pPr>
              <w:widowControl/>
              <w:spacing w:line="360" w:lineRule="auto"/>
              <w:jc w:val="center"/>
              <w:rPr>
                <w:rFonts w:hint="eastAsia" w:ascii="宋体" w:hAnsi="宋体" w:cs="宋体"/>
                <w:kern w:val="0"/>
              </w:rPr>
            </w:pPr>
            <w:r>
              <w:rPr>
                <w:rFonts w:hint="eastAsia" w:ascii="宋体" w:hAnsi="宋体" w:cs="宋体"/>
                <w:kern w:val="0"/>
              </w:rPr>
              <w:t>文件智能锁管理控制台</w:t>
            </w:r>
          </w:p>
        </w:tc>
        <w:tc>
          <w:tcPr>
            <w:tcW w:w="3903" w:type="dxa"/>
            <w:vAlign w:val="center"/>
          </w:tcPr>
          <w:p w14:paraId="105E776F">
            <w:pPr>
              <w:widowControl/>
              <w:spacing w:line="360" w:lineRule="auto"/>
              <w:jc w:val="left"/>
              <w:rPr>
                <w:rFonts w:hint="eastAsia" w:ascii="宋体" w:hAnsi="宋体" w:cs="宋体"/>
                <w:kern w:val="0"/>
              </w:rPr>
            </w:pPr>
            <w:r>
              <w:rPr>
                <w:rFonts w:hint="eastAsia" w:ascii="宋体" w:hAnsi="宋体" w:cs="宋体"/>
                <w:kern w:val="0"/>
              </w:rPr>
              <w:t>（1）文件处理：对任意格式数据进行加密和解密处理（2）密钥管理：根据数据领用单位或不同批次的数据生成用于数据加密的特定密钥；（3）生成授权：生成具有时间和范围限制的授权文件。（4）台账日志：记载文件被加解密的路径、密钥ID、描述等信息自动生成日志，便于事后进行查阅。</w:t>
            </w:r>
          </w:p>
        </w:tc>
        <w:tc>
          <w:tcPr>
            <w:tcW w:w="0" w:type="auto"/>
            <w:vAlign w:val="center"/>
          </w:tcPr>
          <w:p w14:paraId="131891E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0A2F835">
            <w:pPr>
              <w:widowControl/>
              <w:spacing w:line="360" w:lineRule="auto"/>
              <w:jc w:val="center"/>
              <w:rPr>
                <w:rFonts w:hint="eastAsia" w:ascii="宋体" w:hAnsi="宋体" w:cs="宋体"/>
                <w:kern w:val="0"/>
              </w:rPr>
            </w:pPr>
            <w:r>
              <w:rPr>
                <w:rFonts w:hint="eastAsia" w:ascii="宋体" w:hAnsi="宋体" w:cs="宋体"/>
                <w:kern w:val="0"/>
              </w:rPr>
              <w:t>套</w:t>
            </w:r>
          </w:p>
        </w:tc>
      </w:tr>
      <w:tr w14:paraId="490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311" w:type="dxa"/>
            <w:vMerge w:val="continue"/>
            <w:vAlign w:val="center"/>
          </w:tcPr>
          <w:p w14:paraId="0D37EAA6">
            <w:pPr>
              <w:widowControl/>
              <w:spacing w:line="360" w:lineRule="auto"/>
              <w:ind w:firstLine="480"/>
              <w:jc w:val="center"/>
              <w:rPr>
                <w:rFonts w:hint="eastAsia" w:ascii="宋体" w:hAnsi="宋体" w:cs="宋体"/>
                <w:kern w:val="0"/>
              </w:rPr>
            </w:pPr>
          </w:p>
        </w:tc>
        <w:tc>
          <w:tcPr>
            <w:tcW w:w="2234" w:type="dxa"/>
            <w:vAlign w:val="center"/>
          </w:tcPr>
          <w:p w14:paraId="35319FAC">
            <w:pPr>
              <w:widowControl/>
              <w:spacing w:line="360" w:lineRule="auto"/>
              <w:jc w:val="center"/>
              <w:rPr>
                <w:rFonts w:hint="eastAsia" w:ascii="宋体" w:hAnsi="宋体" w:cs="宋体"/>
                <w:kern w:val="0"/>
              </w:rPr>
            </w:pPr>
            <w:r>
              <w:rPr>
                <w:rFonts w:hint="eastAsia" w:ascii="宋体" w:hAnsi="宋体" w:cs="宋体"/>
                <w:kern w:val="0"/>
              </w:rPr>
              <w:t>文件智能锁外发客户端</w:t>
            </w:r>
          </w:p>
        </w:tc>
        <w:tc>
          <w:tcPr>
            <w:tcW w:w="3903" w:type="dxa"/>
            <w:vAlign w:val="center"/>
          </w:tcPr>
          <w:p w14:paraId="4BC75A42">
            <w:pPr>
              <w:widowControl/>
              <w:spacing w:line="360" w:lineRule="auto"/>
              <w:jc w:val="left"/>
              <w:rPr>
                <w:rFonts w:hint="eastAsia" w:ascii="宋体" w:hAnsi="宋体" w:cs="宋体"/>
                <w:kern w:val="0"/>
              </w:rPr>
            </w:pPr>
            <w:r>
              <w:rPr>
                <w:rFonts w:hint="eastAsia" w:ascii="宋体" w:hAnsi="宋体" w:cs="宋体"/>
                <w:kern w:val="0"/>
              </w:rPr>
              <w:t>（1）外发数据经管理控制台加密后外发，使用加密数据的电脑，安装外发客户端并获得授权后，可在规定的时间和授权范围内正常使用加密数据。基于加密数据复制、另存的数据均为加密状态，随意转借无效，授权到期数据无法正常打开。（2）不限制打开加密文件的应用程序数量。不改变程序的功能和日常操作习惯。不主动加密用户本机的非加密文件；</w:t>
            </w:r>
          </w:p>
        </w:tc>
        <w:tc>
          <w:tcPr>
            <w:tcW w:w="0" w:type="auto"/>
            <w:vAlign w:val="center"/>
          </w:tcPr>
          <w:p w14:paraId="39DE6879">
            <w:pPr>
              <w:widowControl/>
              <w:spacing w:line="360" w:lineRule="auto"/>
              <w:jc w:val="center"/>
              <w:rPr>
                <w:rFonts w:hint="eastAsia" w:ascii="宋体" w:hAnsi="宋体" w:cs="宋体"/>
                <w:kern w:val="0"/>
              </w:rPr>
            </w:pPr>
            <w:r>
              <w:rPr>
                <w:rFonts w:hint="eastAsia" w:ascii="宋体" w:hAnsi="宋体" w:cs="宋体"/>
                <w:kern w:val="0"/>
              </w:rPr>
              <w:t>200</w:t>
            </w:r>
          </w:p>
        </w:tc>
        <w:tc>
          <w:tcPr>
            <w:tcW w:w="0" w:type="auto"/>
            <w:vAlign w:val="center"/>
          </w:tcPr>
          <w:p w14:paraId="245AC346">
            <w:pPr>
              <w:widowControl/>
              <w:spacing w:line="360" w:lineRule="auto"/>
              <w:jc w:val="center"/>
              <w:rPr>
                <w:rFonts w:hint="eastAsia" w:ascii="宋体" w:hAnsi="宋体" w:cs="宋体"/>
                <w:kern w:val="0"/>
              </w:rPr>
            </w:pPr>
            <w:r>
              <w:rPr>
                <w:rFonts w:hint="eastAsia" w:ascii="宋体" w:hAnsi="宋体" w:cs="宋体"/>
                <w:kern w:val="0"/>
              </w:rPr>
              <w:t>节点</w:t>
            </w:r>
          </w:p>
        </w:tc>
      </w:tr>
      <w:tr w14:paraId="5FA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70ECFECF">
            <w:pPr>
              <w:widowControl/>
              <w:spacing w:line="360" w:lineRule="auto"/>
              <w:jc w:val="center"/>
              <w:rPr>
                <w:rFonts w:hint="eastAsia" w:ascii="宋体" w:hAnsi="宋体" w:cs="宋体"/>
                <w:kern w:val="0"/>
              </w:rPr>
            </w:pPr>
            <w:r>
              <w:rPr>
                <w:rFonts w:hint="eastAsia" w:ascii="宋体" w:hAnsi="宋体" w:cs="宋体"/>
                <w:kern w:val="0"/>
              </w:rPr>
              <w:t>涉密电源（红黑电源滤波隔离插座，防电磁波信息泄露）</w:t>
            </w:r>
          </w:p>
        </w:tc>
        <w:tc>
          <w:tcPr>
            <w:tcW w:w="2234" w:type="dxa"/>
            <w:vAlign w:val="center"/>
          </w:tcPr>
          <w:p w14:paraId="4EF83D2A">
            <w:pPr>
              <w:widowControl/>
              <w:spacing w:line="360" w:lineRule="auto"/>
              <w:jc w:val="center"/>
              <w:rPr>
                <w:rFonts w:hint="eastAsia" w:ascii="宋体" w:hAnsi="宋体" w:cs="宋体"/>
                <w:kern w:val="0"/>
              </w:rPr>
            </w:pPr>
          </w:p>
        </w:tc>
        <w:tc>
          <w:tcPr>
            <w:tcW w:w="3903" w:type="dxa"/>
            <w:vAlign w:val="center"/>
          </w:tcPr>
          <w:p w14:paraId="244F58BD">
            <w:pPr>
              <w:widowControl/>
              <w:spacing w:line="360" w:lineRule="auto"/>
              <w:jc w:val="center"/>
              <w:rPr>
                <w:rFonts w:hint="eastAsia" w:ascii="宋体" w:hAnsi="宋体" w:cs="宋体"/>
                <w:kern w:val="0"/>
              </w:rPr>
            </w:pPr>
          </w:p>
        </w:tc>
        <w:tc>
          <w:tcPr>
            <w:tcW w:w="0" w:type="auto"/>
            <w:noWrap/>
            <w:vAlign w:val="center"/>
          </w:tcPr>
          <w:p w14:paraId="130C1465">
            <w:pPr>
              <w:widowControl/>
              <w:spacing w:line="360" w:lineRule="auto"/>
              <w:jc w:val="center"/>
              <w:rPr>
                <w:rFonts w:hint="eastAsia" w:ascii="宋体" w:hAnsi="宋体" w:cs="宋体"/>
                <w:color w:val="000000"/>
                <w:kern w:val="0"/>
              </w:rPr>
            </w:pPr>
            <w:r>
              <w:rPr>
                <w:rFonts w:hint="eastAsia" w:ascii="宋体" w:hAnsi="宋体" w:cs="宋体"/>
                <w:color w:val="000000"/>
                <w:kern w:val="0"/>
              </w:rPr>
              <w:t>12</w:t>
            </w:r>
          </w:p>
        </w:tc>
        <w:tc>
          <w:tcPr>
            <w:tcW w:w="0" w:type="auto"/>
            <w:noWrap/>
            <w:vAlign w:val="center"/>
          </w:tcPr>
          <w:p w14:paraId="51770FF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206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02569682">
            <w:pPr>
              <w:widowControl/>
              <w:spacing w:line="360" w:lineRule="auto"/>
              <w:jc w:val="center"/>
              <w:rPr>
                <w:rFonts w:hint="eastAsia" w:ascii="宋体" w:hAnsi="宋体" w:cs="宋体"/>
                <w:kern w:val="0"/>
              </w:rPr>
            </w:pPr>
            <w:r>
              <w:rPr>
                <w:rFonts w:hint="eastAsia" w:ascii="宋体" w:hAnsi="宋体" w:cs="宋体"/>
                <w:kern w:val="0"/>
              </w:rPr>
              <w:t>涉密载体保密柜</w:t>
            </w:r>
          </w:p>
        </w:tc>
        <w:tc>
          <w:tcPr>
            <w:tcW w:w="2234" w:type="dxa"/>
            <w:vAlign w:val="center"/>
          </w:tcPr>
          <w:p w14:paraId="4ED8BADD">
            <w:pPr>
              <w:widowControl/>
              <w:spacing w:line="360" w:lineRule="auto"/>
              <w:jc w:val="center"/>
              <w:rPr>
                <w:rFonts w:hint="eastAsia" w:ascii="宋体" w:hAnsi="宋体" w:cs="宋体"/>
                <w:kern w:val="0"/>
              </w:rPr>
            </w:pPr>
          </w:p>
        </w:tc>
        <w:tc>
          <w:tcPr>
            <w:tcW w:w="3903" w:type="dxa"/>
            <w:vAlign w:val="center"/>
          </w:tcPr>
          <w:p w14:paraId="6B858E9F">
            <w:pPr>
              <w:widowControl/>
              <w:spacing w:line="360" w:lineRule="auto"/>
              <w:jc w:val="center"/>
              <w:rPr>
                <w:rFonts w:hint="eastAsia" w:ascii="宋体" w:hAnsi="宋体" w:cs="宋体"/>
                <w:kern w:val="0"/>
              </w:rPr>
            </w:pPr>
          </w:p>
        </w:tc>
        <w:tc>
          <w:tcPr>
            <w:tcW w:w="0" w:type="auto"/>
            <w:noWrap/>
            <w:vAlign w:val="center"/>
          </w:tcPr>
          <w:p w14:paraId="7DBD4E8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627AE9CF">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04C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676CE4F9">
            <w:pPr>
              <w:widowControl/>
              <w:spacing w:line="360" w:lineRule="auto"/>
              <w:jc w:val="center"/>
              <w:rPr>
                <w:rFonts w:hint="eastAsia" w:ascii="宋体" w:hAnsi="宋体" w:cs="宋体"/>
                <w:kern w:val="0"/>
              </w:rPr>
            </w:pPr>
            <w:r>
              <w:rPr>
                <w:rFonts w:hint="eastAsia" w:ascii="宋体" w:hAnsi="宋体" w:cs="宋体"/>
                <w:kern w:val="0"/>
              </w:rPr>
              <w:t>1号地图工程图纸柜</w:t>
            </w:r>
          </w:p>
        </w:tc>
        <w:tc>
          <w:tcPr>
            <w:tcW w:w="2234" w:type="dxa"/>
            <w:vAlign w:val="center"/>
          </w:tcPr>
          <w:p w14:paraId="57990364">
            <w:pPr>
              <w:widowControl/>
              <w:spacing w:line="360" w:lineRule="auto"/>
              <w:jc w:val="center"/>
              <w:rPr>
                <w:rFonts w:hint="eastAsia" w:ascii="宋体" w:hAnsi="宋体" w:cs="宋体"/>
                <w:kern w:val="0"/>
              </w:rPr>
            </w:pPr>
          </w:p>
        </w:tc>
        <w:tc>
          <w:tcPr>
            <w:tcW w:w="3903" w:type="dxa"/>
            <w:vAlign w:val="center"/>
          </w:tcPr>
          <w:p w14:paraId="2423F27D">
            <w:pPr>
              <w:widowControl/>
              <w:spacing w:line="360" w:lineRule="auto"/>
              <w:jc w:val="center"/>
              <w:rPr>
                <w:rFonts w:hint="eastAsia" w:ascii="宋体" w:hAnsi="宋体" w:cs="宋体"/>
                <w:kern w:val="0"/>
              </w:rPr>
            </w:pPr>
          </w:p>
        </w:tc>
        <w:tc>
          <w:tcPr>
            <w:tcW w:w="0" w:type="auto"/>
            <w:noWrap/>
            <w:vAlign w:val="center"/>
          </w:tcPr>
          <w:p w14:paraId="121A731D">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1BBEE0E0">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3E89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restart"/>
            <w:vAlign w:val="center"/>
          </w:tcPr>
          <w:p w14:paraId="2F90F701">
            <w:pPr>
              <w:widowControl/>
              <w:spacing w:line="360" w:lineRule="auto"/>
              <w:jc w:val="center"/>
              <w:rPr>
                <w:rFonts w:hint="eastAsia" w:ascii="宋体" w:hAnsi="宋体" w:cs="宋体"/>
                <w:kern w:val="0"/>
              </w:rPr>
            </w:pPr>
            <w:r>
              <w:rPr>
                <w:rFonts w:hint="eastAsia" w:ascii="宋体" w:hAnsi="宋体" w:cs="宋体"/>
                <w:kern w:val="0"/>
              </w:rPr>
              <w:t>GIS基础软件</w:t>
            </w:r>
          </w:p>
        </w:tc>
        <w:tc>
          <w:tcPr>
            <w:tcW w:w="2234" w:type="dxa"/>
            <w:vAlign w:val="center"/>
          </w:tcPr>
          <w:p w14:paraId="6760A82B">
            <w:pPr>
              <w:widowControl/>
              <w:spacing w:line="360" w:lineRule="auto"/>
              <w:jc w:val="center"/>
              <w:rPr>
                <w:rFonts w:hint="eastAsia" w:ascii="宋体" w:hAnsi="宋体" w:cs="宋体"/>
                <w:kern w:val="0"/>
              </w:rPr>
            </w:pPr>
            <w:r>
              <w:rPr>
                <w:rFonts w:hint="eastAsia" w:ascii="宋体" w:hAnsi="宋体" w:cs="宋体"/>
                <w:kern w:val="0"/>
              </w:rPr>
              <w:t>桌面GIS许可</w:t>
            </w:r>
          </w:p>
        </w:tc>
        <w:tc>
          <w:tcPr>
            <w:tcW w:w="3903" w:type="dxa"/>
            <w:vMerge w:val="restart"/>
            <w:vAlign w:val="center"/>
          </w:tcPr>
          <w:p w14:paraId="02206C6A">
            <w:pPr>
              <w:widowControl/>
              <w:spacing w:line="360" w:lineRule="auto"/>
              <w:ind w:firstLine="480"/>
              <w:jc w:val="center"/>
              <w:rPr>
                <w:rFonts w:hint="eastAsia" w:ascii="宋体" w:hAnsi="宋体" w:cs="宋体"/>
                <w:color w:val="FF0000"/>
                <w:kern w:val="0"/>
              </w:rPr>
            </w:pPr>
          </w:p>
        </w:tc>
        <w:tc>
          <w:tcPr>
            <w:tcW w:w="0" w:type="auto"/>
            <w:noWrap/>
            <w:vAlign w:val="center"/>
          </w:tcPr>
          <w:p w14:paraId="30EBDC7A">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0" w:type="auto"/>
            <w:noWrap/>
            <w:vAlign w:val="center"/>
          </w:tcPr>
          <w:p w14:paraId="6375F01D">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CD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3AB78A35">
            <w:pPr>
              <w:widowControl/>
              <w:spacing w:line="360" w:lineRule="auto"/>
              <w:ind w:firstLine="480"/>
              <w:jc w:val="center"/>
              <w:rPr>
                <w:rFonts w:hint="eastAsia" w:ascii="宋体" w:hAnsi="宋体" w:cs="宋体"/>
                <w:kern w:val="0"/>
              </w:rPr>
            </w:pPr>
          </w:p>
        </w:tc>
        <w:tc>
          <w:tcPr>
            <w:tcW w:w="2234" w:type="dxa"/>
            <w:vAlign w:val="center"/>
          </w:tcPr>
          <w:p w14:paraId="2E3DE587">
            <w:pPr>
              <w:widowControl/>
              <w:spacing w:line="360" w:lineRule="auto"/>
              <w:jc w:val="center"/>
              <w:rPr>
                <w:rFonts w:hint="eastAsia" w:ascii="宋体" w:hAnsi="宋体" w:cs="宋体"/>
                <w:kern w:val="0"/>
              </w:rPr>
            </w:pPr>
            <w:r>
              <w:rPr>
                <w:rFonts w:hint="eastAsia" w:ascii="宋体" w:hAnsi="宋体" w:cs="宋体"/>
                <w:kern w:val="0"/>
              </w:rPr>
              <w:t>服务GIS许可</w:t>
            </w:r>
          </w:p>
        </w:tc>
        <w:tc>
          <w:tcPr>
            <w:tcW w:w="3903" w:type="dxa"/>
            <w:vMerge w:val="continue"/>
            <w:vAlign w:val="center"/>
          </w:tcPr>
          <w:p w14:paraId="179B3075">
            <w:pPr>
              <w:widowControl/>
              <w:spacing w:line="360" w:lineRule="auto"/>
              <w:ind w:firstLine="480"/>
              <w:jc w:val="center"/>
              <w:rPr>
                <w:rFonts w:hint="eastAsia" w:ascii="宋体" w:hAnsi="宋体" w:cs="宋体"/>
                <w:color w:val="FF0000"/>
                <w:kern w:val="0"/>
              </w:rPr>
            </w:pPr>
          </w:p>
        </w:tc>
        <w:tc>
          <w:tcPr>
            <w:tcW w:w="0" w:type="auto"/>
            <w:noWrap/>
            <w:vAlign w:val="center"/>
          </w:tcPr>
          <w:p w14:paraId="379EA5C3">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5C49F897">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315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54C5AEAC">
            <w:pPr>
              <w:widowControl/>
              <w:spacing w:line="360" w:lineRule="auto"/>
              <w:ind w:firstLine="480"/>
              <w:jc w:val="center"/>
              <w:rPr>
                <w:rFonts w:hint="eastAsia" w:ascii="宋体" w:hAnsi="宋体" w:cs="宋体"/>
                <w:kern w:val="0"/>
              </w:rPr>
            </w:pPr>
          </w:p>
        </w:tc>
        <w:tc>
          <w:tcPr>
            <w:tcW w:w="2234" w:type="dxa"/>
            <w:vAlign w:val="center"/>
          </w:tcPr>
          <w:p w14:paraId="3ECADFFD">
            <w:pPr>
              <w:widowControl/>
              <w:spacing w:line="360" w:lineRule="auto"/>
              <w:jc w:val="center"/>
              <w:rPr>
                <w:rFonts w:hint="eastAsia" w:ascii="宋体" w:hAnsi="宋体" w:cs="宋体"/>
                <w:kern w:val="0"/>
              </w:rPr>
            </w:pPr>
            <w:r>
              <w:rPr>
                <w:rFonts w:hint="eastAsia" w:ascii="宋体" w:hAnsi="宋体" w:cs="宋体"/>
                <w:kern w:val="0"/>
              </w:rPr>
              <w:t>组件GIS许可</w:t>
            </w:r>
          </w:p>
        </w:tc>
        <w:tc>
          <w:tcPr>
            <w:tcW w:w="3903" w:type="dxa"/>
            <w:vMerge w:val="continue"/>
            <w:vAlign w:val="center"/>
          </w:tcPr>
          <w:p w14:paraId="07FFCF25">
            <w:pPr>
              <w:widowControl/>
              <w:spacing w:line="360" w:lineRule="auto"/>
              <w:ind w:firstLine="480"/>
              <w:jc w:val="center"/>
              <w:rPr>
                <w:rFonts w:hint="eastAsia" w:ascii="宋体" w:hAnsi="宋体" w:cs="宋体"/>
                <w:color w:val="FF0000"/>
                <w:kern w:val="0"/>
              </w:rPr>
            </w:pPr>
          </w:p>
        </w:tc>
        <w:tc>
          <w:tcPr>
            <w:tcW w:w="0" w:type="auto"/>
            <w:noWrap/>
            <w:vAlign w:val="center"/>
          </w:tcPr>
          <w:p w14:paraId="7BBA76EF">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3B71AD6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98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2F7DEAA6">
            <w:pPr>
              <w:widowControl/>
              <w:spacing w:line="360" w:lineRule="auto"/>
              <w:ind w:firstLine="480"/>
              <w:jc w:val="center"/>
              <w:rPr>
                <w:rFonts w:hint="eastAsia" w:ascii="宋体" w:hAnsi="宋体" w:cs="宋体"/>
                <w:kern w:val="0"/>
              </w:rPr>
            </w:pPr>
          </w:p>
        </w:tc>
        <w:tc>
          <w:tcPr>
            <w:tcW w:w="2234" w:type="dxa"/>
            <w:vAlign w:val="center"/>
          </w:tcPr>
          <w:p w14:paraId="0C9FA42C">
            <w:pPr>
              <w:widowControl/>
              <w:spacing w:line="360" w:lineRule="auto"/>
              <w:jc w:val="center"/>
              <w:rPr>
                <w:rFonts w:hint="eastAsia" w:ascii="宋体" w:hAnsi="宋体" w:cs="宋体"/>
                <w:kern w:val="0"/>
              </w:rPr>
            </w:pPr>
            <w:r>
              <w:rPr>
                <w:rFonts w:hint="eastAsia" w:ascii="宋体" w:hAnsi="宋体" w:cs="宋体"/>
                <w:kern w:val="0"/>
              </w:rPr>
              <w:t>三维扩展模块</w:t>
            </w:r>
          </w:p>
        </w:tc>
        <w:tc>
          <w:tcPr>
            <w:tcW w:w="3903" w:type="dxa"/>
            <w:vMerge w:val="continue"/>
            <w:vAlign w:val="center"/>
          </w:tcPr>
          <w:p w14:paraId="6369D27F">
            <w:pPr>
              <w:widowControl/>
              <w:spacing w:line="360" w:lineRule="auto"/>
              <w:ind w:firstLine="480"/>
              <w:jc w:val="center"/>
              <w:rPr>
                <w:rFonts w:hint="eastAsia" w:ascii="宋体" w:hAnsi="宋体" w:cs="宋体"/>
                <w:color w:val="FF0000"/>
                <w:kern w:val="0"/>
              </w:rPr>
            </w:pPr>
          </w:p>
        </w:tc>
        <w:tc>
          <w:tcPr>
            <w:tcW w:w="0" w:type="auto"/>
            <w:noWrap/>
            <w:vAlign w:val="center"/>
          </w:tcPr>
          <w:p w14:paraId="6DBD39E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0F638F7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bl>
    <w:p w14:paraId="21BAAD33">
      <w:pPr>
        <w:pStyle w:val="5"/>
        <w:ind w:firstLine="480"/>
        <w:jc w:val="center"/>
        <w:rPr>
          <w:rFonts w:hint="eastAsia" w:ascii="宋体" w:hAnsi="宋体" w:cs="宋体"/>
          <w:sz w:val="24"/>
        </w:rPr>
      </w:pPr>
      <w:r>
        <w:rPr>
          <w:rFonts w:hint="eastAsia" w:ascii="宋体" w:hAnsi="宋体" w:cs="宋体"/>
          <w:sz w:val="24"/>
        </w:rPr>
        <w:t>表 2云租赁清单</w:t>
      </w:r>
    </w:p>
    <w:tbl>
      <w:tblPr>
        <w:tblStyle w:val="22"/>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3551"/>
        <w:gridCol w:w="1855"/>
        <w:gridCol w:w="1390"/>
      </w:tblGrid>
      <w:tr w14:paraId="5F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1452" w:type="pct"/>
            <w:noWrap/>
            <w:vAlign w:val="center"/>
          </w:tcPr>
          <w:p w14:paraId="11934696">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设备名称</w:t>
            </w:r>
          </w:p>
        </w:tc>
        <w:tc>
          <w:tcPr>
            <w:tcW w:w="1853" w:type="pct"/>
            <w:noWrap/>
            <w:vAlign w:val="center"/>
          </w:tcPr>
          <w:p w14:paraId="5A079FCA">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规格参数</w:t>
            </w:r>
          </w:p>
        </w:tc>
        <w:tc>
          <w:tcPr>
            <w:tcW w:w="968" w:type="pct"/>
            <w:noWrap/>
            <w:vAlign w:val="center"/>
          </w:tcPr>
          <w:p w14:paraId="7189E42B">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数量</w:t>
            </w:r>
          </w:p>
        </w:tc>
        <w:tc>
          <w:tcPr>
            <w:tcW w:w="725" w:type="pct"/>
            <w:noWrap/>
            <w:vAlign w:val="center"/>
          </w:tcPr>
          <w:p w14:paraId="52033304">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单位</w:t>
            </w:r>
          </w:p>
        </w:tc>
      </w:tr>
      <w:tr w14:paraId="142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3D5653FC">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3E0CDD4">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16核128GB，电子政务外网</w:t>
            </w:r>
          </w:p>
        </w:tc>
        <w:tc>
          <w:tcPr>
            <w:tcW w:w="968" w:type="pct"/>
            <w:vAlign w:val="center"/>
          </w:tcPr>
          <w:p w14:paraId="52450B57">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3DD0F3D4">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53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32E27904">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54966DF">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16核128GB，自然资源业务专网</w:t>
            </w:r>
          </w:p>
        </w:tc>
        <w:tc>
          <w:tcPr>
            <w:tcW w:w="968" w:type="pct"/>
            <w:vAlign w:val="center"/>
          </w:tcPr>
          <w:p w14:paraId="5BFC3960">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7631F2D6">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34F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6328A4FE">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294E7F2A">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16核32GB，电子政务外网</w:t>
            </w:r>
          </w:p>
        </w:tc>
        <w:tc>
          <w:tcPr>
            <w:tcW w:w="968" w:type="pct"/>
            <w:vAlign w:val="center"/>
          </w:tcPr>
          <w:p w14:paraId="43712E66">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680DC51C">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5646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5512B68A">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49F1AA9E">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16核32GB，自然资源业务专网</w:t>
            </w:r>
          </w:p>
        </w:tc>
        <w:tc>
          <w:tcPr>
            <w:tcW w:w="968" w:type="pct"/>
            <w:vAlign w:val="center"/>
          </w:tcPr>
          <w:p w14:paraId="572B4B1C">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32ED579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41E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52" w:type="pct"/>
            <w:vAlign w:val="center"/>
          </w:tcPr>
          <w:p w14:paraId="66F826DC">
            <w:pPr>
              <w:widowControl/>
              <w:spacing w:line="360" w:lineRule="auto"/>
              <w:jc w:val="center"/>
              <w:rPr>
                <w:rFonts w:hint="eastAsia" w:ascii="宋体" w:hAnsi="宋体" w:cs="宋体"/>
                <w:color w:val="000000"/>
                <w:kern w:val="0"/>
              </w:rPr>
            </w:pPr>
            <w:r>
              <w:rPr>
                <w:rFonts w:hint="eastAsia" w:ascii="宋体" w:hAnsi="宋体" w:cs="宋体"/>
                <w:color w:val="000000"/>
                <w:kern w:val="0"/>
              </w:rPr>
              <w:t>操作系统</w:t>
            </w:r>
          </w:p>
        </w:tc>
        <w:tc>
          <w:tcPr>
            <w:tcW w:w="1853" w:type="pct"/>
            <w:vAlign w:val="center"/>
          </w:tcPr>
          <w:p w14:paraId="58F7ACB9">
            <w:pPr>
              <w:widowControl/>
              <w:spacing w:line="360" w:lineRule="auto"/>
              <w:jc w:val="center"/>
              <w:rPr>
                <w:rFonts w:hint="eastAsia" w:ascii="宋体" w:hAnsi="宋体" w:cs="宋体"/>
                <w:color w:val="000000"/>
                <w:kern w:val="0"/>
              </w:rPr>
            </w:pPr>
            <w:r>
              <w:rPr>
                <w:rFonts w:hint="eastAsia" w:ascii="宋体" w:hAnsi="宋体" w:cs="宋体"/>
                <w:color w:val="000000"/>
                <w:kern w:val="0"/>
              </w:rPr>
              <w:t>国产 Linux 操作系统服务/Windows server 2012或以上</w:t>
            </w:r>
          </w:p>
        </w:tc>
        <w:tc>
          <w:tcPr>
            <w:tcW w:w="968" w:type="pct"/>
            <w:vAlign w:val="center"/>
          </w:tcPr>
          <w:p w14:paraId="30AA1724">
            <w:pPr>
              <w:widowControl/>
              <w:spacing w:line="360" w:lineRule="auto"/>
              <w:jc w:val="center"/>
              <w:rPr>
                <w:rFonts w:hint="eastAsia" w:ascii="宋体" w:hAnsi="宋体" w:cs="宋体"/>
                <w:color w:val="000000"/>
                <w:kern w:val="0"/>
              </w:rPr>
            </w:pPr>
            <w:r>
              <w:rPr>
                <w:rFonts w:hint="eastAsia" w:ascii="宋体" w:hAnsi="宋体" w:cs="宋体"/>
                <w:color w:val="000000"/>
                <w:kern w:val="0"/>
              </w:rPr>
              <w:t>10</w:t>
            </w:r>
          </w:p>
        </w:tc>
        <w:tc>
          <w:tcPr>
            <w:tcW w:w="725" w:type="pct"/>
            <w:vAlign w:val="center"/>
          </w:tcPr>
          <w:p w14:paraId="08468311">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714C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Merge w:val="restart"/>
            <w:vAlign w:val="center"/>
          </w:tcPr>
          <w:p w14:paraId="0056BCBD">
            <w:pPr>
              <w:widowControl/>
              <w:spacing w:line="360" w:lineRule="auto"/>
              <w:jc w:val="center"/>
              <w:rPr>
                <w:rFonts w:hint="eastAsia" w:ascii="宋体" w:hAnsi="宋体" w:cs="宋体"/>
                <w:color w:val="000000"/>
                <w:kern w:val="0"/>
              </w:rPr>
            </w:pPr>
            <w:r>
              <w:rPr>
                <w:rFonts w:hint="eastAsia" w:ascii="宋体" w:hAnsi="宋体" w:cs="宋体"/>
                <w:color w:val="000000"/>
                <w:kern w:val="0"/>
              </w:rPr>
              <w:t>存储和备份</w:t>
            </w:r>
          </w:p>
        </w:tc>
        <w:tc>
          <w:tcPr>
            <w:tcW w:w="1853" w:type="pct"/>
            <w:vAlign w:val="center"/>
          </w:tcPr>
          <w:p w14:paraId="1A934759">
            <w:pPr>
              <w:widowControl/>
              <w:spacing w:line="360" w:lineRule="auto"/>
              <w:jc w:val="center"/>
              <w:rPr>
                <w:rFonts w:hint="eastAsia" w:ascii="宋体" w:hAnsi="宋体" w:cs="宋体"/>
                <w:color w:val="000000"/>
                <w:kern w:val="0"/>
              </w:rPr>
            </w:pPr>
            <w:r>
              <w:rPr>
                <w:rFonts w:hint="eastAsia" w:ascii="宋体" w:hAnsi="宋体" w:cs="宋体"/>
                <w:color w:val="000000"/>
                <w:kern w:val="0"/>
              </w:rPr>
              <w:t>50T政务外网</w:t>
            </w:r>
          </w:p>
        </w:tc>
        <w:tc>
          <w:tcPr>
            <w:tcW w:w="968" w:type="pct"/>
            <w:vAlign w:val="center"/>
          </w:tcPr>
          <w:p w14:paraId="1F24ED03">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66A55F77">
            <w:pPr>
              <w:widowControl/>
              <w:spacing w:line="360" w:lineRule="auto"/>
              <w:jc w:val="center"/>
              <w:rPr>
                <w:rFonts w:hint="eastAsia" w:ascii="宋体" w:hAnsi="宋体" w:cs="宋体"/>
                <w:color w:val="000000"/>
                <w:kern w:val="0"/>
              </w:rPr>
            </w:pPr>
            <w:r>
              <w:rPr>
                <w:rFonts w:hint="eastAsia" w:ascii="宋体" w:hAnsi="宋体" w:cs="宋体"/>
                <w:color w:val="000000"/>
                <w:kern w:val="0"/>
              </w:rPr>
              <w:t>T</w:t>
            </w:r>
          </w:p>
        </w:tc>
      </w:tr>
      <w:tr w14:paraId="0BCD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Merge w:val="continue"/>
            <w:vAlign w:val="center"/>
          </w:tcPr>
          <w:p w14:paraId="154BD5A4">
            <w:pPr>
              <w:widowControl/>
              <w:spacing w:line="360" w:lineRule="auto"/>
              <w:ind w:firstLine="480"/>
              <w:jc w:val="center"/>
              <w:rPr>
                <w:rFonts w:hint="eastAsia" w:ascii="宋体" w:hAnsi="宋体" w:cs="宋体"/>
                <w:color w:val="000000"/>
                <w:kern w:val="0"/>
              </w:rPr>
            </w:pPr>
          </w:p>
        </w:tc>
        <w:tc>
          <w:tcPr>
            <w:tcW w:w="1853" w:type="pct"/>
            <w:noWrap/>
            <w:vAlign w:val="center"/>
          </w:tcPr>
          <w:p w14:paraId="194FBE3C">
            <w:pPr>
              <w:widowControl/>
              <w:spacing w:line="360" w:lineRule="auto"/>
              <w:jc w:val="center"/>
              <w:rPr>
                <w:rFonts w:hint="eastAsia" w:ascii="宋体" w:hAnsi="宋体" w:cs="宋体"/>
                <w:color w:val="000000"/>
                <w:kern w:val="0"/>
              </w:rPr>
            </w:pPr>
            <w:r>
              <w:rPr>
                <w:rFonts w:hint="eastAsia" w:ascii="宋体" w:hAnsi="宋体" w:cs="宋体"/>
                <w:color w:val="000000"/>
                <w:kern w:val="0"/>
              </w:rPr>
              <w:t>50T自然资源专网</w:t>
            </w:r>
          </w:p>
        </w:tc>
        <w:tc>
          <w:tcPr>
            <w:tcW w:w="968" w:type="pct"/>
            <w:vAlign w:val="center"/>
          </w:tcPr>
          <w:p w14:paraId="2341CC7B">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2E4E4581">
            <w:pPr>
              <w:widowControl/>
              <w:spacing w:line="360" w:lineRule="auto"/>
              <w:jc w:val="center"/>
              <w:rPr>
                <w:rFonts w:hint="eastAsia" w:ascii="宋体" w:hAnsi="宋体" w:cs="宋体"/>
                <w:color w:val="000000"/>
                <w:kern w:val="0"/>
              </w:rPr>
            </w:pPr>
            <w:r>
              <w:rPr>
                <w:rFonts w:hint="eastAsia" w:ascii="宋体" w:hAnsi="宋体" w:cs="宋体"/>
                <w:color w:val="000000"/>
                <w:kern w:val="0"/>
              </w:rPr>
              <w:t>9</w:t>
            </w:r>
          </w:p>
        </w:tc>
      </w:tr>
      <w:tr w14:paraId="5936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59B32959">
            <w:pPr>
              <w:widowControl/>
              <w:spacing w:line="360" w:lineRule="auto"/>
              <w:jc w:val="center"/>
              <w:rPr>
                <w:rFonts w:hint="eastAsia" w:ascii="宋体" w:hAnsi="宋体" w:cs="宋体"/>
                <w:color w:val="000000"/>
                <w:kern w:val="0"/>
              </w:rPr>
            </w:pPr>
            <w:r>
              <w:rPr>
                <w:rFonts w:hint="eastAsia" w:ascii="宋体" w:hAnsi="宋体" w:cs="宋体"/>
                <w:color w:val="000000"/>
                <w:kern w:val="0"/>
              </w:rPr>
              <w:t>专线</w:t>
            </w:r>
          </w:p>
        </w:tc>
        <w:tc>
          <w:tcPr>
            <w:tcW w:w="1853" w:type="pct"/>
            <w:vAlign w:val="center"/>
          </w:tcPr>
          <w:p w14:paraId="49462E46">
            <w:pPr>
              <w:widowControl/>
              <w:spacing w:line="360" w:lineRule="auto"/>
              <w:jc w:val="center"/>
              <w:rPr>
                <w:rFonts w:hint="eastAsia" w:ascii="宋体" w:hAnsi="宋体" w:cs="宋体"/>
                <w:color w:val="000000"/>
                <w:kern w:val="0"/>
              </w:rPr>
            </w:pPr>
            <w:r>
              <w:rPr>
                <w:rFonts w:hint="eastAsia" w:ascii="宋体" w:hAnsi="宋体" w:cs="宋体"/>
                <w:color w:val="000000"/>
                <w:kern w:val="0"/>
              </w:rPr>
              <w:t>自然资源专线（100M）</w:t>
            </w:r>
          </w:p>
        </w:tc>
        <w:tc>
          <w:tcPr>
            <w:tcW w:w="968" w:type="pct"/>
            <w:noWrap/>
            <w:vAlign w:val="center"/>
          </w:tcPr>
          <w:p w14:paraId="2469FF56">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117539CC">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6D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452" w:type="pct"/>
            <w:noWrap/>
            <w:vAlign w:val="center"/>
          </w:tcPr>
          <w:p w14:paraId="2D0A203C">
            <w:pPr>
              <w:widowControl/>
              <w:spacing w:line="360" w:lineRule="auto"/>
              <w:jc w:val="center"/>
              <w:rPr>
                <w:rFonts w:hint="eastAsia" w:ascii="宋体" w:hAnsi="宋体" w:cs="宋体"/>
                <w:color w:val="000000"/>
                <w:kern w:val="0"/>
              </w:rPr>
            </w:pPr>
            <w:r>
              <w:rPr>
                <w:rFonts w:hint="eastAsia" w:ascii="宋体" w:hAnsi="宋体" w:cs="宋体"/>
                <w:color w:val="000000"/>
                <w:kern w:val="0"/>
              </w:rPr>
              <w:t>云安全</w:t>
            </w:r>
          </w:p>
        </w:tc>
        <w:tc>
          <w:tcPr>
            <w:tcW w:w="1853" w:type="pct"/>
            <w:vAlign w:val="center"/>
          </w:tcPr>
          <w:p w14:paraId="78836C65">
            <w:pPr>
              <w:widowControl/>
              <w:spacing w:line="360" w:lineRule="auto"/>
              <w:jc w:val="center"/>
              <w:rPr>
                <w:rFonts w:hint="eastAsia" w:ascii="宋体" w:hAnsi="宋体" w:cs="宋体"/>
                <w:color w:val="000000"/>
                <w:kern w:val="0"/>
              </w:rPr>
            </w:pPr>
            <w:r>
              <w:rPr>
                <w:rFonts w:hint="eastAsia" w:ascii="宋体" w:hAnsi="宋体" w:cs="宋体"/>
                <w:color w:val="000000"/>
                <w:kern w:val="0"/>
              </w:rPr>
              <w:t>虚拟防火墙、虚拟Web应用防火墙、虚拟堡垒机、漏洞扫描、负载均衡等，满足等保三级测评需求。</w:t>
            </w:r>
          </w:p>
        </w:tc>
        <w:tc>
          <w:tcPr>
            <w:tcW w:w="968" w:type="pct"/>
            <w:noWrap/>
            <w:vAlign w:val="center"/>
          </w:tcPr>
          <w:p w14:paraId="64E24D49">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58BBC741">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3E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452" w:type="pct"/>
            <w:noWrap/>
            <w:vAlign w:val="center"/>
          </w:tcPr>
          <w:p w14:paraId="146D5E6D">
            <w:pPr>
              <w:widowControl/>
              <w:spacing w:line="360" w:lineRule="auto"/>
              <w:jc w:val="center"/>
              <w:rPr>
                <w:rFonts w:hint="eastAsia" w:ascii="宋体" w:hAnsi="宋体" w:cs="宋体"/>
                <w:color w:val="000000"/>
                <w:kern w:val="0"/>
              </w:rPr>
            </w:pPr>
            <w:r>
              <w:rPr>
                <w:rFonts w:hint="eastAsia" w:ascii="宋体" w:hAnsi="宋体" w:cs="宋体"/>
                <w:color w:val="000000"/>
                <w:kern w:val="0"/>
              </w:rPr>
              <w:t>数据库</w:t>
            </w:r>
          </w:p>
        </w:tc>
        <w:tc>
          <w:tcPr>
            <w:tcW w:w="1853" w:type="pct"/>
            <w:vAlign w:val="center"/>
          </w:tcPr>
          <w:p w14:paraId="42CC36F1">
            <w:pPr>
              <w:widowControl/>
              <w:spacing w:line="360" w:lineRule="auto"/>
              <w:jc w:val="center"/>
              <w:rPr>
                <w:rFonts w:hint="eastAsia" w:ascii="宋体" w:hAnsi="宋体" w:cs="宋体"/>
                <w:color w:val="000000"/>
                <w:kern w:val="0"/>
              </w:rPr>
            </w:pPr>
            <w:r>
              <w:rPr>
                <w:rFonts w:hint="eastAsia" w:ascii="宋体" w:hAnsi="宋体" w:cs="宋体"/>
                <w:color w:val="000000"/>
                <w:kern w:val="0"/>
              </w:rPr>
              <w:t>PostgresSQL、MongoDB等</w:t>
            </w:r>
          </w:p>
        </w:tc>
        <w:tc>
          <w:tcPr>
            <w:tcW w:w="968" w:type="pct"/>
            <w:noWrap/>
            <w:vAlign w:val="center"/>
          </w:tcPr>
          <w:p w14:paraId="2F648FFF">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FF4F850">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60E1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52" w:type="pct"/>
            <w:noWrap/>
            <w:vAlign w:val="center"/>
          </w:tcPr>
          <w:p w14:paraId="3BCFB7F4">
            <w:pPr>
              <w:widowControl/>
              <w:spacing w:line="360" w:lineRule="auto"/>
              <w:jc w:val="center"/>
              <w:rPr>
                <w:rFonts w:hint="eastAsia" w:ascii="宋体" w:hAnsi="宋体" w:cs="宋体"/>
                <w:color w:val="000000"/>
                <w:kern w:val="0"/>
              </w:rPr>
            </w:pPr>
            <w:r>
              <w:rPr>
                <w:rFonts w:hint="eastAsia" w:ascii="宋体" w:hAnsi="宋体" w:cs="宋体"/>
                <w:color w:val="000000"/>
                <w:kern w:val="0"/>
              </w:rPr>
              <w:t>开源中间件</w:t>
            </w:r>
          </w:p>
        </w:tc>
        <w:tc>
          <w:tcPr>
            <w:tcW w:w="1853" w:type="pct"/>
            <w:noWrap/>
            <w:vAlign w:val="center"/>
          </w:tcPr>
          <w:p w14:paraId="2AD0EEC6">
            <w:pPr>
              <w:widowControl/>
              <w:spacing w:line="360" w:lineRule="auto"/>
              <w:jc w:val="center"/>
              <w:rPr>
                <w:rFonts w:hint="eastAsia" w:ascii="宋体" w:hAnsi="宋体" w:cs="宋体"/>
                <w:color w:val="000000"/>
                <w:kern w:val="0"/>
              </w:rPr>
            </w:pPr>
            <w:r>
              <w:rPr>
                <w:rFonts w:hint="eastAsia" w:ascii="宋体" w:hAnsi="宋体" w:cs="宋体"/>
                <w:color w:val="000000"/>
                <w:kern w:val="0"/>
              </w:rPr>
              <w:t>包含Tomcat、Apache等</w:t>
            </w:r>
          </w:p>
        </w:tc>
        <w:tc>
          <w:tcPr>
            <w:tcW w:w="968" w:type="pct"/>
            <w:noWrap/>
            <w:vAlign w:val="center"/>
          </w:tcPr>
          <w:p w14:paraId="2C64E152">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524D3E4">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bl>
    <w:p w14:paraId="4BFC76D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16.多测合一信息服务平台</w:t>
      </w:r>
    </w:p>
    <w:p w14:paraId="2F6924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多测合一”信息服务平台建设落实国务院“多规合一”的要求，把地籍调查、勘测定界、规划监督测量、房产测量等进行统一，解决技术标准繁杂、相互不衔接、房屋建筑面积计算规则不一致、数出多门等问题。通过整合工程建设项目测绘事项、优化测绘流程、统一技术标准规范、强化成果共享互认、完善测绘行业管理制度，实现对同一标的物只测一次、同一测绘事项由一家测绘单位承担、同一测绘成果只提交一次的目标，从而提高审批效率，减轻行政相对人负担。</w:t>
      </w:r>
    </w:p>
    <w:p w14:paraId="6FA17468">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四、服务要求及其他</w:t>
      </w:r>
      <w:bookmarkEnd w:id="189"/>
      <w:bookmarkEnd w:id="190"/>
      <w:bookmarkEnd w:id="191"/>
    </w:p>
    <w:p w14:paraId="1FFBB7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1.通过本项目建设，形成满足河南省自然资源厅、自然资源部相关要求的实景三维三门峡建设成果，并协助甲方完成逐级汇交。</w:t>
      </w:r>
    </w:p>
    <w:p w14:paraId="16CD2DB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585F74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3.供应商应具有丰富的实战经验及较强的综合实力，具有承担同类项目的业绩和相关技术证书，能够为采购人提供优质的服务。</w:t>
      </w:r>
    </w:p>
    <w:p w14:paraId="610C48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4.项目管理人员配备要求：供应商应根据本项目性质、规模和相关技术要求配备与本项目相适应专业管理、技术人员。</w:t>
      </w:r>
    </w:p>
    <w:p w14:paraId="2F34D2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187B24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6.按照省级及本级实施方案统一要求，2025年12月31日前，完成本项目其他工作内容。</w:t>
      </w:r>
    </w:p>
    <w:p w14:paraId="4740AD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7.报价要求：供应商的报价应含有所有服务、所有材料、劳务、利润、税金、政策性文件、招标文件及合同包含的所有风险、责任、义务等为完成本项目要求的服务内容所包含的一切应有费用。</w:t>
      </w:r>
    </w:p>
    <w:p w14:paraId="1753F6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8.服务期限：自合同签订生效之日起至通过验收。</w:t>
      </w:r>
    </w:p>
    <w:p w14:paraId="0B171F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9.服务地点：三门峡市。</w:t>
      </w:r>
    </w:p>
    <w:p w14:paraId="111B33E4">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219" w:name="_Toc21091"/>
      <w:bookmarkStart w:id="220" w:name="_Toc7809"/>
      <w:bookmarkStart w:id="221" w:name="_Toc16530"/>
      <w:r>
        <w:rPr>
          <w:rFonts w:hint="eastAsia" w:ascii="宋体" w:hAnsi="宋体" w:cs="宋体"/>
          <w:sz w:val="24"/>
          <w:szCs w:val="24"/>
        </w:rPr>
        <w:t>五、验收要求</w:t>
      </w:r>
      <w:bookmarkEnd w:id="219"/>
      <w:bookmarkEnd w:id="220"/>
      <w:bookmarkEnd w:id="221"/>
    </w:p>
    <w:p w14:paraId="5BA2640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7FE45534">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75A5A4F9">
      <w:pPr>
        <w:rPr>
          <w:rFonts w:hint="eastAsia" w:ascii="宋体" w:hAnsi="宋体" w:cs="宋体"/>
        </w:rPr>
      </w:pPr>
      <w:r>
        <w:rPr>
          <w:rFonts w:hint="eastAsia" w:ascii="宋体" w:hAnsi="宋体" w:cs="宋体"/>
        </w:rPr>
        <w:br w:type="page"/>
      </w:r>
    </w:p>
    <w:p w14:paraId="6EB6D2AD">
      <w:pPr>
        <w:pStyle w:val="2"/>
        <w:spacing w:before="0" w:after="0" w:line="360" w:lineRule="auto"/>
        <w:ind w:firstLine="482" w:firstLineChars="200"/>
        <w:rPr>
          <w:rFonts w:hint="eastAsia" w:ascii="宋体" w:hAnsi="宋体" w:cs="宋体"/>
          <w:sz w:val="24"/>
          <w:szCs w:val="24"/>
        </w:rPr>
      </w:pPr>
      <w:bookmarkStart w:id="222" w:name="_Toc11991"/>
      <w:bookmarkStart w:id="223" w:name="_Toc19116"/>
      <w:bookmarkStart w:id="224" w:name="_Toc2815"/>
      <w:r>
        <w:rPr>
          <w:rFonts w:hint="eastAsia" w:ascii="宋体" w:hAnsi="宋体" w:cs="宋体"/>
          <w:sz w:val="24"/>
          <w:szCs w:val="24"/>
        </w:rPr>
        <w:t>包2：</w:t>
      </w:r>
      <w:bookmarkEnd w:id="222"/>
      <w:bookmarkEnd w:id="223"/>
      <w:bookmarkEnd w:id="224"/>
    </w:p>
    <w:p w14:paraId="76BD182D">
      <w:pPr>
        <w:pStyle w:val="2"/>
        <w:spacing w:before="0" w:after="0" w:line="360" w:lineRule="auto"/>
        <w:ind w:firstLine="482" w:firstLineChars="200"/>
        <w:rPr>
          <w:rFonts w:hint="eastAsia" w:ascii="宋体" w:hAnsi="宋体" w:cs="宋体"/>
          <w:sz w:val="24"/>
          <w:szCs w:val="24"/>
        </w:rPr>
      </w:pPr>
      <w:bookmarkStart w:id="225" w:name="_Toc5404"/>
      <w:bookmarkStart w:id="226" w:name="_Toc25358"/>
      <w:bookmarkStart w:id="227" w:name="_Toc30487"/>
      <w:r>
        <w:rPr>
          <w:rFonts w:hint="eastAsia" w:ascii="宋体" w:hAnsi="宋体" w:cs="宋体"/>
          <w:sz w:val="24"/>
          <w:szCs w:val="24"/>
        </w:rPr>
        <w:t>一、项目目标</w:t>
      </w:r>
      <w:bookmarkEnd w:id="225"/>
      <w:bookmarkEnd w:id="226"/>
      <w:bookmarkEnd w:id="227"/>
    </w:p>
    <w:p w14:paraId="4F5574C0">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C6CD413">
      <w:pPr>
        <w:pStyle w:val="2"/>
        <w:spacing w:before="0" w:after="0" w:line="360" w:lineRule="auto"/>
        <w:ind w:firstLine="482" w:firstLineChars="200"/>
        <w:rPr>
          <w:rFonts w:hint="eastAsia" w:ascii="宋体" w:hAnsi="宋体" w:cs="宋体"/>
          <w:sz w:val="24"/>
          <w:szCs w:val="24"/>
        </w:rPr>
      </w:pPr>
      <w:bookmarkStart w:id="228" w:name="_Toc7874"/>
      <w:bookmarkStart w:id="229" w:name="_Toc28185"/>
      <w:bookmarkStart w:id="230" w:name="_Toc26688"/>
      <w:r>
        <w:rPr>
          <w:rFonts w:hint="eastAsia" w:ascii="宋体" w:hAnsi="宋体" w:cs="宋体"/>
          <w:sz w:val="24"/>
          <w:szCs w:val="24"/>
        </w:rPr>
        <w:t>二、项目建设主要内容</w:t>
      </w:r>
      <w:bookmarkEnd w:id="228"/>
      <w:bookmarkEnd w:id="229"/>
      <w:bookmarkEnd w:id="230"/>
    </w:p>
    <w:p w14:paraId="1610AD14">
      <w:pPr>
        <w:pStyle w:val="3"/>
        <w:tabs>
          <w:tab w:val="left" w:pos="0"/>
          <w:tab w:val="left" w:pos="420"/>
        </w:tabs>
        <w:spacing w:before="0" w:after="0" w:line="360" w:lineRule="auto"/>
        <w:ind w:firstLine="482" w:firstLineChars="200"/>
        <w:rPr>
          <w:rFonts w:hint="eastAsia" w:hAnsi="宋体"/>
          <w:sz w:val="24"/>
          <w:szCs w:val="24"/>
        </w:rPr>
      </w:pPr>
      <w:bookmarkStart w:id="231" w:name="_Toc12361"/>
      <w:bookmarkStart w:id="232" w:name="_Toc20845"/>
      <w:bookmarkStart w:id="233" w:name="_Toc195866763"/>
      <w:bookmarkStart w:id="234" w:name="_Toc8687"/>
      <w:r>
        <w:rPr>
          <w:rFonts w:hint="eastAsia" w:hAnsi="宋体"/>
          <w:sz w:val="24"/>
          <w:szCs w:val="24"/>
        </w:rPr>
        <w:t>（一）实景三维平台</w:t>
      </w:r>
      <w:bookmarkEnd w:id="231"/>
      <w:bookmarkEnd w:id="232"/>
      <w:bookmarkEnd w:id="233"/>
      <w:bookmarkEnd w:id="234"/>
    </w:p>
    <w:p w14:paraId="18CC99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提供实景三维发布管理、地理实体服务管理、实景三维服务管理、申请审核管理、服务运行监测等功能，满足实景三维成果对智慧国土、智慧城市等应用建设支撑。</w:t>
      </w:r>
      <w:bookmarkStart w:id="235" w:name="_Toc20684"/>
      <w:bookmarkStart w:id="236" w:name="_Toc195866769"/>
      <w:bookmarkStart w:id="237" w:name="_Toc26382"/>
      <w:bookmarkStart w:id="238" w:name="_Toc32480"/>
    </w:p>
    <w:p w14:paraId="7C24F228">
      <w:pPr>
        <w:pStyle w:val="3"/>
        <w:tabs>
          <w:tab w:val="left" w:pos="0"/>
          <w:tab w:val="left" w:pos="420"/>
        </w:tabs>
        <w:spacing w:before="0" w:after="0" w:line="360" w:lineRule="auto"/>
        <w:ind w:firstLine="482" w:firstLineChars="200"/>
        <w:rPr>
          <w:rFonts w:hint="eastAsia" w:hAnsi="宋体"/>
          <w:sz w:val="24"/>
          <w:szCs w:val="24"/>
        </w:rPr>
      </w:pPr>
      <w:r>
        <w:rPr>
          <w:rFonts w:hint="eastAsia" w:hAnsi="宋体"/>
          <w:sz w:val="24"/>
          <w:szCs w:val="24"/>
        </w:rPr>
        <w:t>（二）应用示范</w:t>
      </w:r>
      <w:bookmarkEnd w:id="235"/>
      <w:bookmarkEnd w:id="236"/>
      <w:bookmarkEnd w:id="237"/>
      <w:r>
        <w:rPr>
          <w:rFonts w:hint="eastAsia" w:hAnsi="宋体"/>
          <w:sz w:val="24"/>
          <w:szCs w:val="24"/>
        </w:rPr>
        <w:t>建设</w:t>
      </w:r>
    </w:p>
    <w:bookmarkEnd w:id="238"/>
    <w:p w14:paraId="306AD328">
      <w:pPr>
        <w:spacing w:line="360" w:lineRule="auto"/>
        <w:ind w:firstLine="480" w:firstLineChars="200"/>
        <w:rPr>
          <w:rFonts w:hint="eastAsia" w:ascii="宋体" w:hAnsi="宋体" w:cs="宋体"/>
          <w:sz w:val="24"/>
          <w:szCs w:val="24"/>
        </w:rPr>
      </w:pPr>
      <w:r>
        <w:rPr>
          <w:rFonts w:hint="eastAsia" w:ascii="宋体" w:hAnsi="宋体" w:cs="宋体"/>
          <w:sz w:val="24"/>
          <w:szCs w:val="24"/>
        </w:rPr>
        <w:t>结合三门峡建设发展实际需求，计划基于实景三维数据建设“实景三维综合应用服务系统”、“实景三维规划会商决策系统”，同时提供接入“土地储备业务系统”、“智慧文旅”、“城市运行管理服务平台”、“应急指挥”、“智慧公安”等行业应用，实现实景三维数据与应用行业无缝融合并支撑其他相关领域的协同应用。</w:t>
      </w:r>
    </w:p>
    <w:p w14:paraId="0D336B4B">
      <w:pPr>
        <w:pStyle w:val="2"/>
        <w:spacing w:before="0" w:after="0" w:line="360" w:lineRule="auto"/>
        <w:ind w:firstLine="482" w:firstLineChars="200"/>
        <w:rPr>
          <w:rFonts w:hint="eastAsia" w:ascii="宋体" w:hAnsi="宋体" w:cs="宋体"/>
          <w:sz w:val="24"/>
          <w:szCs w:val="24"/>
        </w:rPr>
      </w:pPr>
      <w:bookmarkStart w:id="239" w:name="_Toc15973"/>
      <w:bookmarkStart w:id="240" w:name="_Toc7703"/>
      <w:bookmarkStart w:id="241" w:name="_Toc16631"/>
      <w:r>
        <w:rPr>
          <w:rFonts w:hint="eastAsia" w:ascii="宋体" w:hAnsi="宋体" w:cs="宋体"/>
          <w:sz w:val="24"/>
          <w:szCs w:val="24"/>
        </w:rPr>
        <w:t>三、技术要求</w:t>
      </w:r>
      <w:bookmarkEnd w:id="239"/>
      <w:bookmarkEnd w:id="240"/>
      <w:bookmarkEnd w:id="241"/>
    </w:p>
    <w:p w14:paraId="08A7D3D9">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1.实景三维平台</w:t>
      </w:r>
    </w:p>
    <w:p w14:paraId="2976D6C5">
      <w:pPr>
        <w:spacing w:line="360" w:lineRule="auto"/>
        <w:ind w:firstLine="480" w:firstLineChars="200"/>
        <w:rPr>
          <w:rFonts w:hint="eastAsia" w:ascii="宋体" w:hAnsi="宋体" w:cs="宋体"/>
          <w:sz w:val="24"/>
          <w:szCs w:val="24"/>
        </w:rPr>
      </w:pPr>
      <w:r>
        <w:rPr>
          <w:rFonts w:hint="eastAsia" w:ascii="宋体" w:hAnsi="宋体" w:cs="宋体"/>
          <w:sz w:val="24"/>
          <w:szCs w:val="24"/>
        </w:rPr>
        <w:t>为实现大范围、高精度实景三维底图的在线服务，建设实景三维平台，以数据融合、平台融合、应用融合为核心，构建三维空间环境的城市时空数字底板，搭建城市信息化基础设施，支撑时空要素信息和业务信息在时空底板上的承载和应用，作为实景三维建设成果的应用服务窗口。</w:t>
      </w:r>
    </w:p>
    <w:p w14:paraId="4F19FA1D">
      <w:pPr>
        <w:spacing w:line="360" w:lineRule="auto"/>
        <w:ind w:firstLine="480" w:firstLineChars="200"/>
        <w:rPr>
          <w:rFonts w:hint="eastAsia" w:ascii="宋体" w:hAnsi="宋体" w:cs="宋体"/>
          <w:sz w:val="24"/>
          <w:szCs w:val="24"/>
        </w:rPr>
      </w:pPr>
      <w:bookmarkStart w:id="242" w:name="_Toc21548"/>
      <w:bookmarkStart w:id="243" w:name="_Toc15620"/>
      <w:bookmarkStart w:id="244" w:name="_Toc195866775"/>
      <w:r>
        <w:rPr>
          <w:rFonts w:hint="eastAsia" w:ascii="宋体" w:hAnsi="宋体" w:cs="宋体"/>
          <w:sz w:val="24"/>
          <w:szCs w:val="24"/>
        </w:rPr>
        <w:t>2.应用示范</w:t>
      </w:r>
      <w:bookmarkEnd w:id="242"/>
      <w:bookmarkEnd w:id="243"/>
      <w:bookmarkEnd w:id="244"/>
    </w:p>
    <w:p w14:paraId="329D0D5E">
      <w:pPr>
        <w:spacing w:line="360" w:lineRule="auto"/>
        <w:ind w:firstLine="480" w:firstLineChars="200"/>
        <w:rPr>
          <w:rFonts w:hint="eastAsia" w:ascii="宋体" w:hAnsi="宋体" w:cs="宋体"/>
          <w:sz w:val="24"/>
          <w:szCs w:val="24"/>
        </w:rPr>
      </w:pPr>
      <w:r>
        <w:rPr>
          <w:rFonts w:hint="eastAsia" w:ascii="宋体" w:hAnsi="宋体" w:cs="宋体"/>
          <w:sz w:val="24"/>
          <w:szCs w:val="24"/>
        </w:rPr>
        <w:t>根据实景三维建设方案，结合三门峡市实际需求，计划建设“实景三维综合应用服务系统”“实景三维规划会商决策系统”，同时接入“实景三维+土地储备业务系统”“智慧文旅”“城市运行管理服务平台”“应急指挥”“智慧公安”等行业应用。</w:t>
      </w:r>
    </w:p>
    <w:p w14:paraId="4E169907">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（1）实景三维综合应用服务系统</w:t>
      </w:r>
    </w:p>
    <w:p w14:paraId="53F97F21">
      <w:pPr>
        <w:spacing w:line="360" w:lineRule="auto"/>
        <w:ind w:firstLine="480" w:firstLineChars="200"/>
        <w:rPr>
          <w:rFonts w:hint="eastAsia" w:ascii="宋体" w:hAnsi="宋体" w:cs="宋体"/>
          <w:sz w:val="24"/>
          <w:szCs w:val="24"/>
        </w:rPr>
      </w:pPr>
      <w:r>
        <w:rPr>
          <w:rFonts w:hint="eastAsia" w:ascii="宋体" w:hAnsi="宋体" w:cs="宋体"/>
          <w:sz w:val="24"/>
          <w:szCs w:val="24"/>
        </w:rPr>
        <w:t>依托实景三维数字底座，运用GIS技术融合自然资源现状、管理、业务等专题数据，实现三维场景下的自然资源数字化展示。基于实景三维平台接入现状、规划、管理等数据构建实景三维综合应用服务系统，具备对空间数据的查询、统计、分析、量测等功能，为自然资源综合展示提供实景三维数据和基础GIS分析功能支撑。</w:t>
      </w:r>
    </w:p>
    <w:p w14:paraId="258EE9CF">
      <w:pPr>
        <w:spacing w:line="360" w:lineRule="auto"/>
        <w:ind w:firstLine="480" w:firstLineChars="200"/>
        <w:rPr>
          <w:rFonts w:hint="eastAsia" w:ascii="宋体" w:hAnsi="宋体" w:cs="宋体"/>
          <w:sz w:val="24"/>
          <w:szCs w:val="24"/>
        </w:rPr>
      </w:pPr>
      <w:r>
        <w:rPr>
          <w:rFonts w:hint="eastAsia" w:ascii="宋体" w:hAnsi="宋体" w:cs="宋体"/>
          <w:sz w:val="24"/>
          <w:szCs w:val="24"/>
        </w:rPr>
        <w:t>（2）实景三维规划会商决策系统</w:t>
      </w:r>
    </w:p>
    <w:p w14:paraId="76AC7559">
      <w:pPr>
        <w:spacing w:line="360" w:lineRule="auto"/>
        <w:ind w:firstLine="480" w:firstLineChars="200"/>
        <w:rPr>
          <w:rFonts w:hint="eastAsia" w:ascii="宋体" w:hAnsi="宋体" w:cs="宋体"/>
          <w:sz w:val="24"/>
          <w:szCs w:val="24"/>
        </w:rPr>
      </w:pPr>
      <w:r>
        <w:rPr>
          <w:rFonts w:hint="eastAsia" w:ascii="宋体" w:hAnsi="宋体" w:cs="宋体"/>
          <w:sz w:val="24"/>
          <w:szCs w:val="24"/>
        </w:rPr>
        <w:t>建设实景三维规划会商决策系统，实现在实景三维场景中查看报审项目周边规划、用地、公建配套情况和方案比对，对报审项目开展合规性、合理性等辅助分析，在党组扩大会、联审会、规委会等会议中展示汇报，协助领导综合把握城市片区及整个城市发展风貌，对审批项目进行科学决策研判，为三门峡市重要土地和规划会议决策、宏观调控政策制定、集约高效土地利用、精品规划编制和科学规划管理及实施监督提供技术支持。</w:t>
      </w:r>
    </w:p>
    <w:p w14:paraId="511EDEA7">
      <w:pPr>
        <w:spacing w:line="360" w:lineRule="auto"/>
        <w:ind w:firstLine="480" w:firstLineChars="200"/>
        <w:rPr>
          <w:rFonts w:hint="eastAsia" w:ascii="宋体" w:hAnsi="宋体" w:cs="宋体"/>
          <w:sz w:val="24"/>
          <w:szCs w:val="24"/>
        </w:rPr>
      </w:pPr>
      <w:r>
        <w:rPr>
          <w:rFonts w:hint="eastAsia" w:ascii="宋体" w:hAnsi="宋体" w:cs="宋体"/>
          <w:sz w:val="24"/>
          <w:szCs w:val="24"/>
        </w:rPr>
        <w:t>（3）系统接入</w:t>
      </w:r>
    </w:p>
    <w:p w14:paraId="2850884F">
      <w:pPr>
        <w:spacing w:line="360" w:lineRule="auto"/>
        <w:ind w:firstLine="480" w:firstLineChars="200"/>
        <w:rPr>
          <w:rFonts w:hint="eastAsia" w:ascii="宋体" w:hAnsi="宋体" w:cs="宋体"/>
          <w:sz w:val="24"/>
          <w:szCs w:val="24"/>
        </w:rPr>
      </w:pPr>
      <w:r>
        <w:rPr>
          <w:rFonts w:hint="eastAsia" w:ascii="宋体" w:hAnsi="宋体" w:cs="宋体"/>
          <w:sz w:val="24"/>
          <w:szCs w:val="24"/>
        </w:rPr>
        <w:t>系统接入建设包含 “土地储备业务系统”及“智慧文旅”“城市运行管理服务平台”“应急指挥”“智慧公安”等行业应用，通过对接提升实景三维数据对相关应用的时空服务能力，以实现实景三维平台支持下的智慧城市行业应用。</w:t>
      </w:r>
    </w:p>
    <w:p w14:paraId="3489F7CC">
      <w:pPr>
        <w:pStyle w:val="2"/>
        <w:spacing w:before="0" w:after="0" w:line="360" w:lineRule="auto"/>
        <w:ind w:firstLine="482" w:firstLineChars="200"/>
        <w:rPr>
          <w:rFonts w:hint="eastAsia" w:ascii="宋体" w:hAnsi="宋体" w:cs="宋体"/>
          <w:sz w:val="24"/>
          <w:szCs w:val="24"/>
        </w:rPr>
      </w:pPr>
      <w:bookmarkStart w:id="245" w:name="_Toc704"/>
      <w:bookmarkStart w:id="246" w:name="_Toc393"/>
      <w:bookmarkStart w:id="247" w:name="_Toc24509"/>
      <w:r>
        <w:rPr>
          <w:rFonts w:hint="eastAsia" w:ascii="宋体" w:hAnsi="宋体" w:cs="宋体"/>
          <w:sz w:val="24"/>
          <w:szCs w:val="24"/>
        </w:rPr>
        <w:t>四、服务要求及其他</w:t>
      </w:r>
      <w:bookmarkEnd w:id="245"/>
      <w:bookmarkEnd w:id="246"/>
      <w:bookmarkEnd w:id="247"/>
    </w:p>
    <w:p w14:paraId="2BF41052">
      <w:pPr>
        <w:spacing w:line="360" w:lineRule="auto"/>
        <w:ind w:firstLine="480" w:firstLineChars="200"/>
        <w:rPr>
          <w:rFonts w:hint="eastAsia" w:ascii="宋体" w:hAnsi="宋体" w:cs="宋体"/>
          <w:sz w:val="24"/>
          <w:szCs w:val="24"/>
        </w:rPr>
      </w:pPr>
      <w:r>
        <w:rPr>
          <w:rFonts w:hint="eastAsia" w:ascii="宋体" w:hAnsi="宋体" w:cs="宋体"/>
          <w:sz w:val="24"/>
          <w:szCs w:val="24"/>
        </w:rPr>
        <w:t>1.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4D22F101">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2.供应商应具有丰富的实战经验及较强的综合实力，具有承担</w:t>
      </w:r>
      <w:r>
        <w:rPr>
          <w:rFonts w:hint="eastAsia" w:ascii="宋体" w:hAnsi="宋体" w:eastAsia="宋体" w:cs="宋体"/>
          <w:b w:val="0"/>
          <w:bCs w:val="0"/>
          <w:sz w:val="24"/>
          <w:szCs w:val="24"/>
        </w:rPr>
        <w:t>实景三维类或自然资源业务管理类相关项目业绩</w:t>
      </w:r>
      <w:r>
        <w:rPr>
          <w:rFonts w:hint="eastAsia" w:ascii="宋体" w:hAnsi="宋体" w:cs="宋体"/>
          <w:sz w:val="24"/>
          <w:szCs w:val="24"/>
        </w:rPr>
        <w:t>，能够为采购人提供优质的服务。</w:t>
      </w:r>
    </w:p>
    <w:p w14:paraId="50849DB0">
      <w:pPr>
        <w:spacing w:line="360" w:lineRule="auto"/>
        <w:ind w:firstLine="480" w:firstLineChars="200"/>
        <w:rPr>
          <w:rFonts w:hint="eastAsia" w:ascii="宋体" w:hAnsi="宋体" w:cs="宋体"/>
          <w:sz w:val="24"/>
          <w:szCs w:val="24"/>
        </w:rPr>
      </w:pPr>
      <w:r>
        <w:rPr>
          <w:rFonts w:hint="eastAsia" w:ascii="宋体" w:hAnsi="宋体" w:cs="宋体"/>
          <w:sz w:val="24"/>
          <w:szCs w:val="24"/>
        </w:rPr>
        <w:t>3.项目管理人员配备要求：供应商应根据本项目性质、规模和相关技术要求配备与本项目相适应专业管理、技术人员。</w:t>
      </w:r>
    </w:p>
    <w:p w14:paraId="0AA2391D">
      <w:pPr>
        <w:spacing w:line="360" w:lineRule="auto"/>
        <w:ind w:firstLine="480" w:firstLineChars="200"/>
        <w:rPr>
          <w:rFonts w:hint="eastAsia" w:ascii="宋体" w:hAnsi="宋体" w:cs="宋体"/>
          <w:sz w:val="24"/>
          <w:szCs w:val="24"/>
        </w:rPr>
      </w:pPr>
      <w:r>
        <w:rPr>
          <w:rFonts w:hint="eastAsia" w:ascii="宋体" w:hAnsi="宋体" w:cs="宋体"/>
          <w:sz w:val="24"/>
          <w:szCs w:val="24"/>
        </w:rPr>
        <w:t>4.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0C75CEA7">
      <w:pPr>
        <w:spacing w:line="360" w:lineRule="auto"/>
        <w:ind w:firstLine="480" w:firstLineChars="200"/>
        <w:rPr>
          <w:rFonts w:hint="eastAsia" w:ascii="宋体" w:hAnsi="宋体" w:cs="宋体"/>
          <w:sz w:val="24"/>
          <w:szCs w:val="24"/>
        </w:rPr>
      </w:pPr>
      <w:r>
        <w:rPr>
          <w:rFonts w:hint="eastAsia" w:ascii="宋体" w:hAnsi="宋体" w:cs="宋体"/>
          <w:sz w:val="24"/>
          <w:szCs w:val="24"/>
        </w:rPr>
        <w:t>5.按照省级及本级实施方案统一要求，2025年12月31日前，完成本项目其他工作内容。</w:t>
      </w:r>
    </w:p>
    <w:p w14:paraId="1E858A3A">
      <w:pPr>
        <w:spacing w:line="360" w:lineRule="auto"/>
        <w:ind w:firstLine="480" w:firstLineChars="200"/>
        <w:rPr>
          <w:rFonts w:hint="eastAsia" w:ascii="宋体" w:hAnsi="宋体" w:cs="宋体"/>
          <w:sz w:val="24"/>
          <w:szCs w:val="24"/>
        </w:rPr>
      </w:pPr>
      <w:r>
        <w:rPr>
          <w:rFonts w:hint="eastAsia" w:ascii="宋体" w:hAnsi="宋体" w:cs="宋体"/>
          <w:sz w:val="24"/>
          <w:szCs w:val="24"/>
        </w:rPr>
        <w:t>6.报价要求：供应商的报价应含有所有服务、所有材料、劳务、利润、税金、政策性文件、招标文件及合同包含的所有风险、责任、义务等为完成本项目要求的服务内容所包含的一切应有费用。</w:t>
      </w:r>
    </w:p>
    <w:p w14:paraId="04149755">
      <w:pPr>
        <w:spacing w:line="360" w:lineRule="auto"/>
        <w:ind w:firstLine="480" w:firstLineChars="200"/>
        <w:rPr>
          <w:rFonts w:hint="eastAsia" w:ascii="宋体" w:hAnsi="宋体" w:cs="宋体"/>
          <w:sz w:val="24"/>
          <w:szCs w:val="24"/>
        </w:rPr>
      </w:pPr>
      <w:r>
        <w:rPr>
          <w:rFonts w:hint="eastAsia" w:ascii="宋体" w:hAnsi="宋体" w:cs="宋体"/>
          <w:sz w:val="24"/>
          <w:szCs w:val="24"/>
        </w:rPr>
        <w:t>7.服务期限：自合同签订生效之日起至通过验收。</w:t>
      </w:r>
    </w:p>
    <w:p w14:paraId="24FE5D90">
      <w:pPr>
        <w:spacing w:line="360" w:lineRule="auto"/>
        <w:ind w:firstLine="480" w:firstLineChars="200"/>
        <w:rPr>
          <w:rFonts w:hint="eastAsia" w:ascii="宋体" w:hAnsi="宋体" w:cs="宋体"/>
          <w:sz w:val="24"/>
          <w:szCs w:val="24"/>
        </w:rPr>
      </w:pPr>
      <w:r>
        <w:rPr>
          <w:rFonts w:hint="eastAsia" w:ascii="宋体" w:hAnsi="宋体" w:cs="宋体"/>
          <w:sz w:val="24"/>
          <w:szCs w:val="24"/>
        </w:rPr>
        <w:t>8.服务地点：三门峡市。</w:t>
      </w:r>
    </w:p>
    <w:p w14:paraId="4D58344E">
      <w:pPr>
        <w:pStyle w:val="2"/>
        <w:spacing w:before="0" w:after="0" w:line="360" w:lineRule="auto"/>
        <w:ind w:firstLine="482" w:firstLineChars="200"/>
        <w:rPr>
          <w:rFonts w:hint="eastAsia" w:ascii="宋体" w:hAnsi="宋体" w:cs="宋体"/>
          <w:sz w:val="24"/>
          <w:szCs w:val="24"/>
        </w:rPr>
      </w:pPr>
      <w:bookmarkStart w:id="248" w:name="_Toc10035"/>
      <w:bookmarkStart w:id="249" w:name="_Toc6379"/>
      <w:bookmarkStart w:id="250" w:name="_Toc9286"/>
      <w:r>
        <w:rPr>
          <w:rFonts w:hint="eastAsia" w:ascii="宋体" w:hAnsi="宋体" w:cs="宋体"/>
          <w:sz w:val="24"/>
          <w:szCs w:val="24"/>
        </w:rPr>
        <w:t>五、验收要求</w:t>
      </w:r>
      <w:bookmarkEnd w:id="248"/>
      <w:bookmarkEnd w:id="249"/>
      <w:bookmarkEnd w:id="250"/>
    </w:p>
    <w:p w14:paraId="4BDB69C1">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3B74EDA6">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0FCDDFA9">
      <w:pPr>
        <w:rPr>
          <w:rFonts w:hint="eastAsia" w:ascii="宋体" w:hAnsi="宋体" w:cs="宋体"/>
          <w:szCs w:val="24"/>
        </w:rPr>
      </w:pPr>
      <w:r>
        <w:rPr>
          <w:rFonts w:hint="eastAsia" w:ascii="宋体" w:hAnsi="宋体" w:cs="宋体"/>
          <w:szCs w:val="24"/>
        </w:rPr>
        <w:br w:type="page"/>
      </w:r>
    </w:p>
    <w:p w14:paraId="680A0E84">
      <w:pPr>
        <w:pStyle w:val="2"/>
        <w:spacing w:before="0" w:after="0" w:line="360" w:lineRule="auto"/>
        <w:ind w:firstLine="482" w:firstLineChars="200"/>
        <w:rPr>
          <w:rFonts w:hint="eastAsia" w:ascii="宋体" w:hAnsi="宋体" w:cs="宋体"/>
          <w:sz w:val="24"/>
          <w:szCs w:val="24"/>
        </w:rPr>
      </w:pPr>
      <w:bookmarkStart w:id="251" w:name="_Toc6946"/>
      <w:bookmarkStart w:id="252" w:name="_Toc1895"/>
      <w:bookmarkStart w:id="253" w:name="_Toc22396"/>
      <w:r>
        <w:rPr>
          <w:rFonts w:hint="eastAsia" w:ascii="宋体" w:hAnsi="宋体" w:cs="宋体"/>
          <w:sz w:val="24"/>
          <w:szCs w:val="24"/>
        </w:rPr>
        <w:t>包3：</w:t>
      </w:r>
      <w:bookmarkEnd w:id="251"/>
      <w:bookmarkEnd w:id="252"/>
      <w:bookmarkEnd w:id="253"/>
    </w:p>
    <w:p w14:paraId="64DBB9AA">
      <w:pPr>
        <w:pStyle w:val="2"/>
        <w:spacing w:before="0" w:after="0" w:line="360" w:lineRule="auto"/>
        <w:ind w:firstLine="482" w:firstLineChars="200"/>
        <w:rPr>
          <w:rFonts w:hint="eastAsia" w:ascii="宋体" w:hAnsi="宋体" w:cs="宋体"/>
          <w:sz w:val="24"/>
          <w:szCs w:val="24"/>
        </w:rPr>
      </w:pPr>
      <w:bookmarkStart w:id="254" w:name="_Toc22503"/>
      <w:bookmarkStart w:id="255" w:name="_Toc26263"/>
      <w:bookmarkStart w:id="256" w:name="_Toc1796"/>
      <w:r>
        <w:rPr>
          <w:rFonts w:hint="eastAsia" w:ascii="宋体" w:hAnsi="宋体" w:cs="宋体"/>
          <w:sz w:val="24"/>
          <w:szCs w:val="24"/>
        </w:rPr>
        <w:t>一、项目目标</w:t>
      </w:r>
      <w:bookmarkEnd w:id="254"/>
      <w:bookmarkEnd w:id="255"/>
      <w:bookmarkEnd w:id="256"/>
    </w:p>
    <w:p w14:paraId="5C6E952F">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95E1188">
      <w:pPr>
        <w:pStyle w:val="2"/>
        <w:spacing w:before="0" w:after="0" w:line="360" w:lineRule="auto"/>
        <w:ind w:firstLine="482" w:firstLineChars="200"/>
        <w:rPr>
          <w:rFonts w:hint="eastAsia" w:ascii="宋体" w:hAnsi="宋体" w:cs="宋体"/>
          <w:sz w:val="24"/>
          <w:szCs w:val="24"/>
        </w:rPr>
      </w:pPr>
      <w:bookmarkStart w:id="257" w:name="_Toc32127"/>
      <w:bookmarkStart w:id="258" w:name="_Toc27067"/>
      <w:bookmarkStart w:id="259" w:name="_Toc9474"/>
      <w:r>
        <w:rPr>
          <w:rFonts w:hint="eastAsia" w:ascii="宋体" w:hAnsi="宋体" w:cs="宋体"/>
          <w:sz w:val="24"/>
          <w:szCs w:val="24"/>
        </w:rPr>
        <w:t>二、项目建设主要内容</w:t>
      </w:r>
      <w:bookmarkEnd w:id="257"/>
      <w:bookmarkEnd w:id="258"/>
      <w:bookmarkEnd w:id="259"/>
    </w:p>
    <w:p w14:paraId="48D33FA2">
      <w:pPr>
        <w:spacing w:line="360" w:lineRule="auto"/>
        <w:ind w:firstLine="480" w:firstLineChars="200"/>
        <w:rPr>
          <w:rFonts w:hint="eastAsia" w:ascii="宋体" w:hAnsi="宋体" w:cs="宋体"/>
          <w:sz w:val="24"/>
          <w:szCs w:val="24"/>
        </w:rPr>
      </w:pPr>
      <w:r>
        <w:rPr>
          <w:rFonts w:hint="eastAsia" w:ascii="宋体" w:hAnsi="宋体" w:cs="宋体"/>
          <w:sz w:val="24"/>
          <w:szCs w:val="24"/>
        </w:rPr>
        <w:t>1、根据实景三维三门峡建设项目合同及相关技术规范要求，编制实景三维三门峡建设项目监理方案，并严格按方案进行监理。</w:t>
      </w:r>
    </w:p>
    <w:p w14:paraId="6B3D10A7">
      <w:pPr>
        <w:spacing w:line="360" w:lineRule="auto"/>
        <w:ind w:firstLine="480" w:firstLineChars="200"/>
        <w:rPr>
          <w:rFonts w:hint="eastAsia" w:ascii="宋体" w:hAnsi="宋体" w:cs="宋体"/>
          <w:sz w:val="24"/>
          <w:szCs w:val="24"/>
        </w:rPr>
      </w:pPr>
      <w:r>
        <w:rPr>
          <w:rFonts w:hint="eastAsia" w:ascii="宋体" w:hAnsi="宋体" w:cs="宋体"/>
          <w:sz w:val="24"/>
          <w:szCs w:val="24"/>
        </w:rPr>
        <w:t>2、根据实景三维三门峡建设项目全部内容及要求，对实景三维三门峡建设项目进行全过程监督控制，包括城市级实景三维建设、数据融合、在线系统与支撑环境建设、应用示范建设等。</w:t>
      </w:r>
    </w:p>
    <w:p w14:paraId="20B4B89A">
      <w:pPr>
        <w:spacing w:line="360" w:lineRule="auto"/>
        <w:ind w:firstLine="480" w:firstLineChars="200"/>
        <w:rPr>
          <w:rFonts w:hint="eastAsia" w:ascii="宋体" w:hAnsi="宋体" w:cs="宋体"/>
          <w:sz w:val="24"/>
          <w:szCs w:val="24"/>
        </w:rPr>
      </w:pPr>
      <w:r>
        <w:rPr>
          <w:rFonts w:hint="eastAsia" w:ascii="宋体" w:hAnsi="宋体" w:cs="宋体"/>
          <w:sz w:val="24"/>
          <w:szCs w:val="24"/>
        </w:rPr>
        <w:t>3、对项目实施中出现的项目管理、安全、进度、质量等方面问题，须按合同及相关技术规范的要求及时提出处理意见，定期向甲方汇报监理工作实施情况，对重大问题及时向甲方汇报和请示。</w:t>
      </w:r>
    </w:p>
    <w:p w14:paraId="501AAF01">
      <w:pPr>
        <w:spacing w:line="360" w:lineRule="auto"/>
        <w:ind w:firstLine="480" w:firstLineChars="200"/>
        <w:rPr>
          <w:rFonts w:hint="eastAsia" w:ascii="宋体" w:hAnsi="宋体" w:cs="宋体"/>
          <w:sz w:val="24"/>
          <w:szCs w:val="24"/>
        </w:rPr>
      </w:pPr>
      <w:r>
        <w:rPr>
          <w:rFonts w:hint="eastAsia" w:ascii="宋体" w:hAnsi="宋体" w:cs="宋体"/>
          <w:sz w:val="24"/>
          <w:szCs w:val="24"/>
        </w:rPr>
        <w:t>4、做好项目实施管理。定期召开工作例会，通报实施单位工作情况，核查实施单位质量自检工作及其运转情况。采用巡视检查、成果抽查、质量控制记录审核等手段核查实施单位的成果质量是否满足设计要求、符合有关质量标准。</w:t>
      </w:r>
    </w:p>
    <w:p w14:paraId="2AB8A902">
      <w:pPr>
        <w:spacing w:line="360" w:lineRule="auto"/>
        <w:ind w:firstLine="480" w:firstLineChars="200"/>
        <w:rPr>
          <w:rFonts w:hint="eastAsia" w:ascii="宋体" w:hAnsi="宋体" w:cs="宋体"/>
          <w:sz w:val="24"/>
          <w:szCs w:val="24"/>
        </w:rPr>
      </w:pPr>
      <w:r>
        <w:rPr>
          <w:rFonts w:hint="eastAsia" w:ascii="宋体" w:hAnsi="宋体" w:cs="宋体"/>
          <w:sz w:val="24"/>
          <w:szCs w:val="24"/>
        </w:rPr>
        <w:t>5、审核检查项目技术设计、总结及其他环节文档材料，确保文档齐全规范。</w:t>
      </w:r>
    </w:p>
    <w:p w14:paraId="09387DEF">
      <w:pPr>
        <w:spacing w:line="360" w:lineRule="auto"/>
        <w:ind w:firstLine="480" w:firstLineChars="200"/>
        <w:rPr>
          <w:rFonts w:hint="eastAsia" w:ascii="宋体" w:hAnsi="宋体" w:cs="宋体"/>
          <w:sz w:val="24"/>
          <w:szCs w:val="24"/>
        </w:rPr>
      </w:pPr>
      <w:r>
        <w:rPr>
          <w:rFonts w:hint="eastAsia" w:ascii="宋体" w:hAnsi="宋体" w:cs="宋体"/>
          <w:sz w:val="24"/>
          <w:szCs w:val="24"/>
        </w:rPr>
        <w:t>6、审核实施单位提交的最终成果，对成果的工作量和第三方质检报告进行分析，为项目成果验收提供依据。</w:t>
      </w:r>
    </w:p>
    <w:p w14:paraId="5743E2E2">
      <w:pPr>
        <w:spacing w:line="360" w:lineRule="auto"/>
        <w:ind w:firstLine="480" w:firstLineChars="200"/>
        <w:rPr>
          <w:rFonts w:hint="eastAsia" w:ascii="宋体" w:hAnsi="宋体" w:cs="宋体"/>
          <w:sz w:val="24"/>
          <w:szCs w:val="24"/>
        </w:rPr>
      </w:pPr>
      <w:r>
        <w:rPr>
          <w:rFonts w:hint="eastAsia" w:ascii="宋体" w:hAnsi="宋体" w:cs="宋体"/>
          <w:sz w:val="24"/>
          <w:szCs w:val="24"/>
        </w:rPr>
        <w:t>7、负责填写监理周报、监理月报，编制项目监理报告，完成监理成果资料整理和提交。</w:t>
      </w:r>
      <w:bookmarkStart w:id="260" w:name="_Toc5297"/>
      <w:bookmarkStart w:id="261" w:name="_Toc28874"/>
      <w:bookmarkStart w:id="262" w:name="_Toc3082"/>
    </w:p>
    <w:p w14:paraId="6263E69E">
      <w:pPr>
        <w:spacing w:line="360" w:lineRule="auto"/>
        <w:ind w:firstLine="480" w:firstLineChars="200"/>
        <w:rPr>
          <w:rFonts w:hint="eastAsia" w:ascii="宋体" w:hAnsi="宋体" w:cs="宋体"/>
          <w:sz w:val="24"/>
          <w:szCs w:val="24"/>
        </w:rPr>
      </w:pPr>
      <w:r>
        <w:rPr>
          <w:rFonts w:hint="eastAsia" w:ascii="宋体" w:hAnsi="宋体" w:cs="宋体"/>
          <w:sz w:val="24"/>
          <w:szCs w:val="24"/>
        </w:rPr>
        <w:t>8.配合</w:t>
      </w:r>
      <w:r>
        <w:rPr>
          <w:rFonts w:ascii="宋体" w:hAnsi="宋体" w:cs="宋体"/>
          <w:sz w:val="24"/>
          <w:szCs w:val="24"/>
        </w:rPr>
        <w:t>项目单位</w:t>
      </w:r>
      <w:r>
        <w:rPr>
          <w:rFonts w:hint="eastAsia" w:ascii="宋体" w:hAnsi="宋体" w:cs="宋体"/>
          <w:sz w:val="24"/>
          <w:szCs w:val="24"/>
        </w:rPr>
        <w:t>依据国家信息安全等级保护制度规定，按照有关规范和技术标准，对信息系统安全等级保护现状进行检测评估（出具3套安全等级测评报告），所发生的费用由本标段中标供应商承担；</w:t>
      </w:r>
    </w:p>
    <w:p w14:paraId="2D933888">
      <w:pPr>
        <w:spacing w:line="360" w:lineRule="auto"/>
        <w:ind w:firstLine="480" w:firstLineChars="200"/>
        <w:rPr>
          <w:rFonts w:hint="eastAsia" w:ascii="宋体" w:hAnsi="宋体" w:cs="宋体"/>
          <w:sz w:val="24"/>
          <w:szCs w:val="24"/>
        </w:rPr>
      </w:pPr>
      <w:r>
        <w:rPr>
          <w:rFonts w:ascii="宋体" w:hAnsi="宋体" w:cs="宋体"/>
          <w:sz w:val="24"/>
          <w:szCs w:val="24"/>
        </w:rPr>
        <w:t>9.项目完成后，</w:t>
      </w:r>
      <w:r>
        <w:rPr>
          <w:rFonts w:hint="eastAsia" w:ascii="宋体" w:hAnsi="宋体" w:cs="宋体"/>
          <w:sz w:val="24"/>
          <w:szCs w:val="24"/>
        </w:rPr>
        <w:t>配合</w:t>
      </w:r>
      <w:r>
        <w:rPr>
          <w:rFonts w:ascii="宋体" w:hAnsi="宋体" w:cs="宋体"/>
          <w:sz w:val="24"/>
          <w:szCs w:val="24"/>
        </w:rPr>
        <w:t>项目单位委托第三方软件专业测试机构，对项目进行验收测试、性能测试等</w:t>
      </w:r>
      <w:r>
        <w:rPr>
          <w:rFonts w:hint="eastAsia" w:ascii="宋体" w:hAnsi="宋体" w:cs="宋体"/>
          <w:sz w:val="24"/>
          <w:szCs w:val="24"/>
        </w:rPr>
        <w:t>，所发生的费用由本标段中标供应商承担；</w:t>
      </w:r>
    </w:p>
    <w:p w14:paraId="03EC79EC">
      <w:pPr>
        <w:spacing w:line="360" w:lineRule="auto"/>
        <w:ind w:firstLine="480" w:firstLineChars="200"/>
        <w:rPr>
          <w:rFonts w:hint="eastAsia" w:ascii="宋体" w:hAnsi="宋体" w:cs="宋体"/>
          <w:sz w:val="24"/>
          <w:szCs w:val="24"/>
        </w:rPr>
      </w:pPr>
      <w:r>
        <w:rPr>
          <w:rFonts w:ascii="宋体" w:hAnsi="宋体" w:cs="宋体"/>
          <w:sz w:val="24"/>
          <w:szCs w:val="24"/>
        </w:rPr>
        <w:t>10.项目完成后，</w:t>
      </w:r>
      <w:r>
        <w:rPr>
          <w:rFonts w:hint="eastAsia" w:ascii="宋体" w:hAnsi="宋体" w:cs="宋体"/>
          <w:sz w:val="24"/>
          <w:szCs w:val="24"/>
        </w:rPr>
        <w:t>配合</w:t>
      </w:r>
      <w:r>
        <w:rPr>
          <w:rFonts w:ascii="宋体" w:hAnsi="宋体" w:cs="宋体"/>
          <w:sz w:val="24"/>
          <w:szCs w:val="24"/>
        </w:rPr>
        <w:t>项目单位委托测绘产品质量检查机构，对项目数据成果进行检查</w:t>
      </w:r>
      <w:r>
        <w:rPr>
          <w:rFonts w:hint="eastAsia" w:ascii="宋体" w:hAnsi="宋体" w:cs="宋体"/>
          <w:sz w:val="24"/>
          <w:szCs w:val="24"/>
        </w:rPr>
        <w:t>，所发生的费用由本标段中标供应商承担；</w:t>
      </w:r>
    </w:p>
    <w:p w14:paraId="220E1546">
      <w:pPr>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对项目的建设成果开展首件核查、两轮核查（配合省级两轮核查）、成果汇交等。</w:t>
      </w:r>
    </w:p>
    <w:p w14:paraId="1152DD4C">
      <w:pPr>
        <w:spacing w:line="360" w:lineRule="auto"/>
        <w:ind w:firstLine="480" w:firstLineChars="200"/>
        <w:rPr>
          <w:rFonts w:hint="eastAsia" w:ascii="宋体" w:hAnsi="宋体" w:cs="宋体"/>
          <w:sz w:val="24"/>
          <w:szCs w:val="24"/>
        </w:rPr>
      </w:pPr>
      <w:r>
        <w:rPr>
          <w:rFonts w:hint="eastAsia" w:ascii="宋体" w:hAnsi="宋体" w:cs="宋体"/>
          <w:sz w:val="24"/>
          <w:szCs w:val="24"/>
        </w:rPr>
        <w:t>三、技术要求</w:t>
      </w:r>
      <w:bookmarkEnd w:id="260"/>
      <w:bookmarkEnd w:id="261"/>
      <w:bookmarkEnd w:id="262"/>
    </w:p>
    <w:p w14:paraId="33006F4C">
      <w:pPr>
        <w:spacing w:line="360" w:lineRule="auto"/>
        <w:ind w:firstLine="480" w:firstLineChars="200"/>
        <w:rPr>
          <w:rFonts w:hint="eastAsia" w:ascii="宋体" w:hAnsi="宋体" w:cs="宋体"/>
          <w:sz w:val="24"/>
          <w:szCs w:val="24"/>
        </w:rPr>
      </w:pPr>
      <w:bookmarkStart w:id="263" w:name="_Toc500599417"/>
      <w:bookmarkStart w:id="264" w:name="_Toc448846130"/>
      <w:r>
        <w:rPr>
          <w:rFonts w:hint="eastAsia" w:ascii="宋体" w:hAnsi="宋体" w:cs="宋体"/>
          <w:sz w:val="24"/>
          <w:szCs w:val="24"/>
        </w:rPr>
        <w:t>1.技术依据</w:t>
      </w:r>
    </w:p>
    <w:p w14:paraId="32BA8369">
      <w:pPr>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总体实施方案（2023—2025年）》《实景三维河南建设总体实施方案（2023—2025年）》《实景三维三门峡建设总体实施方案（2023—2025年）》及国标、行标等相关文件要求。</w:t>
      </w:r>
    </w:p>
    <w:p w14:paraId="385033F4">
      <w:pPr>
        <w:spacing w:line="360" w:lineRule="auto"/>
        <w:ind w:firstLine="480" w:firstLineChars="200"/>
        <w:rPr>
          <w:rFonts w:hint="eastAsia" w:ascii="宋体" w:hAnsi="宋体" w:cs="宋体"/>
          <w:sz w:val="24"/>
          <w:szCs w:val="24"/>
        </w:rPr>
      </w:pPr>
      <w:r>
        <w:rPr>
          <w:rFonts w:hint="eastAsia" w:ascii="宋体" w:hAnsi="宋体" w:cs="宋体"/>
          <w:sz w:val="24"/>
          <w:szCs w:val="24"/>
        </w:rPr>
        <w:t>2.质量依据</w:t>
      </w:r>
    </w:p>
    <w:p w14:paraId="77E5E530">
      <w:pPr>
        <w:spacing w:line="360" w:lineRule="auto"/>
        <w:ind w:firstLine="480" w:firstLineChars="200"/>
        <w:rPr>
          <w:rFonts w:hint="eastAsia" w:ascii="宋体" w:hAnsi="宋体" w:cs="宋体"/>
          <w:sz w:val="24"/>
          <w:szCs w:val="24"/>
        </w:rPr>
      </w:pPr>
      <w:r>
        <w:rPr>
          <w:rFonts w:hint="eastAsia" w:ascii="宋体" w:hAnsi="宋体" w:cs="宋体"/>
          <w:sz w:val="24"/>
          <w:szCs w:val="24"/>
        </w:rPr>
        <w:t>（1）GB/T 24356-2023 《测绘成果质量检查与验收》；</w:t>
      </w:r>
    </w:p>
    <w:p w14:paraId="49966291">
      <w:pPr>
        <w:spacing w:line="360" w:lineRule="auto"/>
        <w:ind w:firstLine="480" w:firstLineChars="200"/>
        <w:rPr>
          <w:rFonts w:hint="eastAsia" w:ascii="宋体" w:hAnsi="宋体" w:cs="宋体"/>
          <w:sz w:val="24"/>
          <w:szCs w:val="24"/>
        </w:rPr>
      </w:pPr>
      <w:r>
        <w:rPr>
          <w:rFonts w:hint="eastAsia" w:ascii="宋体" w:hAnsi="宋体" w:cs="宋体"/>
          <w:sz w:val="24"/>
          <w:szCs w:val="24"/>
        </w:rPr>
        <w:t>（2）GB/T 17941-2008 《数字测绘成果质量要求》；</w:t>
      </w:r>
    </w:p>
    <w:p w14:paraId="29501F88">
      <w:pPr>
        <w:spacing w:line="360" w:lineRule="auto"/>
        <w:ind w:firstLine="480" w:firstLineChars="200"/>
        <w:rPr>
          <w:rFonts w:hint="eastAsia" w:ascii="宋体" w:hAnsi="宋体" w:cs="宋体"/>
          <w:sz w:val="24"/>
          <w:szCs w:val="24"/>
        </w:rPr>
      </w:pPr>
      <w:r>
        <w:rPr>
          <w:rFonts w:hint="eastAsia" w:ascii="宋体" w:hAnsi="宋体" w:cs="宋体"/>
          <w:sz w:val="24"/>
          <w:szCs w:val="24"/>
        </w:rPr>
        <w:t>（3）GB/T 18316-2008 《数字测绘成果质量检查与验收》；</w:t>
      </w:r>
    </w:p>
    <w:p w14:paraId="01D6697F">
      <w:pPr>
        <w:spacing w:line="360" w:lineRule="auto"/>
        <w:ind w:firstLine="480" w:firstLineChars="200"/>
        <w:rPr>
          <w:rFonts w:hint="eastAsia" w:ascii="宋体" w:hAnsi="宋体" w:cs="宋体"/>
          <w:sz w:val="24"/>
          <w:szCs w:val="24"/>
        </w:rPr>
      </w:pPr>
      <w:r>
        <w:rPr>
          <w:rFonts w:hint="eastAsia" w:ascii="宋体" w:hAnsi="宋体" w:cs="宋体"/>
          <w:sz w:val="24"/>
          <w:szCs w:val="24"/>
        </w:rPr>
        <w:t>（4）自然资源部办公厅《实景三维中国建设成果质量核验方案（2023-2025）》；</w:t>
      </w:r>
    </w:p>
    <w:p w14:paraId="1999CC62">
      <w:pPr>
        <w:spacing w:line="360" w:lineRule="auto"/>
        <w:ind w:firstLine="480" w:firstLineChars="200"/>
        <w:rPr>
          <w:rFonts w:hint="eastAsia" w:ascii="宋体" w:hAnsi="宋体" w:cs="宋体"/>
          <w:sz w:val="24"/>
          <w:szCs w:val="24"/>
        </w:rPr>
      </w:pPr>
      <w:r>
        <w:rPr>
          <w:rFonts w:hint="eastAsia" w:ascii="宋体" w:hAnsi="宋体" w:cs="宋体"/>
          <w:sz w:val="24"/>
          <w:szCs w:val="24"/>
        </w:rPr>
        <w:t>（5）河南省自然资源厅《实景三维河南建设成果质量控制方案（试行）》；</w:t>
      </w:r>
    </w:p>
    <w:p w14:paraId="3C429BA1">
      <w:pPr>
        <w:spacing w:line="360" w:lineRule="auto"/>
        <w:ind w:firstLine="480" w:firstLineChars="200"/>
        <w:rPr>
          <w:rFonts w:hint="eastAsia" w:ascii="宋体" w:hAnsi="宋体" w:cs="宋体"/>
          <w:sz w:val="24"/>
          <w:szCs w:val="24"/>
        </w:rPr>
      </w:pPr>
      <w:r>
        <w:rPr>
          <w:rFonts w:hint="eastAsia" w:ascii="宋体" w:hAnsi="宋体" w:cs="宋体"/>
          <w:sz w:val="24"/>
          <w:szCs w:val="24"/>
        </w:rPr>
        <w:t>（6）河南省实景三维建设项目技术设计等文件。</w:t>
      </w:r>
    </w:p>
    <w:p w14:paraId="625939AA">
      <w:pPr>
        <w:spacing w:line="360" w:lineRule="auto"/>
        <w:ind w:firstLine="480" w:firstLineChars="200"/>
        <w:rPr>
          <w:rFonts w:hint="eastAsia" w:ascii="宋体" w:hAnsi="宋体" w:cs="宋体"/>
          <w:sz w:val="24"/>
          <w:szCs w:val="24"/>
        </w:rPr>
      </w:pPr>
      <w:r>
        <w:rPr>
          <w:rFonts w:hint="eastAsia" w:ascii="宋体" w:hAnsi="宋体" w:cs="宋体"/>
          <w:sz w:val="24"/>
          <w:szCs w:val="24"/>
        </w:rPr>
        <w:t>3.监理提交成果</w:t>
      </w:r>
    </w:p>
    <w:p w14:paraId="14062838">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（1）实景三维三门峡建设项目监理方案；</w:t>
      </w:r>
    </w:p>
    <w:p w14:paraId="4B41B0AE">
      <w:pPr>
        <w:spacing w:line="360" w:lineRule="auto"/>
        <w:ind w:firstLine="480" w:firstLineChars="200"/>
        <w:rPr>
          <w:rFonts w:hint="eastAsia" w:ascii="宋体" w:hAnsi="宋体" w:cs="宋体"/>
          <w:sz w:val="24"/>
          <w:szCs w:val="24"/>
        </w:rPr>
      </w:pPr>
      <w:r>
        <w:rPr>
          <w:rFonts w:hint="eastAsia" w:ascii="宋体" w:hAnsi="宋体" w:cs="宋体"/>
          <w:sz w:val="24"/>
          <w:szCs w:val="24"/>
        </w:rPr>
        <w:t>（2）监理例会会议纪要；</w:t>
      </w:r>
    </w:p>
    <w:p w14:paraId="3223CFDD">
      <w:pPr>
        <w:spacing w:line="360" w:lineRule="auto"/>
        <w:ind w:firstLine="480" w:firstLineChars="200"/>
        <w:rPr>
          <w:rFonts w:hint="eastAsia" w:ascii="宋体" w:hAnsi="宋体" w:cs="宋体"/>
          <w:sz w:val="24"/>
          <w:szCs w:val="24"/>
        </w:rPr>
      </w:pPr>
      <w:r>
        <w:rPr>
          <w:rFonts w:hint="eastAsia" w:ascii="宋体" w:hAnsi="宋体" w:cs="宋体"/>
          <w:sz w:val="24"/>
          <w:szCs w:val="24"/>
        </w:rPr>
        <w:t>（3）实景三维三门峡建设项目监理报告。</w:t>
      </w:r>
    </w:p>
    <w:bookmarkEnd w:id="263"/>
    <w:bookmarkEnd w:id="264"/>
    <w:p w14:paraId="22EA2428">
      <w:pPr>
        <w:pStyle w:val="2"/>
        <w:spacing w:before="0" w:after="0" w:line="360" w:lineRule="auto"/>
        <w:ind w:firstLine="482" w:firstLineChars="200"/>
        <w:rPr>
          <w:rFonts w:hint="eastAsia" w:ascii="宋体" w:hAnsi="宋体" w:cs="宋体"/>
          <w:sz w:val="24"/>
          <w:szCs w:val="24"/>
        </w:rPr>
      </w:pPr>
      <w:bookmarkStart w:id="265" w:name="_Toc2025"/>
      <w:bookmarkStart w:id="266" w:name="_Toc8399"/>
      <w:bookmarkStart w:id="267" w:name="_Toc3413"/>
      <w:r>
        <w:rPr>
          <w:rFonts w:hint="eastAsia" w:ascii="宋体" w:hAnsi="宋体" w:cs="宋体"/>
          <w:sz w:val="24"/>
          <w:szCs w:val="24"/>
        </w:rPr>
        <w:t>四、服务要求及其他</w:t>
      </w:r>
      <w:bookmarkEnd w:id="265"/>
      <w:bookmarkEnd w:id="266"/>
      <w:bookmarkEnd w:id="267"/>
    </w:p>
    <w:p w14:paraId="0B79E854">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服务期限：</w:t>
      </w:r>
      <w:r>
        <w:rPr>
          <w:rFonts w:hint="eastAsia" w:ascii="宋体" w:hAnsi="宋体" w:cs="宋体"/>
          <w:sz w:val="24"/>
          <w:szCs w:val="24"/>
        </w:rPr>
        <w:t>自合同签订生效之日起至通过验收</w:t>
      </w:r>
      <w:r>
        <w:rPr>
          <w:rFonts w:hint="eastAsia" w:ascii="宋体" w:hAnsi="宋体" w:cs="宋体"/>
          <w:bCs/>
          <w:sz w:val="24"/>
          <w:szCs w:val="24"/>
        </w:rPr>
        <w:t>。</w:t>
      </w:r>
    </w:p>
    <w:p w14:paraId="5ED2912A">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bCs/>
          <w:sz w:val="24"/>
          <w:szCs w:val="24"/>
        </w:rPr>
        <w:t>服务标准：符合现行规范、规程要求，并通过相关部门审查</w:t>
      </w:r>
      <w:r>
        <w:rPr>
          <w:rFonts w:hint="eastAsia" w:ascii="宋体" w:hAnsi="宋体" w:cs="宋体"/>
          <w:sz w:val="24"/>
          <w:szCs w:val="24"/>
        </w:rPr>
        <w:t>。</w:t>
      </w:r>
    </w:p>
    <w:p w14:paraId="4F17F05E">
      <w:pPr>
        <w:spacing w:line="360" w:lineRule="auto"/>
        <w:ind w:firstLine="480" w:firstLineChars="200"/>
        <w:rPr>
          <w:rFonts w:hint="eastAsia" w:ascii="宋体" w:hAnsi="宋体" w:cs="宋体"/>
          <w:sz w:val="24"/>
          <w:szCs w:val="24"/>
        </w:rPr>
      </w:pPr>
      <w:r>
        <w:rPr>
          <w:rFonts w:hint="eastAsia" w:ascii="宋体" w:hAnsi="宋体" w:cs="宋体"/>
          <w:sz w:val="24"/>
          <w:szCs w:val="24"/>
        </w:rPr>
        <w:t>3.报价要求：供应商的报价应含有所有服务、所有材料、劳务、利润、税金、政策性文件、招标文件及合同包含的所有风险、责任、义务等为完成本项目要求的服务内容所包含的一切应有费用。</w:t>
      </w:r>
    </w:p>
    <w:p w14:paraId="646D2681">
      <w:pPr>
        <w:spacing w:line="360" w:lineRule="auto"/>
        <w:ind w:firstLine="480" w:firstLineChars="200"/>
        <w:rPr>
          <w:rFonts w:hint="eastAsia" w:ascii="宋体" w:hAnsi="宋体" w:cs="宋体"/>
          <w:sz w:val="24"/>
          <w:szCs w:val="24"/>
        </w:rPr>
      </w:pPr>
      <w:r>
        <w:rPr>
          <w:rFonts w:hint="eastAsia" w:ascii="宋体" w:hAnsi="宋体" w:cs="宋体"/>
          <w:sz w:val="24"/>
          <w:szCs w:val="24"/>
        </w:rPr>
        <w:t>4.服务地点：三门峡市。</w:t>
      </w:r>
    </w:p>
    <w:p w14:paraId="4A6B1355">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5.供应商应具有丰富的实战经验及较强的综合实力，具有承担同类项目的业绩和相关技术证书，能够为采购人提供优质的服务。</w:t>
      </w:r>
    </w:p>
    <w:p w14:paraId="08D17002">
      <w:pPr>
        <w:spacing w:line="360" w:lineRule="auto"/>
        <w:ind w:firstLine="480" w:firstLineChars="200"/>
        <w:rPr>
          <w:rFonts w:hint="eastAsia" w:ascii="宋体" w:hAnsi="宋体" w:cs="宋体"/>
          <w:sz w:val="24"/>
          <w:szCs w:val="24"/>
        </w:rPr>
      </w:pPr>
      <w:r>
        <w:rPr>
          <w:rFonts w:hint="eastAsia" w:ascii="宋体" w:hAnsi="宋体" w:cs="宋体"/>
          <w:sz w:val="24"/>
          <w:szCs w:val="24"/>
        </w:rPr>
        <w:t>6.项目管理人员配备要求：供应商应根据本项目性质、规模和相关技术要求配备与本项目相适应专业管理、技术人员。</w:t>
      </w:r>
    </w:p>
    <w:p w14:paraId="1B385328">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cs="宋体"/>
          <w:sz w:val="24"/>
          <w:szCs w:val="24"/>
        </w:rPr>
        <w:t>质量要求：合格，符合国家及行业标准，并满足采购人要求。</w:t>
      </w:r>
    </w:p>
    <w:p w14:paraId="65C2C52E">
      <w:pPr>
        <w:pStyle w:val="2"/>
        <w:spacing w:before="0" w:after="0" w:line="360" w:lineRule="auto"/>
        <w:ind w:firstLine="482" w:firstLineChars="200"/>
        <w:rPr>
          <w:rFonts w:hint="eastAsia" w:ascii="宋体" w:hAnsi="宋体" w:cs="宋体"/>
          <w:sz w:val="24"/>
          <w:szCs w:val="24"/>
        </w:rPr>
      </w:pPr>
      <w:bookmarkStart w:id="268" w:name="_Toc16891"/>
      <w:bookmarkStart w:id="269" w:name="_Toc18851"/>
      <w:bookmarkStart w:id="270" w:name="_Toc7491"/>
      <w:r>
        <w:rPr>
          <w:rFonts w:hint="eastAsia" w:ascii="宋体" w:hAnsi="宋体" w:cs="宋体"/>
          <w:sz w:val="24"/>
          <w:szCs w:val="24"/>
        </w:rPr>
        <w:t>五、验收要求</w:t>
      </w:r>
      <w:bookmarkEnd w:id="268"/>
      <w:bookmarkEnd w:id="269"/>
      <w:bookmarkEnd w:id="270"/>
    </w:p>
    <w:p w14:paraId="7C136859">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或采购代理机构按照政府采购合同规定的技术、服务、安全标准组织对供应商履约情况进行初步验收，并出具初步验收书。验收书包括技术、服务、安全标准的履约情况。验收标准：符合国家相关标准，满足采购人要求。</w:t>
      </w:r>
    </w:p>
    <w:p w14:paraId="0F971B17">
      <w:pPr>
        <w:spacing w:line="360" w:lineRule="auto"/>
        <w:ind w:firstLine="480" w:firstLineChars="200"/>
        <w:rPr>
          <w:rFonts w:hint="eastAsia" w:ascii="宋体" w:hAnsi="宋体" w:cs="宋体"/>
        </w:rPr>
      </w:pPr>
      <w:r>
        <w:rPr>
          <w:rFonts w:hint="eastAsia" w:ascii="宋体" w:hAnsi="宋体" w:cs="宋体"/>
          <w:sz w:val="24"/>
          <w:szCs w:val="24"/>
        </w:rPr>
        <w:t>2.验收由采购人或采购代理机构或验收专家和中标人共同参与下完成，按国家有关的规定、规范进行。</w:t>
      </w:r>
      <w:r>
        <w:rPr>
          <w:rFonts w:hint="eastAsia" w:ascii="宋体" w:hAnsi="宋体" w:cs="宋体"/>
        </w:rPr>
        <w:br w:type="page"/>
      </w:r>
    </w:p>
    <w:p w14:paraId="32F70577">
      <w:pPr>
        <w:pStyle w:val="2"/>
        <w:jc w:val="center"/>
        <w:rPr>
          <w:rFonts w:hint="eastAsia" w:ascii="宋体" w:hAnsi="宋体" w:cs="宋体"/>
        </w:rPr>
      </w:pPr>
      <w:bookmarkStart w:id="271" w:name="_Toc2882"/>
      <w:bookmarkStart w:id="272" w:name="_Toc10087"/>
      <w:r>
        <w:rPr>
          <w:rFonts w:hint="eastAsia" w:ascii="宋体" w:hAnsi="宋体" w:cs="宋体"/>
        </w:rPr>
        <w:t>第六章 投标文件格式</w:t>
      </w:r>
      <w:bookmarkEnd w:id="271"/>
      <w:bookmarkEnd w:id="272"/>
    </w:p>
    <w:bookmarkEnd w:id="27"/>
    <w:bookmarkEnd w:id="28"/>
    <w:bookmarkEnd w:id="29"/>
    <w:bookmarkEnd w:id="30"/>
    <w:bookmarkEnd w:id="31"/>
    <w:bookmarkEnd w:id="148"/>
    <w:bookmarkEnd w:id="149"/>
    <w:bookmarkEnd w:id="150"/>
    <w:p w14:paraId="49998457">
      <w:pPr>
        <w:pStyle w:val="13"/>
        <w:rPr>
          <w:rFonts w:hint="eastAsia" w:ascii="宋体" w:hAnsi="宋体" w:cs="宋体"/>
        </w:rPr>
      </w:pPr>
    </w:p>
    <w:p w14:paraId="2176DCD7">
      <w:pPr>
        <w:jc w:val="center"/>
        <w:rPr>
          <w:rFonts w:hint="eastAsia" w:ascii="宋体" w:hAnsi="宋体" w:cs="宋体"/>
          <w:b/>
          <w:bCs/>
          <w:color w:val="000000"/>
          <w:sz w:val="48"/>
          <w:szCs w:val="48"/>
          <w:u w:val="single"/>
        </w:rPr>
      </w:pPr>
      <w:r>
        <w:rPr>
          <w:rFonts w:hint="eastAsia" w:ascii="宋体" w:hAnsi="宋体" w:cs="宋体"/>
          <w:b/>
          <w:bCs/>
          <w:sz w:val="48"/>
          <w:szCs w:val="48"/>
        </w:rPr>
        <w:t>三门峡市自然资源和规划局实景三维三门峡建设项目</w:t>
      </w:r>
      <w:r>
        <w:rPr>
          <w:rFonts w:hint="eastAsia" w:ascii="宋体" w:hAnsi="宋体" w:cs="宋体"/>
          <w:b/>
          <w:bCs/>
          <w:sz w:val="48"/>
          <w:szCs w:val="48"/>
          <w:u w:val="single"/>
        </w:rPr>
        <w:t xml:space="preserve">   </w:t>
      </w:r>
      <w:r>
        <w:rPr>
          <w:rFonts w:hint="eastAsia" w:ascii="宋体" w:hAnsi="宋体" w:cs="宋体"/>
          <w:b/>
          <w:bCs/>
          <w:sz w:val="48"/>
          <w:szCs w:val="48"/>
        </w:rPr>
        <w:t>包</w:t>
      </w:r>
    </w:p>
    <w:p w14:paraId="6802F8C6">
      <w:pPr>
        <w:widowControl/>
        <w:shd w:val="clear" w:color="auto" w:fill="FFFFFF"/>
        <w:autoSpaceDN w:val="0"/>
        <w:spacing w:line="360" w:lineRule="auto"/>
        <w:jc w:val="center"/>
        <w:rPr>
          <w:rFonts w:hint="eastAsia" w:ascii="宋体" w:hAnsi="宋体" w:cs="宋体"/>
          <w:b/>
          <w:bCs/>
          <w:kern w:val="0"/>
          <w:sz w:val="24"/>
          <w:szCs w:val="24"/>
          <w:shd w:val="clear" w:color="auto" w:fill="FFFFFF"/>
        </w:rPr>
      </w:pPr>
      <w:r>
        <w:rPr>
          <w:rFonts w:hint="eastAsia" w:ascii="宋体" w:hAnsi="宋体" w:cs="宋体"/>
          <w:kern w:val="0"/>
          <w:sz w:val="24"/>
          <w:szCs w:val="24"/>
          <w:shd w:val="clear" w:color="auto" w:fill="FFFFFF"/>
        </w:rPr>
        <w:t>★</w:t>
      </w:r>
      <w:r>
        <w:rPr>
          <w:rFonts w:hint="eastAsia" w:ascii="宋体" w:hAnsi="宋体" w:cs="宋体"/>
          <w:b/>
          <w:bCs/>
          <w:kern w:val="0"/>
          <w:sz w:val="24"/>
          <w:szCs w:val="24"/>
          <w:shd w:val="clear" w:color="auto" w:fill="FFFFFF"/>
        </w:rPr>
        <w:t>说明：请供应商使用此页格式作为所编写投标文件的封皮。</w:t>
      </w:r>
    </w:p>
    <w:p w14:paraId="550EA782">
      <w:pPr>
        <w:jc w:val="center"/>
        <w:rPr>
          <w:rFonts w:hint="eastAsia" w:ascii="宋体" w:hAnsi="宋体" w:cs="宋体"/>
          <w:b/>
          <w:bCs/>
          <w:color w:val="000000"/>
          <w:sz w:val="72"/>
          <w:szCs w:val="72"/>
        </w:rPr>
      </w:pPr>
    </w:p>
    <w:p w14:paraId="2E3D0F6D">
      <w:pPr>
        <w:rPr>
          <w:rFonts w:hint="eastAsia" w:ascii="宋体" w:hAnsi="宋体" w:cs="宋体"/>
          <w:szCs w:val="22"/>
        </w:rPr>
      </w:pPr>
    </w:p>
    <w:p w14:paraId="7785A355">
      <w:pPr>
        <w:pStyle w:val="12"/>
        <w:rPr>
          <w:rFonts w:hint="eastAsia" w:ascii="宋体" w:hAnsi="宋体" w:eastAsia="宋体"/>
        </w:rPr>
      </w:pPr>
    </w:p>
    <w:p w14:paraId="5CD7F2CE">
      <w:pPr>
        <w:pStyle w:val="13"/>
        <w:rPr>
          <w:rFonts w:hint="eastAsia" w:ascii="宋体" w:hAnsi="宋体" w:cs="宋体"/>
        </w:rPr>
      </w:pPr>
    </w:p>
    <w:p w14:paraId="638ABDA6">
      <w:pPr>
        <w:rPr>
          <w:rFonts w:hint="eastAsia" w:ascii="宋体" w:hAnsi="宋体" w:cs="宋体"/>
          <w:szCs w:val="22"/>
        </w:rPr>
      </w:pPr>
    </w:p>
    <w:p w14:paraId="5C9A69F6">
      <w:pPr>
        <w:jc w:val="center"/>
        <w:rPr>
          <w:rFonts w:hint="eastAsia" w:ascii="宋体" w:hAnsi="宋体" w:cs="宋体"/>
          <w:b/>
          <w:bCs/>
          <w:color w:val="000000"/>
          <w:sz w:val="52"/>
          <w:szCs w:val="52"/>
        </w:rPr>
      </w:pPr>
      <w:r>
        <w:rPr>
          <w:rFonts w:hint="eastAsia" w:ascii="宋体" w:hAnsi="宋体" w:cs="宋体"/>
          <w:b/>
          <w:bCs/>
          <w:color w:val="000000"/>
          <w:sz w:val="52"/>
          <w:szCs w:val="52"/>
        </w:rPr>
        <w:t>投标文件</w:t>
      </w:r>
    </w:p>
    <w:p w14:paraId="2ADFE859">
      <w:pPr>
        <w:shd w:val="clear" w:color="auto" w:fill="FFFFFF"/>
        <w:snapToGrid w:val="0"/>
        <w:spacing w:line="360" w:lineRule="auto"/>
        <w:ind w:right="105" w:rightChars="50" w:firstLine="2409" w:firstLineChars="800"/>
        <w:rPr>
          <w:rFonts w:hint="eastAsia" w:ascii="宋体" w:hAnsi="宋体" w:cs="宋体"/>
          <w:b/>
          <w:bCs/>
          <w:color w:val="000000"/>
          <w:sz w:val="30"/>
          <w:szCs w:val="30"/>
        </w:rPr>
      </w:pPr>
      <w:r>
        <w:rPr>
          <w:rFonts w:hint="eastAsia" w:ascii="宋体" w:hAnsi="宋体" w:cs="宋体"/>
          <w:b/>
          <w:bCs/>
          <w:color w:val="000000"/>
          <w:sz w:val="30"/>
          <w:szCs w:val="30"/>
        </w:rPr>
        <w:t>采购项目编号：三财公开采购-2025-61</w:t>
      </w:r>
    </w:p>
    <w:p w14:paraId="6AE159F9">
      <w:pPr>
        <w:ind w:firstLine="2538" w:firstLineChars="846"/>
        <w:rPr>
          <w:rFonts w:hint="eastAsia" w:ascii="宋体" w:hAnsi="宋体" w:cs="宋体"/>
          <w:sz w:val="30"/>
          <w:szCs w:val="30"/>
        </w:rPr>
      </w:pPr>
    </w:p>
    <w:p w14:paraId="624595C6">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228FB18F">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7D9B929D">
      <w:pPr>
        <w:pStyle w:val="12"/>
        <w:rPr>
          <w:rFonts w:hint="eastAsia" w:ascii="宋体" w:hAnsi="宋体" w:eastAsia="宋体"/>
        </w:rPr>
      </w:pPr>
    </w:p>
    <w:p w14:paraId="54547ECE">
      <w:pPr>
        <w:pStyle w:val="13"/>
        <w:rPr>
          <w:rFonts w:hint="eastAsia" w:ascii="宋体" w:hAnsi="宋体" w:cs="宋体"/>
        </w:rPr>
      </w:pPr>
    </w:p>
    <w:p w14:paraId="489182B9">
      <w:pPr>
        <w:rPr>
          <w:rFonts w:hint="eastAsia" w:ascii="宋体" w:hAnsi="宋体" w:cs="宋体"/>
        </w:rPr>
      </w:pPr>
    </w:p>
    <w:p w14:paraId="1150BD8A">
      <w:pPr>
        <w:snapToGrid w:val="0"/>
        <w:spacing w:line="360" w:lineRule="auto"/>
        <w:rPr>
          <w:rFonts w:hint="eastAsia" w:ascii="宋体" w:hAnsi="宋体" w:cs="宋体"/>
          <w:b/>
          <w:bCs/>
          <w:kern w:val="0"/>
          <w:sz w:val="32"/>
          <w:szCs w:val="32"/>
          <w:shd w:val="clear" w:color="auto" w:fill="FFFFFF"/>
        </w:rPr>
      </w:pPr>
    </w:p>
    <w:p w14:paraId="618411CD">
      <w:pPr>
        <w:rPr>
          <w:rFonts w:hint="eastAsia" w:ascii="宋体" w:hAnsi="宋体" w:cs="宋体"/>
          <w:szCs w:val="22"/>
        </w:rPr>
      </w:pPr>
    </w:p>
    <w:p w14:paraId="22ABC7EE">
      <w:pPr>
        <w:shd w:val="clear" w:color="auto" w:fill="FFFFFF"/>
        <w:snapToGrid w:val="0"/>
        <w:spacing w:line="360" w:lineRule="auto"/>
        <w:ind w:right="105" w:rightChars="50"/>
        <w:rPr>
          <w:rFonts w:hint="eastAsia" w:ascii="宋体" w:hAnsi="宋体" w:cs="宋体"/>
          <w:b/>
          <w:bCs/>
          <w:kern w:val="0"/>
          <w:sz w:val="32"/>
          <w:szCs w:val="32"/>
          <w:shd w:val="clear" w:color="auto" w:fill="FFFFFF"/>
        </w:rPr>
      </w:pPr>
    </w:p>
    <w:p w14:paraId="3321C2DD">
      <w:pPr>
        <w:widowControl/>
        <w:shd w:val="clear" w:color="auto" w:fill="FFFFFF"/>
        <w:autoSpaceDN w:val="0"/>
        <w:spacing w:line="360" w:lineRule="auto"/>
        <w:ind w:firstLine="1911" w:firstLineChars="595"/>
        <w:rPr>
          <w:rFonts w:hint="eastAsia" w:ascii="宋体" w:hAnsi="宋体" w:cs="宋体"/>
          <w:kern w:val="0"/>
          <w:sz w:val="32"/>
          <w:szCs w:val="32"/>
          <w:shd w:val="clear" w:color="auto" w:fill="FFFFFF"/>
        </w:rPr>
      </w:pPr>
      <w:r>
        <w:rPr>
          <w:rFonts w:hint="eastAsia" w:ascii="宋体" w:hAnsi="宋体" w:cs="宋体"/>
          <w:b/>
          <w:bCs/>
          <w:kern w:val="0"/>
          <w:sz w:val="32"/>
          <w:szCs w:val="32"/>
          <w:shd w:val="clear" w:color="auto" w:fill="FFFFFF"/>
        </w:rPr>
        <w:t>投标供应商：（盖章）</w:t>
      </w:r>
    </w:p>
    <w:p w14:paraId="313D641D">
      <w:pPr>
        <w:widowControl/>
        <w:shd w:val="clear" w:color="auto" w:fill="FFFFFF"/>
        <w:tabs>
          <w:tab w:val="left" w:pos="360"/>
        </w:tabs>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法定代表人：（签章）</w:t>
      </w:r>
    </w:p>
    <w:p w14:paraId="1B367F7C">
      <w:pPr>
        <w:widowControl/>
        <w:shd w:val="clear" w:color="auto" w:fill="FFFFFF"/>
        <w:autoSpaceDN w:val="0"/>
        <w:spacing w:line="360" w:lineRule="auto"/>
        <w:ind w:firstLine="1269" w:firstLineChars="395"/>
        <w:rPr>
          <w:rFonts w:hint="eastAsia" w:ascii="宋体" w:hAnsi="宋体" w:cs="宋体"/>
          <w:b/>
          <w:bCs/>
          <w:sz w:val="44"/>
          <w:szCs w:val="44"/>
        </w:rPr>
      </w:pPr>
      <w:r>
        <w:rPr>
          <w:rFonts w:hint="eastAsia" w:ascii="宋体" w:hAnsi="宋体" w:cs="宋体"/>
          <w:b/>
          <w:bCs/>
          <w:kern w:val="0"/>
          <w:sz w:val="32"/>
          <w:szCs w:val="32"/>
          <w:shd w:val="clear" w:color="auto" w:fill="FFFFFF"/>
        </w:rPr>
        <w:t xml:space="preserve">    日      期：</w:t>
      </w:r>
    </w:p>
    <w:p w14:paraId="14C56E73">
      <w:pPr>
        <w:widowControl/>
        <w:shd w:val="clear" w:color="auto" w:fill="FFFFFF"/>
        <w:autoSpaceDN w:val="0"/>
        <w:spacing w:line="360" w:lineRule="auto"/>
        <w:ind w:firstLine="829" w:firstLineChars="395"/>
        <w:rPr>
          <w:rFonts w:hint="eastAsia" w:ascii="宋体" w:hAnsi="宋体" w:cs="宋体"/>
        </w:rPr>
      </w:pPr>
    </w:p>
    <w:p w14:paraId="752AE04E">
      <w:pPr>
        <w:spacing w:line="360" w:lineRule="auto"/>
        <w:ind w:firstLine="619" w:firstLineChars="295"/>
        <w:jc w:val="center"/>
        <w:rPr>
          <w:rFonts w:hint="eastAsia" w:ascii="宋体" w:hAnsi="宋体" w:cs="宋体"/>
        </w:rPr>
      </w:pPr>
    </w:p>
    <w:p w14:paraId="08EC08D3">
      <w:pPr>
        <w:pStyle w:val="12"/>
        <w:rPr>
          <w:rFonts w:hint="eastAsia" w:ascii="宋体" w:hAnsi="宋体" w:eastAsia="宋体"/>
        </w:rPr>
      </w:pPr>
    </w:p>
    <w:p w14:paraId="621B3D20">
      <w:pPr>
        <w:spacing w:line="360" w:lineRule="auto"/>
        <w:jc w:val="center"/>
        <w:rPr>
          <w:rFonts w:hint="eastAsia" w:ascii="宋体" w:hAnsi="宋体" w:cs="宋体"/>
          <w:b/>
          <w:bCs/>
          <w:sz w:val="36"/>
          <w:szCs w:val="36"/>
        </w:rPr>
      </w:pPr>
      <w:r>
        <w:rPr>
          <w:rFonts w:hint="eastAsia" w:ascii="宋体" w:hAnsi="宋体" w:cs="宋体"/>
          <w:b/>
          <w:bCs/>
          <w:sz w:val="36"/>
          <w:szCs w:val="36"/>
        </w:rPr>
        <w:t>投标文件目录</w:t>
      </w:r>
    </w:p>
    <w:p w14:paraId="4A04D07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3" w:name="_Toc26417"/>
      <w:r>
        <w:rPr>
          <w:rFonts w:hint="eastAsia" w:ascii="宋体" w:hAnsi="宋体" w:cs="宋体"/>
          <w:sz w:val="24"/>
          <w:szCs w:val="24"/>
        </w:rPr>
        <w:t>一、法定代表人身份证明书</w:t>
      </w:r>
      <w:bookmarkEnd w:id="273"/>
    </w:p>
    <w:p w14:paraId="35BF1969">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4" w:name="_Toc4462"/>
      <w:r>
        <w:rPr>
          <w:rFonts w:hint="eastAsia" w:ascii="宋体" w:hAnsi="宋体" w:cs="宋体"/>
          <w:sz w:val="24"/>
          <w:szCs w:val="24"/>
        </w:rPr>
        <w:t>二、投标文件签署授权委托书</w:t>
      </w:r>
      <w:bookmarkEnd w:id="274"/>
    </w:p>
    <w:p w14:paraId="7F3EAE5A">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5" w:name="_Toc14158"/>
      <w:r>
        <w:rPr>
          <w:rFonts w:hint="eastAsia" w:ascii="宋体" w:hAnsi="宋体" w:cs="宋体"/>
          <w:sz w:val="24"/>
          <w:szCs w:val="24"/>
        </w:rPr>
        <w:t>三、投标函及投标函附录</w:t>
      </w:r>
      <w:bookmarkEnd w:id="275"/>
    </w:p>
    <w:p w14:paraId="22B3B167">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6" w:name="_Toc31701"/>
      <w:r>
        <w:rPr>
          <w:rFonts w:hint="eastAsia" w:ascii="宋体" w:hAnsi="宋体" w:cs="宋体"/>
          <w:sz w:val="24"/>
          <w:szCs w:val="24"/>
        </w:rPr>
        <w:t>四、服务方案</w:t>
      </w:r>
      <w:bookmarkEnd w:id="276"/>
    </w:p>
    <w:p w14:paraId="62A975E3">
      <w:pPr>
        <w:pStyle w:val="26"/>
        <w:rPr>
          <w:rFonts w:hint="eastAsia" w:ascii="宋体" w:hAnsi="宋体" w:cs="宋体"/>
          <w:szCs w:val="24"/>
        </w:rPr>
      </w:pPr>
      <w:r>
        <w:rPr>
          <w:rFonts w:hint="eastAsia" w:ascii="宋体" w:hAnsi="宋体" w:cs="宋体"/>
          <w:szCs w:val="24"/>
        </w:rPr>
        <w:t>五、资格审查资料</w:t>
      </w:r>
    </w:p>
    <w:p w14:paraId="1A1C6B85">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7" w:name="_Toc24569"/>
      <w:r>
        <w:rPr>
          <w:rFonts w:hint="eastAsia" w:ascii="宋体" w:hAnsi="宋体" w:cs="宋体"/>
          <w:sz w:val="24"/>
          <w:szCs w:val="24"/>
        </w:rPr>
        <w:t>六、中小企业声明函</w:t>
      </w:r>
      <w:bookmarkEnd w:id="277"/>
    </w:p>
    <w:p w14:paraId="4F558FE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8" w:name="_Toc25040"/>
      <w:r>
        <w:rPr>
          <w:rFonts w:hint="eastAsia" w:ascii="宋体" w:hAnsi="宋体" w:cs="宋体"/>
          <w:sz w:val="24"/>
          <w:szCs w:val="24"/>
        </w:rPr>
        <w:t>七、投标承诺函</w:t>
      </w:r>
      <w:bookmarkEnd w:id="278"/>
    </w:p>
    <w:p w14:paraId="207F634C">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9" w:name="_Toc18229"/>
      <w:r>
        <w:rPr>
          <w:rFonts w:hint="eastAsia" w:ascii="宋体" w:hAnsi="宋体" w:cs="宋体"/>
          <w:sz w:val="24"/>
          <w:szCs w:val="24"/>
        </w:rPr>
        <w:t>八、其他资料</w:t>
      </w:r>
      <w:bookmarkEnd w:id="279"/>
    </w:p>
    <w:p w14:paraId="5211192C">
      <w:pPr>
        <w:jc w:val="center"/>
        <w:rPr>
          <w:rFonts w:hint="eastAsia" w:ascii="宋体" w:hAnsi="宋体" w:cs="宋体"/>
          <w:b/>
          <w:sz w:val="28"/>
          <w:szCs w:val="28"/>
        </w:rPr>
      </w:pPr>
      <w:r>
        <w:rPr>
          <w:rFonts w:hint="eastAsia" w:ascii="宋体" w:hAnsi="宋体" w:cs="宋体"/>
          <w:b/>
          <w:bCs/>
          <w:kern w:val="0"/>
          <w:sz w:val="24"/>
          <w:szCs w:val="24"/>
        </w:rPr>
        <w:br w:type="page"/>
      </w:r>
      <w:r>
        <w:rPr>
          <w:rFonts w:hint="eastAsia" w:ascii="宋体" w:hAnsi="宋体" w:cs="宋体"/>
          <w:b/>
          <w:sz w:val="28"/>
          <w:szCs w:val="28"/>
        </w:rPr>
        <w:t>一、法定代表人身份证明书</w:t>
      </w:r>
    </w:p>
    <w:p w14:paraId="74FFA085">
      <w:pPr>
        <w:spacing w:line="440" w:lineRule="exact"/>
        <w:rPr>
          <w:rFonts w:hint="eastAsia" w:ascii="宋体" w:hAnsi="宋体" w:cs="宋体"/>
          <w:b/>
          <w:bCs/>
          <w:sz w:val="32"/>
          <w:szCs w:val="32"/>
        </w:rPr>
      </w:pPr>
    </w:p>
    <w:p w14:paraId="0DBE11F8">
      <w:pPr>
        <w:spacing w:line="480" w:lineRule="auto"/>
        <w:ind w:firstLine="612"/>
        <w:rPr>
          <w:rFonts w:hint="eastAsia"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C4101D">
      <w:pPr>
        <w:spacing w:line="480" w:lineRule="auto"/>
        <w:ind w:firstLine="610"/>
        <w:rPr>
          <w:rFonts w:hint="eastAsia" w:ascii="宋体" w:hAnsi="宋体" w:cs="宋体"/>
          <w:sz w:val="24"/>
          <w:szCs w:val="24"/>
          <w:u w:val="single"/>
        </w:rPr>
      </w:pPr>
      <w:r>
        <w:rPr>
          <w:rFonts w:hint="eastAsia" w:ascii="宋体" w:hAnsi="宋体" w:cs="宋体"/>
          <w:sz w:val="24"/>
          <w:szCs w:val="24"/>
        </w:rPr>
        <w:t>单位性质：</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2FAB0B24">
      <w:pPr>
        <w:spacing w:line="480" w:lineRule="auto"/>
        <w:ind w:firstLine="610"/>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D73F6A">
      <w:pPr>
        <w:spacing w:line="480" w:lineRule="auto"/>
        <w:ind w:firstLine="610"/>
        <w:rPr>
          <w:rFonts w:hint="eastAsia" w:ascii="宋体" w:hAnsi="宋体" w:cs="宋体"/>
          <w:sz w:val="24"/>
          <w:szCs w:val="24"/>
        </w:rPr>
      </w:pPr>
      <w:r>
        <w:rPr>
          <w:rFonts w:hint="eastAsia" w:ascii="宋体" w:hAnsi="宋体" w:cs="宋体"/>
          <w:sz w:val="24"/>
          <w:szCs w:val="24"/>
        </w:rPr>
        <w:t>成立时间：   年   月   日</w:t>
      </w:r>
    </w:p>
    <w:p w14:paraId="0FA8AF76">
      <w:pPr>
        <w:spacing w:line="480" w:lineRule="auto"/>
        <w:ind w:firstLine="610"/>
        <w:rPr>
          <w:rFonts w:hint="eastAsia"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ab/>
      </w:r>
      <w:r>
        <w:rPr>
          <w:rFonts w:hint="eastAsia" w:ascii="宋体" w:hAnsi="宋体" w:cs="宋体"/>
          <w:sz w:val="24"/>
          <w:szCs w:val="24"/>
          <w:u w:val="single"/>
        </w:rPr>
        <w:tab/>
      </w:r>
    </w:p>
    <w:p w14:paraId="555FEF33">
      <w:pPr>
        <w:spacing w:line="480" w:lineRule="auto"/>
        <w:ind w:firstLine="610"/>
        <w:rPr>
          <w:rFonts w:hint="eastAsia" w:ascii="宋体" w:hAnsi="宋体" w:cs="宋体"/>
          <w:sz w:val="24"/>
          <w:szCs w:val="24"/>
          <w:u w:val="single"/>
        </w:rPr>
      </w:pPr>
      <w:r>
        <w:rPr>
          <w:rFonts w:hint="eastAsia" w:ascii="宋体" w:hAnsi="宋体" w:cs="宋体"/>
          <w:sz w:val="24"/>
          <w:szCs w:val="24"/>
        </w:rPr>
        <w:t>姓名：性别：年龄：职务：</w:t>
      </w:r>
      <w:r>
        <w:rPr>
          <w:rFonts w:hint="eastAsia" w:ascii="宋体" w:hAnsi="宋体" w:cs="宋体"/>
          <w:sz w:val="24"/>
          <w:szCs w:val="24"/>
          <w:u w:val="single"/>
        </w:rPr>
        <w:tab/>
      </w:r>
    </w:p>
    <w:p w14:paraId="5C684D3E">
      <w:pPr>
        <w:spacing w:line="480" w:lineRule="auto"/>
        <w:ind w:firstLine="61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（投标供应商单位名称）</w:t>
      </w:r>
      <w:r>
        <w:rPr>
          <w:rFonts w:hint="eastAsia" w:ascii="宋体" w:hAnsi="宋体" w:cs="宋体"/>
          <w:sz w:val="24"/>
          <w:szCs w:val="24"/>
        </w:rPr>
        <w:t>的法定代表人。</w:t>
      </w:r>
    </w:p>
    <w:p w14:paraId="28683BEF">
      <w:pPr>
        <w:spacing w:line="480" w:lineRule="auto"/>
        <w:ind w:firstLine="610"/>
        <w:rPr>
          <w:rFonts w:hint="eastAsia" w:ascii="宋体" w:hAnsi="宋体" w:cs="宋体"/>
          <w:sz w:val="24"/>
          <w:szCs w:val="24"/>
        </w:rPr>
      </w:pPr>
    </w:p>
    <w:p w14:paraId="41D015B1">
      <w:pPr>
        <w:spacing w:line="480" w:lineRule="auto"/>
        <w:ind w:firstLine="1089" w:firstLineChars="454"/>
        <w:rPr>
          <w:rFonts w:hint="eastAsia" w:ascii="宋体" w:hAnsi="宋体" w:cs="宋体"/>
          <w:sz w:val="24"/>
          <w:szCs w:val="24"/>
        </w:rPr>
      </w:pPr>
      <w:r>
        <w:rPr>
          <w:rFonts w:hint="eastAsia" w:ascii="宋体" w:hAnsi="宋体" w:cs="宋体"/>
          <w:sz w:val="24"/>
          <w:szCs w:val="24"/>
        </w:rPr>
        <w:t>特此证明。</w:t>
      </w:r>
    </w:p>
    <w:p w14:paraId="66DD0748">
      <w:pPr>
        <w:tabs>
          <w:tab w:val="left" w:pos="720"/>
          <w:tab w:val="left" w:pos="900"/>
        </w:tabs>
        <w:spacing w:line="480" w:lineRule="auto"/>
        <w:ind w:firstLine="5040" w:firstLineChars="2100"/>
        <w:rPr>
          <w:rFonts w:hint="eastAsia" w:ascii="宋体" w:hAnsi="宋体" w:cs="宋体"/>
          <w:sz w:val="24"/>
          <w:szCs w:val="24"/>
        </w:rPr>
      </w:pPr>
    </w:p>
    <w:p w14:paraId="486D4925">
      <w:pPr>
        <w:wordWrap w:val="0"/>
        <w:spacing w:line="520" w:lineRule="exact"/>
        <w:ind w:firstLine="2400" w:firstLineChars="1000"/>
        <w:rPr>
          <w:rFonts w:hint="eastAsia" w:ascii="宋体" w:hAnsi="宋体" w:cs="宋体"/>
          <w:sz w:val="24"/>
          <w:szCs w:val="22"/>
          <w:u w:val="single"/>
        </w:rPr>
      </w:pPr>
      <w:r>
        <w:rPr>
          <w:rFonts w:hint="eastAsia" w:ascii="宋体" w:hAnsi="宋体" w:cs="宋体"/>
          <w:sz w:val="24"/>
          <w:szCs w:val="22"/>
        </w:rPr>
        <w:t xml:space="preserve">             投标供应商（</w:t>
      </w:r>
      <w:r>
        <w:rPr>
          <w:rFonts w:hint="eastAsia" w:ascii="宋体" w:hAnsi="宋体" w:cs="宋体"/>
          <w:sz w:val="24"/>
          <w:szCs w:val="24"/>
          <w:u w:val="single"/>
        </w:rPr>
        <w:t>盖章</w:t>
      </w:r>
      <w:r>
        <w:rPr>
          <w:rFonts w:hint="eastAsia" w:ascii="宋体" w:hAnsi="宋体" w:cs="宋体"/>
          <w:sz w:val="24"/>
          <w:szCs w:val="22"/>
        </w:rPr>
        <w:t>）：</w:t>
      </w:r>
    </w:p>
    <w:p w14:paraId="239BF12D">
      <w:pPr>
        <w:spacing w:line="520" w:lineRule="exact"/>
        <w:ind w:firstLine="480" w:firstLineChars="200"/>
        <w:rPr>
          <w:rFonts w:hint="eastAsia" w:ascii="宋体" w:hAnsi="宋体" w:cs="宋体"/>
          <w:sz w:val="24"/>
          <w:szCs w:val="22"/>
          <w:u w:val="single"/>
        </w:rPr>
      </w:pPr>
      <w:r>
        <w:rPr>
          <w:rFonts w:hint="eastAsia" w:ascii="宋体" w:hAnsi="宋体" w:cs="宋体"/>
          <w:sz w:val="24"/>
          <w:szCs w:val="22"/>
        </w:rPr>
        <w:t xml:space="preserve">                             法定代表人（签章）： </w:t>
      </w:r>
    </w:p>
    <w:p w14:paraId="308011EE">
      <w:pPr>
        <w:spacing w:line="520" w:lineRule="exact"/>
        <w:ind w:firstLine="480" w:firstLineChars="200"/>
        <w:rPr>
          <w:rFonts w:hint="eastAsia" w:ascii="宋体" w:hAnsi="宋体" w:cs="宋体"/>
          <w:sz w:val="24"/>
          <w:szCs w:val="22"/>
        </w:rPr>
      </w:pPr>
      <w:r>
        <w:rPr>
          <w:rFonts w:hint="eastAsia" w:ascii="宋体" w:hAnsi="宋体" w:cs="宋体"/>
          <w:sz w:val="24"/>
          <w:szCs w:val="22"/>
        </w:rPr>
        <w:t xml:space="preserve">                             日   期：年月日</w:t>
      </w:r>
    </w:p>
    <w:p w14:paraId="3C3CB559">
      <w:pPr>
        <w:spacing w:line="520" w:lineRule="exact"/>
        <w:rPr>
          <w:rFonts w:hint="eastAsia" w:ascii="宋体" w:hAnsi="宋体" w:cs="宋体"/>
          <w:sz w:val="24"/>
          <w:szCs w:val="22"/>
        </w:rPr>
      </w:pPr>
    </w:p>
    <w:tbl>
      <w:tblPr>
        <w:tblStyle w:val="22"/>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14:paraId="7CA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331" w:type="dxa"/>
            <w:vAlign w:val="center"/>
          </w:tcPr>
          <w:p w14:paraId="0005E1AA">
            <w:pPr>
              <w:jc w:val="center"/>
              <w:rPr>
                <w:rFonts w:hint="eastAsia" w:ascii="宋体" w:hAnsi="宋体" w:cs="宋体"/>
                <w:color w:val="000000"/>
                <w:sz w:val="28"/>
                <w:szCs w:val="22"/>
              </w:rPr>
            </w:pPr>
            <w:r>
              <w:rPr>
                <w:rFonts w:hint="eastAsia" w:ascii="宋体" w:hAnsi="宋体" w:cs="宋体"/>
                <w:kern w:val="0"/>
                <w:sz w:val="28"/>
                <w:szCs w:val="28"/>
              </w:rPr>
              <w:t>法定代表人身份证复印件（或扫描件）</w:t>
            </w:r>
          </w:p>
        </w:tc>
      </w:tr>
    </w:tbl>
    <w:p w14:paraId="5E70C50E">
      <w:pPr>
        <w:spacing w:line="520" w:lineRule="exact"/>
        <w:rPr>
          <w:rFonts w:hint="eastAsia" w:ascii="宋体" w:hAnsi="宋体" w:cs="宋体"/>
          <w:sz w:val="24"/>
          <w:szCs w:val="22"/>
        </w:rPr>
      </w:pPr>
    </w:p>
    <w:p w14:paraId="2744856D">
      <w:pPr>
        <w:pStyle w:val="12"/>
        <w:rPr>
          <w:rFonts w:hint="eastAsia" w:ascii="宋体" w:hAnsi="宋体" w:eastAsia="宋体"/>
        </w:rPr>
      </w:pPr>
    </w:p>
    <w:p w14:paraId="0ABF6A30">
      <w:pPr>
        <w:pStyle w:val="13"/>
        <w:rPr>
          <w:rFonts w:hint="eastAsia" w:ascii="宋体" w:hAnsi="宋体" w:cs="宋体"/>
        </w:rPr>
      </w:pPr>
    </w:p>
    <w:p w14:paraId="6C5960C4">
      <w:pPr>
        <w:pStyle w:val="13"/>
        <w:rPr>
          <w:rFonts w:hint="eastAsia" w:ascii="宋体" w:hAnsi="宋体" w:cs="宋体"/>
        </w:rPr>
      </w:pPr>
    </w:p>
    <w:p w14:paraId="3BE23B49">
      <w:pPr>
        <w:jc w:val="center"/>
        <w:rPr>
          <w:rFonts w:hint="eastAsia" w:ascii="宋体" w:hAnsi="宋体" w:cs="宋体"/>
          <w:b/>
          <w:sz w:val="28"/>
          <w:szCs w:val="28"/>
        </w:rPr>
      </w:pPr>
      <w:r>
        <w:rPr>
          <w:rFonts w:hint="eastAsia" w:ascii="宋体" w:hAnsi="宋体" w:cs="宋体"/>
          <w:b/>
          <w:sz w:val="28"/>
          <w:szCs w:val="28"/>
        </w:rPr>
        <w:t>二、投标文件签署授权委托书</w:t>
      </w:r>
    </w:p>
    <w:p w14:paraId="71093190">
      <w:pPr>
        <w:pStyle w:val="12"/>
        <w:rPr>
          <w:rFonts w:hint="eastAsia" w:ascii="宋体" w:hAnsi="宋体" w:eastAsia="宋体"/>
        </w:rPr>
      </w:pPr>
    </w:p>
    <w:p w14:paraId="08BF5D8C">
      <w:pPr>
        <w:tabs>
          <w:tab w:val="left" w:pos="3240"/>
        </w:tabs>
        <w:spacing w:line="480" w:lineRule="auto"/>
        <w:ind w:firstLine="612"/>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eastAsia="zh-CN"/>
        </w:rPr>
        <w:t>供应商</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   </w:t>
      </w:r>
      <w:r>
        <w:rPr>
          <w:rFonts w:hint="eastAsia" w:ascii="宋体" w:hAnsi="宋体" w:cs="宋体"/>
          <w:sz w:val="24"/>
          <w:szCs w:val="24"/>
        </w:rPr>
        <w:t>包的投标文件的内容。同时授权委托该同志代表我公司参加本项目的投标、开标、合同谈判、处理有关事务等并有权签署有关文件。</w:t>
      </w:r>
    </w:p>
    <w:p w14:paraId="30747DA1">
      <w:pPr>
        <w:tabs>
          <w:tab w:val="left" w:pos="3240"/>
        </w:tabs>
        <w:spacing w:line="480" w:lineRule="auto"/>
        <w:ind w:firstLine="480" w:firstLineChars="200"/>
        <w:rPr>
          <w:rFonts w:hint="eastAsia" w:ascii="宋体" w:hAnsi="宋体" w:cs="宋体"/>
          <w:sz w:val="24"/>
          <w:szCs w:val="24"/>
          <w:u w:val="single"/>
        </w:rPr>
      </w:pPr>
      <w:r>
        <w:rPr>
          <w:rFonts w:hint="eastAsia" w:ascii="宋体" w:hAnsi="宋体" w:cs="宋体"/>
          <w:sz w:val="24"/>
          <w:szCs w:val="24"/>
        </w:rPr>
        <w:t>委托期限：</w:t>
      </w:r>
    </w:p>
    <w:p w14:paraId="0004650E">
      <w:pPr>
        <w:spacing w:line="480" w:lineRule="auto"/>
        <w:ind w:firstLine="480" w:firstLineChars="200"/>
        <w:rPr>
          <w:rFonts w:hint="eastAsia" w:ascii="宋体" w:hAnsi="宋体" w:cs="宋体"/>
          <w:sz w:val="24"/>
          <w:szCs w:val="24"/>
        </w:rPr>
      </w:pPr>
      <w:r>
        <w:rPr>
          <w:rFonts w:hint="eastAsia" w:ascii="宋体" w:hAnsi="宋体" w:cs="宋体"/>
          <w:sz w:val="24"/>
          <w:szCs w:val="24"/>
        </w:rPr>
        <w:t>代理人无转委托权，特此委托。</w:t>
      </w:r>
    </w:p>
    <w:p w14:paraId="43A57C37">
      <w:pPr>
        <w:spacing w:line="480" w:lineRule="auto"/>
        <w:ind w:firstLine="4320" w:firstLineChars="1800"/>
        <w:rPr>
          <w:rFonts w:hint="eastAsia" w:ascii="宋体" w:hAnsi="宋体" w:cs="宋体"/>
          <w:sz w:val="24"/>
          <w:szCs w:val="24"/>
        </w:rPr>
      </w:pPr>
      <w:r>
        <w:rPr>
          <w:rFonts w:hint="eastAsia" w:ascii="宋体" w:hAnsi="宋体" w:cs="宋体"/>
          <w:sz w:val="24"/>
          <w:szCs w:val="24"/>
        </w:rPr>
        <w:t>投标供应商：</w:t>
      </w:r>
      <w:r>
        <w:rPr>
          <w:rFonts w:hint="eastAsia" w:ascii="宋体" w:hAnsi="宋体" w:cs="宋体"/>
          <w:sz w:val="24"/>
          <w:szCs w:val="24"/>
          <w:u w:val="single"/>
        </w:rPr>
        <w:t xml:space="preserve">         （盖章）     </w:t>
      </w:r>
    </w:p>
    <w:p w14:paraId="3E9B1150">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（签章）     </w:t>
      </w:r>
    </w:p>
    <w:p w14:paraId="5DF40EC4">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代理人（签字）：</w:t>
      </w:r>
    </w:p>
    <w:p w14:paraId="76E753D6">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身份证号码：</w:t>
      </w:r>
    </w:p>
    <w:p w14:paraId="23882265">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联系电话：</w:t>
      </w:r>
    </w:p>
    <w:p w14:paraId="389C34AA">
      <w:pPr>
        <w:spacing w:line="480" w:lineRule="auto"/>
        <w:ind w:firstLine="4320" w:firstLineChars="1800"/>
        <w:rPr>
          <w:rFonts w:hint="eastAsia" w:ascii="宋体" w:hAnsi="宋体" w:cs="宋体"/>
          <w:sz w:val="24"/>
          <w:szCs w:val="24"/>
        </w:rPr>
      </w:pPr>
      <w:r>
        <w:rPr>
          <w:rFonts w:hint="eastAsia" w:ascii="宋体" w:hAnsi="宋体" w:cs="宋体"/>
          <w:sz w:val="24"/>
          <w:szCs w:val="24"/>
        </w:rPr>
        <w:t>授权委托日期：    年   月   日</w:t>
      </w:r>
    </w:p>
    <w:p w14:paraId="5B9D2B88">
      <w:pPr>
        <w:rPr>
          <w:rFonts w:hint="eastAsia" w:ascii="宋体" w:hAnsi="宋体" w:cs="宋体"/>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7"/>
      </w:tblGrid>
      <w:tr w14:paraId="3010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727" w:type="dxa"/>
            <w:vAlign w:val="center"/>
          </w:tcPr>
          <w:p w14:paraId="379BEF14">
            <w:pPr>
              <w:jc w:val="center"/>
              <w:rPr>
                <w:rFonts w:hint="eastAsia" w:ascii="宋体" w:hAnsi="宋体" w:cs="宋体"/>
                <w:szCs w:val="22"/>
              </w:rPr>
            </w:pPr>
          </w:p>
          <w:p w14:paraId="742F909A">
            <w:pPr>
              <w:jc w:val="center"/>
              <w:rPr>
                <w:rFonts w:hint="eastAsia" w:ascii="宋体" w:hAnsi="宋体" w:cs="宋体"/>
                <w:szCs w:val="22"/>
              </w:rPr>
            </w:pPr>
          </w:p>
          <w:p w14:paraId="5FCB68F1">
            <w:pPr>
              <w:ind w:firstLine="1540" w:firstLineChars="550"/>
              <w:rPr>
                <w:rFonts w:hint="eastAsia" w:ascii="宋体" w:hAnsi="宋体" w:cs="宋体"/>
                <w:szCs w:val="22"/>
              </w:rPr>
            </w:pPr>
            <w:r>
              <w:rPr>
                <w:rFonts w:hint="eastAsia" w:ascii="宋体" w:hAnsi="宋体" w:cs="宋体"/>
                <w:kern w:val="0"/>
                <w:sz w:val="28"/>
                <w:szCs w:val="28"/>
              </w:rPr>
              <w:t>委托代理人身份证复印件（或扫描件）</w:t>
            </w:r>
          </w:p>
          <w:p w14:paraId="1985CF47">
            <w:pPr>
              <w:jc w:val="center"/>
              <w:rPr>
                <w:rFonts w:hint="eastAsia" w:ascii="宋体" w:hAnsi="宋体" w:cs="宋体"/>
                <w:szCs w:val="22"/>
              </w:rPr>
            </w:pPr>
          </w:p>
          <w:p w14:paraId="3D6D9595">
            <w:pPr>
              <w:rPr>
                <w:rFonts w:hint="eastAsia" w:ascii="宋体" w:hAnsi="宋体" w:cs="宋体"/>
                <w:szCs w:val="22"/>
              </w:rPr>
            </w:pPr>
          </w:p>
        </w:tc>
      </w:tr>
    </w:tbl>
    <w:p w14:paraId="7DEE8389">
      <w:pPr>
        <w:rPr>
          <w:rFonts w:hint="eastAsia" w:ascii="宋体" w:hAnsi="宋体" w:cs="宋体"/>
          <w:szCs w:val="22"/>
        </w:rPr>
      </w:pPr>
    </w:p>
    <w:p w14:paraId="42392591">
      <w:pPr>
        <w:rPr>
          <w:rFonts w:hint="eastAsia" w:ascii="宋体" w:hAnsi="宋体" w:cs="宋体"/>
          <w:szCs w:val="22"/>
        </w:rPr>
      </w:pPr>
      <w:r>
        <w:rPr>
          <w:rFonts w:hint="eastAsia" w:ascii="宋体" w:hAnsi="宋体" w:cs="宋体"/>
          <w:bCs/>
          <w:color w:val="000000"/>
          <w:sz w:val="24"/>
          <w:szCs w:val="22"/>
        </w:rPr>
        <w:t>因本项目为电子标，委托代理人无法手写签字，可以电脑打印字体为准或以法定代表人签章为准。</w:t>
      </w:r>
    </w:p>
    <w:p w14:paraId="2562FCD3">
      <w:pPr>
        <w:jc w:val="center"/>
        <w:rPr>
          <w:rFonts w:hint="eastAsia" w:ascii="宋体" w:hAnsi="宋体" w:cs="宋体"/>
          <w:b/>
          <w:bCs/>
          <w:sz w:val="32"/>
          <w:szCs w:val="32"/>
        </w:rPr>
      </w:pPr>
    </w:p>
    <w:p w14:paraId="6189F9A0">
      <w:pPr>
        <w:jc w:val="center"/>
        <w:rPr>
          <w:rFonts w:hint="eastAsia" w:ascii="宋体" w:hAnsi="宋体" w:cs="宋体"/>
          <w:b/>
          <w:bCs/>
          <w:sz w:val="28"/>
          <w:szCs w:val="28"/>
        </w:rPr>
      </w:pPr>
      <w:r>
        <w:rPr>
          <w:rFonts w:hint="eastAsia" w:ascii="宋体" w:hAnsi="宋体" w:cs="宋体"/>
          <w:b/>
          <w:bCs/>
          <w:sz w:val="28"/>
          <w:szCs w:val="28"/>
        </w:rPr>
        <w:t>三、投标函及投标函附录</w:t>
      </w:r>
    </w:p>
    <w:p w14:paraId="053A5A34">
      <w:pPr>
        <w:keepNext/>
        <w:keepLines/>
        <w:numPr>
          <w:ilvl w:val="1"/>
          <w:numId w:val="0"/>
        </w:numPr>
        <w:spacing w:before="260" w:after="260" w:line="412" w:lineRule="auto"/>
        <w:jc w:val="center"/>
        <w:outlineLvl w:val="1"/>
        <w:rPr>
          <w:rFonts w:hint="eastAsia" w:ascii="宋体" w:hAnsi="宋体" w:cs="宋体"/>
          <w:b/>
          <w:kern w:val="0"/>
          <w:sz w:val="28"/>
          <w:szCs w:val="28"/>
        </w:rPr>
      </w:pPr>
      <w:bookmarkStart w:id="280" w:name="_Toc13622"/>
      <w:r>
        <w:rPr>
          <w:rFonts w:hint="eastAsia" w:ascii="宋体" w:hAnsi="宋体" w:cs="宋体"/>
          <w:b/>
          <w:kern w:val="0"/>
          <w:sz w:val="28"/>
          <w:szCs w:val="28"/>
        </w:rPr>
        <w:t>1.投标函</w:t>
      </w:r>
      <w:bookmarkEnd w:id="280"/>
    </w:p>
    <w:p w14:paraId="2AA31FA9">
      <w:pPr>
        <w:spacing w:line="360" w:lineRule="auto"/>
        <w:jc w:val="left"/>
        <w:rPr>
          <w:rFonts w:hint="eastAsia" w:ascii="宋体" w:hAnsi="宋体" w:cs="宋体"/>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4F0254A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 包</w:t>
      </w:r>
      <w:r>
        <w:rPr>
          <w:rFonts w:hint="eastAsia" w:ascii="宋体" w:hAnsi="宋体" w:cs="宋体"/>
          <w:sz w:val="24"/>
          <w:szCs w:val="24"/>
        </w:rPr>
        <w:t>的招标文件，遵照《中华人民共和国政府采购法》等有关规定，我单位经研究上述招标文件的投标须知、合同条款、技术参数及其它有关文件后，我方愿以人民币（大写）：元（小写：元）的投标报价，服务期限为,承包上述项目服务</w:t>
      </w:r>
      <w:r>
        <w:rPr>
          <w:rFonts w:hint="eastAsia" w:ascii="宋体" w:hAnsi="宋体" w:cs="宋体"/>
          <w:sz w:val="24"/>
          <w:szCs w:val="24"/>
          <w:shd w:val="clear" w:color="auto" w:fill="FFFFFF"/>
        </w:rPr>
        <w:t>。</w:t>
      </w:r>
    </w:p>
    <w:p w14:paraId="2776AF1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0F26C03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2、我方承认投标函附表是我方投标函的组成部分。</w:t>
      </w:r>
    </w:p>
    <w:p w14:paraId="5CA90227">
      <w:pPr>
        <w:spacing w:line="360" w:lineRule="auto"/>
        <w:ind w:firstLine="480" w:firstLineChars="200"/>
        <w:rPr>
          <w:rFonts w:hint="eastAsia" w:ascii="宋体" w:hAnsi="宋体" w:cs="宋体"/>
          <w:sz w:val="24"/>
          <w:szCs w:val="24"/>
        </w:rPr>
      </w:pPr>
      <w:r>
        <w:rPr>
          <w:rFonts w:hint="eastAsia" w:ascii="宋体" w:hAnsi="宋体" w:cs="宋体"/>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C47BE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4、我方同意自本项目招标文件中规定的投标有效期内有效，并承诺在投标有效期内不修改、撤销投标文件。</w:t>
      </w:r>
    </w:p>
    <w:p w14:paraId="3ED1BEF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5、我方完全理解贵方不一定接受投标报价最低的投标供应商为中标供应商的行为。</w:t>
      </w:r>
    </w:p>
    <w:p w14:paraId="0F98854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6、我方在此声明，所递交的投标文件及有关资料内容完整、真实和准确。</w:t>
      </w:r>
    </w:p>
    <w:p w14:paraId="693D52A0">
      <w:pPr>
        <w:spacing w:line="360" w:lineRule="auto"/>
        <w:rPr>
          <w:rFonts w:hint="eastAsia" w:ascii="宋体" w:hAnsi="宋体" w:cs="宋体"/>
          <w:spacing w:val="24"/>
          <w:szCs w:val="24"/>
        </w:rPr>
      </w:pPr>
    </w:p>
    <w:p w14:paraId="7097A48E">
      <w:pPr>
        <w:spacing w:line="360" w:lineRule="auto"/>
        <w:rPr>
          <w:rFonts w:hint="eastAsia" w:ascii="宋体" w:hAnsi="宋体" w:cs="宋体"/>
          <w:spacing w:val="24"/>
          <w:szCs w:val="24"/>
        </w:rPr>
      </w:pPr>
    </w:p>
    <w:p w14:paraId="0490D307">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42FC5556">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65629B02">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2E1829B">
      <w:pPr>
        <w:spacing w:line="360" w:lineRule="auto"/>
        <w:rPr>
          <w:rFonts w:hint="eastAsia" w:ascii="宋体" w:hAnsi="宋体" w:cs="宋体"/>
          <w:b/>
          <w:bCs/>
          <w:sz w:val="32"/>
          <w:szCs w:val="32"/>
        </w:rPr>
      </w:pPr>
    </w:p>
    <w:p w14:paraId="705C36D8">
      <w:pPr>
        <w:jc w:val="center"/>
        <w:rPr>
          <w:rFonts w:hint="eastAsia" w:ascii="宋体" w:hAnsi="宋体" w:cs="宋体"/>
          <w:b/>
          <w:bCs/>
          <w:sz w:val="28"/>
          <w:szCs w:val="28"/>
        </w:rPr>
      </w:pPr>
      <w:r>
        <w:rPr>
          <w:rFonts w:hint="eastAsia" w:ascii="宋体" w:hAnsi="宋体" w:cs="宋体"/>
          <w:b/>
          <w:bCs/>
          <w:sz w:val="28"/>
          <w:szCs w:val="28"/>
        </w:rPr>
        <w:t>2、投标函附表</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27"/>
      </w:tblGrid>
      <w:tr w14:paraId="54A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552" w:type="dxa"/>
            <w:vAlign w:val="center"/>
          </w:tcPr>
          <w:p w14:paraId="1CB0E1B3">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6227" w:type="dxa"/>
            <w:vAlign w:val="center"/>
          </w:tcPr>
          <w:p w14:paraId="48CF52CA">
            <w:pPr>
              <w:spacing w:line="400" w:lineRule="exact"/>
              <w:rPr>
                <w:rFonts w:hint="eastAsia" w:ascii="宋体" w:hAnsi="宋体" w:cs="宋体"/>
                <w:sz w:val="24"/>
                <w:szCs w:val="24"/>
              </w:rPr>
            </w:pPr>
          </w:p>
        </w:tc>
      </w:tr>
      <w:tr w14:paraId="067E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7C22BDB">
            <w:pPr>
              <w:spacing w:line="400" w:lineRule="exact"/>
              <w:jc w:val="center"/>
              <w:rPr>
                <w:rFonts w:hint="eastAsia" w:ascii="宋体" w:hAnsi="宋体" w:cs="宋体"/>
                <w:sz w:val="24"/>
                <w:szCs w:val="24"/>
              </w:rPr>
            </w:pPr>
            <w:r>
              <w:rPr>
                <w:rFonts w:hint="eastAsia" w:ascii="宋体" w:hAnsi="宋体" w:cs="宋体"/>
                <w:sz w:val="24"/>
                <w:szCs w:val="24"/>
              </w:rPr>
              <w:t>项目编号</w:t>
            </w:r>
          </w:p>
        </w:tc>
        <w:tc>
          <w:tcPr>
            <w:tcW w:w="6227" w:type="dxa"/>
            <w:vAlign w:val="center"/>
          </w:tcPr>
          <w:p w14:paraId="7F193E7B">
            <w:pPr>
              <w:spacing w:line="400" w:lineRule="exact"/>
              <w:rPr>
                <w:rFonts w:hint="eastAsia" w:ascii="宋体" w:hAnsi="宋体" w:cs="宋体"/>
                <w:sz w:val="24"/>
                <w:szCs w:val="24"/>
              </w:rPr>
            </w:pPr>
          </w:p>
        </w:tc>
      </w:tr>
      <w:tr w14:paraId="710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EFB806B">
            <w:pPr>
              <w:spacing w:line="400" w:lineRule="exact"/>
              <w:jc w:val="center"/>
              <w:rPr>
                <w:rFonts w:hint="eastAsia" w:ascii="宋体" w:hAnsi="宋体" w:cs="宋体"/>
                <w:sz w:val="24"/>
                <w:szCs w:val="24"/>
              </w:rPr>
            </w:pPr>
            <w:r>
              <w:rPr>
                <w:rFonts w:hint="eastAsia" w:ascii="宋体" w:hAnsi="宋体" w:cs="宋体"/>
                <w:sz w:val="24"/>
                <w:szCs w:val="24"/>
              </w:rPr>
              <w:t>包名称</w:t>
            </w:r>
          </w:p>
        </w:tc>
        <w:tc>
          <w:tcPr>
            <w:tcW w:w="6227" w:type="dxa"/>
            <w:vAlign w:val="center"/>
          </w:tcPr>
          <w:p w14:paraId="217A6F3A">
            <w:pPr>
              <w:spacing w:line="400" w:lineRule="exact"/>
              <w:rPr>
                <w:rFonts w:hint="eastAsia" w:ascii="宋体" w:hAnsi="宋体" w:cs="宋体"/>
                <w:sz w:val="24"/>
                <w:szCs w:val="24"/>
              </w:rPr>
            </w:pPr>
          </w:p>
        </w:tc>
      </w:tr>
      <w:tr w14:paraId="47A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52" w:type="dxa"/>
            <w:vAlign w:val="center"/>
          </w:tcPr>
          <w:p w14:paraId="1D857F84">
            <w:pPr>
              <w:spacing w:line="400" w:lineRule="exact"/>
              <w:jc w:val="center"/>
              <w:rPr>
                <w:rFonts w:hint="eastAsia" w:ascii="宋体" w:hAnsi="宋体" w:cs="宋体"/>
                <w:sz w:val="24"/>
                <w:szCs w:val="24"/>
              </w:rPr>
            </w:pPr>
            <w:r>
              <w:rPr>
                <w:rFonts w:hint="eastAsia" w:ascii="宋体" w:hAnsi="宋体" w:cs="宋体"/>
                <w:sz w:val="24"/>
                <w:szCs w:val="24"/>
              </w:rPr>
              <w:t>供应商名称</w:t>
            </w:r>
          </w:p>
        </w:tc>
        <w:tc>
          <w:tcPr>
            <w:tcW w:w="6227" w:type="dxa"/>
            <w:vAlign w:val="center"/>
          </w:tcPr>
          <w:p w14:paraId="2579AB05">
            <w:pPr>
              <w:spacing w:line="400" w:lineRule="exact"/>
              <w:rPr>
                <w:rFonts w:hint="eastAsia" w:ascii="宋体" w:hAnsi="宋体" w:cs="宋体"/>
                <w:sz w:val="24"/>
                <w:szCs w:val="24"/>
              </w:rPr>
            </w:pPr>
          </w:p>
        </w:tc>
      </w:tr>
      <w:tr w14:paraId="7F2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552" w:type="dxa"/>
            <w:vAlign w:val="center"/>
          </w:tcPr>
          <w:p w14:paraId="4490A4DF">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227" w:type="dxa"/>
            <w:vAlign w:val="center"/>
          </w:tcPr>
          <w:p w14:paraId="7C11E5CF">
            <w:pPr>
              <w:spacing w:line="400" w:lineRule="exact"/>
              <w:rPr>
                <w:rFonts w:hint="eastAsia" w:ascii="宋体" w:hAnsi="宋体" w:cs="宋体"/>
                <w:sz w:val="24"/>
                <w:szCs w:val="24"/>
              </w:rPr>
            </w:pPr>
            <w:r>
              <w:rPr>
                <w:rFonts w:hint="eastAsia" w:ascii="宋体" w:hAnsi="宋体" w:cs="宋体"/>
                <w:sz w:val="24"/>
                <w:szCs w:val="24"/>
              </w:rPr>
              <w:t xml:space="preserve">大写：     </w:t>
            </w:r>
          </w:p>
          <w:p w14:paraId="55AA3E7E">
            <w:pPr>
              <w:spacing w:line="400" w:lineRule="exact"/>
              <w:rPr>
                <w:rFonts w:hint="eastAsia" w:ascii="宋体" w:hAnsi="宋体" w:cs="宋体"/>
                <w:sz w:val="24"/>
                <w:szCs w:val="24"/>
              </w:rPr>
            </w:pPr>
            <w:r>
              <w:rPr>
                <w:rFonts w:hint="eastAsia" w:ascii="宋体" w:hAnsi="宋体" w:cs="宋体"/>
                <w:sz w:val="24"/>
                <w:szCs w:val="24"/>
              </w:rPr>
              <w:t>小写：    元</w:t>
            </w:r>
          </w:p>
        </w:tc>
      </w:tr>
      <w:tr w14:paraId="03BB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6233DACE">
            <w:pPr>
              <w:spacing w:line="400" w:lineRule="exact"/>
              <w:jc w:val="center"/>
              <w:rPr>
                <w:rFonts w:hint="eastAsia" w:ascii="宋体" w:hAnsi="宋体" w:cs="宋体"/>
                <w:sz w:val="24"/>
                <w:szCs w:val="24"/>
              </w:rPr>
            </w:pPr>
            <w:r>
              <w:rPr>
                <w:rFonts w:hint="eastAsia" w:ascii="宋体" w:hAnsi="宋体" w:cs="宋体"/>
                <w:sz w:val="24"/>
                <w:szCs w:val="24"/>
              </w:rPr>
              <w:t>服务期限</w:t>
            </w:r>
          </w:p>
        </w:tc>
        <w:tc>
          <w:tcPr>
            <w:tcW w:w="6227" w:type="dxa"/>
            <w:vAlign w:val="center"/>
          </w:tcPr>
          <w:p w14:paraId="7A5E038C">
            <w:pPr>
              <w:spacing w:line="400" w:lineRule="exact"/>
              <w:rPr>
                <w:rFonts w:hint="eastAsia" w:ascii="宋体" w:hAnsi="宋体" w:cs="宋体"/>
                <w:sz w:val="24"/>
                <w:szCs w:val="24"/>
              </w:rPr>
            </w:pPr>
          </w:p>
        </w:tc>
      </w:tr>
      <w:tr w14:paraId="29B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3B37DB8E">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227" w:type="dxa"/>
            <w:vAlign w:val="center"/>
          </w:tcPr>
          <w:p w14:paraId="68EEBC09">
            <w:pPr>
              <w:spacing w:line="400" w:lineRule="exact"/>
              <w:jc w:val="center"/>
              <w:rPr>
                <w:rFonts w:hint="eastAsia" w:ascii="宋体" w:hAnsi="宋体" w:cs="宋体"/>
                <w:sz w:val="24"/>
                <w:szCs w:val="24"/>
              </w:rPr>
            </w:pPr>
          </w:p>
        </w:tc>
      </w:tr>
      <w:tr w14:paraId="53B0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7872A881">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227" w:type="dxa"/>
            <w:vAlign w:val="center"/>
          </w:tcPr>
          <w:p w14:paraId="61B76528">
            <w:pPr>
              <w:spacing w:line="400" w:lineRule="exact"/>
              <w:jc w:val="center"/>
              <w:rPr>
                <w:rFonts w:hint="eastAsia" w:ascii="宋体" w:hAnsi="宋体" w:cs="宋体"/>
                <w:sz w:val="24"/>
                <w:szCs w:val="24"/>
              </w:rPr>
            </w:pPr>
          </w:p>
        </w:tc>
      </w:tr>
      <w:tr w14:paraId="3F40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trPr>
        <w:tc>
          <w:tcPr>
            <w:tcW w:w="2552" w:type="dxa"/>
            <w:vAlign w:val="center"/>
          </w:tcPr>
          <w:p w14:paraId="38E8B849">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227" w:type="dxa"/>
            <w:vAlign w:val="center"/>
          </w:tcPr>
          <w:p w14:paraId="52F294B9">
            <w:pPr>
              <w:spacing w:line="400" w:lineRule="exact"/>
              <w:jc w:val="center"/>
              <w:rPr>
                <w:rFonts w:hint="eastAsia" w:ascii="宋体" w:hAnsi="宋体" w:cs="宋体"/>
                <w:sz w:val="24"/>
                <w:szCs w:val="24"/>
              </w:rPr>
            </w:pPr>
          </w:p>
        </w:tc>
      </w:tr>
    </w:tbl>
    <w:p w14:paraId="20C8AB02">
      <w:pPr>
        <w:snapToGrid w:val="0"/>
        <w:spacing w:line="580" w:lineRule="exact"/>
        <w:ind w:left="-18" w:leftChars="-22" w:right="-817" w:rightChars="-389" w:hanging="28" w:hangingChars="12"/>
        <w:rPr>
          <w:rFonts w:hint="eastAsia" w:ascii="宋体" w:hAnsi="宋体" w:cs="宋体"/>
          <w:sz w:val="24"/>
          <w:szCs w:val="24"/>
        </w:rPr>
      </w:pPr>
    </w:p>
    <w:p w14:paraId="4D55427E">
      <w:pPr>
        <w:spacing w:line="360" w:lineRule="auto"/>
        <w:ind w:firstLine="3360" w:firstLineChars="1400"/>
        <w:rPr>
          <w:rFonts w:hint="eastAsia" w:ascii="宋体" w:hAnsi="宋体" w:cs="宋体"/>
          <w:sz w:val="24"/>
          <w:szCs w:val="24"/>
        </w:rPr>
      </w:pPr>
    </w:p>
    <w:p w14:paraId="5AE4C2A6">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50C4335">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27B071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21CD7ED2">
      <w:pPr>
        <w:rPr>
          <w:rFonts w:hint="eastAsia" w:ascii="宋体" w:hAnsi="宋体" w:cs="宋体"/>
        </w:rPr>
      </w:pPr>
    </w:p>
    <w:p w14:paraId="63870864">
      <w:pPr>
        <w:rPr>
          <w:rFonts w:hint="eastAsia" w:ascii="宋体" w:hAnsi="宋体" w:cs="宋体"/>
          <w:b/>
          <w:bCs/>
          <w:sz w:val="28"/>
          <w:szCs w:val="28"/>
        </w:rPr>
      </w:pPr>
      <w:r>
        <w:rPr>
          <w:rFonts w:hint="eastAsia" w:ascii="宋体" w:hAnsi="宋体" w:cs="宋体"/>
          <w:b/>
          <w:bCs/>
          <w:sz w:val="28"/>
          <w:szCs w:val="28"/>
        </w:rPr>
        <w:br w:type="page"/>
      </w:r>
    </w:p>
    <w:p w14:paraId="4E59D6D1">
      <w:pPr>
        <w:spacing w:line="360" w:lineRule="auto"/>
        <w:jc w:val="center"/>
        <w:rPr>
          <w:rFonts w:hint="eastAsia" w:ascii="宋体" w:hAnsi="宋体" w:cs="宋体"/>
          <w:b/>
          <w:bCs/>
          <w:sz w:val="28"/>
          <w:szCs w:val="28"/>
        </w:rPr>
      </w:pPr>
      <w:r>
        <w:rPr>
          <w:rFonts w:hint="eastAsia" w:ascii="宋体" w:hAnsi="宋体" w:cs="宋体"/>
          <w:b/>
          <w:bCs/>
          <w:sz w:val="28"/>
          <w:szCs w:val="28"/>
        </w:rPr>
        <w:t>四、服务方案</w:t>
      </w:r>
    </w:p>
    <w:p w14:paraId="6792FEBE">
      <w:pPr>
        <w:pStyle w:val="12"/>
        <w:rPr>
          <w:rFonts w:hint="eastAsia" w:ascii="宋体" w:hAnsi="宋体" w:eastAsia="宋体"/>
        </w:rPr>
      </w:pPr>
    </w:p>
    <w:p w14:paraId="0D43B1AB">
      <w:pPr>
        <w:pStyle w:val="12"/>
        <w:rPr>
          <w:rFonts w:hint="eastAsia" w:ascii="宋体" w:hAnsi="宋体" w:eastAsia="宋体"/>
        </w:rPr>
      </w:pPr>
      <w:r>
        <w:rPr>
          <w:rFonts w:hint="eastAsia" w:ascii="宋体" w:hAnsi="宋体" w:eastAsia="宋体"/>
        </w:rPr>
        <w:t>（格式自拟）</w:t>
      </w:r>
    </w:p>
    <w:p w14:paraId="79039D26">
      <w:pPr>
        <w:spacing w:line="520" w:lineRule="exact"/>
        <w:jc w:val="center"/>
        <w:rPr>
          <w:rFonts w:hint="eastAsia" w:ascii="宋体" w:hAnsi="宋体" w:cs="宋体"/>
          <w:b/>
          <w:bCs/>
          <w:sz w:val="28"/>
          <w:szCs w:val="28"/>
        </w:rPr>
      </w:pPr>
    </w:p>
    <w:p w14:paraId="1AB0A535">
      <w:pPr>
        <w:spacing w:line="360" w:lineRule="auto"/>
        <w:rPr>
          <w:rFonts w:hint="eastAsia" w:ascii="宋体" w:hAnsi="宋体" w:cs="宋体"/>
          <w:sz w:val="24"/>
          <w:szCs w:val="22"/>
        </w:rPr>
      </w:pPr>
    </w:p>
    <w:p w14:paraId="05BE9309">
      <w:pPr>
        <w:spacing w:line="360" w:lineRule="auto"/>
        <w:rPr>
          <w:rFonts w:hint="eastAsia" w:ascii="宋体" w:hAnsi="宋体" w:cs="宋体"/>
          <w:sz w:val="24"/>
          <w:szCs w:val="22"/>
        </w:rPr>
      </w:pPr>
    </w:p>
    <w:p w14:paraId="7B1B7D42">
      <w:pPr>
        <w:spacing w:line="360" w:lineRule="auto"/>
        <w:rPr>
          <w:rFonts w:hint="eastAsia" w:ascii="宋体" w:hAnsi="宋体" w:cs="宋体"/>
          <w:sz w:val="24"/>
          <w:szCs w:val="22"/>
        </w:rPr>
      </w:pPr>
    </w:p>
    <w:p w14:paraId="68A147A2">
      <w:pPr>
        <w:spacing w:line="360" w:lineRule="auto"/>
        <w:ind w:firstLine="3720" w:firstLineChars="1550"/>
        <w:rPr>
          <w:rFonts w:hint="eastAsia" w:ascii="宋体" w:hAnsi="宋体" w:cs="宋体"/>
          <w:sz w:val="24"/>
          <w:szCs w:val="24"/>
        </w:rPr>
      </w:pPr>
    </w:p>
    <w:p w14:paraId="0E45F908">
      <w:pPr>
        <w:spacing w:line="360" w:lineRule="auto"/>
        <w:ind w:firstLine="3720" w:firstLineChars="1550"/>
        <w:rPr>
          <w:rFonts w:hint="eastAsia" w:ascii="宋体" w:hAnsi="宋体" w:cs="宋体"/>
          <w:sz w:val="24"/>
          <w:szCs w:val="24"/>
        </w:rPr>
      </w:pPr>
    </w:p>
    <w:p w14:paraId="2D6F5FF4">
      <w:pPr>
        <w:spacing w:line="360" w:lineRule="auto"/>
        <w:ind w:firstLine="3720" w:firstLineChars="1550"/>
        <w:rPr>
          <w:rFonts w:hint="eastAsia" w:ascii="宋体" w:hAnsi="宋体" w:cs="宋体"/>
          <w:sz w:val="24"/>
          <w:szCs w:val="24"/>
        </w:rPr>
      </w:pPr>
    </w:p>
    <w:p w14:paraId="24C0E863">
      <w:pPr>
        <w:snapToGrid w:val="0"/>
        <w:spacing w:line="360" w:lineRule="auto"/>
        <w:ind w:firstLine="240" w:firstLineChars="100"/>
        <w:rPr>
          <w:rFonts w:hint="eastAsia" w:ascii="宋体" w:hAnsi="宋体" w:cs="宋体"/>
          <w:kern w:val="0"/>
          <w:sz w:val="24"/>
          <w:szCs w:val="24"/>
        </w:rPr>
      </w:pPr>
    </w:p>
    <w:p w14:paraId="179FE227">
      <w:pPr>
        <w:widowControl/>
        <w:spacing w:after="120" w:line="360" w:lineRule="auto"/>
        <w:ind w:left="420" w:leftChars="200" w:firstLine="480" w:firstLineChars="200"/>
        <w:jc w:val="center"/>
        <w:rPr>
          <w:rFonts w:hint="eastAsia" w:ascii="宋体" w:hAnsi="宋体" w:cs="宋体"/>
          <w:sz w:val="24"/>
          <w:szCs w:val="24"/>
        </w:rPr>
      </w:pPr>
    </w:p>
    <w:p w14:paraId="6BB3B0E1">
      <w:pPr>
        <w:rPr>
          <w:rFonts w:hint="eastAsia" w:ascii="宋体" w:hAnsi="宋体" w:cs="宋体"/>
          <w:sz w:val="24"/>
          <w:szCs w:val="24"/>
        </w:rPr>
      </w:pPr>
    </w:p>
    <w:p w14:paraId="6795A936">
      <w:pPr>
        <w:spacing w:line="360" w:lineRule="auto"/>
        <w:rPr>
          <w:rFonts w:hint="eastAsia" w:ascii="宋体" w:hAnsi="宋体" w:cs="宋体"/>
          <w:sz w:val="24"/>
          <w:szCs w:val="22"/>
        </w:rPr>
      </w:pPr>
    </w:p>
    <w:p w14:paraId="73897805">
      <w:pPr>
        <w:spacing w:line="360" w:lineRule="auto"/>
        <w:ind w:firstLine="3120" w:firstLineChars="1300"/>
        <w:rPr>
          <w:rFonts w:hint="eastAsia" w:ascii="宋体" w:hAnsi="宋体" w:cs="宋体"/>
          <w:sz w:val="24"/>
          <w:szCs w:val="22"/>
        </w:rPr>
      </w:pPr>
    </w:p>
    <w:p w14:paraId="7BCE5E3C">
      <w:pPr>
        <w:spacing w:line="360" w:lineRule="auto"/>
        <w:ind w:firstLine="2730" w:firstLineChars="1300"/>
        <w:rPr>
          <w:rFonts w:hint="eastAsia" w:ascii="宋体" w:hAnsi="宋体" w:cs="宋体"/>
        </w:rPr>
      </w:pPr>
    </w:p>
    <w:p w14:paraId="37021EE8">
      <w:pPr>
        <w:rPr>
          <w:rFonts w:hint="eastAsia" w:ascii="宋体" w:hAnsi="宋体" w:cs="宋体"/>
        </w:rPr>
      </w:pPr>
    </w:p>
    <w:p w14:paraId="67686E8A">
      <w:pPr>
        <w:pStyle w:val="12"/>
        <w:rPr>
          <w:rFonts w:hint="eastAsia" w:ascii="宋体" w:hAnsi="宋体" w:eastAsia="宋体"/>
        </w:rPr>
      </w:pPr>
    </w:p>
    <w:p w14:paraId="2C65902E">
      <w:pPr>
        <w:pStyle w:val="13"/>
        <w:rPr>
          <w:rFonts w:hint="eastAsia" w:ascii="宋体" w:hAnsi="宋体" w:cs="宋体"/>
        </w:rPr>
      </w:pPr>
    </w:p>
    <w:p w14:paraId="4F590BB4">
      <w:pPr>
        <w:rPr>
          <w:rFonts w:hint="eastAsia" w:ascii="宋体" w:hAnsi="宋体" w:cs="宋体"/>
        </w:rPr>
      </w:pPr>
    </w:p>
    <w:p w14:paraId="2622CDD0">
      <w:pPr>
        <w:pStyle w:val="12"/>
        <w:rPr>
          <w:rFonts w:hint="eastAsia" w:ascii="宋体" w:hAnsi="宋体" w:eastAsia="宋体"/>
        </w:rPr>
      </w:pPr>
    </w:p>
    <w:p w14:paraId="203E5ABD">
      <w:pPr>
        <w:pStyle w:val="13"/>
        <w:rPr>
          <w:rFonts w:hint="eastAsia" w:ascii="宋体" w:hAnsi="宋体" w:cs="宋体"/>
        </w:rPr>
      </w:pPr>
    </w:p>
    <w:p w14:paraId="132BC4A7">
      <w:pPr>
        <w:rPr>
          <w:rFonts w:hint="eastAsia" w:ascii="宋体" w:hAnsi="宋体" w:cs="宋体"/>
        </w:rPr>
      </w:pPr>
    </w:p>
    <w:p w14:paraId="1123F2CB">
      <w:pPr>
        <w:rPr>
          <w:rFonts w:hint="eastAsia" w:ascii="宋体" w:hAnsi="宋体" w:cs="宋体"/>
        </w:rPr>
      </w:pPr>
    </w:p>
    <w:p w14:paraId="2B260B19">
      <w:pPr>
        <w:rPr>
          <w:rFonts w:hint="eastAsia" w:ascii="宋体" w:hAnsi="宋体" w:cs="宋体"/>
          <w:b/>
          <w:bCs/>
          <w:sz w:val="28"/>
          <w:szCs w:val="28"/>
        </w:rPr>
      </w:pPr>
    </w:p>
    <w:p w14:paraId="6D847E25">
      <w:pPr>
        <w:pStyle w:val="12"/>
        <w:rPr>
          <w:rFonts w:hint="eastAsia" w:ascii="宋体" w:hAnsi="宋体" w:eastAsia="宋体"/>
        </w:rPr>
      </w:pPr>
    </w:p>
    <w:p w14:paraId="0EE836E6">
      <w:pPr>
        <w:pStyle w:val="13"/>
        <w:rPr>
          <w:rFonts w:hint="eastAsia" w:ascii="宋体" w:hAnsi="宋体" w:cs="宋体"/>
        </w:rPr>
      </w:pPr>
    </w:p>
    <w:p w14:paraId="7D8EC6EE">
      <w:pPr>
        <w:rPr>
          <w:rFonts w:hint="eastAsia" w:ascii="宋体" w:hAnsi="宋体" w:cs="宋体"/>
        </w:rPr>
      </w:pPr>
    </w:p>
    <w:p w14:paraId="69728D32">
      <w:pPr>
        <w:pStyle w:val="12"/>
        <w:rPr>
          <w:rFonts w:hint="eastAsia" w:ascii="宋体" w:hAnsi="宋体" w:eastAsia="宋体"/>
        </w:rPr>
      </w:pPr>
    </w:p>
    <w:p w14:paraId="6A9FB75D">
      <w:pPr>
        <w:pStyle w:val="13"/>
        <w:rPr>
          <w:rFonts w:hint="eastAsia" w:ascii="宋体" w:hAnsi="宋体" w:cs="宋体"/>
        </w:rPr>
      </w:pPr>
    </w:p>
    <w:p w14:paraId="0C4A62D3">
      <w:pPr>
        <w:rPr>
          <w:rFonts w:hint="eastAsia" w:ascii="宋体" w:hAnsi="宋体" w:cs="宋体"/>
        </w:rPr>
      </w:pPr>
    </w:p>
    <w:p w14:paraId="1CBDEBAE">
      <w:pPr>
        <w:pStyle w:val="12"/>
        <w:rPr>
          <w:rFonts w:hint="eastAsia" w:ascii="宋体" w:hAnsi="宋体" w:eastAsia="宋体"/>
        </w:rPr>
      </w:pPr>
    </w:p>
    <w:p w14:paraId="3D074070">
      <w:pPr>
        <w:spacing w:line="360" w:lineRule="auto"/>
        <w:jc w:val="center"/>
        <w:rPr>
          <w:rFonts w:hint="eastAsia" w:ascii="宋体" w:hAnsi="宋体" w:cs="宋体"/>
          <w:b/>
          <w:bCs/>
          <w:sz w:val="28"/>
          <w:szCs w:val="28"/>
        </w:rPr>
      </w:pPr>
      <w:r>
        <w:rPr>
          <w:rFonts w:hint="eastAsia" w:ascii="宋体" w:hAnsi="宋体" w:cs="宋体"/>
          <w:b/>
          <w:bCs/>
          <w:sz w:val="28"/>
          <w:szCs w:val="28"/>
        </w:rPr>
        <w:t>五、资格审查资料</w:t>
      </w:r>
    </w:p>
    <w:p w14:paraId="5A3FD470">
      <w:pPr>
        <w:snapToGrid w:val="0"/>
        <w:spacing w:line="276" w:lineRule="auto"/>
        <w:ind w:left="849" w:leftChars="-72" w:right="168" w:rightChars="80" w:hanging="1000" w:hangingChars="415"/>
        <w:rPr>
          <w:rFonts w:hint="eastAsia" w:ascii="宋体" w:hAnsi="宋体" w:cs="宋体"/>
          <w:b/>
          <w:bCs/>
          <w:sz w:val="24"/>
          <w:szCs w:val="24"/>
        </w:rPr>
      </w:pPr>
    </w:p>
    <w:p w14:paraId="5DC5BF07">
      <w:pPr>
        <w:spacing w:line="360" w:lineRule="auto"/>
        <w:rPr>
          <w:rFonts w:hint="eastAsia" w:ascii="宋体" w:hAnsi="宋体" w:cs="宋体"/>
          <w:b/>
          <w:bCs/>
          <w:sz w:val="24"/>
          <w:szCs w:val="24"/>
        </w:rPr>
      </w:pPr>
    </w:p>
    <w:p w14:paraId="063E506E">
      <w:pPr>
        <w:spacing w:line="360" w:lineRule="auto"/>
        <w:rPr>
          <w:rFonts w:hint="eastAsia" w:ascii="宋体" w:hAnsi="宋体" w:cs="宋体"/>
          <w:b/>
          <w:bCs/>
          <w:sz w:val="24"/>
          <w:szCs w:val="24"/>
        </w:rPr>
      </w:pPr>
    </w:p>
    <w:p w14:paraId="1FA03A1E">
      <w:pPr>
        <w:spacing w:line="360" w:lineRule="auto"/>
        <w:rPr>
          <w:rFonts w:hint="eastAsia" w:ascii="宋体" w:hAnsi="宋体" w:cs="宋体"/>
          <w:b/>
          <w:bCs/>
          <w:sz w:val="24"/>
          <w:szCs w:val="24"/>
        </w:rPr>
      </w:pPr>
    </w:p>
    <w:p w14:paraId="60E2668A">
      <w:pPr>
        <w:spacing w:line="360" w:lineRule="auto"/>
        <w:rPr>
          <w:rFonts w:hint="eastAsia" w:ascii="宋体" w:hAnsi="宋体" w:cs="宋体"/>
          <w:b/>
          <w:bCs/>
          <w:sz w:val="24"/>
          <w:szCs w:val="24"/>
        </w:rPr>
      </w:pPr>
    </w:p>
    <w:p w14:paraId="6884AD92">
      <w:pPr>
        <w:pStyle w:val="12"/>
        <w:rPr>
          <w:rFonts w:hint="eastAsia" w:ascii="宋体" w:hAnsi="宋体" w:eastAsia="宋体"/>
        </w:rPr>
      </w:pPr>
    </w:p>
    <w:p w14:paraId="4503BA64">
      <w:pPr>
        <w:pStyle w:val="13"/>
        <w:rPr>
          <w:rFonts w:hint="eastAsia" w:ascii="宋体" w:hAnsi="宋体" w:cs="宋体"/>
        </w:rPr>
      </w:pPr>
    </w:p>
    <w:p w14:paraId="3B126DF0">
      <w:pPr>
        <w:spacing w:line="360" w:lineRule="auto"/>
        <w:rPr>
          <w:rFonts w:hint="eastAsia" w:ascii="宋体" w:hAnsi="宋体" w:cs="宋体"/>
          <w:b/>
          <w:bCs/>
          <w:sz w:val="24"/>
          <w:szCs w:val="24"/>
        </w:rPr>
      </w:pPr>
    </w:p>
    <w:p w14:paraId="4D106156">
      <w:pPr>
        <w:rPr>
          <w:rFonts w:hint="eastAsia" w:ascii="宋体" w:hAnsi="宋体" w:cs="宋体"/>
          <w:b/>
          <w:sz w:val="24"/>
          <w:szCs w:val="24"/>
        </w:rPr>
      </w:pPr>
      <w:r>
        <w:rPr>
          <w:rFonts w:hint="eastAsia" w:ascii="宋体" w:hAnsi="宋体" w:cs="宋体"/>
          <w:b/>
          <w:sz w:val="24"/>
          <w:szCs w:val="24"/>
        </w:rPr>
        <w:br w:type="page"/>
      </w:r>
    </w:p>
    <w:p w14:paraId="0872EF38">
      <w:pPr>
        <w:rPr>
          <w:rFonts w:hint="eastAsia" w:ascii="宋体" w:hAnsi="宋体" w:cs="宋体"/>
          <w:b/>
          <w:sz w:val="24"/>
          <w:szCs w:val="24"/>
        </w:rPr>
      </w:pPr>
      <w:r>
        <w:rPr>
          <w:rFonts w:hint="eastAsia" w:ascii="宋体" w:hAnsi="宋体" w:cs="宋体"/>
          <w:b/>
          <w:sz w:val="24"/>
          <w:szCs w:val="24"/>
        </w:rPr>
        <w:t>5.1供应商基本情况表</w:t>
      </w:r>
    </w:p>
    <w:p w14:paraId="3C4FFC0E">
      <w:pPr>
        <w:autoSpaceDE w:val="0"/>
        <w:autoSpaceDN w:val="0"/>
        <w:adjustRightInd w:val="0"/>
        <w:spacing w:line="420" w:lineRule="exact"/>
        <w:jc w:val="left"/>
        <w:rPr>
          <w:rFonts w:hint="eastAsia" w:ascii="宋体" w:hAnsi="宋体" w:cs="宋体"/>
          <w:kern w:val="0"/>
          <w:sz w:val="24"/>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0"/>
        <w:gridCol w:w="1266"/>
        <w:gridCol w:w="2107"/>
      </w:tblGrid>
      <w:tr w14:paraId="4CD6F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3856E37">
            <w:pPr>
              <w:topLinePunct/>
              <w:spacing w:line="440" w:lineRule="exact"/>
              <w:ind w:firstLine="480"/>
              <w:rPr>
                <w:rFonts w:hint="eastAsia" w:ascii="宋体" w:hAnsi="宋体" w:cs="宋体"/>
                <w:sz w:val="24"/>
                <w:szCs w:val="24"/>
              </w:rPr>
            </w:pPr>
            <w:r>
              <w:rPr>
                <w:rFonts w:hint="eastAsia" w:ascii="宋体" w:hAnsi="宋体" w:cs="宋体"/>
                <w:sz w:val="24"/>
                <w:szCs w:val="24"/>
              </w:rPr>
              <w:t>供应商名称</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10E2189D">
            <w:pPr>
              <w:topLinePunct/>
              <w:spacing w:line="440" w:lineRule="exact"/>
              <w:ind w:firstLine="480"/>
              <w:jc w:val="center"/>
              <w:rPr>
                <w:rFonts w:hint="eastAsia" w:ascii="宋体" w:hAnsi="宋体" w:cs="宋体"/>
                <w:sz w:val="24"/>
                <w:szCs w:val="24"/>
              </w:rPr>
            </w:pPr>
          </w:p>
        </w:tc>
      </w:tr>
      <w:tr w14:paraId="3EE71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CCF0102">
            <w:pPr>
              <w:topLinePunct/>
              <w:spacing w:line="440" w:lineRule="exact"/>
              <w:ind w:firstLine="480"/>
              <w:rPr>
                <w:rFonts w:hint="eastAsia" w:ascii="宋体" w:hAnsi="宋体" w:cs="宋体"/>
                <w:sz w:val="24"/>
                <w:szCs w:val="24"/>
              </w:rPr>
            </w:pPr>
            <w:r>
              <w:rPr>
                <w:rFonts w:hint="eastAsia" w:ascii="宋体" w:hAnsi="宋体" w:cs="宋体"/>
                <w:sz w:val="24"/>
                <w:szCs w:val="24"/>
              </w:rPr>
              <w:t>注册地址</w:t>
            </w:r>
          </w:p>
        </w:tc>
        <w:tc>
          <w:tcPr>
            <w:tcW w:w="2986" w:type="dxa"/>
            <w:gridSpan w:val="3"/>
            <w:tcBorders>
              <w:top w:val="single" w:color="auto" w:sz="4" w:space="0"/>
              <w:left w:val="single" w:color="auto" w:sz="4" w:space="0"/>
              <w:bottom w:val="single" w:color="auto" w:sz="4" w:space="0"/>
              <w:right w:val="single" w:color="auto" w:sz="4" w:space="0"/>
            </w:tcBorders>
            <w:vAlign w:val="center"/>
          </w:tcPr>
          <w:p w14:paraId="5C66ADE6">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6A2A3A47">
            <w:pPr>
              <w:topLinePunct/>
              <w:spacing w:line="440" w:lineRule="exact"/>
              <w:rPr>
                <w:rFonts w:hint="eastAsia" w:ascii="宋体" w:hAnsi="宋体" w:cs="宋体"/>
                <w:sz w:val="24"/>
                <w:szCs w:val="24"/>
              </w:rPr>
            </w:pPr>
            <w:r>
              <w:rPr>
                <w:rFonts w:hint="eastAsia" w:ascii="宋体" w:hAnsi="宋体" w:cs="宋体"/>
                <w:sz w:val="24"/>
                <w:szCs w:val="24"/>
              </w:rPr>
              <w:t>邮政编码</w:t>
            </w:r>
          </w:p>
        </w:tc>
        <w:tc>
          <w:tcPr>
            <w:tcW w:w="2107" w:type="dxa"/>
            <w:tcBorders>
              <w:top w:val="single" w:color="auto" w:sz="4" w:space="0"/>
              <w:left w:val="single" w:color="auto" w:sz="4" w:space="0"/>
              <w:bottom w:val="single" w:color="auto" w:sz="4" w:space="0"/>
              <w:right w:val="single" w:color="auto" w:sz="4" w:space="0"/>
            </w:tcBorders>
            <w:vAlign w:val="center"/>
          </w:tcPr>
          <w:p w14:paraId="710A9AF2">
            <w:pPr>
              <w:topLinePunct/>
              <w:spacing w:line="440" w:lineRule="exact"/>
              <w:ind w:firstLine="480"/>
              <w:jc w:val="center"/>
              <w:rPr>
                <w:rFonts w:hint="eastAsia" w:ascii="宋体" w:hAnsi="宋体" w:cs="宋体"/>
                <w:sz w:val="24"/>
                <w:szCs w:val="24"/>
              </w:rPr>
            </w:pPr>
          </w:p>
        </w:tc>
      </w:tr>
      <w:tr w14:paraId="33CBF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69" w:type="dxa"/>
            <w:vMerge w:val="restart"/>
            <w:tcBorders>
              <w:top w:val="single" w:color="auto" w:sz="4" w:space="0"/>
              <w:left w:val="single" w:color="auto" w:sz="4" w:space="0"/>
              <w:bottom w:val="single" w:color="auto" w:sz="4" w:space="0"/>
              <w:right w:val="single" w:color="auto" w:sz="4" w:space="0"/>
            </w:tcBorders>
            <w:vAlign w:val="center"/>
          </w:tcPr>
          <w:p w14:paraId="429062A2">
            <w:pPr>
              <w:topLinePunct/>
              <w:spacing w:line="440" w:lineRule="exact"/>
              <w:ind w:firstLine="480"/>
              <w:rPr>
                <w:rFonts w:hint="eastAsia" w:ascii="宋体" w:hAnsi="宋体" w:cs="宋体"/>
                <w:sz w:val="24"/>
                <w:szCs w:val="24"/>
              </w:rPr>
            </w:pPr>
            <w:r>
              <w:rPr>
                <w:rFonts w:hint="eastAsia" w:ascii="宋体" w:hAnsi="宋体" w:cs="宋体"/>
                <w:sz w:val="24"/>
                <w:szCs w:val="24"/>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824C841">
            <w:pPr>
              <w:topLinePunct/>
              <w:spacing w:line="440" w:lineRule="exact"/>
              <w:rPr>
                <w:rFonts w:hint="eastAsia" w:ascii="宋体" w:hAnsi="宋体" w:cs="宋体"/>
                <w:sz w:val="24"/>
                <w:szCs w:val="24"/>
              </w:rPr>
            </w:pPr>
            <w:r>
              <w:rPr>
                <w:rFonts w:hint="eastAsia" w:ascii="宋体" w:hAnsi="宋体" w:cs="宋体"/>
                <w:sz w:val="24"/>
                <w:szCs w:val="24"/>
              </w:rPr>
              <w:t>联系人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6233290">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3F57AD0F">
            <w:pPr>
              <w:topLinePunct/>
              <w:spacing w:line="440" w:lineRule="exact"/>
              <w:rPr>
                <w:rFonts w:hint="eastAsia" w:ascii="宋体" w:hAnsi="宋体" w:cs="宋体"/>
                <w:sz w:val="24"/>
                <w:szCs w:val="24"/>
              </w:rPr>
            </w:pPr>
            <w:r>
              <w:rPr>
                <w:rFonts w:hint="eastAsia" w:ascii="宋体" w:hAnsi="宋体" w:cs="宋体"/>
                <w:sz w:val="24"/>
                <w:szCs w:val="24"/>
              </w:rPr>
              <w:t>电 话</w:t>
            </w:r>
          </w:p>
        </w:tc>
        <w:tc>
          <w:tcPr>
            <w:tcW w:w="2107" w:type="dxa"/>
            <w:tcBorders>
              <w:top w:val="single" w:color="auto" w:sz="4" w:space="0"/>
              <w:left w:val="single" w:color="auto" w:sz="4" w:space="0"/>
              <w:bottom w:val="single" w:color="auto" w:sz="4" w:space="0"/>
              <w:right w:val="single" w:color="auto" w:sz="4" w:space="0"/>
            </w:tcBorders>
            <w:vAlign w:val="center"/>
          </w:tcPr>
          <w:p w14:paraId="2196DDE9">
            <w:pPr>
              <w:topLinePunct/>
              <w:spacing w:line="440" w:lineRule="exact"/>
              <w:ind w:firstLine="480"/>
              <w:jc w:val="center"/>
              <w:rPr>
                <w:rFonts w:hint="eastAsia" w:ascii="宋体" w:hAnsi="宋体" w:cs="宋体"/>
                <w:sz w:val="24"/>
                <w:szCs w:val="24"/>
              </w:rPr>
            </w:pPr>
          </w:p>
        </w:tc>
      </w:tr>
      <w:tr w14:paraId="6E6F2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2269" w:type="dxa"/>
            <w:vMerge w:val="continue"/>
            <w:tcBorders>
              <w:top w:val="single" w:color="auto" w:sz="4" w:space="0"/>
              <w:left w:val="single" w:color="auto" w:sz="4" w:space="0"/>
              <w:bottom w:val="single" w:color="auto" w:sz="4" w:space="0"/>
              <w:right w:val="single" w:color="auto" w:sz="4" w:space="0"/>
            </w:tcBorders>
            <w:vAlign w:val="center"/>
          </w:tcPr>
          <w:p w14:paraId="329EE8B7">
            <w:pPr>
              <w:topLinePunct/>
              <w:spacing w:line="440" w:lineRule="exact"/>
              <w:ind w:firstLine="480"/>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5528FE5">
            <w:pPr>
              <w:topLinePunct/>
              <w:spacing w:line="440" w:lineRule="exact"/>
              <w:rPr>
                <w:rFonts w:hint="eastAsia" w:ascii="宋体" w:hAnsi="宋体" w:cs="宋体"/>
                <w:sz w:val="24"/>
                <w:szCs w:val="24"/>
              </w:rPr>
            </w:pPr>
            <w:r>
              <w:rPr>
                <w:rFonts w:hint="eastAsia" w:ascii="宋体" w:hAnsi="宋体" w:cs="宋体"/>
                <w:sz w:val="24"/>
                <w:szCs w:val="24"/>
              </w:rPr>
              <w:t>邮箱</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670EBF">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5BAD84F6">
            <w:pPr>
              <w:topLinePunct/>
              <w:spacing w:line="440" w:lineRule="exact"/>
              <w:rPr>
                <w:rFonts w:hint="eastAsia" w:ascii="宋体" w:hAnsi="宋体" w:cs="宋体"/>
                <w:sz w:val="24"/>
                <w:szCs w:val="24"/>
              </w:rPr>
            </w:pPr>
            <w:r>
              <w:rPr>
                <w:rFonts w:hint="eastAsia" w:ascii="宋体" w:hAnsi="宋体" w:cs="宋体"/>
                <w:sz w:val="24"/>
                <w:szCs w:val="24"/>
              </w:rPr>
              <w:t>网 址</w:t>
            </w:r>
          </w:p>
        </w:tc>
        <w:tc>
          <w:tcPr>
            <w:tcW w:w="2107" w:type="dxa"/>
            <w:tcBorders>
              <w:top w:val="single" w:color="auto" w:sz="4" w:space="0"/>
              <w:left w:val="single" w:color="auto" w:sz="4" w:space="0"/>
              <w:bottom w:val="single" w:color="auto" w:sz="4" w:space="0"/>
              <w:right w:val="single" w:color="auto" w:sz="4" w:space="0"/>
            </w:tcBorders>
            <w:vAlign w:val="center"/>
          </w:tcPr>
          <w:p w14:paraId="2AD2A776">
            <w:pPr>
              <w:topLinePunct/>
              <w:spacing w:line="440" w:lineRule="exact"/>
              <w:ind w:firstLine="480"/>
              <w:jc w:val="center"/>
              <w:rPr>
                <w:rFonts w:hint="eastAsia" w:ascii="宋体" w:hAnsi="宋体" w:cs="宋体"/>
                <w:sz w:val="24"/>
                <w:szCs w:val="24"/>
              </w:rPr>
            </w:pPr>
          </w:p>
        </w:tc>
      </w:tr>
      <w:tr w14:paraId="551EA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96D6BF4">
            <w:pPr>
              <w:topLinePunct/>
              <w:spacing w:line="440" w:lineRule="exact"/>
              <w:ind w:firstLine="480"/>
              <w:rPr>
                <w:rFonts w:hint="eastAsia" w:ascii="宋体" w:hAnsi="宋体" w:cs="宋体"/>
                <w:sz w:val="24"/>
                <w:szCs w:val="24"/>
              </w:rPr>
            </w:pPr>
            <w:r>
              <w:rPr>
                <w:rFonts w:hint="eastAsia" w:ascii="宋体" w:hAnsi="宋体" w:cs="宋体"/>
                <w:sz w:val="24"/>
                <w:szCs w:val="24"/>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5D35193">
            <w:pPr>
              <w:topLinePunct/>
              <w:spacing w:line="440" w:lineRule="exact"/>
              <w:rPr>
                <w:rFonts w:hint="eastAsia" w:ascii="宋体" w:hAnsi="宋体" w:cs="宋体"/>
                <w:sz w:val="24"/>
                <w:szCs w:val="24"/>
              </w:rPr>
            </w:pPr>
            <w:r>
              <w:rPr>
                <w:rFonts w:hint="eastAsia" w:ascii="宋体" w:hAnsi="宋体" w:cs="宋体"/>
                <w:sz w:val="24"/>
                <w:szCs w:val="24"/>
              </w:rPr>
              <w:t>姓名</w:t>
            </w:r>
          </w:p>
        </w:tc>
        <w:tc>
          <w:tcPr>
            <w:tcW w:w="1842" w:type="dxa"/>
            <w:tcBorders>
              <w:top w:val="single" w:color="auto" w:sz="4" w:space="0"/>
              <w:left w:val="single" w:color="auto" w:sz="4" w:space="0"/>
              <w:bottom w:val="single" w:color="auto" w:sz="4" w:space="0"/>
              <w:right w:val="single" w:color="auto" w:sz="4" w:space="0"/>
            </w:tcBorders>
            <w:vAlign w:val="center"/>
          </w:tcPr>
          <w:p w14:paraId="06ED3764">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72B9A4">
            <w:pPr>
              <w:topLinePunct/>
              <w:spacing w:line="440" w:lineRule="exact"/>
              <w:rPr>
                <w:rFonts w:hint="eastAsia" w:ascii="宋体" w:hAnsi="宋体" w:cs="宋体"/>
                <w:sz w:val="24"/>
                <w:szCs w:val="24"/>
              </w:rPr>
            </w:pPr>
            <w:r>
              <w:rPr>
                <w:rFonts w:hint="eastAsia" w:ascii="宋体" w:hAnsi="宋体" w:cs="宋体"/>
                <w:sz w:val="24"/>
                <w:szCs w:val="24"/>
              </w:rPr>
              <w:t>电话</w:t>
            </w:r>
          </w:p>
        </w:tc>
        <w:tc>
          <w:tcPr>
            <w:tcW w:w="2107" w:type="dxa"/>
            <w:tcBorders>
              <w:top w:val="single" w:color="auto" w:sz="4" w:space="0"/>
              <w:left w:val="single" w:color="auto" w:sz="4" w:space="0"/>
              <w:bottom w:val="single" w:color="auto" w:sz="4" w:space="0"/>
              <w:right w:val="single" w:color="auto" w:sz="4" w:space="0"/>
            </w:tcBorders>
            <w:vAlign w:val="center"/>
          </w:tcPr>
          <w:p w14:paraId="2D4898E7">
            <w:pPr>
              <w:topLinePunct/>
              <w:spacing w:line="440" w:lineRule="exact"/>
              <w:ind w:firstLine="480"/>
              <w:jc w:val="center"/>
              <w:rPr>
                <w:rFonts w:hint="eastAsia" w:ascii="宋体" w:hAnsi="宋体" w:cs="宋体"/>
                <w:sz w:val="24"/>
                <w:szCs w:val="24"/>
              </w:rPr>
            </w:pPr>
          </w:p>
        </w:tc>
      </w:tr>
      <w:tr w14:paraId="322D8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3AB89C6">
            <w:pPr>
              <w:topLinePunct/>
              <w:spacing w:line="440" w:lineRule="exact"/>
              <w:ind w:firstLine="480"/>
              <w:rPr>
                <w:rFonts w:hint="eastAsia" w:ascii="宋体" w:hAnsi="宋体" w:cs="宋体"/>
                <w:sz w:val="24"/>
                <w:szCs w:val="24"/>
              </w:rPr>
            </w:pPr>
            <w:r>
              <w:rPr>
                <w:rFonts w:hint="eastAsia" w:ascii="宋体" w:hAnsi="宋体" w:cs="宋体"/>
                <w:sz w:val="24"/>
                <w:szCs w:val="24"/>
              </w:rPr>
              <w:t>成立时间</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36D135F1">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0F1D32">
            <w:pPr>
              <w:topLinePunct/>
              <w:spacing w:line="440" w:lineRule="exact"/>
              <w:ind w:firstLine="120" w:firstLineChars="50"/>
              <w:rPr>
                <w:rFonts w:hint="eastAsia" w:ascii="宋体" w:hAnsi="宋体" w:cs="宋体"/>
                <w:sz w:val="24"/>
                <w:szCs w:val="24"/>
              </w:rPr>
            </w:pPr>
            <w:r>
              <w:rPr>
                <w:rFonts w:hint="eastAsia" w:ascii="宋体" w:hAnsi="宋体" w:cs="宋体"/>
                <w:sz w:val="24"/>
                <w:szCs w:val="24"/>
              </w:rPr>
              <w:t>员工总人数</w:t>
            </w:r>
          </w:p>
        </w:tc>
        <w:tc>
          <w:tcPr>
            <w:tcW w:w="2107" w:type="dxa"/>
            <w:tcBorders>
              <w:top w:val="single" w:color="auto" w:sz="4" w:space="0"/>
              <w:left w:val="single" w:color="auto" w:sz="4" w:space="0"/>
              <w:bottom w:val="single" w:color="auto" w:sz="4" w:space="0"/>
              <w:right w:val="single" w:color="auto" w:sz="4" w:space="0"/>
            </w:tcBorders>
            <w:vAlign w:val="center"/>
          </w:tcPr>
          <w:p w14:paraId="45DFB4F2">
            <w:pPr>
              <w:topLinePunct/>
              <w:spacing w:line="440" w:lineRule="exact"/>
              <w:ind w:firstLine="120" w:firstLineChars="50"/>
              <w:jc w:val="center"/>
              <w:rPr>
                <w:rFonts w:hint="eastAsia" w:ascii="宋体" w:hAnsi="宋体" w:cs="宋体"/>
                <w:sz w:val="24"/>
                <w:szCs w:val="24"/>
              </w:rPr>
            </w:pPr>
          </w:p>
        </w:tc>
      </w:tr>
      <w:tr w14:paraId="3ED3B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6BDBBF4">
            <w:pPr>
              <w:topLinePunct/>
              <w:spacing w:line="440" w:lineRule="exact"/>
              <w:ind w:firstLine="480"/>
              <w:rPr>
                <w:rFonts w:hint="eastAsia" w:ascii="宋体" w:hAnsi="宋体" w:cs="宋体"/>
                <w:sz w:val="24"/>
                <w:szCs w:val="24"/>
              </w:rPr>
            </w:pPr>
            <w:r>
              <w:rPr>
                <w:rFonts w:hint="eastAsia" w:ascii="宋体" w:hAnsi="宋体" w:cs="宋体"/>
                <w:sz w:val="24"/>
                <w:szCs w:val="24"/>
              </w:rPr>
              <w:t>营业执照号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7E03166">
            <w:pPr>
              <w:topLinePunct/>
              <w:spacing w:line="440" w:lineRule="exact"/>
              <w:ind w:firstLine="480"/>
              <w:jc w:val="center"/>
              <w:rPr>
                <w:rFonts w:hint="eastAsia" w:ascii="宋体" w:hAnsi="宋体" w:cs="宋体"/>
                <w:sz w:val="24"/>
                <w:szCs w:val="24"/>
              </w:rPr>
            </w:pPr>
          </w:p>
        </w:tc>
      </w:tr>
      <w:tr w14:paraId="6D3B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BA851F1">
            <w:pPr>
              <w:topLinePunct/>
              <w:spacing w:line="440" w:lineRule="exact"/>
              <w:ind w:firstLine="480"/>
              <w:rPr>
                <w:rFonts w:hint="eastAsia" w:ascii="宋体" w:hAnsi="宋体" w:cs="宋体"/>
                <w:sz w:val="24"/>
                <w:szCs w:val="24"/>
              </w:rPr>
            </w:pPr>
            <w:r>
              <w:rPr>
                <w:rFonts w:hint="eastAsia" w:ascii="宋体" w:hAnsi="宋体" w:cs="宋体"/>
                <w:sz w:val="24"/>
                <w:szCs w:val="24"/>
              </w:rPr>
              <w:t>注册资本</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635C7685">
            <w:pPr>
              <w:topLinePunct/>
              <w:spacing w:line="440" w:lineRule="exact"/>
              <w:ind w:firstLine="480"/>
              <w:jc w:val="center"/>
              <w:rPr>
                <w:rFonts w:hint="eastAsia" w:ascii="宋体" w:hAnsi="宋体" w:cs="宋体"/>
                <w:sz w:val="24"/>
                <w:szCs w:val="24"/>
              </w:rPr>
            </w:pPr>
          </w:p>
        </w:tc>
      </w:tr>
      <w:tr w14:paraId="4DB4F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A94CEF">
            <w:pPr>
              <w:topLinePunct/>
              <w:spacing w:line="440" w:lineRule="exact"/>
              <w:rPr>
                <w:rFonts w:hint="eastAsia" w:ascii="宋体" w:hAnsi="宋体" w:cs="宋体"/>
                <w:sz w:val="24"/>
                <w:szCs w:val="24"/>
              </w:rPr>
            </w:pPr>
            <w:r>
              <w:rPr>
                <w:rFonts w:hint="eastAsia" w:ascii="宋体" w:hAnsi="宋体" w:cs="宋体"/>
                <w:sz w:val="24"/>
                <w:szCs w:val="24"/>
              </w:rPr>
              <w:t>基本账户开户银行</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1F922B4">
            <w:pPr>
              <w:topLinePunct/>
              <w:spacing w:line="440" w:lineRule="exact"/>
              <w:ind w:firstLine="480"/>
              <w:jc w:val="center"/>
              <w:rPr>
                <w:rFonts w:hint="eastAsia" w:ascii="宋体" w:hAnsi="宋体" w:cs="宋体"/>
                <w:sz w:val="24"/>
                <w:szCs w:val="24"/>
              </w:rPr>
            </w:pPr>
          </w:p>
        </w:tc>
      </w:tr>
      <w:tr w14:paraId="38640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287FED6">
            <w:pPr>
              <w:topLinePunct/>
              <w:spacing w:line="440" w:lineRule="exact"/>
              <w:rPr>
                <w:rFonts w:hint="eastAsia" w:ascii="宋体" w:hAnsi="宋体" w:cs="宋体"/>
                <w:sz w:val="24"/>
                <w:szCs w:val="24"/>
              </w:rPr>
            </w:pPr>
            <w:r>
              <w:rPr>
                <w:rFonts w:hint="eastAsia" w:ascii="宋体" w:hAnsi="宋体" w:cs="宋体"/>
                <w:sz w:val="24"/>
                <w:szCs w:val="24"/>
              </w:rPr>
              <w:t>基本账户银行账号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26482299">
            <w:pPr>
              <w:topLinePunct/>
              <w:spacing w:line="440" w:lineRule="exact"/>
              <w:ind w:firstLine="480"/>
              <w:jc w:val="center"/>
              <w:rPr>
                <w:rFonts w:hint="eastAsia" w:ascii="宋体" w:hAnsi="宋体" w:cs="宋体"/>
                <w:sz w:val="24"/>
                <w:szCs w:val="24"/>
              </w:rPr>
            </w:pPr>
          </w:p>
        </w:tc>
      </w:tr>
      <w:tr w14:paraId="486A2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269" w:type="dxa"/>
            <w:tcBorders>
              <w:top w:val="single" w:color="auto" w:sz="4" w:space="0"/>
              <w:left w:val="single" w:color="auto" w:sz="4" w:space="0"/>
              <w:right w:val="single" w:color="auto" w:sz="4" w:space="0"/>
            </w:tcBorders>
            <w:vAlign w:val="center"/>
          </w:tcPr>
          <w:p w14:paraId="7146C1BA">
            <w:pPr>
              <w:topLinePunct/>
              <w:spacing w:line="440" w:lineRule="exact"/>
              <w:ind w:firstLine="240" w:firstLineChars="100"/>
              <w:rPr>
                <w:rFonts w:hint="eastAsia" w:ascii="宋体" w:hAnsi="宋体" w:cs="宋体"/>
                <w:sz w:val="24"/>
                <w:szCs w:val="24"/>
              </w:rPr>
            </w:pPr>
            <w:r>
              <w:rPr>
                <w:rFonts w:hint="eastAsia" w:ascii="宋体" w:hAnsi="宋体" w:cs="宋体"/>
                <w:sz w:val="24"/>
                <w:szCs w:val="24"/>
              </w:rPr>
              <w:t>经营范围</w:t>
            </w:r>
          </w:p>
        </w:tc>
        <w:tc>
          <w:tcPr>
            <w:tcW w:w="6359" w:type="dxa"/>
            <w:gridSpan w:val="5"/>
            <w:tcBorders>
              <w:top w:val="single" w:color="auto" w:sz="4" w:space="0"/>
              <w:left w:val="single" w:color="auto" w:sz="4" w:space="0"/>
              <w:right w:val="single" w:color="auto" w:sz="4" w:space="0"/>
            </w:tcBorders>
            <w:vAlign w:val="center"/>
          </w:tcPr>
          <w:p w14:paraId="4282F2F5">
            <w:pPr>
              <w:topLinePunct/>
              <w:spacing w:line="440" w:lineRule="exact"/>
              <w:ind w:firstLine="480"/>
              <w:rPr>
                <w:rFonts w:hint="eastAsia" w:ascii="宋体" w:hAnsi="宋体" w:cs="宋体"/>
                <w:sz w:val="24"/>
                <w:szCs w:val="24"/>
              </w:rPr>
            </w:pPr>
          </w:p>
          <w:p w14:paraId="34AF7A8B">
            <w:pPr>
              <w:topLinePunct/>
              <w:spacing w:line="440" w:lineRule="exact"/>
              <w:ind w:firstLine="480"/>
              <w:rPr>
                <w:rFonts w:hint="eastAsia" w:ascii="宋体" w:hAnsi="宋体" w:cs="宋体"/>
                <w:sz w:val="24"/>
                <w:szCs w:val="24"/>
              </w:rPr>
            </w:pPr>
          </w:p>
          <w:p w14:paraId="4AFD02A8">
            <w:pPr>
              <w:topLinePunct/>
              <w:spacing w:line="440" w:lineRule="exact"/>
              <w:ind w:firstLine="480"/>
              <w:rPr>
                <w:rFonts w:hint="eastAsia" w:ascii="宋体" w:hAnsi="宋体" w:cs="宋体"/>
                <w:sz w:val="24"/>
                <w:szCs w:val="24"/>
              </w:rPr>
            </w:pPr>
          </w:p>
          <w:p w14:paraId="675BD0E7">
            <w:pPr>
              <w:topLinePunct/>
              <w:spacing w:line="440" w:lineRule="exact"/>
              <w:ind w:firstLine="480"/>
              <w:rPr>
                <w:rFonts w:hint="eastAsia" w:ascii="宋体" w:hAnsi="宋体" w:cs="宋体"/>
                <w:sz w:val="24"/>
                <w:szCs w:val="24"/>
              </w:rPr>
            </w:pPr>
          </w:p>
        </w:tc>
      </w:tr>
      <w:tr w14:paraId="6AAA8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812391">
            <w:pPr>
              <w:topLinePunct/>
              <w:spacing w:line="440" w:lineRule="exact"/>
              <w:ind w:firstLine="480"/>
              <w:rPr>
                <w:rFonts w:hint="eastAsia" w:ascii="宋体" w:hAnsi="宋体" w:cs="宋体"/>
                <w:sz w:val="24"/>
                <w:szCs w:val="24"/>
              </w:rPr>
            </w:pPr>
            <w:r>
              <w:rPr>
                <w:rFonts w:hint="eastAsia" w:ascii="宋体" w:hAnsi="宋体" w:cs="宋体"/>
                <w:sz w:val="24"/>
                <w:szCs w:val="24"/>
              </w:rPr>
              <w:t>备注</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373E4359">
            <w:pPr>
              <w:topLinePunct/>
              <w:spacing w:line="440" w:lineRule="exact"/>
              <w:ind w:firstLine="480"/>
              <w:jc w:val="center"/>
              <w:rPr>
                <w:rFonts w:hint="eastAsia" w:ascii="宋体" w:hAnsi="宋体" w:cs="宋体"/>
                <w:sz w:val="24"/>
                <w:szCs w:val="24"/>
              </w:rPr>
            </w:pPr>
          </w:p>
        </w:tc>
      </w:tr>
    </w:tbl>
    <w:p w14:paraId="2AFF356F">
      <w:pPr>
        <w:tabs>
          <w:tab w:val="left" w:pos="8782"/>
        </w:tabs>
        <w:snapToGrid w:val="0"/>
        <w:ind w:left="503" w:leftChars="50" w:right="-38" w:hanging="398" w:hangingChars="166"/>
        <w:rPr>
          <w:rFonts w:hint="eastAsia" w:ascii="宋体" w:hAnsi="宋体" w:cs="宋体"/>
          <w:sz w:val="24"/>
          <w:szCs w:val="24"/>
        </w:rPr>
      </w:pPr>
    </w:p>
    <w:p w14:paraId="1BB1AF14">
      <w:pPr>
        <w:tabs>
          <w:tab w:val="left" w:pos="8782"/>
        </w:tabs>
        <w:snapToGrid w:val="0"/>
        <w:ind w:left="501" w:leftChars="107" w:right="-38" w:hanging="276" w:hangingChars="115"/>
        <w:rPr>
          <w:rFonts w:hint="eastAsia" w:ascii="宋体" w:hAnsi="宋体" w:cs="宋体"/>
          <w:sz w:val="24"/>
          <w:szCs w:val="24"/>
        </w:rPr>
      </w:pPr>
      <w:r>
        <w:rPr>
          <w:rFonts w:hint="eastAsia" w:ascii="宋体" w:hAnsi="宋体" w:cs="宋体"/>
          <w:sz w:val="24"/>
          <w:szCs w:val="24"/>
        </w:rPr>
        <w:t>注：供应商应提供表中所列营业执照等相关资料。</w:t>
      </w:r>
    </w:p>
    <w:p w14:paraId="0A965E3F">
      <w:pPr>
        <w:rPr>
          <w:rFonts w:hint="eastAsia" w:ascii="宋体" w:hAnsi="宋体" w:cs="宋体"/>
          <w:b/>
          <w:sz w:val="24"/>
          <w:szCs w:val="24"/>
        </w:rPr>
      </w:pPr>
    </w:p>
    <w:p w14:paraId="45AA5168">
      <w:pPr>
        <w:rPr>
          <w:rFonts w:hint="eastAsia" w:ascii="宋体" w:hAnsi="宋体" w:cs="宋体"/>
          <w:b/>
          <w:sz w:val="24"/>
          <w:szCs w:val="24"/>
        </w:rPr>
      </w:pPr>
    </w:p>
    <w:p w14:paraId="3201D74D">
      <w:pPr>
        <w:spacing w:line="400" w:lineRule="atLeast"/>
        <w:ind w:firstLine="2760" w:firstLineChars="1150"/>
        <w:rPr>
          <w:rFonts w:hint="eastAsia" w:ascii="宋体" w:hAnsi="宋体" w:cs="宋体"/>
          <w:sz w:val="24"/>
          <w:szCs w:val="24"/>
        </w:rPr>
      </w:pPr>
    </w:p>
    <w:p w14:paraId="0BAD7A9F">
      <w:pPr>
        <w:spacing w:line="400" w:lineRule="atLeast"/>
        <w:ind w:firstLine="2760" w:firstLineChars="1150"/>
        <w:rPr>
          <w:rFonts w:hint="eastAsia" w:ascii="宋体" w:hAnsi="宋体" w:cs="宋体"/>
          <w:sz w:val="24"/>
          <w:szCs w:val="24"/>
        </w:rPr>
      </w:pPr>
    </w:p>
    <w:p w14:paraId="1945CA7B">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25758450">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2861AA4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45CF69D9">
      <w:pPr>
        <w:spacing w:line="360" w:lineRule="auto"/>
        <w:rPr>
          <w:rFonts w:hint="eastAsia" w:ascii="宋体" w:hAnsi="宋体" w:cs="宋体"/>
          <w:b/>
          <w:bCs/>
          <w:sz w:val="24"/>
          <w:szCs w:val="24"/>
        </w:rPr>
      </w:pPr>
    </w:p>
    <w:p w14:paraId="411C78CF">
      <w:pPr>
        <w:spacing w:line="360" w:lineRule="auto"/>
        <w:rPr>
          <w:rFonts w:hint="eastAsia" w:ascii="宋体" w:hAnsi="宋体" w:cs="宋体"/>
          <w:b/>
          <w:bCs/>
          <w:sz w:val="24"/>
          <w:szCs w:val="24"/>
        </w:rPr>
      </w:pPr>
    </w:p>
    <w:p w14:paraId="7C5361E8">
      <w:pPr>
        <w:pStyle w:val="12"/>
        <w:rPr>
          <w:rFonts w:hint="eastAsia" w:ascii="宋体" w:hAnsi="宋体" w:eastAsia="宋体"/>
        </w:rPr>
      </w:pPr>
    </w:p>
    <w:p w14:paraId="25DFF0C7">
      <w:pPr>
        <w:rPr>
          <w:rFonts w:hint="eastAsia" w:ascii="宋体" w:hAnsi="宋体" w:cs="宋体"/>
          <w:b/>
          <w:sz w:val="24"/>
          <w:szCs w:val="24"/>
        </w:rPr>
      </w:pPr>
      <w:r>
        <w:rPr>
          <w:rFonts w:hint="eastAsia" w:ascii="宋体" w:hAnsi="宋体" w:cs="宋体"/>
          <w:b/>
          <w:sz w:val="24"/>
          <w:szCs w:val="24"/>
        </w:rPr>
        <w:t>5.2</w:t>
      </w:r>
      <w:r>
        <w:rPr>
          <w:rFonts w:hint="eastAsia" w:ascii="宋体" w:hAnsi="宋体" w:cs="宋体"/>
          <w:b/>
          <w:color w:val="000000"/>
          <w:sz w:val="24"/>
          <w:szCs w:val="24"/>
        </w:rPr>
        <w:t>资格证明文件</w:t>
      </w:r>
    </w:p>
    <w:p w14:paraId="1B24C090">
      <w:pPr>
        <w:pStyle w:val="12"/>
        <w:rPr>
          <w:rFonts w:hint="eastAsia" w:ascii="宋体" w:hAnsi="宋体" w:eastAsia="宋体"/>
        </w:rPr>
      </w:pPr>
    </w:p>
    <w:p w14:paraId="6BFC059D">
      <w:pPr>
        <w:spacing w:line="480" w:lineRule="auto"/>
        <w:ind w:left="-40" w:leftChars="-19" w:right="452" w:firstLine="118" w:firstLineChars="49"/>
        <w:jc w:val="left"/>
        <w:rPr>
          <w:rFonts w:hint="eastAsia" w:ascii="宋体" w:hAnsi="宋体" w:cs="宋体"/>
          <w:b/>
          <w:spacing w:val="6"/>
          <w:sz w:val="24"/>
          <w:szCs w:val="24"/>
        </w:rPr>
      </w:pPr>
      <w:r>
        <w:rPr>
          <w:rFonts w:hint="eastAsia" w:ascii="宋体" w:hAnsi="宋体" w:cs="宋体"/>
          <w:b/>
          <w:sz w:val="24"/>
          <w:szCs w:val="24"/>
        </w:rPr>
        <w:t>5.3</w:t>
      </w:r>
      <w:r>
        <w:rPr>
          <w:rFonts w:hint="eastAsia" w:ascii="宋体" w:hAnsi="宋体" w:cs="宋体"/>
          <w:b/>
          <w:spacing w:val="6"/>
          <w:sz w:val="24"/>
          <w:szCs w:val="24"/>
        </w:rPr>
        <w:t>供应商2022年以来类似项目业绩</w:t>
      </w:r>
    </w:p>
    <w:p w14:paraId="3E7045CE">
      <w:pPr>
        <w:spacing w:line="360" w:lineRule="auto"/>
        <w:ind w:left="-30" w:leftChars="-95" w:right="452" w:hanging="169" w:hangingChars="67"/>
        <w:jc w:val="center"/>
        <w:rPr>
          <w:rFonts w:hint="eastAsia" w:ascii="宋体" w:hAnsi="宋体" w:cs="宋体"/>
          <w:b/>
          <w:spacing w:val="6"/>
          <w:sz w:val="24"/>
          <w:szCs w:val="24"/>
        </w:rPr>
      </w:pPr>
      <w:r>
        <w:rPr>
          <w:rFonts w:hint="eastAsia" w:ascii="宋体" w:hAnsi="宋体" w:cs="宋体"/>
          <w:b/>
          <w:spacing w:val="6"/>
          <w:sz w:val="24"/>
          <w:szCs w:val="24"/>
        </w:rPr>
        <w:t>供应商2022年以来类似项目业绩一览表</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29"/>
        <w:gridCol w:w="1357"/>
        <w:gridCol w:w="1666"/>
        <w:gridCol w:w="1418"/>
        <w:gridCol w:w="1123"/>
        <w:gridCol w:w="1579"/>
      </w:tblGrid>
      <w:tr w14:paraId="6F259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1229" w:type="dxa"/>
            <w:tcBorders>
              <w:top w:val="single" w:color="auto" w:sz="4" w:space="0"/>
              <w:left w:val="single" w:color="auto" w:sz="4" w:space="0"/>
              <w:bottom w:val="single" w:color="auto" w:sz="6" w:space="0"/>
              <w:right w:val="single" w:color="auto" w:sz="6" w:space="0"/>
            </w:tcBorders>
            <w:vAlign w:val="center"/>
          </w:tcPr>
          <w:p w14:paraId="7432CDB8">
            <w:pPr>
              <w:spacing w:line="400" w:lineRule="exact"/>
              <w:rPr>
                <w:rFonts w:hint="eastAsia" w:ascii="宋体" w:hAnsi="宋体" w:cs="宋体"/>
                <w:sz w:val="24"/>
                <w:szCs w:val="24"/>
              </w:rPr>
            </w:pPr>
            <w:r>
              <w:rPr>
                <w:rFonts w:hint="eastAsia" w:ascii="宋体" w:hAnsi="宋体" w:cs="宋体"/>
                <w:sz w:val="24"/>
                <w:szCs w:val="24"/>
              </w:rPr>
              <w:t>序号</w:t>
            </w:r>
          </w:p>
        </w:tc>
        <w:tc>
          <w:tcPr>
            <w:tcW w:w="1357" w:type="dxa"/>
            <w:tcBorders>
              <w:top w:val="single" w:color="auto" w:sz="4" w:space="0"/>
              <w:left w:val="single" w:color="auto" w:sz="6" w:space="0"/>
              <w:bottom w:val="single" w:color="auto" w:sz="6" w:space="0"/>
              <w:right w:val="single" w:color="auto" w:sz="6" w:space="0"/>
            </w:tcBorders>
            <w:vAlign w:val="center"/>
          </w:tcPr>
          <w:p w14:paraId="5C0AFC89">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1666" w:type="dxa"/>
            <w:tcBorders>
              <w:top w:val="single" w:color="auto" w:sz="4" w:space="0"/>
              <w:left w:val="single" w:color="auto" w:sz="6" w:space="0"/>
              <w:bottom w:val="single" w:color="auto" w:sz="6" w:space="0"/>
              <w:right w:val="single" w:color="auto" w:sz="6" w:space="0"/>
            </w:tcBorders>
            <w:vAlign w:val="center"/>
          </w:tcPr>
          <w:p w14:paraId="2C86F4CE">
            <w:pPr>
              <w:spacing w:line="400" w:lineRule="exact"/>
              <w:ind w:firstLine="120" w:firstLineChars="50"/>
              <w:rPr>
                <w:rFonts w:hint="eastAsia" w:ascii="宋体" w:hAnsi="宋体" w:cs="宋体"/>
                <w:sz w:val="24"/>
                <w:szCs w:val="24"/>
              </w:rPr>
            </w:pPr>
            <w:r>
              <w:rPr>
                <w:rFonts w:hint="eastAsia" w:ascii="宋体" w:hAnsi="宋体" w:cs="宋体"/>
                <w:sz w:val="24"/>
                <w:szCs w:val="24"/>
              </w:rPr>
              <w:t>合同金额</w:t>
            </w:r>
          </w:p>
        </w:tc>
        <w:tc>
          <w:tcPr>
            <w:tcW w:w="1418" w:type="dxa"/>
            <w:tcBorders>
              <w:top w:val="single" w:color="auto" w:sz="4" w:space="0"/>
              <w:left w:val="single" w:color="auto" w:sz="6" w:space="0"/>
              <w:bottom w:val="single" w:color="auto" w:sz="6" w:space="0"/>
              <w:right w:val="single" w:color="auto" w:sz="4" w:space="0"/>
            </w:tcBorders>
            <w:vAlign w:val="center"/>
          </w:tcPr>
          <w:p w14:paraId="506A3EEE">
            <w:pPr>
              <w:spacing w:line="240" w:lineRule="atLeast"/>
              <w:jc w:val="center"/>
              <w:rPr>
                <w:rFonts w:hint="eastAsia" w:ascii="宋体" w:hAnsi="宋体" w:cs="宋体"/>
                <w:sz w:val="24"/>
                <w:szCs w:val="24"/>
              </w:rPr>
            </w:pPr>
            <w:r>
              <w:rPr>
                <w:rFonts w:hint="eastAsia" w:ascii="宋体" w:hAnsi="宋体" w:cs="宋体"/>
                <w:sz w:val="24"/>
                <w:szCs w:val="24"/>
              </w:rPr>
              <w:t>完成</w:t>
            </w:r>
          </w:p>
          <w:p w14:paraId="16FCFDDD">
            <w:pPr>
              <w:spacing w:line="240" w:lineRule="atLeast"/>
              <w:jc w:val="center"/>
              <w:rPr>
                <w:rFonts w:hint="eastAsia" w:ascii="宋体" w:hAnsi="宋体" w:cs="宋体"/>
                <w:sz w:val="24"/>
                <w:szCs w:val="24"/>
              </w:rPr>
            </w:pPr>
            <w:r>
              <w:rPr>
                <w:rFonts w:hint="eastAsia" w:ascii="宋体" w:hAnsi="宋体" w:cs="宋体"/>
                <w:sz w:val="24"/>
                <w:szCs w:val="24"/>
              </w:rPr>
              <w:t>项目质量</w:t>
            </w:r>
          </w:p>
        </w:tc>
        <w:tc>
          <w:tcPr>
            <w:tcW w:w="1123" w:type="dxa"/>
            <w:tcBorders>
              <w:top w:val="single" w:color="auto" w:sz="4" w:space="0"/>
              <w:left w:val="single" w:color="auto" w:sz="4" w:space="0"/>
              <w:bottom w:val="single" w:color="auto" w:sz="6" w:space="0"/>
              <w:right w:val="single" w:color="auto" w:sz="6" w:space="0"/>
            </w:tcBorders>
            <w:vAlign w:val="center"/>
          </w:tcPr>
          <w:p w14:paraId="02A3D31E">
            <w:pPr>
              <w:spacing w:line="400" w:lineRule="exact"/>
              <w:rPr>
                <w:rFonts w:hint="eastAsia" w:ascii="宋体" w:hAnsi="宋体" w:cs="宋体"/>
                <w:sz w:val="24"/>
                <w:szCs w:val="24"/>
              </w:rPr>
            </w:pPr>
            <w:r>
              <w:rPr>
                <w:rFonts w:hint="eastAsia" w:ascii="宋体" w:hAnsi="宋体" w:cs="宋体"/>
                <w:sz w:val="24"/>
                <w:szCs w:val="24"/>
              </w:rPr>
              <w:t>完成日期</w:t>
            </w:r>
          </w:p>
        </w:tc>
        <w:tc>
          <w:tcPr>
            <w:tcW w:w="1579" w:type="dxa"/>
            <w:tcBorders>
              <w:top w:val="single" w:color="auto" w:sz="4" w:space="0"/>
              <w:left w:val="single" w:color="auto" w:sz="4" w:space="0"/>
              <w:bottom w:val="single" w:color="auto" w:sz="6" w:space="0"/>
              <w:right w:val="single" w:color="auto" w:sz="4" w:space="0"/>
            </w:tcBorders>
            <w:vAlign w:val="center"/>
          </w:tcPr>
          <w:p w14:paraId="61E6D27B">
            <w:pPr>
              <w:spacing w:line="400" w:lineRule="exact"/>
              <w:jc w:val="center"/>
              <w:rPr>
                <w:rFonts w:hint="eastAsia" w:ascii="宋体" w:hAnsi="宋体" w:cs="宋体"/>
                <w:sz w:val="24"/>
                <w:szCs w:val="24"/>
              </w:rPr>
            </w:pPr>
            <w:r>
              <w:rPr>
                <w:rFonts w:hint="eastAsia" w:ascii="宋体" w:hAnsi="宋体" w:cs="宋体"/>
                <w:sz w:val="24"/>
                <w:szCs w:val="24"/>
              </w:rPr>
              <w:t>备注</w:t>
            </w:r>
          </w:p>
        </w:tc>
      </w:tr>
      <w:tr w14:paraId="528253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0FE32250">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17A8201F">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27E4FC90">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16B9D5BD">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72497AB0">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07F4B9A3">
            <w:pPr>
              <w:spacing w:line="400" w:lineRule="exact"/>
              <w:jc w:val="center"/>
              <w:rPr>
                <w:rFonts w:hint="eastAsia" w:ascii="宋体" w:hAnsi="宋体" w:cs="宋体"/>
                <w:sz w:val="24"/>
                <w:szCs w:val="24"/>
              </w:rPr>
            </w:pPr>
          </w:p>
        </w:tc>
      </w:tr>
      <w:tr w14:paraId="05BE5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CD93C1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64E29478">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6366AB44">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74C52A37">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4AF16A01">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2A7C831A">
            <w:pPr>
              <w:spacing w:line="400" w:lineRule="exact"/>
              <w:jc w:val="center"/>
              <w:rPr>
                <w:rFonts w:hint="eastAsia" w:ascii="宋体" w:hAnsi="宋体" w:cs="宋体"/>
                <w:sz w:val="24"/>
                <w:szCs w:val="24"/>
              </w:rPr>
            </w:pPr>
          </w:p>
        </w:tc>
      </w:tr>
      <w:tr w14:paraId="45302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71D0226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58C4290C">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78679F93">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3A61D206">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5C30153">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3516C27E">
            <w:pPr>
              <w:spacing w:line="400" w:lineRule="exact"/>
              <w:jc w:val="center"/>
              <w:rPr>
                <w:rFonts w:hint="eastAsia" w:ascii="宋体" w:hAnsi="宋体" w:cs="宋体"/>
                <w:sz w:val="24"/>
                <w:szCs w:val="24"/>
              </w:rPr>
            </w:pPr>
          </w:p>
        </w:tc>
      </w:tr>
      <w:tr w14:paraId="2BAB8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25AFE2D">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4" w:space="0"/>
            </w:tcBorders>
            <w:vAlign w:val="center"/>
          </w:tcPr>
          <w:p w14:paraId="57D5E8FA">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4457967D">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6F3500D0">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F6D2FBC">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7ACD2904">
            <w:pPr>
              <w:spacing w:line="400" w:lineRule="exact"/>
              <w:jc w:val="center"/>
              <w:rPr>
                <w:rFonts w:hint="eastAsia" w:ascii="宋体" w:hAnsi="宋体" w:cs="宋体"/>
                <w:sz w:val="24"/>
                <w:szCs w:val="24"/>
              </w:rPr>
            </w:pPr>
          </w:p>
        </w:tc>
      </w:tr>
      <w:tr w14:paraId="60C19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4" w:space="0"/>
              <w:right w:val="single" w:color="auto" w:sz="4" w:space="0"/>
            </w:tcBorders>
            <w:vAlign w:val="center"/>
          </w:tcPr>
          <w:p w14:paraId="6ED8D152">
            <w:pPr>
              <w:spacing w:line="400" w:lineRule="exact"/>
              <w:rPr>
                <w:rFonts w:hint="eastAsia" w:ascii="宋体" w:hAnsi="宋体" w:cs="宋体"/>
                <w:sz w:val="24"/>
                <w:szCs w:val="24"/>
              </w:rPr>
            </w:pPr>
          </w:p>
        </w:tc>
        <w:tc>
          <w:tcPr>
            <w:tcW w:w="1357" w:type="dxa"/>
            <w:tcBorders>
              <w:top w:val="single" w:color="auto" w:sz="6" w:space="0"/>
              <w:left w:val="single" w:color="auto" w:sz="4" w:space="0"/>
              <w:bottom w:val="single" w:color="auto" w:sz="4" w:space="0"/>
              <w:right w:val="single" w:color="auto" w:sz="4" w:space="0"/>
            </w:tcBorders>
            <w:vAlign w:val="center"/>
          </w:tcPr>
          <w:p w14:paraId="0EE33C04">
            <w:pPr>
              <w:spacing w:line="400" w:lineRule="exact"/>
              <w:rPr>
                <w:rFonts w:hint="eastAsia" w:ascii="宋体" w:hAnsi="宋体" w:cs="宋体"/>
                <w:sz w:val="24"/>
                <w:szCs w:val="24"/>
              </w:rPr>
            </w:pPr>
          </w:p>
        </w:tc>
        <w:tc>
          <w:tcPr>
            <w:tcW w:w="1666" w:type="dxa"/>
            <w:tcBorders>
              <w:top w:val="single" w:color="auto" w:sz="6" w:space="0"/>
              <w:left w:val="single" w:color="auto" w:sz="4" w:space="0"/>
              <w:bottom w:val="single" w:color="auto" w:sz="4" w:space="0"/>
              <w:right w:val="single" w:color="auto" w:sz="4" w:space="0"/>
            </w:tcBorders>
            <w:vAlign w:val="center"/>
          </w:tcPr>
          <w:p w14:paraId="3E82176E">
            <w:pPr>
              <w:spacing w:line="400" w:lineRule="exact"/>
              <w:rPr>
                <w:rFonts w:hint="eastAsia" w:ascii="宋体" w:hAnsi="宋体" w:cs="宋体"/>
                <w:sz w:val="24"/>
                <w:szCs w:val="24"/>
              </w:rPr>
            </w:pPr>
          </w:p>
        </w:tc>
        <w:tc>
          <w:tcPr>
            <w:tcW w:w="1418" w:type="dxa"/>
            <w:tcBorders>
              <w:top w:val="single" w:color="auto" w:sz="6" w:space="0"/>
              <w:left w:val="single" w:color="auto" w:sz="4" w:space="0"/>
              <w:bottom w:val="single" w:color="auto" w:sz="4" w:space="0"/>
              <w:right w:val="single" w:color="auto" w:sz="4" w:space="0"/>
            </w:tcBorders>
            <w:vAlign w:val="center"/>
          </w:tcPr>
          <w:p w14:paraId="1FC9B6B9">
            <w:pPr>
              <w:spacing w:line="400" w:lineRule="exact"/>
              <w:rPr>
                <w:rFonts w:hint="eastAsia" w:ascii="宋体" w:hAnsi="宋体" w:cs="宋体"/>
                <w:sz w:val="24"/>
                <w:szCs w:val="24"/>
              </w:rPr>
            </w:pPr>
          </w:p>
        </w:tc>
        <w:tc>
          <w:tcPr>
            <w:tcW w:w="1123" w:type="dxa"/>
            <w:tcBorders>
              <w:top w:val="single" w:color="auto" w:sz="6" w:space="0"/>
              <w:left w:val="single" w:color="auto" w:sz="4" w:space="0"/>
              <w:bottom w:val="single" w:color="auto" w:sz="4" w:space="0"/>
              <w:right w:val="single" w:color="auto" w:sz="6" w:space="0"/>
            </w:tcBorders>
            <w:vAlign w:val="center"/>
          </w:tcPr>
          <w:p w14:paraId="18738FEE">
            <w:pPr>
              <w:spacing w:line="400" w:lineRule="exact"/>
              <w:rPr>
                <w:rFonts w:hint="eastAsia" w:ascii="宋体" w:hAnsi="宋体" w:cs="宋体"/>
                <w:sz w:val="24"/>
                <w:szCs w:val="24"/>
              </w:rPr>
            </w:pPr>
          </w:p>
        </w:tc>
        <w:tc>
          <w:tcPr>
            <w:tcW w:w="1579" w:type="dxa"/>
            <w:tcBorders>
              <w:top w:val="single" w:color="auto" w:sz="6" w:space="0"/>
              <w:left w:val="single" w:color="auto" w:sz="4" w:space="0"/>
              <w:bottom w:val="single" w:color="auto" w:sz="4" w:space="0"/>
              <w:right w:val="single" w:color="auto" w:sz="4" w:space="0"/>
            </w:tcBorders>
            <w:vAlign w:val="center"/>
          </w:tcPr>
          <w:p w14:paraId="24656432">
            <w:pPr>
              <w:spacing w:line="400" w:lineRule="exact"/>
              <w:rPr>
                <w:rFonts w:hint="eastAsia" w:ascii="宋体" w:hAnsi="宋体" w:cs="宋体"/>
                <w:sz w:val="24"/>
                <w:szCs w:val="24"/>
              </w:rPr>
            </w:pPr>
          </w:p>
        </w:tc>
      </w:tr>
    </w:tbl>
    <w:p w14:paraId="7DE29735">
      <w:pPr>
        <w:tabs>
          <w:tab w:val="left" w:pos="8782"/>
        </w:tabs>
        <w:snapToGrid w:val="0"/>
        <w:ind w:left="500" w:leftChars="238" w:right="-38" w:firstLine="240" w:firstLineChars="100"/>
        <w:rPr>
          <w:rFonts w:hint="eastAsia" w:ascii="宋体" w:hAnsi="宋体" w:cs="宋体"/>
          <w:sz w:val="24"/>
          <w:szCs w:val="24"/>
        </w:rPr>
      </w:pPr>
      <w:r>
        <w:rPr>
          <w:rFonts w:hint="eastAsia" w:ascii="宋体" w:hAnsi="宋体" w:cs="宋体"/>
          <w:sz w:val="24"/>
          <w:szCs w:val="24"/>
        </w:rPr>
        <w:t>注：附有效证明材料。</w:t>
      </w:r>
    </w:p>
    <w:p w14:paraId="78CFD465">
      <w:pPr>
        <w:pStyle w:val="12"/>
        <w:rPr>
          <w:rFonts w:hint="eastAsia" w:ascii="宋体" w:hAnsi="宋体" w:eastAsia="宋体"/>
        </w:rPr>
      </w:pPr>
    </w:p>
    <w:p w14:paraId="5814288A">
      <w:pPr>
        <w:pStyle w:val="13"/>
        <w:rPr>
          <w:rFonts w:hint="eastAsia" w:ascii="宋体" w:hAnsi="宋体" w:cs="宋体"/>
        </w:rPr>
      </w:pPr>
    </w:p>
    <w:p w14:paraId="18642E19">
      <w:pPr>
        <w:rPr>
          <w:rFonts w:hint="eastAsia" w:ascii="宋体" w:hAnsi="宋体" w:cs="宋体"/>
        </w:rPr>
      </w:pPr>
    </w:p>
    <w:p w14:paraId="56492124">
      <w:pPr>
        <w:pStyle w:val="12"/>
        <w:rPr>
          <w:rFonts w:hint="eastAsia" w:ascii="宋体" w:hAnsi="宋体" w:eastAsia="宋体"/>
        </w:rPr>
      </w:pPr>
    </w:p>
    <w:p w14:paraId="4E89346C">
      <w:pPr>
        <w:pStyle w:val="13"/>
        <w:rPr>
          <w:rFonts w:hint="eastAsia" w:ascii="宋体" w:hAnsi="宋体" w:cs="宋体"/>
        </w:rPr>
      </w:pPr>
    </w:p>
    <w:p w14:paraId="00AD04FB">
      <w:pPr>
        <w:rPr>
          <w:rFonts w:hint="eastAsia" w:ascii="宋体" w:hAnsi="宋体" w:cs="宋体"/>
        </w:rPr>
      </w:pPr>
    </w:p>
    <w:p w14:paraId="08A4BA53">
      <w:pPr>
        <w:pStyle w:val="12"/>
        <w:rPr>
          <w:rFonts w:hint="eastAsia" w:ascii="宋体" w:hAnsi="宋体" w:eastAsia="宋体"/>
        </w:rPr>
      </w:pPr>
    </w:p>
    <w:p w14:paraId="328CAAEA">
      <w:pPr>
        <w:pStyle w:val="13"/>
        <w:rPr>
          <w:rFonts w:hint="eastAsia" w:ascii="宋体" w:hAnsi="宋体" w:cs="宋体"/>
        </w:rPr>
      </w:pPr>
    </w:p>
    <w:p w14:paraId="5985B127">
      <w:pPr>
        <w:rPr>
          <w:rFonts w:hint="eastAsia" w:ascii="宋体" w:hAnsi="宋体" w:cs="宋体"/>
        </w:rPr>
      </w:pPr>
    </w:p>
    <w:p w14:paraId="78EA1B11">
      <w:pPr>
        <w:pStyle w:val="12"/>
        <w:rPr>
          <w:rFonts w:hint="eastAsia" w:ascii="宋体" w:hAnsi="宋体" w:eastAsia="宋体"/>
        </w:rPr>
      </w:pPr>
    </w:p>
    <w:p w14:paraId="481D40EE">
      <w:pPr>
        <w:pStyle w:val="13"/>
        <w:rPr>
          <w:rFonts w:hint="eastAsia" w:ascii="宋体" w:hAnsi="宋体" w:cs="宋体"/>
        </w:rPr>
      </w:pPr>
    </w:p>
    <w:p w14:paraId="2550B7B7">
      <w:pPr>
        <w:rPr>
          <w:rFonts w:hint="eastAsia" w:ascii="宋体" w:hAnsi="宋体" w:cs="宋体"/>
        </w:rPr>
      </w:pPr>
    </w:p>
    <w:p w14:paraId="24A4A560">
      <w:pPr>
        <w:pStyle w:val="12"/>
        <w:rPr>
          <w:rFonts w:hint="eastAsia" w:ascii="宋体" w:hAnsi="宋体" w:eastAsia="宋体"/>
        </w:rPr>
      </w:pPr>
    </w:p>
    <w:p w14:paraId="5B6908B3">
      <w:pPr>
        <w:pStyle w:val="13"/>
        <w:rPr>
          <w:rFonts w:hint="eastAsia" w:ascii="宋体" w:hAnsi="宋体" w:cs="宋体"/>
        </w:rPr>
      </w:pPr>
    </w:p>
    <w:p w14:paraId="677F970A">
      <w:pPr>
        <w:rPr>
          <w:rFonts w:hint="eastAsia" w:ascii="宋体" w:hAnsi="宋体" w:cs="宋体"/>
        </w:rPr>
      </w:pPr>
    </w:p>
    <w:p w14:paraId="24D23692">
      <w:pPr>
        <w:pStyle w:val="12"/>
        <w:rPr>
          <w:rFonts w:hint="eastAsia" w:ascii="宋体" w:hAnsi="宋体" w:eastAsia="宋体"/>
        </w:rPr>
      </w:pPr>
    </w:p>
    <w:p w14:paraId="2F845402">
      <w:pPr>
        <w:pStyle w:val="13"/>
        <w:rPr>
          <w:rFonts w:hint="eastAsia" w:ascii="宋体" w:hAnsi="宋体" w:cs="宋体"/>
        </w:rPr>
      </w:pPr>
    </w:p>
    <w:p w14:paraId="0297A9D2">
      <w:pPr>
        <w:rPr>
          <w:rFonts w:hint="eastAsia" w:ascii="宋体" w:hAnsi="宋体" w:cs="宋体"/>
        </w:rPr>
      </w:pPr>
    </w:p>
    <w:p w14:paraId="0F5A8FA5">
      <w:pPr>
        <w:pStyle w:val="12"/>
        <w:rPr>
          <w:rFonts w:hint="eastAsia" w:ascii="宋体" w:hAnsi="宋体" w:eastAsia="宋体"/>
        </w:rPr>
      </w:pPr>
    </w:p>
    <w:p w14:paraId="204562D2">
      <w:pPr>
        <w:pStyle w:val="13"/>
        <w:rPr>
          <w:rFonts w:hint="eastAsia" w:ascii="宋体" w:hAnsi="宋体" w:cs="宋体"/>
        </w:rPr>
      </w:pPr>
    </w:p>
    <w:p w14:paraId="20ECCD69">
      <w:pPr>
        <w:rPr>
          <w:rFonts w:hint="eastAsia" w:ascii="宋体" w:hAnsi="宋体" w:cs="宋体"/>
        </w:rPr>
      </w:pPr>
    </w:p>
    <w:p w14:paraId="3790F4AF">
      <w:pPr>
        <w:spacing w:line="276" w:lineRule="auto"/>
        <w:jc w:val="left"/>
        <w:textAlignment w:val="baseline"/>
        <w:outlineLvl w:val="0"/>
        <w:rPr>
          <w:rFonts w:hint="eastAsia" w:ascii="宋体" w:hAnsi="宋体" w:cs="宋体"/>
          <w:b/>
          <w:spacing w:val="6"/>
          <w:sz w:val="24"/>
          <w:szCs w:val="24"/>
        </w:rPr>
      </w:pPr>
      <w:bookmarkStart w:id="281" w:name="_Toc13271"/>
      <w:bookmarkStart w:id="282" w:name="_Toc9787"/>
      <w:r>
        <w:rPr>
          <w:rFonts w:hint="eastAsia" w:ascii="宋体" w:hAnsi="宋体" w:cs="宋体"/>
          <w:b/>
          <w:spacing w:val="6"/>
          <w:sz w:val="24"/>
          <w:szCs w:val="24"/>
        </w:rPr>
        <w:t>5.4项目管理及技术人员一览表</w:t>
      </w:r>
      <w:bookmarkEnd w:id="281"/>
      <w:bookmarkEnd w:id="282"/>
    </w:p>
    <w:tbl>
      <w:tblPr>
        <w:tblStyle w:val="22"/>
        <w:tblpPr w:leftFromText="180" w:rightFromText="180" w:vertAnchor="text" w:horzAnchor="margin" w:tblpXSpec="center" w:tblpY="74"/>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34"/>
        <w:gridCol w:w="1433"/>
        <w:gridCol w:w="1880"/>
        <w:gridCol w:w="1880"/>
      </w:tblGrid>
      <w:tr w14:paraId="1DA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526" w:type="dxa"/>
            <w:vAlign w:val="center"/>
          </w:tcPr>
          <w:p w14:paraId="4F07B89D">
            <w:pPr>
              <w:spacing w:line="560" w:lineRule="exact"/>
              <w:jc w:val="center"/>
              <w:rPr>
                <w:rFonts w:hint="eastAsia" w:ascii="宋体" w:hAnsi="宋体" w:cs="宋体"/>
                <w:sz w:val="24"/>
                <w:szCs w:val="24"/>
              </w:rPr>
            </w:pPr>
            <w:r>
              <w:rPr>
                <w:rFonts w:hint="eastAsia" w:ascii="宋体" w:hAnsi="宋体" w:cs="宋体"/>
                <w:sz w:val="24"/>
                <w:szCs w:val="24"/>
              </w:rPr>
              <w:t>姓名</w:t>
            </w:r>
          </w:p>
        </w:tc>
        <w:tc>
          <w:tcPr>
            <w:tcW w:w="1559" w:type="dxa"/>
            <w:vAlign w:val="center"/>
          </w:tcPr>
          <w:p w14:paraId="76422D1C">
            <w:pPr>
              <w:spacing w:line="560" w:lineRule="exact"/>
              <w:jc w:val="center"/>
              <w:rPr>
                <w:rFonts w:hint="eastAsia" w:ascii="宋体" w:hAnsi="宋体" w:cs="宋体"/>
                <w:sz w:val="24"/>
                <w:szCs w:val="24"/>
              </w:rPr>
            </w:pPr>
            <w:r>
              <w:rPr>
                <w:rFonts w:hint="eastAsia" w:ascii="宋体" w:hAnsi="宋体" w:cs="宋体"/>
                <w:sz w:val="24"/>
                <w:szCs w:val="24"/>
              </w:rPr>
              <w:t>本项目</w:t>
            </w:r>
          </w:p>
          <w:p w14:paraId="63C96F59">
            <w:pPr>
              <w:spacing w:line="560" w:lineRule="exact"/>
              <w:jc w:val="center"/>
              <w:rPr>
                <w:rFonts w:hint="eastAsia" w:ascii="宋体" w:hAnsi="宋体" w:cs="宋体"/>
                <w:sz w:val="24"/>
                <w:szCs w:val="24"/>
              </w:rPr>
            </w:pPr>
            <w:r>
              <w:rPr>
                <w:rFonts w:hint="eastAsia" w:ascii="宋体" w:hAnsi="宋体" w:cs="宋体"/>
                <w:sz w:val="24"/>
                <w:szCs w:val="24"/>
              </w:rPr>
              <w:t>拟任职务</w:t>
            </w:r>
          </w:p>
        </w:tc>
        <w:tc>
          <w:tcPr>
            <w:tcW w:w="1134" w:type="dxa"/>
            <w:vAlign w:val="center"/>
          </w:tcPr>
          <w:p w14:paraId="41C1A3FD">
            <w:pPr>
              <w:spacing w:line="560" w:lineRule="exact"/>
              <w:jc w:val="center"/>
              <w:rPr>
                <w:rFonts w:hint="eastAsia" w:ascii="宋体" w:hAnsi="宋体" w:cs="宋体"/>
                <w:sz w:val="24"/>
                <w:szCs w:val="24"/>
              </w:rPr>
            </w:pPr>
            <w:r>
              <w:rPr>
                <w:rFonts w:hint="eastAsia" w:ascii="宋体" w:hAnsi="宋体" w:cs="宋体"/>
                <w:sz w:val="24"/>
                <w:szCs w:val="24"/>
              </w:rPr>
              <w:t>技术</w:t>
            </w:r>
          </w:p>
          <w:p w14:paraId="3CBD0803">
            <w:pPr>
              <w:spacing w:line="560" w:lineRule="exact"/>
              <w:jc w:val="center"/>
              <w:rPr>
                <w:rFonts w:hint="eastAsia" w:ascii="宋体" w:hAnsi="宋体" w:cs="宋体"/>
                <w:sz w:val="24"/>
                <w:szCs w:val="24"/>
              </w:rPr>
            </w:pPr>
            <w:r>
              <w:rPr>
                <w:rFonts w:hint="eastAsia" w:ascii="宋体" w:hAnsi="宋体" w:cs="宋体"/>
                <w:sz w:val="24"/>
                <w:szCs w:val="24"/>
              </w:rPr>
              <w:t>职称</w:t>
            </w:r>
          </w:p>
        </w:tc>
        <w:tc>
          <w:tcPr>
            <w:tcW w:w="1433" w:type="dxa"/>
            <w:vAlign w:val="center"/>
          </w:tcPr>
          <w:p w14:paraId="3AE93288">
            <w:pPr>
              <w:spacing w:line="560" w:lineRule="exact"/>
              <w:jc w:val="center"/>
              <w:rPr>
                <w:rFonts w:hint="eastAsia" w:ascii="宋体" w:hAnsi="宋体" w:cs="宋体"/>
                <w:sz w:val="24"/>
                <w:szCs w:val="24"/>
              </w:rPr>
            </w:pPr>
            <w:r>
              <w:rPr>
                <w:rFonts w:hint="eastAsia" w:ascii="宋体" w:hAnsi="宋体" w:cs="宋体"/>
                <w:sz w:val="24"/>
                <w:szCs w:val="24"/>
              </w:rPr>
              <w:t>学历</w:t>
            </w:r>
          </w:p>
        </w:tc>
        <w:tc>
          <w:tcPr>
            <w:tcW w:w="1880" w:type="dxa"/>
            <w:vAlign w:val="center"/>
          </w:tcPr>
          <w:p w14:paraId="1F446446">
            <w:pPr>
              <w:spacing w:line="560" w:lineRule="exact"/>
              <w:jc w:val="center"/>
              <w:rPr>
                <w:rFonts w:hint="eastAsia" w:ascii="宋体" w:hAnsi="宋体" w:cs="宋体"/>
                <w:sz w:val="24"/>
                <w:szCs w:val="24"/>
              </w:rPr>
            </w:pPr>
            <w:r>
              <w:rPr>
                <w:rFonts w:hint="eastAsia" w:ascii="宋体" w:hAnsi="宋体" w:cs="宋体"/>
                <w:sz w:val="24"/>
                <w:szCs w:val="24"/>
              </w:rPr>
              <w:t>主要资历及</w:t>
            </w:r>
          </w:p>
          <w:p w14:paraId="1DC7953E">
            <w:pPr>
              <w:spacing w:line="560" w:lineRule="exact"/>
              <w:jc w:val="center"/>
              <w:rPr>
                <w:rFonts w:hint="eastAsia" w:ascii="宋体" w:hAnsi="宋体" w:cs="宋体"/>
                <w:sz w:val="24"/>
                <w:szCs w:val="24"/>
              </w:rPr>
            </w:pPr>
            <w:r>
              <w:rPr>
                <w:rFonts w:hint="eastAsia" w:ascii="宋体" w:hAnsi="宋体" w:cs="宋体"/>
                <w:sz w:val="24"/>
                <w:szCs w:val="24"/>
              </w:rPr>
              <w:t>担任过的职务</w:t>
            </w:r>
          </w:p>
        </w:tc>
        <w:tc>
          <w:tcPr>
            <w:tcW w:w="1880" w:type="dxa"/>
            <w:vAlign w:val="center"/>
          </w:tcPr>
          <w:p w14:paraId="0CB52DC3">
            <w:pPr>
              <w:spacing w:line="560" w:lineRule="exact"/>
              <w:jc w:val="center"/>
              <w:rPr>
                <w:rFonts w:hint="eastAsia" w:ascii="宋体" w:hAnsi="宋体" w:cs="宋体"/>
                <w:sz w:val="24"/>
                <w:szCs w:val="24"/>
              </w:rPr>
            </w:pPr>
            <w:r>
              <w:rPr>
                <w:rFonts w:hint="eastAsia" w:ascii="宋体" w:hAnsi="宋体" w:cs="宋体"/>
                <w:sz w:val="24"/>
                <w:szCs w:val="24"/>
              </w:rPr>
              <w:t>备注</w:t>
            </w:r>
          </w:p>
        </w:tc>
      </w:tr>
      <w:tr w14:paraId="449D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051C6057">
            <w:pPr>
              <w:spacing w:line="560" w:lineRule="exact"/>
              <w:jc w:val="center"/>
              <w:rPr>
                <w:rFonts w:hint="eastAsia" w:ascii="宋体" w:hAnsi="宋体" w:cs="宋体"/>
                <w:sz w:val="28"/>
                <w:szCs w:val="20"/>
              </w:rPr>
            </w:pPr>
          </w:p>
        </w:tc>
        <w:tc>
          <w:tcPr>
            <w:tcW w:w="1559" w:type="dxa"/>
            <w:vAlign w:val="center"/>
          </w:tcPr>
          <w:p w14:paraId="2CA88E8C">
            <w:pPr>
              <w:spacing w:line="560" w:lineRule="exact"/>
              <w:jc w:val="center"/>
              <w:rPr>
                <w:rFonts w:hint="eastAsia" w:ascii="宋体" w:hAnsi="宋体" w:cs="宋体"/>
                <w:sz w:val="28"/>
                <w:szCs w:val="20"/>
              </w:rPr>
            </w:pPr>
          </w:p>
        </w:tc>
        <w:tc>
          <w:tcPr>
            <w:tcW w:w="1134" w:type="dxa"/>
            <w:vAlign w:val="center"/>
          </w:tcPr>
          <w:p w14:paraId="59715964">
            <w:pPr>
              <w:spacing w:line="560" w:lineRule="exact"/>
              <w:jc w:val="center"/>
              <w:rPr>
                <w:rFonts w:hint="eastAsia" w:ascii="宋体" w:hAnsi="宋体" w:cs="宋体"/>
                <w:sz w:val="28"/>
                <w:szCs w:val="20"/>
              </w:rPr>
            </w:pPr>
          </w:p>
        </w:tc>
        <w:tc>
          <w:tcPr>
            <w:tcW w:w="1433" w:type="dxa"/>
            <w:vAlign w:val="center"/>
          </w:tcPr>
          <w:p w14:paraId="6C7F2492">
            <w:pPr>
              <w:spacing w:line="560" w:lineRule="exact"/>
              <w:jc w:val="center"/>
              <w:rPr>
                <w:rFonts w:hint="eastAsia" w:ascii="宋体" w:hAnsi="宋体" w:cs="宋体"/>
                <w:sz w:val="28"/>
                <w:szCs w:val="20"/>
              </w:rPr>
            </w:pPr>
          </w:p>
        </w:tc>
        <w:tc>
          <w:tcPr>
            <w:tcW w:w="1880" w:type="dxa"/>
            <w:vAlign w:val="center"/>
          </w:tcPr>
          <w:p w14:paraId="64AAEDAC">
            <w:pPr>
              <w:spacing w:line="560" w:lineRule="exact"/>
              <w:jc w:val="center"/>
              <w:rPr>
                <w:rFonts w:hint="eastAsia" w:ascii="宋体" w:hAnsi="宋体" w:cs="宋体"/>
                <w:sz w:val="28"/>
                <w:szCs w:val="20"/>
              </w:rPr>
            </w:pPr>
          </w:p>
        </w:tc>
        <w:tc>
          <w:tcPr>
            <w:tcW w:w="1880" w:type="dxa"/>
            <w:vAlign w:val="center"/>
          </w:tcPr>
          <w:p w14:paraId="0C6CCA69">
            <w:pPr>
              <w:spacing w:line="560" w:lineRule="exact"/>
              <w:jc w:val="center"/>
              <w:rPr>
                <w:rFonts w:hint="eastAsia" w:ascii="宋体" w:hAnsi="宋体" w:cs="宋体"/>
                <w:sz w:val="28"/>
                <w:szCs w:val="20"/>
              </w:rPr>
            </w:pPr>
          </w:p>
        </w:tc>
      </w:tr>
      <w:tr w14:paraId="2861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76A7A51C">
            <w:pPr>
              <w:spacing w:line="560" w:lineRule="exact"/>
              <w:jc w:val="center"/>
              <w:rPr>
                <w:rFonts w:hint="eastAsia" w:ascii="宋体" w:hAnsi="宋体" w:cs="宋体"/>
                <w:sz w:val="28"/>
                <w:szCs w:val="20"/>
              </w:rPr>
            </w:pPr>
          </w:p>
        </w:tc>
        <w:tc>
          <w:tcPr>
            <w:tcW w:w="1559" w:type="dxa"/>
            <w:vAlign w:val="center"/>
          </w:tcPr>
          <w:p w14:paraId="18762074">
            <w:pPr>
              <w:spacing w:line="560" w:lineRule="exact"/>
              <w:jc w:val="center"/>
              <w:rPr>
                <w:rFonts w:hint="eastAsia" w:ascii="宋体" w:hAnsi="宋体" w:cs="宋体"/>
                <w:sz w:val="28"/>
                <w:szCs w:val="20"/>
              </w:rPr>
            </w:pPr>
          </w:p>
        </w:tc>
        <w:tc>
          <w:tcPr>
            <w:tcW w:w="1134" w:type="dxa"/>
            <w:vAlign w:val="center"/>
          </w:tcPr>
          <w:p w14:paraId="06C7D098">
            <w:pPr>
              <w:spacing w:line="560" w:lineRule="exact"/>
              <w:jc w:val="center"/>
              <w:rPr>
                <w:rFonts w:hint="eastAsia" w:ascii="宋体" w:hAnsi="宋体" w:cs="宋体"/>
                <w:sz w:val="28"/>
                <w:szCs w:val="20"/>
              </w:rPr>
            </w:pPr>
          </w:p>
        </w:tc>
        <w:tc>
          <w:tcPr>
            <w:tcW w:w="1433" w:type="dxa"/>
            <w:vAlign w:val="center"/>
          </w:tcPr>
          <w:p w14:paraId="3A9A1183">
            <w:pPr>
              <w:spacing w:line="560" w:lineRule="exact"/>
              <w:jc w:val="center"/>
              <w:rPr>
                <w:rFonts w:hint="eastAsia" w:ascii="宋体" w:hAnsi="宋体" w:cs="宋体"/>
                <w:sz w:val="28"/>
                <w:szCs w:val="20"/>
              </w:rPr>
            </w:pPr>
          </w:p>
        </w:tc>
        <w:tc>
          <w:tcPr>
            <w:tcW w:w="1880" w:type="dxa"/>
            <w:vAlign w:val="center"/>
          </w:tcPr>
          <w:p w14:paraId="439EB491">
            <w:pPr>
              <w:spacing w:line="560" w:lineRule="exact"/>
              <w:jc w:val="center"/>
              <w:rPr>
                <w:rFonts w:hint="eastAsia" w:ascii="宋体" w:hAnsi="宋体" w:cs="宋体"/>
                <w:sz w:val="28"/>
                <w:szCs w:val="20"/>
              </w:rPr>
            </w:pPr>
          </w:p>
        </w:tc>
        <w:tc>
          <w:tcPr>
            <w:tcW w:w="1880" w:type="dxa"/>
            <w:vAlign w:val="center"/>
          </w:tcPr>
          <w:p w14:paraId="3A8200AF">
            <w:pPr>
              <w:spacing w:line="560" w:lineRule="exact"/>
              <w:jc w:val="center"/>
              <w:rPr>
                <w:rFonts w:hint="eastAsia" w:ascii="宋体" w:hAnsi="宋体" w:cs="宋体"/>
                <w:sz w:val="28"/>
                <w:szCs w:val="20"/>
              </w:rPr>
            </w:pPr>
          </w:p>
        </w:tc>
      </w:tr>
      <w:tr w14:paraId="24E9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CD13699">
            <w:pPr>
              <w:spacing w:line="560" w:lineRule="exact"/>
              <w:jc w:val="center"/>
              <w:rPr>
                <w:rFonts w:hint="eastAsia" w:ascii="宋体" w:hAnsi="宋体" w:cs="宋体"/>
                <w:sz w:val="28"/>
                <w:szCs w:val="20"/>
              </w:rPr>
            </w:pPr>
          </w:p>
        </w:tc>
        <w:tc>
          <w:tcPr>
            <w:tcW w:w="1559" w:type="dxa"/>
            <w:vAlign w:val="center"/>
          </w:tcPr>
          <w:p w14:paraId="71285C47">
            <w:pPr>
              <w:spacing w:line="560" w:lineRule="exact"/>
              <w:jc w:val="center"/>
              <w:rPr>
                <w:rFonts w:hint="eastAsia" w:ascii="宋体" w:hAnsi="宋体" w:cs="宋体"/>
                <w:sz w:val="28"/>
                <w:szCs w:val="20"/>
              </w:rPr>
            </w:pPr>
          </w:p>
        </w:tc>
        <w:tc>
          <w:tcPr>
            <w:tcW w:w="1134" w:type="dxa"/>
            <w:vAlign w:val="center"/>
          </w:tcPr>
          <w:p w14:paraId="346901AF">
            <w:pPr>
              <w:spacing w:line="560" w:lineRule="exact"/>
              <w:jc w:val="center"/>
              <w:rPr>
                <w:rFonts w:hint="eastAsia" w:ascii="宋体" w:hAnsi="宋体" w:cs="宋体"/>
                <w:sz w:val="28"/>
                <w:szCs w:val="20"/>
              </w:rPr>
            </w:pPr>
          </w:p>
        </w:tc>
        <w:tc>
          <w:tcPr>
            <w:tcW w:w="1433" w:type="dxa"/>
            <w:vAlign w:val="center"/>
          </w:tcPr>
          <w:p w14:paraId="3B727403">
            <w:pPr>
              <w:spacing w:line="560" w:lineRule="exact"/>
              <w:jc w:val="center"/>
              <w:rPr>
                <w:rFonts w:hint="eastAsia" w:ascii="宋体" w:hAnsi="宋体" w:cs="宋体"/>
                <w:sz w:val="28"/>
                <w:szCs w:val="20"/>
              </w:rPr>
            </w:pPr>
          </w:p>
        </w:tc>
        <w:tc>
          <w:tcPr>
            <w:tcW w:w="1880" w:type="dxa"/>
            <w:vAlign w:val="center"/>
          </w:tcPr>
          <w:p w14:paraId="30D95DF9">
            <w:pPr>
              <w:spacing w:line="560" w:lineRule="exact"/>
              <w:jc w:val="center"/>
              <w:rPr>
                <w:rFonts w:hint="eastAsia" w:ascii="宋体" w:hAnsi="宋体" w:cs="宋体"/>
                <w:sz w:val="28"/>
                <w:szCs w:val="20"/>
              </w:rPr>
            </w:pPr>
          </w:p>
        </w:tc>
        <w:tc>
          <w:tcPr>
            <w:tcW w:w="1880" w:type="dxa"/>
            <w:vAlign w:val="center"/>
          </w:tcPr>
          <w:p w14:paraId="1DF6ECDB">
            <w:pPr>
              <w:spacing w:line="560" w:lineRule="exact"/>
              <w:jc w:val="center"/>
              <w:rPr>
                <w:rFonts w:hint="eastAsia" w:ascii="宋体" w:hAnsi="宋体" w:cs="宋体"/>
                <w:sz w:val="28"/>
                <w:szCs w:val="20"/>
              </w:rPr>
            </w:pPr>
          </w:p>
        </w:tc>
      </w:tr>
      <w:tr w14:paraId="3DD8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4651CF3">
            <w:pPr>
              <w:spacing w:line="560" w:lineRule="exact"/>
              <w:jc w:val="center"/>
              <w:rPr>
                <w:rFonts w:hint="eastAsia" w:ascii="宋体" w:hAnsi="宋体" w:cs="宋体"/>
                <w:sz w:val="28"/>
                <w:szCs w:val="20"/>
              </w:rPr>
            </w:pPr>
          </w:p>
        </w:tc>
        <w:tc>
          <w:tcPr>
            <w:tcW w:w="1559" w:type="dxa"/>
            <w:vAlign w:val="center"/>
          </w:tcPr>
          <w:p w14:paraId="56146AA5">
            <w:pPr>
              <w:spacing w:line="560" w:lineRule="exact"/>
              <w:jc w:val="center"/>
              <w:rPr>
                <w:rFonts w:hint="eastAsia" w:ascii="宋体" w:hAnsi="宋体" w:cs="宋体"/>
                <w:sz w:val="28"/>
                <w:szCs w:val="20"/>
              </w:rPr>
            </w:pPr>
          </w:p>
        </w:tc>
        <w:tc>
          <w:tcPr>
            <w:tcW w:w="1134" w:type="dxa"/>
            <w:vAlign w:val="center"/>
          </w:tcPr>
          <w:p w14:paraId="684C2A02">
            <w:pPr>
              <w:spacing w:line="560" w:lineRule="exact"/>
              <w:jc w:val="center"/>
              <w:rPr>
                <w:rFonts w:hint="eastAsia" w:ascii="宋体" w:hAnsi="宋体" w:cs="宋体"/>
                <w:sz w:val="28"/>
                <w:szCs w:val="20"/>
              </w:rPr>
            </w:pPr>
          </w:p>
        </w:tc>
        <w:tc>
          <w:tcPr>
            <w:tcW w:w="1433" w:type="dxa"/>
            <w:vAlign w:val="center"/>
          </w:tcPr>
          <w:p w14:paraId="4CF48869">
            <w:pPr>
              <w:spacing w:line="560" w:lineRule="exact"/>
              <w:jc w:val="center"/>
              <w:rPr>
                <w:rFonts w:hint="eastAsia" w:ascii="宋体" w:hAnsi="宋体" w:cs="宋体"/>
                <w:sz w:val="28"/>
                <w:szCs w:val="20"/>
              </w:rPr>
            </w:pPr>
          </w:p>
        </w:tc>
        <w:tc>
          <w:tcPr>
            <w:tcW w:w="1880" w:type="dxa"/>
            <w:vAlign w:val="center"/>
          </w:tcPr>
          <w:p w14:paraId="5C21FD62">
            <w:pPr>
              <w:spacing w:line="560" w:lineRule="exact"/>
              <w:jc w:val="center"/>
              <w:rPr>
                <w:rFonts w:hint="eastAsia" w:ascii="宋体" w:hAnsi="宋体" w:cs="宋体"/>
                <w:sz w:val="28"/>
                <w:szCs w:val="20"/>
              </w:rPr>
            </w:pPr>
          </w:p>
        </w:tc>
        <w:tc>
          <w:tcPr>
            <w:tcW w:w="1880" w:type="dxa"/>
            <w:vAlign w:val="center"/>
          </w:tcPr>
          <w:p w14:paraId="1F027F41">
            <w:pPr>
              <w:spacing w:line="560" w:lineRule="exact"/>
              <w:jc w:val="center"/>
              <w:rPr>
                <w:rFonts w:hint="eastAsia" w:ascii="宋体" w:hAnsi="宋体" w:cs="宋体"/>
                <w:sz w:val="28"/>
                <w:szCs w:val="20"/>
              </w:rPr>
            </w:pPr>
          </w:p>
        </w:tc>
      </w:tr>
      <w:tr w14:paraId="2BC0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3D958FE6">
            <w:pPr>
              <w:spacing w:line="560" w:lineRule="exact"/>
              <w:jc w:val="center"/>
              <w:rPr>
                <w:rFonts w:hint="eastAsia" w:ascii="宋体" w:hAnsi="宋体" w:cs="宋体"/>
                <w:sz w:val="28"/>
                <w:szCs w:val="20"/>
              </w:rPr>
            </w:pPr>
          </w:p>
        </w:tc>
        <w:tc>
          <w:tcPr>
            <w:tcW w:w="1559" w:type="dxa"/>
            <w:vAlign w:val="center"/>
          </w:tcPr>
          <w:p w14:paraId="2DBE527B">
            <w:pPr>
              <w:spacing w:line="560" w:lineRule="exact"/>
              <w:jc w:val="center"/>
              <w:rPr>
                <w:rFonts w:hint="eastAsia" w:ascii="宋体" w:hAnsi="宋体" w:cs="宋体"/>
                <w:sz w:val="28"/>
                <w:szCs w:val="20"/>
              </w:rPr>
            </w:pPr>
          </w:p>
        </w:tc>
        <w:tc>
          <w:tcPr>
            <w:tcW w:w="1134" w:type="dxa"/>
            <w:vAlign w:val="center"/>
          </w:tcPr>
          <w:p w14:paraId="796F100C">
            <w:pPr>
              <w:spacing w:line="560" w:lineRule="exact"/>
              <w:jc w:val="center"/>
              <w:rPr>
                <w:rFonts w:hint="eastAsia" w:ascii="宋体" w:hAnsi="宋体" w:cs="宋体"/>
                <w:sz w:val="28"/>
                <w:szCs w:val="20"/>
              </w:rPr>
            </w:pPr>
          </w:p>
        </w:tc>
        <w:tc>
          <w:tcPr>
            <w:tcW w:w="1433" w:type="dxa"/>
            <w:vAlign w:val="center"/>
          </w:tcPr>
          <w:p w14:paraId="34C7949F">
            <w:pPr>
              <w:spacing w:line="560" w:lineRule="exact"/>
              <w:jc w:val="center"/>
              <w:rPr>
                <w:rFonts w:hint="eastAsia" w:ascii="宋体" w:hAnsi="宋体" w:cs="宋体"/>
                <w:sz w:val="28"/>
                <w:szCs w:val="20"/>
              </w:rPr>
            </w:pPr>
          </w:p>
        </w:tc>
        <w:tc>
          <w:tcPr>
            <w:tcW w:w="1880" w:type="dxa"/>
            <w:vAlign w:val="center"/>
          </w:tcPr>
          <w:p w14:paraId="679D5FC4">
            <w:pPr>
              <w:spacing w:line="560" w:lineRule="exact"/>
              <w:jc w:val="center"/>
              <w:rPr>
                <w:rFonts w:hint="eastAsia" w:ascii="宋体" w:hAnsi="宋体" w:cs="宋体"/>
                <w:sz w:val="28"/>
                <w:szCs w:val="20"/>
              </w:rPr>
            </w:pPr>
          </w:p>
        </w:tc>
        <w:tc>
          <w:tcPr>
            <w:tcW w:w="1880" w:type="dxa"/>
            <w:vAlign w:val="center"/>
          </w:tcPr>
          <w:p w14:paraId="1B6FD166">
            <w:pPr>
              <w:spacing w:line="560" w:lineRule="exact"/>
              <w:jc w:val="center"/>
              <w:rPr>
                <w:rFonts w:hint="eastAsia" w:ascii="宋体" w:hAnsi="宋体" w:cs="宋体"/>
                <w:sz w:val="28"/>
                <w:szCs w:val="20"/>
              </w:rPr>
            </w:pPr>
          </w:p>
        </w:tc>
      </w:tr>
      <w:tr w14:paraId="387E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5FC335A">
            <w:pPr>
              <w:spacing w:line="560" w:lineRule="exact"/>
              <w:jc w:val="center"/>
              <w:rPr>
                <w:rFonts w:hint="eastAsia" w:ascii="宋体" w:hAnsi="宋体" w:cs="宋体"/>
                <w:sz w:val="28"/>
                <w:szCs w:val="20"/>
              </w:rPr>
            </w:pPr>
          </w:p>
        </w:tc>
        <w:tc>
          <w:tcPr>
            <w:tcW w:w="1559" w:type="dxa"/>
            <w:vAlign w:val="center"/>
          </w:tcPr>
          <w:p w14:paraId="574AC99A">
            <w:pPr>
              <w:spacing w:line="560" w:lineRule="exact"/>
              <w:jc w:val="center"/>
              <w:rPr>
                <w:rFonts w:hint="eastAsia" w:ascii="宋体" w:hAnsi="宋体" w:cs="宋体"/>
                <w:sz w:val="28"/>
                <w:szCs w:val="20"/>
              </w:rPr>
            </w:pPr>
          </w:p>
        </w:tc>
        <w:tc>
          <w:tcPr>
            <w:tcW w:w="1134" w:type="dxa"/>
            <w:vAlign w:val="center"/>
          </w:tcPr>
          <w:p w14:paraId="6B2504D7">
            <w:pPr>
              <w:spacing w:line="560" w:lineRule="exact"/>
              <w:jc w:val="center"/>
              <w:rPr>
                <w:rFonts w:hint="eastAsia" w:ascii="宋体" w:hAnsi="宋体" w:cs="宋体"/>
                <w:sz w:val="28"/>
                <w:szCs w:val="20"/>
              </w:rPr>
            </w:pPr>
          </w:p>
        </w:tc>
        <w:tc>
          <w:tcPr>
            <w:tcW w:w="1433" w:type="dxa"/>
            <w:vAlign w:val="center"/>
          </w:tcPr>
          <w:p w14:paraId="06379B87">
            <w:pPr>
              <w:spacing w:line="560" w:lineRule="exact"/>
              <w:jc w:val="center"/>
              <w:rPr>
                <w:rFonts w:hint="eastAsia" w:ascii="宋体" w:hAnsi="宋体" w:cs="宋体"/>
                <w:sz w:val="28"/>
                <w:szCs w:val="20"/>
              </w:rPr>
            </w:pPr>
          </w:p>
        </w:tc>
        <w:tc>
          <w:tcPr>
            <w:tcW w:w="1880" w:type="dxa"/>
            <w:vAlign w:val="center"/>
          </w:tcPr>
          <w:p w14:paraId="1E56416B">
            <w:pPr>
              <w:spacing w:line="560" w:lineRule="exact"/>
              <w:jc w:val="center"/>
              <w:rPr>
                <w:rFonts w:hint="eastAsia" w:ascii="宋体" w:hAnsi="宋体" w:cs="宋体"/>
                <w:sz w:val="28"/>
                <w:szCs w:val="20"/>
              </w:rPr>
            </w:pPr>
          </w:p>
        </w:tc>
        <w:tc>
          <w:tcPr>
            <w:tcW w:w="1880" w:type="dxa"/>
            <w:vAlign w:val="center"/>
          </w:tcPr>
          <w:p w14:paraId="6E186243">
            <w:pPr>
              <w:spacing w:line="560" w:lineRule="exact"/>
              <w:jc w:val="center"/>
              <w:rPr>
                <w:rFonts w:hint="eastAsia" w:ascii="宋体" w:hAnsi="宋体" w:cs="宋体"/>
                <w:sz w:val="28"/>
                <w:szCs w:val="20"/>
              </w:rPr>
            </w:pPr>
          </w:p>
        </w:tc>
      </w:tr>
      <w:tr w14:paraId="5DA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6A0BA1D0">
            <w:pPr>
              <w:spacing w:line="560" w:lineRule="exact"/>
              <w:jc w:val="center"/>
              <w:rPr>
                <w:rFonts w:hint="eastAsia" w:ascii="宋体" w:hAnsi="宋体" w:cs="宋体"/>
                <w:sz w:val="28"/>
                <w:szCs w:val="20"/>
              </w:rPr>
            </w:pPr>
          </w:p>
        </w:tc>
        <w:tc>
          <w:tcPr>
            <w:tcW w:w="1559" w:type="dxa"/>
            <w:vAlign w:val="center"/>
          </w:tcPr>
          <w:p w14:paraId="5B4BAA56">
            <w:pPr>
              <w:spacing w:line="560" w:lineRule="exact"/>
              <w:jc w:val="center"/>
              <w:rPr>
                <w:rFonts w:hint="eastAsia" w:ascii="宋体" w:hAnsi="宋体" w:cs="宋体"/>
                <w:sz w:val="28"/>
                <w:szCs w:val="20"/>
              </w:rPr>
            </w:pPr>
          </w:p>
        </w:tc>
        <w:tc>
          <w:tcPr>
            <w:tcW w:w="1134" w:type="dxa"/>
            <w:vAlign w:val="center"/>
          </w:tcPr>
          <w:p w14:paraId="00D2962A">
            <w:pPr>
              <w:spacing w:line="560" w:lineRule="exact"/>
              <w:jc w:val="center"/>
              <w:rPr>
                <w:rFonts w:hint="eastAsia" w:ascii="宋体" w:hAnsi="宋体" w:cs="宋体"/>
                <w:sz w:val="28"/>
                <w:szCs w:val="20"/>
              </w:rPr>
            </w:pPr>
          </w:p>
        </w:tc>
        <w:tc>
          <w:tcPr>
            <w:tcW w:w="1433" w:type="dxa"/>
            <w:vAlign w:val="center"/>
          </w:tcPr>
          <w:p w14:paraId="29D77278">
            <w:pPr>
              <w:spacing w:line="560" w:lineRule="exact"/>
              <w:jc w:val="center"/>
              <w:rPr>
                <w:rFonts w:hint="eastAsia" w:ascii="宋体" w:hAnsi="宋体" w:cs="宋体"/>
                <w:sz w:val="28"/>
                <w:szCs w:val="20"/>
              </w:rPr>
            </w:pPr>
          </w:p>
        </w:tc>
        <w:tc>
          <w:tcPr>
            <w:tcW w:w="1880" w:type="dxa"/>
            <w:vAlign w:val="center"/>
          </w:tcPr>
          <w:p w14:paraId="494F3BB0">
            <w:pPr>
              <w:spacing w:line="560" w:lineRule="exact"/>
              <w:jc w:val="center"/>
              <w:rPr>
                <w:rFonts w:hint="eastAsia" w:ascii="宋体" w:hAnsi="宋体" w:cs="宋体"/>
                <w:sz w:val="28"/>
                <w:szCs w:val="20"/>
              </w:rPr>
            </w:pPr>
          </w:p>
        </w:tc>
        <w:tc>
          <w:tcPr>
            <w:tcW w:w="1880" w:type="dxa"/>
            <w:vAlign w:val="center"/>
          </w:tcPr>
          <w:p w14:paraId="7FB1A8F6">
            <w:pPr>
              <w:spacing w:line="560" w:lineRule="exact"/>
              <w:jc w:val="center"/>
              <w:rPr>
                <w:rFonts w:hint="eastAsia" w:ascii="宋体" w:hAnsi="宋体" w:cs="宋体"/>
                <w:sz w:val="28"/>
                <w:szCs w:val="20"/>
              </w:rPr>
            </w:pPr>
          </w:p>
        </w:tc>
      </w:tr>
    </w:tbl>
    <w:p w14:paraId="25149510">
      <w:pPr>
        <w:spacing w:line="560" w:lineRule="exact"/>
        <w:ind w:right="105" w:rightChars="50"/>
        <w:rPr>
          <w:rFonts w:hint="eastAsia" w:ascii="宋体" w:hAnsi="宋体" w:cs="宋体"/>
          <w:sz w:val="32"/>
          <w:szCs w:val="20"/>
        </w:rPr>
      </w:pPr>
      <w:r>
        <w:rPr>
          <w:rFonts w:hint="eastAsia" w:ascii="宋体" w:hAnsi="宋体" w:cs="宋体"/>
          <w:sz w:val="24"/>
          <w:szCs w:val="24"/>
        </w:rPr>
        <w:t>注：附人员注册证书或学历等有效证明材料。</w:t>
      </w:r>
    </w:p>
    <w:p w14:paraId="21A752CB">
      <w:pPr>
        <w:spacing w:line="360" w:lineRule="auto"/>
        <w:rPr>
          <w:rFonts w:hint="eastAsia" w:ascii="宋体" w:hAnsi="宋体" w:cs="宋体"/>
          <w:b/>
          <w:bCs/>
          <w:sz w:val="24"/>
          <w:szCs w:val="24"/>
        </w:rPr>
      </w:pPr>
    </w:p>
    <w:p w14:paraId="2B1FF044">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0351353A">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73A159">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801C4C7">
      <w:pPr>
        <w:spacing w:line="360" w:lineRule="auto"/>
        <w:rPr>
          <w:rFonts w:hint="eastAsia" w:ascii="宋体" w:hAnsi="宋体" w:cs="宋体"/>
          <w:b/>
          <w:bCs/>
          <w:sz w:val="24"/>
          <w:szCs w:val="24"/>
        </w:rPr>
      </w:pPr>
    </w:p>
    <w:p w14:paraId="36E6D0EC">
      <w:pPr>
        <w:spacing w:line="360" w:lineRule="auto"/>
        <w:rPr>
          <w:rFonts w:hint="eastAsia" w:ascii="宋体" w:hAnsi="宋体" w:cs="宋体"/>
          <w:b/>
          <w:bCs/>
          <w:sz w:val="24"/>
          <w:szCs w:val="24"/>
        </w:rPr>
      </w:pPr>
    </w:p>
    <w:p w14:paraId="4FE9C447">
      <w:pPr>
        <w:spacing w:line="360" w:lineRule="auto"/>
        <w:rPr>
          <w:rFonts w:hint="eastAsia" w:ascii="宋体" w:hAnsi="宋体" w:cs="宋体"/>
          <w:b/>
          <w:bCs/>
          <w:sz w:val="24"/>
          <w:szCs w:val="24"/>
        </w:rPr>
      </w:pPr>
    </w:p>
    <w:p w14:paraId="561BA9C3">
      <w:pPr>
        <w:spacing w:line="360" w:lineRule="auto"/>
        <w:rPr>
          <w:rFonts w:hint="eastAsia" w:ascii="宋体" w:hAnsi="宋体" w:cs="宋体"/>
          <w:b/>
          <w:bCs/>
          <w:sz w:val="24"/>
          <w:szCs w:val="24"/>
        </w:rPr>
      </w:pPr>
    </w:p>
    <w:p w14:paraId="7E4C9319">
      <w:pPr>
        <w:spacing w:line="360" w:lineRule="auto"/>
        <w:rPr>
          <w:rFonts w:hint="eastAsia" w:ascii="宋体" w:hAnsi="宋体" w:cs="宋体"/>
          <w:b/>
          <w:bCs/>
          <w:sz w:val="24"/>
          <w:szCs w:val="24"/>
        </w:rPr>
      </w:pPr>
    </w:p>
    <w:p w14:paraId="5AB4308C">
      <w:pPr>
        <w:spacing w:line="360" w:lineRule="auto"/>
        <w:rPr>
          <w:rFonts w:hint="eastAsia" w:ascii="宋体" w:hAnsi="宋体" w:cs="宋体"/>
          <w:b/>
          <w:bCs/>
          <w:sz w:val="24"/>
          <w:szCs w:val="24"/>
        </w:rPr>
      </w:pPr>
    </w:p>
    <w:p w14:paraId="4DB75E79">
      <w:pPr>
        <w:spacing w:line="360" w:lineRule="auto"/>
        <w:rPr>
          <w:rFonts w:hint="eastAsia" w:ascii="宋体" w:hAnsi="宋体" w:cs="宋体"/>
          <w:b/>
          <w:bCs/>
          <w:sz w:val="24"/>
          <w:szCs w:val="24"/>
        </w:rPr>
      </w:pPr>
    </w:p>
    <w:p w14:paraId="0EB02C37">
      <w:pPr>
        <w:spacing w:line="360" w:lineRule="auto"/>
        <w:rPr>
          <w:rFonts w:hint="eastAsia" w:ascii="宋体" w:hAnsi="宋体" w:cs="宋体"/>
          <w:b/>
          <w:bCs/>
          <w:sz w:val="24"/>
          <w:szCs w:val="24"/>
        </w:rPr>
      </w:pPr>
    </w:p>
    <w:p w14:paraId="179CEECF">
      <w:pPr>
        <w:pStyle w:val="12"/>
        <w:rPr>
          <w:rFonts w:hint="eastAsia" w:ascii="宋体" w:hAnsi="宋体" w:eastAsia="宋体"/>
        </w:rPr>
      </w:pPr>
    </w:p>
    <w:p w14:paraId="7A8230D8">
      <w:pPr>
        <w:spacing w:line="360" w:lineRule="auto"/>
        <w:rPr>
          <w:rFonts w:hint="eastAsia" w:ascii="宋体" w:hAnsi="宋体" w:cs="宋体"/>
          <w:b/>
          <w:bCs/>
          <w:sz w:val="24"/>
          <w:szCs w:val="24"/>
        </w:rPr>
      </w:pPr>
      <w:r>
        <w:rPr>
          <w:rFonts w:hint="eastAsia" w:ascii="宋体" w:hAnsi="宋体" w:cs="宋体"/>
          <w:b/>
          <w:bCs/>
          <w:sz w:val="24"/>
          <w:szCs w:val="24"/>
        </w:rPr>
        <w:t>附件：</w:t>
      </w:r>
    </w:p>
    <w:p w14:paraId="6F98D0C4">
      <w:pPr>
        <w:widowControl/>
        <w:jc w:val="center"/>
        <w:rPr>
          <w:rFonts w:hint="eastAsia" w:ascii="宋体" w:hAnsi="宋体" w:cs="宋体"/>
          <w:sz w:val="24"/>
          <w:szCs w:val="24"/>
        </w:rPr>
      </w:pPr>
      <w:r>
        <w:rPr>
          <w:rFonts w:hint="eastAsia" w:ascii="宋体" w:hAnsi="宋体" w:cs="宋体"/>
          <w:b/>
          <w:sz w:val="24"/>
          <w:szCs w:val="24"/>
        </w:rPr>
        <w:t>无商业贿赂和不正当竞争行为承诺书</w:t>
      </w:r>
    </w:p>
    <w:p w14:paraId="548DEA9C">
      <w:pPr>
        <w:widowControl/>
        <w:spacing w:line="480" w:lineRule="exact"/>
        <w:jc w:val="left"/>
        <w:rPr>
          <w:rFonts w:hint="eastAsia" w:ascii="宋体" w:hAnsi="宋体" w:cs="宋体"/>
          <w:sz w:val="24"/>
          <w:szCs w:val="24"/>
        </w:rPr>
      </w:pPr>
    </w:p>
    <w:p w14:paraId="636E42CE">
      <w:pPr>
        <w:widowControl/>
        <w:spacing w:line="480" w:lineRule="exact"/>
        <w:jc w:val="left"/>
        <w:rPr>
          <w:rFonts w:hint="eastAsia" w:ascii="宋体" w:hAnsi="宋体" w:cs="宋体"/>
          <w:sz w:val="24"/>
          <w:szCs w:val="24"/>
        </w:rPr>
      </w:pPr>
      <w:r>
        <w:rPr>
          <w:rFonts w:hint="eastAsia" w:ascii="宋体" w:hAnsi="宋体" w:cs="宋体"/>
          <w:sz w:val="24"/>
          <w:szCs w:val="24"/>
        </w:rPr>
        <w:t>我公司承诺：</w:t>
      </w:r>
    </w:p>
    <w:p w14:paraId="1805B467">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一、我公司自成立以来，在参与政府采购活动中，从无商业贿赂和不正当竞争行为。</w:t>
      </w:r>
    </w:p>
    <w:p w14:paraId="2DE6858C">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二、公平竞争参加本次采购活动。</w:t>
      </w:r>
    </w:p>
    <w:p w14:paraId="7F9E133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6E5315A4">
      <w:pPr>
        <w:widowControl/>
        <w:spacing w:line="480" w:lineRule="exact"/>
        <w:ind w:firstLine="465"/>
        <w:jc w:val="left"/>
        <w:rPr>
          <w:rFonts w:hint="eastAsia" w:ascii="宋体" w:hAnsi="宋体" w:cs="宋体"/>
          <w:sz w:val="24"/>
          <w:szCs w:val="24"/>
        </w:rPr>
      </w:pPr>
      <w:r>
        <w:rPr>
          <w:rFonts w:hint="eastAsia" w:ascii="宋体" w:hAnsi="宋体" w:cs="宋体"/>
          <w:sz w:val="24"/>
          <w:szCs w:val="24"/>
        </w:rPr>
        <w:t>四、坚持投标独立性，保证不以任何手段了解或意图了解其他投标参与人情况及其报价信息。除公开渠道获取相关信息外，保证不以其它方式刺探或意图刺探贵司评标、议标信息及其进展。</w:t>
      </w:r>
    </w:p>
    <w:p w14:paraId="0472228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五、若出现上述行为，与投标的工作人员愿意接受按照国家法律法规等有关规定给子的处罚。</w:t>
      </w:r>
    </w:p>
    <w:p w14:paraId="29A24DF6">
      <w:pPr>
        <w:widowControl/>
        <w:spacing w:line="480" w:lineRule="exact"/>
        <w:ind w:firstLine="465"/>
        <w:jc w:val="left"/>
        <w:rPr>
          <w:rFonts w:hint="eastAsia" w:ascii="宋体" w:hAnsi="宋体" w:cs="宋体"/>
          <w:sz w:val="24"/>
          <w:szCs w:val="24"/>
        </w:rPr>
      </w:pPr>
      <w:r>
        <w:rPr>
          <w:rFonts w:hint="eastAsia" w:ascii="宋体" w:hAnsi="宋体" w:cs="宋体"/>
          <w:sz w:val="24"/>
          <w:szCs w:val="24"/>
        </w:rPr>
        <w:t>特此承诺！</w:t>
      </w:r>
    </w:p>
    <w:p w14:paraId="52959874">
      <w:pPr>
        <w:spacing w:after="120"/>
        <w:ind w:firstLine="200" w:firstLineChars="100"/>
        <w:rPr>
          <w:rFonts w:hint="eastAsia" w:ascii="宋体" w:hAnsi="宋体" w:cs="宋体"/>
          <w:kern w:val="0"/>
          <w:sz w:val="20"/>
        </w:rPr>
      </w:pPr>
    </w:p>
    <w:p w14:paraId="50067BEC">
      <w:pPr>
        <w:spacing w:after="120"/>
        <w:ind w:firstLine="200" w:firstLineChars="100"/>
        <w:rPr>
          <w:rFonts w:hint="eastAsia" w:ascii="宋体" w:hAnsi="宋体" w:cs="宋体"/>
          <w:kern w:val="0"/>
          <w:sz w:val="20"/>
        </w:rPr>
      </w:pPr>
    </w:p>
    <w:p w14:paraId="23CCE826">
      <w:pPr>
        <w:spacing w:line="360" w:lineRule="auto"/>
        <w:ind w:firstLine="4200" w:firstLineChars="1750"/>
        <w:rPr>
          <w:rFonts w:hint="eastAsia" w:ascii="宋体" w:hAnsi="宋体" w:cs="宋体"/>
          <w:sz w:val="24"/>
          <w:szCs w:val="24"/>
        </w:rPr>
      </w:pPr>
      <w:r>
        <w:rPr>
          <w:rFonts w:hint="eastAsia" w:ascii="宋体" w:hAnsi="宋体" w:cs="宋体"/>
          <w:sz w:val="24"/>
          <w:szCs w:val="24"/>
        </w:rPr>
        <w:t xml:space="preserve"> 投标供应商(盖章)：</w:t>
      </w:r>
    </w:p>
    <w:p w14:paraId="06F2C45D">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2A63CCF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51BC28BB">
      <w:pPr>
        <w:spacing w:line="480" w:lineRule="auto"/>
        <w:jc w:val="left"/>
        <w:rPr>
          <w:rFonts w:hint="eastAsia" w:ascii="宋体" w:hAnsi="宋体" w:cs="宋体"/>
          <w:b/>
          <w:bCs/>
          <w:sz w:val="24"/>
          <w:szCs w:val="24"/>
        </w:rPr>
      </w:pPr>
      <w:r>
        <w:rPr>
          <w:rFonts w:hint="eastAsia" w:ascii="宋体" w:hAnsi="宋体" w:cs="宋体"/>
          <w:b/>
          <w:bCs/>
          <w:sz w:val="32"/>
          <w:szCs w:val="32"/>
        </w:rPr>
        <w:br w:type="page"/>
      </w:r>
      <w:r>
        <w:rPr>
          <w:rFonts w:hint="eastAsia" w:ascii="宋体" w:hAnsi="宋体" w:cs="宋体"/>
          <w:b/>
          <w:bCs/>
          <w:sz w:val="24"/>
          <w:szCs w:val="24"/>
        </w:rPr>
        <w:t>附件：</w:t>
      </w:r>
    </w:p>
    <w:p w14:paraId="3A735C76">
      <w:pPr>
        <w:spacing w:line="360" w:lineRule="auto"/>
        <w:jc w:val="center"/>
        <w:rPr>
          <w:rFonts w:hint="eastAsia" w:ascii="宋体" w:hAnsi="宋体" w:cs="宋体"/>
          <w:b/>
          <w:bCs/>
          <w:sz w:val="24"/>
          <w:szCs w:val="24"/>
        </w:rPr>
      </w:pPr>
      <w:r>
        <w:rPr>
          <w:rFonts w:hint="eastAsia" w:ascii="宋体" w:hAnsi="宋体" w:cs="宋体"/>
          <w:b/>
          <w:bCs/>
          <w:sz w:val="24"/>
          <w:szCs w:val="24"/>
        </w:rPr>
        <w:t>满足《中华人民共和国政府采购法》第二十二条规定的承诺书</w:t>
      </w:r>
    </w:p>
    <w:p w14:paraId="76AEDC20">
      <w:pPr>
        <w:spacing w:line="360" w:lineRule="auto"/>
        <w:rPr>
          <w:rFonts w:hint="eastAsia" w:ascii="宋体" w:hAnsi="宋体" w:cs="宋体"/>
          <w:sz w:val="24"/>
          <w:szCs w:val="24"/>
        </w:rPr>
      </w:pPr>
      <w:r>
        <w:rPr>
          <w:rFonts w:hint="eastAsia" w:ascii="宋体" w:hAnsi="宋体" w:cs="宋体"/>
          <w:sz w:val="24"/>
          <w:szCs w:val="24"/>
        </w:rPr>
        <w:t>致（采购单位）：</w:t>
      </w:r>
    </w:p>
    <w:p w14:paraId="2D3FBFD9">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我单位自愿参加本次采购活动，严格遵守《中华人民共和国政府采购法》及相关法律法规，依法诚信经营，依法遵守本次政府采购活动的各项规定。我单位郑重承诺声明如下：</w:t>
      </w:r>
    </w:p>
    <w:p w14:paraId="01AFA401">
      <w:pPr>
        <w:spacing w:line="500" w:lineRule="exact"/>
        <w:ind w:firstLine="480" w:firstLineChars="200"/>
        <w:rPr>
          <w:rFonts w:hint="eastAsia" w:ascii="宋体" w:hAnsi="宋体" w:cs="宋体"/>
          <w:sz w:val="24"/>
          <w:szCs w:val="24"/>
        </w:rPr>
      </w:pPr>
      <w:r>
        <w:rPr>
          <w:rFonts w:hint="eastAsia" w:ascii="宋体" w:hAnsi="宋体" w:cs="宋体"/>
          <w:sz w:val="24"/>
          <w:szCs w:val="24"/>
        </w:rPr>
        <w:t>一、我单位全称为    ，注册地点为，统一社会信用代码为， 法定代表人（主要负责人）为 ， 联系方式为 。</w:t>
      </w:r>
    </w:p>
    <w:p w14:paraId="4A33685E">
      <w:pPr>
        <w:spacing w:line="500" w:lineRule="exact"/>
        <w:ind w:firstLine="480" w:firstLineChars="200"/>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3137CC39">
      <w:pPr>
        <w:spacing w:line="500" w:lineRule="exact"/>
        <w:ind w:firstLine="480" w:firstLineChars="200"/>
        <w:rPr>
          <w:rFonts w:hint="eastAsia" w:ascii="宋体" w:hAnsi="宋体" w:cs="宋体"/>
          <w:sz w:val="24"/>
          <w:szCs w:val="24"/>
        </w:rPr>
      </w:pPr>
      <w:r>
        <w:rPr>
          <w:rFonts w:hint="eastAsia" w:ascii="宋体" w:hAnsi="宋体" w:cs="宋体"/>
          <w:sz w:val="24"/>
          <w:szCs w:val="24"/>
        </w:rPr>
        <w:t>三、我单位具有履行合同所必需的设备和专业技术能力。</w:t>
      </w:r>
    </w:p>
    <w:p w14:paraId="44A26AAB">
      <w:pPr>
        <w:spacing w:line="500" w:lineRule="exact"/>
        <w:ind w:firstLine="480" w:firstLineChars="200"/>
        <w:rPr>
          <w:rFonts w:hint="eastAsia" w:ascii="宋体" w:hAnsi="宋体" w:cs="宋体"/>
          <w:sz w:val="24"/>
          <w:szCs w:val="24"/>
        </w:rPr>
      </w:pPr>
      <w:r>
        <w:rPr>
          <w:rFonts w:hint="eastAsia" w:ascii="宋体" w:hAnsi="宋体" w:cs="宋体"/>
          <w:sz w:val="24"/>
          <w:szCs w:val="24"/>
        </w:rPr>
        <w:t>四、我单位有依法缴纳税收和社会保障资金的良好记录。</w:t>
      </w:r>
    </w:p>
    <w:p w14:paraId="25E2F24C">
      <w:pPr>
        <w:spacing w:line="500" w:lineRule="exact"/>
        <w:ind w:firstLine="480" w:firstLineChars="200"/>
        <w:rPr>
          <w:rFonts w:hint="eastAsia" w:ascii="宋体" w:hAnsi="宋体" w:cs="宋体"/>
          <w:sz w:val="24"/>
          <w:szCs w:val="24"/>
        </w:rPr>
      </w:pPr>
      <w:r>
        <w:rPr>
          <w:rFonts w:hint="eastAsia" w:ascii="宋体" w:hAnsi="宋体" w:cs="宋体"/>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14:paraId="0E760EBA">
      <w:pPr>
        <w:spacing w:line="500" w:lineRule="exact"/>
        <w:ind w:firstLine="480" w:firstLineChars="200"/>
        <w:rPr>
          <w:rFonts w:hint="eastAsia" w:ascii="宋体" w:hAnsi="宋体" w:cs="宋体"/>
          <w:sz w:val="24"/>
          <w:szCs w:val="24"/>
        </w:rPr>
      </w:pPr>
      <w:r>
        <w:rPr>
          <w:rFonts w:hint="eastAsia" w:ascii="宋体" w:hAnsi="宋体" w:cs="宋体"/>
          <w:sz w:val="24"/>
          <w:szCs w:val="24"/>
        </w:rPr>
        <w:t>六、我单位具备法律、行政法规规定的其他条件。</w:t>
      </w:r>
    </w:p>
    <w:p w14:paraId="621FA320">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2C1ED3F">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4B775F0">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3428F7">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5146F16">
      <w:pPr>
        <w:spacing w:line="276" w:lineRule="auto"/>
        <w:rPr>
          <w:rFonts w:hint="eastAsia" w:ascii="宋体" w:hAnsi="宋体" w:cs="宋体"/>
          <w:sz w:val="24"/>
          <w:szCs w:val="24"/>
        </w:rPr>
      </w:pPr>
      <w:r>
        <w:rPr>
          <w:rFonts w:hint="eastAsia" w:ascii="宋体" w:hAnsi="宋体" w:cs="宋体"/>
          <w:sz w:val="24"/>
          <w:szCs w:val="24"/>
        </w:rPr>
        <w:t>注：1.供应商须在投标文件中按此模板提供承诺函，未提供视为未实质性响应招标文件要求，按无效投标处理。</w:t>
      </w:r>
    </w:p>
    <w:p w14:paraId="6BF67349">
      <w:pPr>
        <w:spacing w:line="480" w:lineRule="auto"/>
        <w:jc w:val="center"/>
        <w:rPr>
          <w:rFonts w:hint="eastAsia" w:ascii="宋体" w:hAnsi="宋体" w:cs="宋体"/>
          <w:sz w:val="24"/>
          <w:szCs w:val="24"/>
        </w:rPr>
      </w:pPr>
      <w:r>
        <w:rPr>
          <w:rFonts w:hint="eastAsia" w:ascii="宋体" w:hAnsi="宋体" w:cs="宋体"/>
          <w:sz w:val="24"/>
          <w:szCs w:val="24"/>
        </w:rPr>
        <w:t>2.供应商的法定代表人（主要负责人）或者授权代表的签字或盖章应真实、有效。</w:t>
      </w:r>
    </w:p>
    <w:p w14:paraId="68B19E9E">
      <w:pPr>
        <w:spacing w:line="480" w:lineRule="auto"/>
        <w:jc w:val="center"/>
        <w:rPr>
          <w:rFonts w:hint="eastAsia" w:ascii="宋体" w:hAnsi="宋体" w:cs="宋体"/>
          <w:sz w:val="24"/>
          <w:szCs w:val="24"/>
        </w:rPr>
      </w:pPr>
    </w:p>
    <w:p w14:paraId="011F1135">
      <w:pPr>
        <w:spacing w:line="480" w:lineRule="auto"/>
        <w:jc w:val="center"/>
        <w:rPr>
          <w:rFonts w:hint="eastAsia" w:ascii="宋体" w:hAnsi="宋体" w:cs="宋体"/>
          <w:sz w:val="24"/>
          <w:szCs w:val="24"/>
        </w:rPr>
      </w:pPr>
    </w:p>
    <w:p w14:paraId="1FE3D0C2">
      <w:pPr>
        <w:spacing w:line="480" w:lineRule="auto"/>
        <w:jc w:val="center"/>
        <w:rPr>
          <w:rFonts w:hint="eastAsia" w:ascii="宋体" w:hAnsi="宋体" w:cs="宋体"/>
          <w:b/>
          <w:bCs/>
          <w:kern w:val="0"/>
          <w:sz w:val="28"/>
          <w:szCs w:val="28"/>
        </w:rPr>
      </w:pPr>
      <w:r>
        <w:rPr>
          <w:rFonts w:hint="eastAsia" w:ascii="宋体" w:hAnsi="宋体" w:cs="宋体"/>
          <w:b/>
          <w:sz w:val="32"/>
          <w:szCs w:val="32"/>
        </w:rPr>
        <w:br w:type="page"/>
      </w:r>
      <w:r>
        <w:rPr>
          <w:rFonts w:hint="eastAsia" w:ascii="宋体" w:hAnsi="宋体" w:cs="宋体"/>
          <w:b/>
          <w:bCs/>
          <w:sz w:val="30"/>
          <w:szCs w:val="30"/>
        </w:rPr>
        <w:t>六</w:t>
      </w:r>
      <w:r>
        <w:rPr>
          <w:rFonts w:hint="eastAsia" w:ascii="宋体" w:hAnsi="宋体" w:cs="宋体"/>
          <w:b/>
          <w:bCs/>
          <w:sz w:val="28"/>
          <w:szCs w:val="28"/>
        </w:rPr>
        <w:t>、</w:t>
      </w:r>
      <w:r>
        <w:rPr>
          <w:rFonts w:hint="eastAsia" w:ascii="宋体" w:hAnsi="宋体" w:cs="宋体"/>
          <w:b/>
          <w:bCs/>
          <w:kern w:val="0"/>
          <w:sz w:val="28"/>
          <w:szCs w:val="28"/>
        </w:rPr>
        <w:t>中小企业声明函</w:t>
      </w:r>
    </w:p>
    <w:p w14:paraId="01CC664B">
      <w:pPr>
        <w:snapToGrid w:val="0"/>
        <w:spacing w:line="360" w:lineRule="auto"/>
        <w:ind w:right="482"/>
        <w:jc w:val="left"/>
        <w:rPr>
          <w:rFonts w:hint="eastAsia" w:ascii="宋体" w:hAnsi="宋体" w:cs="宋体"/>
          <w:sz w:val="24"/>
          <w:szCs w:val="20"/>
        </w:rPr>
      </w:pPr>
    </w:p>
    <w:p w14:paraId="197CF2A0">
      <w:pPr>
        <w:spacing w:line="500" w:lineRule="exact"/>
        <w:ind w:firstLine="480" w:firstLineChars="200"/>
        <w:rPr>
          <w:rFonts w:hint="eastAsia" w:ascii="宋体" w:hAnsi="宋体" w:cs="宋体"/>
          <w:sz w:val="24"/>
        </w:rPr>
      </w:pPr>
      <w:r>
        <w:rPr>
          <w:rFonts w:hint="eastAsia" w:ascii="宋体" w:hAnsi="宋体" w:cs="宋体"/>
          <w:sz w:val="24"/>
        </w:rPr>
        <w:t>本公司（联合体）郑重声明，参考《政府采购促进中小企业发展管理办法》（财库﹝2020﹞46号）的规定，本公司（联合体）参加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采购活动，工程的施工单位全部为符合政策要求的中小企业。相关企业（含联合体中的中小企业、签订分包意向协议的中小企业）的具体情况如下：</w:t>
      </w:r>
    </w:p>
    <w:p w14:paraId="697495C4">
      <w:pPr>
        <w:spacing w:line="500" w:lineRule="exact"/>
        <w:ind w:firstLine="480" w:firstLineChars="200"/>
        <w:rPr>
          <w:rFonts w:hint="eastAsia" w:ascii="宋体" w:hAnsi="宋体" w:cs="宋体"/>
          <w:sz w:val="24"/>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 xml:space="preserve">； </w:t>
      </w:r>
    </w:p>
    <w:p w14:paraId="38A26ACA">
      <w:pPr>
        <w:spacing w:line="500" w:lineRule="exact"/>
        <w:ind w:firstLine="480" w:firstLineChars="200"/>
        <w:rPr>
          <w:rFonts w:hint="eastAsia"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 形。 </w:t>
      </w:r>
    </w:p>
    <w:p w14:paraId="49E79CCD">
      <w:pPr>
        <w:spacing w:line="500" w:lineRule="exact"/>
        <w:ind w:firstLine="480" w:firstLineChars="200"/>
        <w:rPr>
          <w:rFonts w:hint="eastAsia" w:ascii="宋体" w:hAnsi="宋体" w:cs="宋体"/>
          <w:sz w:val="24"/>
        </w:rPr>
      </w:pPr>
      <w:r>
        <w:rPr>
          <w:rFonts w:hint="eastAsia" w:ascii="宋体" w:hAnsi="宋体" w:cs="宋体"/>
          <w:sz w:val="24"/>
        </w:rPr>
        <w:t>本企业对上述声明内容的真实性负责。如有虚假，将依 法承担相应责任。</w:t>
      </w:r>
    </w:p>
    <w:p w14:paraId="55774102">
      <w:pPr>
        <w:spacing w:line="500" w:lineRule="exact"/>
        <w:ind w:firstLine="6240" w:firstLineChars="2600"/>
        <w:rPr>
          <w:rFonts w:hint="eastAsia" w:ascii="宋体" w:hAnsi="宋体" w:cs="宋体"/>
          <w:sz w:val="24"/>
        </w:rPr>
      </w:pPr>
      <w:r>
        <w:rPr>
          <w:rFonts w:hint="eastAsia" w:ascii="宋体" w:hAnsi="宋体" w:cs="宋体"/>
          <w:sz w:val="24"/>
        </w:rPr>
        <w:t>企业名称（盖单位公章）：</w:t>
      </w:r>
    </w:p>
    <w:p w14:paraId="5B05D014">
      <w:pPr>
        <w:spacing w:line="500" w:lineRule="exact"/>
        <w:ind w:firstLine="6240" w:firstLineChars="2600"/>
        <w:rPr>
          <w:rFonts w:hint="eastAsia" w:ascii="宋体" w:hAnsi="宋体" w:cs="宋体"/>
          <w:sz w:val="24"/>
        </w:rPr>
      </w:pPr>
      <w:r>
        <w:rPr>
          <w:rFonts w:hint="eastAsia" w:ascii="宋体" w:hAnsi="宋体" w:cs="宋体"/>
          <w:sz w:val="24"/>
        </w:rPr>
        <w:t>日 期：</w:t>
      </w:r>
    </w:p>
    <w:p w14:paraId="090C6DC1">
      <w:pPr>
        <w:spacing w:line="500" w:lineRule="exact"/>
        <w:ind w:firstLine="480" w:firstLineChars="200"/>
        <w:rPr>
          <w:rFonts w:hint="eastAsia" w:ascii="宋体" w:hAnsi="宋体" w:cs="宋体"/>
          <w:sz w:val="24"/>
        </w:rPr>
      </w:pPr>
    </w:p>
    <w:p w14:paraId="3CDB3A76">
      <w:pPr>
        <w:spacing w:line="500" w:lineRule="exact"/>
        <w:ind w:firstLine="480" w:firstLineChars="200"/>
        <w:rPr>
          <w:rFonts w:hint="eastAsia" w:ascii="宋体" w:hAnsi="宋体" w:cs="宋体"/>
          <w:sz w:val="24"/>
        </w:rPr>
      </w:pPr>
      <w:r>
        <w:rPr>
          <w:rFonts w:hint="eastAsia" w:ascii="宋体" w:hAnsi="宋体" w:cs="宋体"/>
          <w:sz w:val="24"/>
        </w:rPr>
        <w:t>注：从业人员、 营业收入、 资产总额填报上一年度数据， 无上一年度数据的新成立企业可不填报。</w:t>
      </w:r>
    </w:p>
    <w:p w14:paraId="415EA74B">
      <w:pPr>
        <w:pStyle w:val="12"/>
        <w:rPr>
          <w:rFonts w:hint="eastAsia" w:ascii="宋体" w:hAnsi="宋体" w:eastAsia="宋体"/>
        </w:rPr>
      </w:pPr>
    </w:p>
    <w:p w14:paraId="6744CDB2">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594239E">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2F274B34">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3、本次采购标的对应的中小企业划分标准所属行业：其他服务业。</w:t>
      </w:r>
    </w:p>
    <w:p w14:paraId="117CC576">
      <w:pPr>
        <w:spacing w:line="276" w:lineRule="auto"/>
        <w:jc w:val="center"/>
        <w:rPr>
          <w:rFonts w:hint="eastAsia" w:ascii="宋体" w:hAnsi="宋体" w:cs="宋体"/>
          <w:b/>
          <w:bCs/>
          <w:kern w:val="0"/>
          <w:sz w:val="32"/>
          <w:szCs w:val="32"/>
        </w:rPr>
      </w:pPr>
      <w:r>
        <w:rPr>
          <w:rFonts w:hint="eastAsia" w:ascii="宋体" w:hAnsi="宋体" w:cs="宋体"/>
          <w:bCs/>
          <w:sz w:val="24"/>
          <w:szCs w:val="24"/>
        </w:rPr>
        <w:br w:type="page"/>
      </w:r>
    </w:p>
    <w:p w14:paraId="7AB002DA">
      <w:pPr>
        <w:spacing w:line="360" w:lineRule="auto"/>
        <w:jc w:val="center"/>
        <w:rPr>
          <w:rFonts w:hint="eastAsia" w:ascii="宋体" w:hAnsi="宋体" w:cs="宋体"/>
          <w:b/>
          <w:bCs/>
          <w:sz w:val="28"/>
          <w:szCs w:val="28"/>
        </w:rPr>
      </w:pPr>
      <w:r>
        <w:rPr>
          <w:rFonts w:hint="eastAsia" w:ascii="宋体" w:hAnsi="宋体" w:cs="宋体"/>
          <w:b/>
          <w:bCs/>
          <w:sz w:val="28"/>
          <w:szCs w:val="28"/>
        </w:rPr>
        <w:t>七、投标承诺函</w:t>
      </w:r>
    </w:p>
    <w:p w14:paraId="4D6A4DDF">
      <w:pPr>
        <w:spacing w:line="360" w:lineRule="auto"/>
        <w:rPr>
          <w:rFonts w:hint="eastAsia" w:ascii="宋体" w:hAnsi="宋体" w:cs="宋体"/>
          <w:b/>
          <w:sz w:val="28"/>
          <w:szCs w:val="28"/>
        </w:rPr>
      </w:pPr>
      <w:r>
        <w:rPr>
          <w:rFonts w:hint="eastAsia" w:ascii="宋体" w:hAnsi="宋体" w:cs="宋体"/>
          <w:sz w:val="24"/>
        </w:rPr>
        <w:t>致：</w:t>
      </w:r>
      <w:r>
        <w:rPr>
          <w:rFonts w:hint="eastAsia" w:ascii="宋体" w:hAnsi="宋体" w:cs="宋体"/>
          <w:sz w:val="24"/>
          <w:u w:val="single"/>
        </w:rPr>
        <w:t>（采购人名称）</w:t>
      </w:r>
    </w:p>
    <w:p w14:paraId="023A346A">
      <w:pPr>
        <w:spacing w:line="360" w:lineRule="auto"/>
        <w:ind w:firstLine="480" w:firstLineChars="200"/>
        <w:rPr>
          <w:rFonts w:hint="eastAsia" w:ascii="宋体" w:hAnsi="宋体" w:cs="宋体"/>
          <w:sz w:val="24"/>
        </w:rPr>
      </w:pPr>
      <w:r>
        <w:rPr>
          <w:rFonts w:hint="eastAsia" w:ascii="宋体" w:hAnsi="宋体" w:cs="宋体"/>
          <w:sz w:val="24"/>
        </w:rPr>
        <w:t>我公司作为本次采购项目的投标供应商，根据招标文件要求，现郑重承诺如下：</w:t>
      </w:r>
    </w:p>
    <w:p w14:paraId="0DF9762A">
      <w:pPr>
        <w:spacing w:line="360" w:lineRule="auto"/>
        <w:ind w:firstLine="480"/>
        <w:rPr>
          <w:rFonts w:hint="eastAsia" w:ascii="宋体" w:hAnsi="宋体" w:cs="宋体"/>
          <w:sz w:val="24"/>
          <w:szCs w:val="24"/>
        </w:rPr>
      </w:pPr>
      <w:r>
        <w:rPr>
          <w:rFonts w:hint="eastAsia" w:ascii="宋体" w:hAnsi="宋体" w:cs="宋体"/>
          <w:sz w:val="24"/>
          <w:szCs w:val="24"/>
        </w:rPr>
        <w:t>1.我方完全接受和满足本项目招标文件中规定的实质性要求，不存在对招标文件有异议的同时参加本次采购活动。</w:t>
      </w:r>
    </w:p>
    <w:p w14:paraId="3636F0D1">
      <w:pPr>
        <w:spacing w:line="360" w:lineRule="auto"/>
        <w:ind w:firstLine="480"/>
        <w:rPr>
          <w:rFonts w:hint="eastAsia" w:ascii="宋体" w:hAnsi="宋体" w:cs="宋体"/>
          <w:sz w:val="24"/>
          <w:szCs w:val="24"/>
        </w:rPr>
      </w:pPr>
      <w:r>
        <w:rPr>
          <w:rFonts w:hint="eastAsia" w:ascii="宋体" w:hAnsi="宋体" w:cs="宋体"/>
          <w:sz w:val="24"/>
          <w:szCs w:val="24"/>
        </w:rPr>
        <w:t>2.参加本次采购活动，不存在与单位负责人为同一人或者存在直接控股、管理关系的其他供应商参与同一合同项下的政府采购活动的行为。</w:t>
      </w:r>
    </w:p>
    <w:p w14:paraId="74C15E4F">
      <w:pPr>
        <w:spacing w:line="360" w:lineRule="auto"/>
        <w:ind w:firstLine="480"/>
        <w:rPr>
          <w:rFonts w:hint="eastAsia" w:ascii="宋体" w:hAnsi="宋体" w:cs="宋体"/>
          <w:sz w:val="24"/>
          <w:szCs w:val="24"/>
        </w:rPr>
      </w:pPr>
      <w:r>
        <w:rPr>
          <w:rFonts w:hint="eastAsia" w:ascii="宋体" w:hAnsi="宋体" w:cs="宋体"/>
          <w:sz w:val="24"/>
          <w:szCs w:val="24"/>
        </w:rPr>
        <w:t>3.我方参加政府采购活动无商业贿赂和不正当竞争行为。</w:t>
      </w:r>
    </w:p>
    <w:p w14:paraId="394BFB7B">
      <w:pPr>
        <w:spacing w:line="360" w:lineRule="auto"/>
        <w:rPr>
          <w:rFonts w:hint="eastAsia" w:ascii="宋体" w:hAnsi="宋体" w:cs="宋体"/>
          <w:sz w:val="24"/>
          <w:szCs w:val="24"/>
        </w:rPr>
      </w:pPr>
      <w:r>
        <w:rPr>
          <w:rFonts w:hint="eastAsia" w:ascii="宋体" w:hAnsi="宋体" w:cs="宋体"/>
          <w:sz w:val="24"/>
          <w:szCs w:val="24"/>
        </w:rPr>
        <w:t>   4.存在以下行为之一的愿意接受相关部门的处理：</w:t>
      </w:r>
    </w:p>
    <w:p w14:paraId="32FB5E0C">
      <w:pPr>
        <w:spacing w:line="360" w:lineRule="auto"/>
        <w:ind w:firstLine="480"/>
        <w:rPr>
          <w:rFonts w:hint="eastAsia" w:ascii="宋体" w:hAnsi="宋体" w:cs="宋体"/>
          <w:sz w:val="24"/>
          <w:szCs w:val="24"/>
        </w:rPr>
      </w:pPr>
      <w:r>
        <w:rPr>
          <w:rFonts w:hint="eastAsia" w:ascii="宋体" w:hAnsi="宋体" w:cs="宋体"/>
          <w:sz w:val="24"/>
          <w:szCs w:val="24"/>
        </w:rPr>
        <w:t>（1）投标有效期内撤回投标文件的；</w:t>
      </w:r>
    </w:p>
    <w:p w14:paraId="7053CD52">
      <w:pPr>
        <w:spacing w:line="360" w:lineRule="auto"/>
        <w:ind w:firstLine="480"/>
        <w:rPr>
          <w:rFonts w:hint="eastAsia" w:ascii="宋体" w:hAnsi="宋体" w:cs="宋体"/>
          <w:sz w:val="24"/>
          <w:szCs w:val="24"/>
        </w:rPr>
      </w:pPr>
      <w:r>
        <w:rPr>
          <w:rFonts w:hint="eastAsia" w:ascii="宋体" w:hAnsi="宋体" w:cs="宋体"/>
          <w:sz w:val="24"/>
          <w:szCs w:val="24"/>
        </w:rPr>
        <w:t>（2）在采购人确定中标供应商以前放弃中标候选资格的；</w:t>
      </w:r>
    </w:p>
    <w:p w14:paraId="59F8B042">
      <w:pPr>
        <w:spacing w:line="360" w:lineRule="auto"/>
        <w:ind w:firstLine="480"/>
        <w:rPr>
          <w:rFonts w:hint="eastAsia" w:ascii="宋体" w:hAnsi="宋体" w:cs="宋体"/>
          <w:sz w:val="24"/>
          <w:szCs w:val="24"/>
        </w:rPr>
      </w:pPr>
      <w:r>
        <w:rPr>
          <w:rFonts w:hint="eastAsia" w:ascii="宋体" w:hAnsi="宋体" w:cs="宋体"/>
          <w:sz w:val="24"/>
          <w:szCs w:val="24"/>
        </w:rPr>
        <w:t>（3）除不可抗力的因素外，由于中标供应商的原因未能按照招标文件的规定与采购人签订合同；</w:t>
      </w:r>
    </w:p>
    <w:p w14:paraId="348EBC5A">
      <w:pPr>
        <w:spacing w:line="360" w:lineRule="auto"/>
        <w:ind w:firstLine="480"/>
        <w:rPr>
          <w:rFonts w:hint="eastAsia" w:ascii="宋体" w:hAnsi="宋体" w:cs="宋体"/>
          <w:sz w:val="24"/>
          <w:szCs w:val="24"/>
        </w:rPr>
      </w:pPr>
      <w:r>
        <w:rPr>
          <w:rFonts w:hint="eastAsia" w:ascii="宋体" w:hAnsi="宋体" w:cs="宋体"/>
          <w:sz w:val="24"/>
          <w:szCs w:val="24"/>
        </w:rPr>
        <w:t>（4）在招标文件中提供虚假材料谋取中标；</w:t>
      </w:r>
    </w:p>
    <w:p w14:paraId="62DCA382">
      <w:pPr>
        <w:spacing w:line="360" w:lineRule="auto"/>
        <w:ind w:firstLine="480"/>
        <w:rPr>
          <w:rFonts w:hint="eastAsia" w:ascii="宋体" w:hAnsi="宋体" w:cs="宋体"/>
          <w:sz w:val="24"/>
          <w:szCs w:val="24"/>
        </w:rPr>
      </w:pPr>
      <w:r>
        <w:rPr>
          <w:rFonts w:hint="eastAsia" w:ascii="宋体" w:hAnsi="宋体" w:cs="宋体"/>
          <w:sz w:val="24"/>
          <w:szCs w:val="24"/>
        </w:rPr>
        <w:t>（5）与采购人、其他供应商或者采购代理机构恶意串通的；</w:t>
      </w:r>
    </w:p>
    <w:p w14:paraId="457991C3">
      <w:pPr>
        <w:spacing w:line="360" w:lineRule="auto"/>
        <w:ind w:firstLine="480"/>
        <w:rPr>
          <w:rFonts w:hint="eastAsia" w:ascii="宋体" w:hAnsi="宋体" w:cs="宋体"/>
          <w:sz w:val="24"/>
          <w:szCs w:val="24"/>
        </w:rPr>
      </w:pPr>
      <w:r>
        <w:rPr>
          <w:rFonts w:hint="eastAsia" w:ascii="宋体" w:hAnsi="宋体" w:cs="宋体"/>
          <w:sz w:val="24"/>
          <w:szCs w:val="24"/>
        </w:rPr>
        <w:t>（6）投标有效期内，投标供应商在政府采购活动中有违法、违规、违纪行为。</w:t>
      </w:r>
    </w:p>
    <w:p w14:paraId="63D9B004">
      <w:pPr>
        <w:spacing w:line="360" w:lineRule="auto"/>
        <w:ind w:firstLine="480"/>
        <w:rPr>
          <w:rFonts w:hint="eastAsia" w:ascii="宋体" w:hAnsi="宋体" w:cs="宋体"/>
          <w:sz w:val="24"/>
          <w:szCs w:val="24"/>
        </w:rPr>
      </w:pPr>
      <w:r>
        <w:rPr>
          <w:rFonts w:hint="eastAsia" w:ascii="宋体" w:hAnsi="宋体" w:cs="宋体"/>
          <w:sz w:val="24"/>
          <w:szCs w:val="24"/>
        </w:rPr>
        <w:t>由此产生的一切法律后果和责任由我公司承担。我公司声明放弃对此提出任何异议和追索的权利。</w:t>
      </w:r>
    </w:p>
    <w:p w14:paraId="314282EA">
      <w:pPr>
        <w:spacing w:line="360" w:lineRule="auto"/>
        <w:ind w:firstLine="480"/>
        <w:rPr>
          <w:rFonts w:hint="eastAsia" w:ascii="宋体" w:hAnsi="宋体" w:cs="宋体"/>
          <w:b/>
          <w:bCs/>
          <w:kern w:val="0"/>
          <w:sz w:val="30"/>
          <w:shd w:val="clear" w:color="auto" w:fill="FFFFFF"/>
        </w:rPr>
      </w:pPr>
      <w:r>
        <w:rPr>
          <w:rFonts w:hint="eastAsia" w:ascii="宋体" w:hAnsi="宋体" w:cs="宋体"/>
          <w:sz w:val="24"/>
          <w:szCs w:val="24"/>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rPr>
        <w:t>   </w:t>
      </w:r>
    </w:p>
    <w:p w14:paraId="5FA50F57">
      <w:pPr>
        <w:spacing w:line="360" w:lineRule="auto"/>
        <w:jc w:val="center"/>
        <w:rPr>
          <w:rFonts w:hint="eastAsia" w:ascii="宋体" w:hAnsi="宋体" w:cs="宋体"/>
          <w:b/>
          <w:bCs/>
          <w:sz w:val="24"/>
          <w:szCs w:val="24"/>
        </w:rPr>
      </w:pPr>
    </w:p>
    <w:p w14:paraId="5A4A6F9E">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74A8F9A1">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17D91A6">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9494009">
      <w:pPr>
        <w:spacing w:line="500" w:lineRule="exact"/>
        <w:jc w:val="left"/>
        <w:rPr>
          <w:rFonts w:hint="eastAsia" w:ascii="宋体" w:hAnsi="宋体" w:cs="宋体"/>
          <w:b/>
          <w:sz w:val="24"/>
          <w:szCs w:val="24"/>
        </w:rPr>
      </w:pPr>
    </w:p>
    <w:p w14:paraId="2A2A4B9F">
      <w:pPr>
        <w:spacing w:line="500" w:lineRule="exact"/>
        <w:jc w:val="left"/>
        <w:rPr>
          <w:rFonts w:hint="eastAsia" w:ascii="宋体" w:hAnsi="宋体" w:cs="宋体"/>
          <w:b/>
          <w:sz w:val="24"/>
          <w:szCs w:val="24"/>
        </w:rPr>
      </w:pPr>
    </w:p>
    <w:p w14:paraId="33A3EF00">
      <w:pPr>
        <w:spacing w:after="120"/>
        <w:ind w:firstLine="200" w:firstLineChars="100"/>
        <w:rPr>
          <w:rFonts w:hint="eastAsia" w:ascii="宋体" w:hAnsi="宋体" w:cs="宋体"/>
          <w:kern w:val="0"/>
          <w:sz w:val="20"/>
        </w:rPr>
      </w:pPr>
    </w:p>
    <w:p w14:paraId="33149D7B">
      <w:pPr>
        <w:rPr>
          <w:rFonts w:hint="eastAsia" w:ascii="宋体" w:hAnsi="宋体" w:cs="宋体"/>
        </w:rPr>
      </w:pPr>
    </w:p>
    <w:p w14:paraId="38EA404A">
      <w:pPr>
        <w:pStyle w:val="3"/>
        <w:spacing w:line="240" w:lineRule="exact"/>
        <w:jc w:val="center"/>
        <w:rPr>
          <w:rFonts w:hint="eastAsia" w:hAnsi="宋体"/>
        </w:rPr>
      </w:pPr>
      <w:bookmarkStart w:id="283" w:name="_Toc13436"/>
      <w:r>
        <w:rPr>
          <w:rFonts w:hint="eastAsia" w:hAnsi="宋体"/>
        </w:rPr>
        <w:t>八、供应商认为需要提供的其他材料</w:t>
      </w:r>
      <w:bookmarkEnd w:id="283"/>
    </w:p>
    <w:p w14:paraId="0DB1311A">
      <w:pPr>
        <w:spacing w:line="360" w:lineRule="auto"/>
        <w:jc w:val="center"/>
        <w:rPr>
          <w:rFonts w:hint="eastAsia" w:ascii="宋体" w:hAnsi="宋体" w:cs="宋体"/>
          <w:b/>
          <w:bCs/>
          <w:sz w:val="24"/>
          <w:szCs w:val="24"/>
        </w:rPr>
      </w:pPr>
    </w:p>
    <w:p w14:paraId="61B55A3B">
      <w:pPr>
        <w:spacing w:line="360" w:lineRule="auto"/>
        <w:jc w:val="center"/>
        <w:rPr>
          <w:rFonts w:hint="eastAsia" w:ascii="宋体" w:hAnsi="宋体" w:cs="宋体"/>
          <w:b/>
          <w:bCs/>
          <w:sz w:val="24"/>
          <w:szCs w:val="24"/>
        </w:rPr>
      </w:pPr>
    </w:p>
    <w:p w14:paraId="05537496">
      <w:pPr>
        <w:spacing w:line="360" w:lineRule="auto"/>
        <w:jc w:val="center"/>
        <w:rPr>
          <w:rFonts w:hint="eastAsia" w:ascii="宋体" w:hAnsi="宋体" w:cs="宋体"/>
          <w:b/>
          <w:bCs/>
          <w:sz w:val="24"/>
          <w:szCs w:val="24"/>
        </w:rPr>
      </w:pPr>
    </w:p>
    <w:p w14:paraId="6DAC483A">
      <w:pPr>
        <w:spacing w:line="360" w:lineRule="auto"/>
        <w:jc w:val="center"/>
        <w:rPr>
          <w:rFonts w:hint="eastAsia" w:ascii="宋体" w:hAnsi="宋体" w:cs="宋体"/>
          <w:b/>
          <w:bCs/>
          <w:sz w:val="24"/>
          <w:szCs w:val="24"/>
        </w:rPr>
      </w:pPr>
    </w:p>
    <w:p w14:paraId="055BB995">
      <w:pPr>
        <w:spacing w:line="360" w:lineRule="auto"/>
        <w:jc w:val="center"/>
        <w:rPr>
          <w:rFonts w:hint="eastAsia" w:ascii="宋体" w:hAnsi="宋体" w:cs="宋体"/>
          <w:b/>
          <w:bCs/>
          <w:sz w:val="24"/>
          <w:szCs w:val="24"/>
        </w:rPr>
      </w:pPr>
    </w:p>
    <w:p w14:paraId="2AEB3ACF">
      <w:pPr>
        <w:spacing w:line="360" w:lineRule="auto"/>
        <w:jc w:val="center"/>
        <w:rPr>
          <w:rFonts w:hint="eastAsia" w:ascii="宋体" w:hAnsi="宋体" w:cs="宋体"/>
          <w:b/>
          <w:bCs/>
          <w:sz w:val="24"/>
          <w:szCs w:val="24"/>
        </w:rPr>
      </w:pPr>
    </w:p>
    <w:p w14:paraId="1D3BDB16">
      <w:pPr>
        <w:spacing w:line="360" w:lineRule="auto"/>
        <w:jc w:val="center"/>
        <w:rPr>
          <w:rFonts w:hint="eastAsia" w:ascii="宋体" w:hAnsi="宋体" w:cs="宋体"/>
          <w:b/>
          <w:bCs/>
          <w:sz w:val="24"/>
          <w:szCs w:val="24"/>
        </w:rPr>
      </w:pPr>
    </w:p>
    <w:p w14:paraId="1C50A433">
      <w:pPr>
        <w:spacing w:line="480" w:lineRule="auto"/>
        <w:ind w:left="-28" w:leftChars="-95" w:right="452" w:hanging="171" w:hangingChars="67"/>
        <w:jc w:val="center"/>
        <w:rPr>
          <w:rFonts w:hint="eastAsia" w:ascii="宋体" w:hAnsi="宋体" w:cs="宋体"/>
          <w:spacing w:val="8"/>
          <w:sz w:val="24"/>
          <w:szCs w:val="24"/>
        </w:rPr>
      </w:pPr>
    </w:p>
    <w:p w14:paraId="5CB7FDC2">
      <w:pPr>
        <w:rPr>
          <w:rFonts w:hint="eastAsia" w:ascii="宋体" w:hAnsi="宋体" w:cs="宋体"/>
        </w:rPr>
      </w:pPr>
    </w:p>
    <w:p w14:paraId="198EF563">
      <w:pPr>
        <w:pStyle w:val="12"/>
        <w:rPr>
          <w:rFonts w:hint="eastAsia" w:ascii="宋体" w:hAnsi="宋体" w:eastAsia="宋体"/>
        </w:rPr>
      </w:pPr>
    </w:p>
    <w:p w14:paraId="1C689EC0">
      <w:pPr>
        <w:pStyle w:val="13"/>
        <w:rPr>
          <w:rFonts w:hint="eastAsia" w:ascii="宋体" w:hAnsi="宋体" w:cs="宋体"/>
        </w:rPr>
      </w:pPr>
    </w:p>
    <w:p w14:paraId="749EDFAC">
      <w:pPr>
        <w:rPr>
          <w:rFonts w:hint="eastAsia" w:ascii="宋体" w:hAnsi="宋体" w:cs="宋体"/>
        </w:rPr>
      </w:pPr>
    </w:p>
    <w:p w14:paraId="0DF7C4F8">
      <w:pPr>
        <w:pStyle w:val="12"/>
        <w:rPr>
          <w:rFonts w:hint="eastAsia" w:ascii="宋体" w:hAnsi="宋体" w:eastAsia="宋体"/>
        </w:rPr>
      </w:pPr>
    </w:p>
    <w:p w14:paraId="754C1EC1">
      <w:pPr>
        <w:pStyle w:val="13"/>
        <w:rPr>
          <w:rFonts w:hint="eastAsia" w:ascii="宋体" w:hAnsi="宋体" w:cs="宋体"/>
        </w:rPr>
      </w:pPr>
    </w:p>
    <w:p w14:paraId="0444C8F4">
      <w:pPr>
        <w:rPr>
          <w:rFonts w:hint="eastAsia" w:ascii="宋体" w:hAnsi="宋体" w:cs="宋体"/>
        </w:rPr>
      </w:pPr>
    </w:p>
    <w:p w14:paraId="5DDDEF69">
      <w:pPr>
        <w:pStyle w:val="12"/>
        <w:rPr>
          <w:rFonts w:hint="eastAsia" w:ascii="宋体" w:hAnsi="宋体" w:eastAsia="宋体"/>
        </w:rPr>
      </w:pPr>
    </w:p>
    <w:p w14:paraId="263686E2">
      <w:pPr>
        <w:pStyle w:val="13"/>
        <w:rPr>
          <w:rFonts w:hint="eastAsia" w:ascii="宋体" w:hAnsi="宋体" w:cs="宋体"/>
        </w:rPr>
      </w:pPr>
    </w:p>
    <w:p w14:paraId="14E1499F">
      <w:pPr>
        <w:rPr>
          <w:rFonts w:hint="eastAsia" w:ascii="宋体" w:hAnsi="宋体" w:cs="宋体"/>
        </w:rPr>
      </w:pPr>
    </w:p>
    <w:p w14:paraId="21D2111C">
      <w:pPr>
        <w:pStyle w:val="12"/>
        <w:rPr>
          <w:rFonts w:hint="eastAsia" w:ascii="宋体" w:hAnsi="宋体" w:eastAsia="宋体"/>
        </w:rPr>
      </w:pPr>
    </w:p>
    <w:p w14:paraId="12E7296E">
      <w:pPr>
        <w:pStyle w:val="13"/>
        <w:rPr>
          <w:rFonts w:hint="eastAsia" w:ascii="宋体" w:hAnsi="宋体" w:cs="宋体"/>
        </w:rPr>
      </w:pPr>
    </w:p>
    <w:p w14:paraId="492D14A9">
      <w:pPr>
        <w:rPr>
          <w:rFonts w:hint="eastAsia" w:ascii="宋体" w:hAnsi="宋体" w:cs="宋体"/>
        </w:rPr>
      </w:pPr>
    </w:p>
    <w:p w14:paraId="617E7DF8">
      <w:pPr>
        <w:pStyle w:val="12"/>
        <w:rPr>
          <w:rFonts w:hint="eastAsia" w:ascii="宋体" w:hAnsi="宋体" w:eastAsia="宋体"/>
        </w:rPr>
      </w:pPr>
    </w:p>
    <w:p w14:paraId="4CB3867C">
      <w:pPr>
        <w:pStyle w:val="13"/>
        <w:rPr>
          <w:rFonts w:hint="eastAsia" w:ascii="宋体" w:hAnsi="宋体" w:cs="宋体"/>
        </w:rPr>
      </w:pPr>
    </w:p>
    <w:p w14:paraId="1E3B1266">
      <w:pPr>
        <w:rPr>
          <w:rFonts w:hint="eastAsia" w:ascii="宋体" w:hAnsi="宋体" w:cs="宋体"/>
        </w:rPr>
      </w:pPr>
    </w:p>
    <w:p w14:paraId="5B3D943E">
      <w:pPr>
        <w:pStyle w:val="12"/>
        <w:rPr>
          <w:rFonts w:hint="eastAsia" w:ascii="宋体" w:hAnsi="宋体" w:eastAsia="宋体"/>
        </w:rPr>
      </w:pPr>
    </w:p>
    <w:p w14:paraId="646CE969">
      <w:pPr>
        <w:pStyle w:val="13"/>
        <w:rPr>
          <w:rFonts w:hint="eastAsia" w:ascii="宋体" w:hAnsi="宋体" w:cs="宋体"/>
        </w:rPr>
      </w:pPr>
    </w:p>
    <w:p w14:paraId="414347A6">
      <w:pPr>
        <w:rPr>
          <w:rFonts w:hint="eastAsia" w:ascii="宋体" w:hAnsi="宋体" w:cs="宋体"/>
        </w:rPr>
      </w:pPr>
    </w:p>
    <w:p w14:paraId="4D20715D">
      <w:pPr>
        <w:pStyle w:val="12"/>
        <w:rPr>
          <w:rFonts w:hint="eastAsia" w:ascii="宋体" w:hAnsi="宋体" w:eastAsia="宋体"/>
        </w:rPr>
      </w:pPr>
    </w:p>
    <w:p w14:paraId="70A9D041">
      <w:pPr>
        <w:pStyle w:val="13"/>
        <w:rPr>
          <w:rFonts w:hint="eastAsia" w:ascii="宋体" w:hAnsi="宋体" w:cs="宋体"/>
        </w:rPr>
      </w:pPr>
    </w:p>
    <w:p w14:paraId="3DA734CA">
      <w:pPr>
        <w:rPr>
          <w:rFonts w:hint="eastAsia" w:ascii="宋体" w:hAnsi="宋体" w:cs="宋体"/>
        </w:rPr>
      </w:pPr>
    </w:p>
    <w:p w14:paraId="52A107DE">
      <w:pPr>
        <w:pStyle w:val="12"/>
        <w:rPr>
          <w:rFonts w:hint="eastAsia" w:ascii="宋体" w:hAnsi="宋体" w:eastAsia="宋体"/>
        </w:rPr>
      </w:pPr>
    </w:p>
    <w:p w14:paraId="06B7AB5D">
      <w:pPr>
        <w:rPr>
          <w:rFonts w:hint="eastAsia" w:ascii="宋体" w:hAnsi="宋体" w:cs="宋体"/>
        </w:rPr>
      </w:pPr>
    </w:p>
    <w:sectPr>
      <w:headerReference r:id="rId9" w:type="default"/>
      <w:footerReference r:id="rId10" w:type="default"/>
      <w:pgSz w:w="11900" w:h="16838"/>
      <w:pgMar w:top="1134" w:right="1270" w:bottom="992" w:left="1559" w:header="567" w:footer="567" w:gutter="0"/>
      <w:pgNumType w:start="1"/>
      <w:cols w:space="0" w:num="1"/>
      <w:docGrid w:type="lines" w:linePitch="3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02E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3795"/>
      <w:showingPlcHdr/>
    </w:sdtPr>
    <w:sdtContent>
      <w:p w14:paraId="1F591B3F">
        <w:pPr>
          <w:pStyle w:val="14"/>
        </w:pPr>
        <w:r>
          <w:rPr>
            <w:rFonts w:hint="eastAsia"/>
          </w:rPr>
          <w:t xml:space="preserve">     </w:t>
        </w:r>
      </w:p>
    </w:sdtContent>
  </w:sdt>
  <w:p w14:paraId="3876F57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F6F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4C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v:textbox>
            </v:shape>
          </w:pict>
        </mc:Fallback>
      </mc:AlternateContent>
    </w:r>
  </w:p>
  <w:p w14:paraId="6AC2284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FF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11F2">
    <w:pPr>
      <w:pStyle w:val="15"/>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DED4">
    <w:pPr>
      <w:pStyle w:val="15"/>
      <w:pBdr>
        <w:bottom w:val="none" w:color="auto" w:sz="0" w:space="1"/>
      </w:pBdr>
      <w:ind w:right="-512" w:rightChars="-244"/>
      <w:jc w:val="lef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60A7">
    <w:pPr>
      <w:pStyle w:val="15"/>
      <w:pBdr>
        <w:bottom w:val="none" w:color="auto" w:sz="0" w:space="1"/>
      </w:pBdr>
      <w:ind w:right="-512" w:rightChars="-244"/>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A1NDUyZjA4Nzk5ZjBiNzYwNjVjY2ZhZWU2MmIifQ=="/>
  </w:docVars>
  <w:rsids>
    <w:rsidRoot w:val="00C26BC2"/>
    <w:rsid w:val="00016A63"/>
    <w:rsid w:val="001343AD"/>
    <w:rsid w:val="001E1015"/>
    <w:rsid w:val="002111EB"/>
    <w:rsid w:val="00321323"/>
    <w:rsid w:val="00397832"/>
    <w:rsid w:val="003D4CE7"/>
    <w:rsid w:val="00463D13"/>
    <w:rsid w:val="004C3BAE"/>
    <w:rsid w:val="00523F92"/>
    <w:rsid w:val="00546A38"/>
    <w:rsid w:val="00560F3B"/>
    <w:rsid w:val="00626BE3"/>
    <w:rsid w:val="00680E89"/>
    <w:rsid w:val="007121A1"/>
    <w:rsid w:val="00787C11"/>
    <w:rsid w:val="00801E61"/>
    <w:rsid w:val="00814473"/>
    <w:rsid w:val="00851841"/>
    <w:rsid w:val="008B6B60"/>
    <w:rsid w:val="009316FA"/>
    <w:rsid w:val="0094479D"/>
    <w:rsid w:val="00965D52"/>
    <w:rsid w:val="009C6C44"/>
    <w:rsid w:val="00A560B8"/>
    <w:rsid w:val="00A6271C"/>
    <w:rsid w:val="00B04E1C"/>
    <w:rsid w:val="00B169D6"/>
    <w:rsid w:val="00B235AE"/>
    <w:rsid w:val="00B55F1F"/>
    <w:rsid w:val="00BA3C7B"/>
    <w:rsid w:val="00BE2E29"/>
    <w:rsid w:val="00C26BC2"/>
    <w:rsid w:val="00D40B6F"/>
    <w:rsid w:val="00E04BA7"/>
    <w:rsid w:val="00E22A49"/>
    <w:rsid w:val="00E76617"/>
    <w:rsid w:val="00E972B6"/>
    <w:rsid w:val="00EF0248"/>
    <w:rsid w:val="00F75418"/>
    <w:rsid w:val="016F283F"/>
    <w:rsid w:val="01D37380"/>
    <w:rsid w:val="02985DC6"/>
    <w:rsid w:val="03391357"/>
    <w:rsid w:val="03D35307"/>
    <w:rsid w:val="04446205"/>
    <w:rsid w:val="04E2157A"/>
    <w:rsid w:val="04EE7F1F"/>
    <w:rsid w:val="050E0C3E"/>
    <w:rsid w:val="059E7B97"/>
    <w:rsid w:val="060F639F"/>
    <w:rsid w:val="063C49FB"/>
    <w:rsid w:val="06497B03"/>
    <w:rsid w:val="064E6C2D"/>
    <w:rsid w:val="07016D9B"/>
    <w:rsid w:val="07660241"/>
    <w:rsid w:val="081952B3"/>
    <w:rsid w:val="098175B4"/>
    <w:rsid w:val="0A3D79E6"/>
    <w:rsid w:val="0ABE59E3"/>
    <w:rsid w:val="0AEC5C0C"/>
    <w:rsid w:val="0B5C6BAD"/>
    <w:rsid w:val="0BBB7B89"/>
    <w:rsid w:val="0C2C3633"/>
    <w:rsid w:val="0C3C3C66"/>
    <w:rsid w:val="0D202A1E"/>
    <w:rsid w:val="0DBC2166"/>
    <w:rsid w:val="0F744C35"/>
    <w:rsid w:val="106A45B6"/>
    <w:rsid w:val="10DD6D2D"/>
    <w:rsid w:val="110D3206"/>
    <w:rsid w:val="112D6EFE"/>
    <w:rsid w:val="12027A45"/>
    <w:rsid w:val="12AE56E9"/>
    <w:rsid w:val="12B53F9B"/>
    <w:rsid w:val="136E2957"/>
    <w:rsid w:val="13BC5DB8"/>
    <w:rsid w:val="142C45C0"/>
    <w:rsid w:val="14971F9A"/>
    <w:rsid w:val="15296F23"/>
    <w:rsid w:val="160A26DF"/>
    <w:rsid w:val="16954590"/>
    <w:rsid w:val="16D96AA0"/>
    <w:rsid w:val="19671BD7"/>
    <w:rsid w:val="19D45CE4"/>
    <w:rsid w:val="19E54C91"/>
    <w:rsid w:val="1A6B0F32"/>
    <w:rsid w:val="1ABF1CEA"/>
    <w:rsid w:val="1B1732F0"/>
    <w:rsid w:val="1B755389"/>
    <w:rsid w:val="1C557FB5"/>
    <w:rsid w:val="1C8F393E"/>
    <w:rsid w:val="1E71779F"/>
    <w:rsid w:val="1EB8717C"/>
    <w:rsid w:val="1EC2624D"/>
    <w:rsid w:val="1F0B19A2"/>
    <w:rsid w:val="1F3E441B"/>
    <w:rsid w:val="1F5C044F"/>
    <w:rsid w:val="1F6E421F"/>
    <w:rsid w:val="212333A6"/>
    <w:rsid w:val="21DC23B8"/>
    <w:rsid w:val="21DE6A8B"/>
    <w:rsid w:val="236478D2"/>
    <w:rsid w:val="2373257F"/>
    <w:rsid w:val="23E71828"/>
    <w:rsid w:val="241412F8"/>
    <w:rsid w:val="24305A06"/>
    <w:rsid w:val="249C4E4A"/>
    <w:rsid w:val="261A696E"/>
    <w:rsid w:val="26620572"/>
    <w:rsid w:val="26DD7622"/>
    <w:rsid w:val="273B2E8D"/>
    <w:rsid w:val="287C56BE"/>
    <w:rsid w:val="28FA113C"/>
    <w:rsid w:val="293164A9"/>
    <w:rsid w:val="29B82726"/>
    <w:rsid w:val="29F0060D"/>
    <w:rsid w:val="2B1C0A93"/>
    <w:rsid w:val="2B6F32B8"/>
    <w:rsid w:val="2B7761AA"/>
    <w:rsid w:val="2B7F799F"/>
    <w:rsid w:val="2C182A6F"/>
    <w:rsid w:val="2C4B45E7"/>
    <w:rsid w:val="2D53241D"/>
    <w:rsid w:val="2D9708A4"/>
    <w:rsid w:val="2EE96D84"/>
    <w:rsid w:val="2EF725B1"/>
    <w:rsid w:val="2F510483"/>
    <w:rsid w:val="2F600B4C"/>
    <w:rsid w:val="31D64091"/>
    <w:rsid w:val="31DE3C7B"/>
    <w:rsid w:val="32D27A9B"/>
    <w:rsid w:val="32F10A57"/>
    <w:rsid w:val="33511EDF"/>
    <w:rsid w:val="339D4A97"/>
    <w:rsid w:val="33CB0A00"/>
    <w:rsid w:val="340071A3"/>
    <w:rsid w:val="34572B3B"/>
    <w:rsid w:val="347968DF"/>
    <w:rsid w:val="34FD7B87"/>
    <w:rsid w:val="35831E3A"/>
    <w:rsid w:val="358E506D"/>
    <w:rsid w:val="35942299"/>
    <w:rsid w:val="360F18B9"/>
    <w:rsid w:val="365E28A7"/>
    <w:rsid w:val="36C73FA8"/>
    <w:rsid w:val="36F75D8C"/>
    <w:rsid w:val="372207DC"/>
    <w:rsid w:val="37CA04F1"/>
    <w:rsid w:val="37F91C46"/>
    <w:rsid w:val="39916AF0"/>
    <w:rsid w:val="39CA1274"/>
    <w:rsid w:val="39D324A8"/>
    <w:rsid w:val="39FE4F4D"/>
    <w:rsid w:val="3B110C3A"/>
    <w:rsid w:val="3B4756B8"/>
    <w:rsid w:val="3B8E778B"/>
    <w:rsid w:val="3BE20006"/>
    <w:rsid w:val="3D235CB1"/>
    <w:rsid w:val="3DCC6348"/>
    <w:rsid w:val="3DDD0555"/>
    <w:rsid w:val="3DE609BC"/>
    <w:rsid w:val="3E7F160D"/>
    <w:rsid w:val="3EAE5A4E"/>
    <w:rsid w:val="3EEC6CA2"/>
    <w:rsid w:val="3F6F51DD"/>
    <w:rsid w:val="4080158C"/>
    <w:rsid w:val="41456B3D"/>
    <w:rsid w:val="4174038F"/>
    <w:rsid w:val="417967E7"/>
    <w:rsid w:val="41A01E0D"/>
    <w:rsid w:val="42D737C5"/>
    <w:rsid w:val="42EA799C"/>
    <w:rsid w:val="43252782"/>
    <w:rsid w:val="436A4694"/>
    <w:rsid w:val="4380739B"/>
    <w:rsid w:val="43917E18"/>
    <w:rsid w:val="43AC6A00"/>
    <w:rsid w:val="453E76D1"/>
    <w:rsid w:val="4541761C"/>
    <w:rsid w:val="45C51FFB"/>
    <w:rsid w:val="4615589C"/>
    <w:rsid w:val="464949DA"/>
    <w:rsid w:val="464C44CA"/>
    <w:rsid w:val="46595B26"/>
    <w:rsid w:val="466B2BA2"/>
    <w:rsid w:val="46C87FF5"/>
    <w:rsid w:val="479E0D55"/>
    <w:rsid w:val="482448EB"/>
    <w:rsid w:val="48256D81"/>
    <w:rsid w:val="48403496"/>
    <w:rsid w:val="4977360C"/>
    <w:rsid w:val="49C94153"/>
    <w:rsid w:val="4A7A0D20"/>
    <w:rsid w:val="4BC470E1"/>
    <w:rsid w:val="4BF24EAD"/>
    <w:rsid w:val="4C9C7AC9"/>
    <w:rsid w:val="4D4C4D9A"/>
    <w:rsid w:val="4D8B1D7C"/>
    <w:rsid w:val="4E590352"/>
    <w:rsid w:val="4F8E5B72"/>
    <w:rsid w:val="4FD8449C"/>
    <w:rsid w:val="50903205"/>
    <w:rsid w:val="509C604E"/>
    <w:rsid w:val="50A13664"/>
    <w:rsid w:val="50FE4613"/>
    <w:rsid w:val="511A58F1"/>
    <w:rsid w:val="51E97071"/>
    <w:rsid w:val="521340EE"/>
    <w:rsid w:val="525265DA"/>
    <w:rsid w:val="52DE64AA"/>
    <w:rsid w:val="535F3A8F"/>
    <w:rsid w:val="536538FB"/>
    <w:rsid w:val="54F3555A"/>
    <w:rsid w:val="55741E73"/>
    <w:rsid w:val="56596873"/>
    <w:rsid w:val="57990BC1"/>
    <w:rsid w:val="58EF1411"/>
    <w:rsid w:val="596C0CB3"/>
    <w:rsid w:val="5A0A5DD6"/>
    <w:rsid w:val="5AA1498D"/>
    <w:rsid w:val="5AAC6348"/>
    <w:rsid w:val="5B5D0D51"/>
    <w:rsid w:val="5B8E560C"/>
    <w:rsid w:val="5BE72873"/>
    <w:rsid w:val="5C0351D3"/>
    <w:rsid w:val="5C483CC2"/>
    <w:rsid w:val="5CA5563C"/>
    <w:rsid w:val="5CBF10FA"/>
    <w:rsid w:val="5CEA4D48"/>
    <w:rsid w:val="5D276C9F"/>
    <w:rsid w:val="5DB76275"/>
    <w:rsid w:val="5E02528F"/>
    <w:rsid w:val="5F683CCB"/>
    <w:rsid w:val="6083364B"/>
    <w:rsid w:val="61494DA3"/>
    <w:rsid w:val="61785D1C"/>
    <w:rsid w:val="61811608"/>
    <w:rsid w:val="620D0B5A"/>
    <w:rsid w:val="62660BBD"/>
    <w:rsid w:val="629C6F07"/>
    <w:rsid w:val="62BD14FF"/>
    <w:rsid w:val="62EA7FB0"/>
    <w:rsid w:val="63A44570"/>
    <w:rsid w:val="63B709CC"/>
    <w:rsid w:val="63F1024E"/>
    <w:rsid w:val="64591E34"/>
    <w:rsid w:val="64B47E58"/>
    <w:rsid w:val="64C32E5E"/>
    <w:rsid w:val="651838A9"/>
    <w:rsid w:val="6535464F"/>
    <w:rsid w:val="65AB40B3"/>
    <w:rsid w:val="663568D1"/>
    <w:rsid w:val="66F61D60"/>
    <w:rsid w:val="678E0047"/>
    <w:rsid w:val="681C0C44"/>
    <w:rsid w:val="6865349E"/>
    <w:rsid w:val="6A0A1458"/>
    <w:rsid w:val="6A4E7F61"/>
    <w:rsid w:val="6A6652AB"/>
    <w:rsid w:val="6A793230"/>
    <w:rsid w:val="6ACF10A2"/>
    <w:rsid w:val="6AF06C9C"/>
    <w:rsid w:val="6B861106"/>
    <w:rsid w:val="6C2F7568"/>
    <w:rsid w:val="6DBB315B"/>
    <w:rsid w:val="6E0A1697"/>
    <w:rsid w:val="6E113433"/>
    <w:rsid w:val="6E5F3A6E"/>
    <w:rsid w:val="6F953A54"/>
    <w:rsid w:val="700E441B"/>
    <w:rsid w:val="70BB7893"/>
    <w:rsid w:val="70BF4B91"/>
    <w:rsid w:val="70C828DF"/>
    <w:rsid w:val="70F52EE5"/>
    <w:rsid w:val="726C4EFD"/>
    <w:rsid w:val="72E53543"/>
    <w:rsid w:val="7309711B"/>
    <w:rsid w:val="73DC4F16"/>
    <w:rsid w:val="73E547B6"/>
    <w:rsid w:val="749D3FBF"/>
    <w:rsid w:val="75262126"/>
    <w:rsid w:val="75FF61F1"/>
    <w:rsid w:val="76096D74"/>
    <w:rsid w:val="7759201E"/>
    <w:rsid w:val="77BA1E2B"/>
    <w:rsid w:val="7807485A"/>
    <w:rsid w:val="78C95383"/>
    <w:rsid w:val="79210E38"/>
    <w:rsid w:val="799A7E44"/>
    <w:rsid w:val="79AB0A6A"/>
    <w:rsid w:val="79D833A4"/>
    <w:rsid w:val="7A915723"/>
    <w:rsid w:val="7B7910FD"/>
    <w:rsid w:val="7BAB16E3"/>
    <w:rsid w:val="7CAB4D9F"/>
    <w:rsid w:val="7CFF2B50"/>
    <w:rsid w:val="7DF52776"/>
    <w:rsid w:val="7E153D01"/>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autoRedefine/>
    <w:qFormat/>
    <w:uiPriority w:val="0"/>
    <w:pPr>
      <w:keepNext/>
      <w:keepLines/>
      <w:spacing w:before="340" w:after="330" w:line="576" w:lineRule="auto"/>
      <w:outlineLvl w:val="0"/>
    </w:pPr>
    <w:rPr>
      <w:b/>
      <w:bCs/>
      <w:kern w:val="44"/>
      <w:sz w:val="44"/>
      <w:szCs w:val="44"/>
    </w:rPr>
  </w:style>
  <w:style w:type="paragraph" w:styleId="3">
    <w:name w:val="heading 2"/>
    <w:basedOn w:val="2"/>
    <w:next w:val="1"/>
    <w:qFormat/>
    <w:uiPriority w:val="9"/>
    <w:pPr>
      <w:spacing w:before="60" w:after="60"/>
      <w:outlineLvl w:val="1"/>
    </w:pPr>
    <w:rPr>
      <w:rFonts w:ascii="宋体" w:hAnsi="Arial" w:cs="宋体"/>
      <w:sz w:val="28"/>
      <w:szCs w:val="28"/>
    </w:rPr>
  </w:style>
  <w:style w:type="paragraph" w:styleId="4">
    <w:name w:val="heading 3"/>
    <w:basedOn w:val="1"/>
    <w:next w:val="1"/>
    <w:autoRedefine/>
    <w:qFormat/>
    <w:uiPriority w:val="0"/>
    <w:pPr>
      <w:keepNext/>
      <w:keepLines/>
      <w:spacing w:before="120" w:after="120"/>
      <w:ind w:firstLine="480"/>
      <w:outlineLvl w:val="2"/>
    </w:pPr>
    <w:rPr>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35"/>
    <w:pPr>
      <w:widowControl/>
      <w:ind w:firstLine="360"/>
    </w:pPr>
    <w:rPr>
      <w:b/>
      <w:bCs/>
      <w:kern w:val="0"/>
      <w:sz w:val="18"/>
      <w:szCs w:val="18"/>
      <w:lang w:eastAsia="en-US" w:bidi="en-US"/>
    </w:rPr>
  </w:style>
  <w:style w:type="paragraph" w:styleId="6">
    <w:name w:val="annotation text"/>
    <w:basedOn w:val="1"/>
    <w:qFormat/>
    <w:uiPriority w:val="0"/>
    <w:pPr>
      <w:jc w:val="left"/>
    </w:pPr>
  </w:style>
  <w:style w:type="paragraph" w:styleId="7">
    <w:name w:val="Body Text"/>
    <w:basedOn w:val="1"/>
    <w:next w:val="8"/>
    <w:autoRedefine/>
    <w:qFormat/>
    <w:uiPriority w:val="0"/>
    <w:pPr>
      <w:spacing w:line="276" w:lineRule="auto"/>
      <w:ind w:firstLine="474" w:firstLineChars="200"/>
    </w:pPr>
    <w:rPr>
      <w:rFonts w:cs="Mangal" w:asciiTheme="minorEastAsia" w:hAnsiTheme="minorEastAsia" w:eastAsiaTheme="minorEastAsia"/>
      <w:b/>
      <w:spacing w:val="-2"/>
      <w:sz w:val="24"/>
      <w:szCs w:val="24"/>
      <w:lang w:eastAsia="hi-IN" w:bidi="hi-IN"/>
    </w:rPr>
  </w:style>
  <w:style w:type="paragraph" w:customStyle="1" w:styleId="8">
    <w:name w:val="Default"/>
    <w:autoRedefine/>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3"/>
    <w:autoRedefine/>
    <w:unhideWhenUsed/>
    <w:qFormat/>
    <w:uiPriority w:val="0"/>
    <w:pPr>
      <w:spacing w:line="276" w:lineRule="auto"/>
      <w:ind w:firstLine="470" w:firstLineChars="196"/>
      <w:jc w:val="center"/>
    </w:pPr>
    <w:rPr>
      <w:rFonts w:cs="宋体" w:asciiTheme="minorEastAsia" w:hAnsiTheme="minorEastAsia" w:eastAsiaTheme="minorEastAsia"/>
      <w:sz w:val="24"/>
      <w:szCs w:val="24"/>
    </w:rPr>
  </w:style>
  <w:style w:type="paragraph" w:styleId="13">
    <w:name w:val="index 9"/>
    <w:basedOn w:val="1"/>
    <w:next w:val="1"/>
    <w:autoRedefine/>
    <w:qFormat/>
    <w:uiPriority w:val="99"/>
    <w:pPr>
      <w:ind w:left="3360"/>
    </w:pPr>
    <w:rPr>
      <w:rFonts w:cs="等线"/>
    </w:rPr>
  </w:style>
  <w:style w:type="paragraph" w:styleId="14">
    <w:name w:val="footer"/>
    <w:basedOn w:val="1"/>
    <w:unhideWhenUsed/>
    <w:qFormat/>
    <w:uiPriority w:val="99"/>
    <w:pPr>
      <w:snapToGrid w:val="0"/>
      <w:jc w:val="center"/>
    </w:pPr>
    <w:rPr>
      <w:sz w:val="18"/>
      <w:szCs w:val="18"/>
    </w:rPr>
  </w:style>
  <w:style w:type="paragraph" w:styleId="15">
    <w:name w:val="header"/>
    <w:basedOn w:val="1"/>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39"/>
    <w:pPr>
      <w:spacing w:line="400" w:lineRule="exact"/>
      <w:jc w:val="left"/>
    </w:pPr>
    <w:rPr>
      <w:rFonts w:ascii="宋体" w:hAnsi="宋体" w:cs="宋体"/>
      <w:b/>
      <w:bCs/>
      <w:caps/>
      <w:color w:val="000000"/>
    </w:rPr>
  </w:style>
  <w:style w:type="paragraph" w:styleId="17">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20">
    <w:name w:val="Body Text First Indent"/>
    <w:basedOn w:val="7"/>
    <w:next w:val="21"/>
    <w:autoRedefine/>
    <w:unhideWhenUsed/>
    <w:qFormat/>
    <w:uiPriority w:val="99"/>
    <w:pPr>
      <w:ind w:firstLine="420" w:firstLineChars="100"/>
    </w:pPr>
  </w:style>
  <w:style w:type="paragraph" w:styleId="21">
    <w:name w:val="Body Text First Indent 2"/>
    <w:basedOn w:val="9"/>
    <w:next w:val="20"/>
    <w:autoRedefine/>
    <w:qFormat/>
    <w:uiPriority w:val="0"/>
    <w:pPr>
      <w:widowControl/>
      <w:adjustRightInd w:val="0"/>
      <w:snapToGrid w:val="0"/>
      <w:ind w:firstLine="420" w:firstLineChars="200"/>
      <w:jc w:val="left"/>
    </w:pPr>
    <w:rPr>
      <w:rFonts w:ascii="Tahoma" w:hAnsi="Tahoma" w:eastAsia="微软雅黑"/>
      <w:kern w:val="0"/>
      <w:sz w:val="22"/>
      <w:szCs w:val="22"/>
    </w:rPr>
  </w:style>
  <w:style w:type="character" w:styleId="24">
    <w:name w:val="Hyperlink"/>
    <w:basedOn w:val="23"/>
    <w:autoRedefine/>
    <w:unhideWhenUsed/>
    <w:qFormat/>
    <w:uiPriority w:val="99"/>
    <w:rPr>
      <w:color w:val="000000"/>
      <w:sz w:val="16"/>
      <w:szCs w:val="16"/>
      <w:u w:val="none"/>
    </w:rPr>
  </w:style>
  <w:style w:type="paragraph" w:customStyle="1" w:styleId="25">
    <w:name w:val="无间隔1"/>
    <w:basedOn w:val="1"/>
    <w:autoRedefine/>
    <w:qFormat/>
    <w:uiPriority w:val="0"/>
    <w:pPr>
      <w:spacing w:line="400" w:lineRule="exact"/>
    </w:pPr>
    <w:rPr>
      <w:sz w:val="24"/>
    </w:rPr>
  </w:style>
  <w:style w:type="paragraph" w:customStyle="1" w:styleId="26">
    <w:name w:val="_Style 2"/>
    <w:basedOn w:val="1"/>
    <w:autoRedefine/>
    <w:qFormat/>
    <w:uiPriority w:val="0"/>
    <w:rPr>
      <w:sz w:val="24"/>
    </w:rPr>
  </w:style>
  <w:style w:type="paragraph" w:customStyle="1" w:styleId="2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paragraph" w:customStyle="1" w:styleId="28">
    <w:name w:val="_Style 43"/>
    <w:qFormat/>
    <w:uiPriority w:val="0"/>
    <w:pPr>
      <w:jc w:val="center"/>
    </w:pPr>
    <w:rPr>
      <w:rFonts w:ascii="Times New Roman" w:hAnsi="Times New Roman" w:eastAsia="宋体" w:cs="Times New Roman"/>
      <w:b/>
      <w:sz w:val="32"/>
      <w:lang w:val="en-US" w:eastAsia="zh-CN" w:bidi="ar-SA"/>
    </w:rPr>
  </w:style>
  <w:style w:type="paragraph" w:customStyle="1" w:styleId="29">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30">
    <w:name w:val="标题 1 字符"/>
    <w:basedOn w:val="23"/>
    <w:link w:val="2"/>
    <w:autoRedefine/>
    <w:qFormat/>
    <w:uiPriority w:val="0"/>
    <w:rPr>
      <w:b/>
      <w:bCs/>
      <w:kern w:val="44"/>
      <w:sz w:val="44"/>
      <w:szCs w:val="44"/>
    </w:rPr>
  </w:style>
  <w:style w:type="character" w:customStyle="1" w:styleId="31">
    <w:name w:val="未处理的提及1"/>
    <w:basedOn w:val="23"/>
    <w:autoRedefine/>
    <w:semiHidden/>
    <w:unhideWhenUsed/>
    <w:qFormat/>
    <w:uiPriority w:val="99"/>
    <w:rPr>
      <w:color w:val="605E5C"/>
      <w:shd w:val="clear" w:color="auto" w:fill="E1DFDD"/>
    </w:rPr>
  </w:style>
  <w:style w:type="paragraph" w:customStyle="1" w:styleId="32">
    <w:name w:val="Table Text"/>
    <w:basedOn w:val="1"/>
    <w:semiHidden/>
    <w:qFormat/>
    <w:uiPriority w:val="0"/>
    <w:rPr>
      <w:rFonts w:ascii="宋体" w:hAnsi="宋体" w:cs="宋体"/>
      <w:lang w:eastAsia="en-US"/>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正文"/>
    <w:basedOn w:val="1"/>
    <w:next w:val="1"/>
    <w:autoRedefine/>
    <w:qFormat/>
    <w:uiPriority w:val="0"/>
    <w:pPr>
      <w:widowControl/>
      <w:jc w:val="center"/>
    </w:pPr>
    <w:rPr>
      <w:rFonts w:ascii="宋体" w:hAnsi="宋体"/>
    </w:rPr>
  </w:style>
  <w:style w:type="paragraph" w:customStyle="1" w:styleId="35">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37695</Words>
  <Characters>40592</Characters>
  <Lines>1744</Lines>
  <Paragraphs>1542</Paragraphs>
  <TotalTime>2</TotalTime>
  <ScaleCrop>false</ScaleCrop>
  <LinksUpToDate>false</LinksUpToDate>
  <CharactersWithSpaces>41026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2025-10-21T01:07:00Z</dcterms:created>
  <dc:creator>52837</dc:creator>
  <cp:lastModifiedBy>曾经的你</cp:lastModifiedBy>
  <dcterms:modified xsi:type="dcterms:W3CDTF">2025-10-21T08:16:49Z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eyJoZGlkIjoiMDJkZjdmZDgwYmUyOWE3ODE3OTQ2NmYzNGQ3M2QwMmQiLCJ1c2VySWQiOiI4MjI4NTE1MzQifQ==</vt:lpwstr>
  </property>
  <property fmtid="{D5CDD505-2E9C-101B-9397-08002B2CF9AE}" pid="4" name="ICV">
    <vt:lpwstr>81E29313B16D496B91ED5150866D5758_13</vt:lpwstr>
  </property>
</Properties>
</file>