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FF2C7">
      <w:pPr>
        <w:pStyle w:val="13"/>
        <w:spacing w:line="800" w:lineRule="exact"/>
        <w:ind w:left="0"/>
        <w:jc w:val="center"/>
        <w:rPr>
          <w:rFonts w:hint="eastAsia" w:ascii="宋体" w:hAnsi="宋体" w:cs="宋体"/>
          <w:sz w:val="52"/>
          <w:szCs w:val="52"/>
        </w:rPr>
      </w:pPr>
      <w:bookmarkStart w:id="284" w:name="_GoBack"/>
      <w:bookmarkEnd w:id="284"/>
    </w:p>
    <w:p w14:paraId="48B183ED">
      <w:pPr>
        <w:pStyle w:val="13"/>
        <w:spacing w:line="1000" w:lineRule="exact"/>
        <w:ind w:left="0"/>
        <w:jc w:val="center"/>
        <w:rPr>
          <w:rFonts w:hint="eastAsia" w:ascii="宋体" w:hAnsi="宋体" w:cs="宋体"/>
          <w:b/>
          <w:bCs/>
          <w:sz w:val="52"/>
          <w:szCs w:val="52"/>
        </w:rPr>
      </w:pPr>
      <w:r>
        <w:rPr>
          <w:rFonts w:hint="eastAsia" w:ascii="宋体" w:hAnsi="宋体" w:cs="宋体"/>
          <w:b/>
          <w:bCs/>
          <w:sz w:val="52"/>
          <w:szCs w:val="52"/>
        </w:rPr>
        <w:t>三门峡市自然资源和规划局</w:t>
      </w:r>
    </w:p>
    <w:p w14:paraId="5D1EE773">
      <w:pPr>
        <w:pStyle w:val="13"/>
        <w:spacing w:line="1000" w:lineRule="exact"/>
        <w:ind w:left="0"/>
        <w:jc w:val="center"/>
        <w:rPr>
          <w:rFonts w:hint="eastAsia" w:ascii="宋体" w:hAnsi="宋体" w:cs="宋体"/>
          <w:sz w:val="52"/>
          <w:szCs w:val="52"/>
        </w:rPr>
      </w:pPr>
      <w:r>
        <w:rPr>
          <w:rFonts w:hint="eastAsia" w:ascii="宋体" w:hAnsi="宋体" w:cs="宋体"/>
          <w:b/>
          <w:bCs/>
          <w:sz w:val="52"/>
          <w:szCs w:val="52"/>
        </w:rPr>
        <w:t>实景三维三门峡建设项目</w:t>
      </w:r>
    </w:p>
    <w:p w14:paraId="05A20424">
      <w:pPr>
        <w:pStyle w:val="12"/>
        <w:rPr>
          <w:rFonts w:hint="eastAsia" w:ascii="宋体" w:hAnsi="宋体" w:eastAsia="宋体"/>
        </w:rPr>
      </w:pPr>
    </w:p>
    <w:p w14:paraId="338598FE">
      <w:pPr>
        <w:jc w:val="center"/>
        <w:rPr>
          <w:rFonts w:hint="eastAsia" w:ascii="宋体" w:hAnsi="宋体" w:cs="宋体"/>
          <w:b/>
          <w:bCs/>
          <w:sz w:val="52"/>
          <w:szCs w:val="52"/>
        </w:rPr>
      </w:pPr>
      <w:r>
        <w:rPr>
          <w:rFonts w:hint="eastAsia" w:ascii="宋体" w:hAnsi="宋体" w:cs="宋体"/>
          <w:b/>
          <w:sz w:val="52"/>
          <w:szCs w:val="52"/>
        </w:rPr>
        <w:t>招 标 文 件</w:t>
      </w:r>
    </w:p>
    <w:p w14:paraId="274B1FCB">
      <w:pPr>
        <w:pStyle w:val="13"/>
        <w:rPr>
          <w:rFonts w:hint="eastAsia" w:ascii="宋体" w:hAnsi="宋体" w:cs="宋体"/>
        </w:rPr>
      </w:pPr>
    </w:p>
    <w:p w14:paraId="080F6838">
      <w:pPr>
        <w:rPr>
          <w:rFonts w:hint="eastAsia" w:ascii="宋体" w:hAnsi="宋体" w:cs="宋体"/>
        </w:rPr>
      </w:pPr>
    </w:p>
    <w:p w14:paraId="521DEC08">
      <w:pPr>
        <w:pStyle w:val="12"/>
        <w:ind w:firstLine="0" w:firstLineChars="0"/>
        <w:rPr>
          <w:rFonts w:hint="eastAsia" w:ascii="宋体" w:hAnsi="宋体" w:eastAsia="宋体"/>
          <w:b/>
          <w:bCs/>
          <w:sz w:val="36"/>
          <w:szCs w:val="36"/>
        </w:rPr>
      </w:pPr>
      <w:r>
        <w:rPr>
          <w:rFonts w:hint="eastAsia" w:ascii="宋体" w:hAnsi="宋体" w:eastAsia="宋体"/>
          <w:b/>
          <w:bCs/>
          <w:sz w:val="36"/>
          <w:szCs w:val="36"/>
        </w:rPr>
        <w:t>采购项目编号：三财公开采购-2025-61</w:t>
      </w:r>
    </w:p>
    <w:p w14:paraId="60F4D7E1">
      <w:pPr>
        <w:spacing w:line="360" w:lineRule="auto"/>
        <w:jc w:val="center"/>
        <w:rPr>
          <w:rFonts w:hint="eastAsia" w:ascii="宋体" w:hAnsi="宋体" w:cs="宋体"/>
          <w:b/>
          <w:sz w:val="84"/>
          <w:szCs w:val="84"/>
        </w:rPr>
      </w:pPr>
    </w:p>
    <w:p w14:paraId="2C0ABEF0">
      <w:pPr>
        <w:spacing w:line="360" w:lineRule="auto"/>
        <w:jc w:val="center"/>
        <w:rPr>
          <w:rFonts w:hint="eastAsia" w:ascii="宋体" w:hAnsi="宋体" w:cs="宋体"/>
          <w:b/>
          <w:sz w:val="84"/>
          <w:szCs w:val="84"/>
        </w:rPr>
      </w:pPr>
    </w:p>
    <w:p w14:paraId="334BBBC1">
      <w:pPr>
        <w:spacing w:line="360" w:lineRule="auto"/>
        <w:jc w:val="center"/>
        <w:rPr>
          <w:rFonts w:hint="eastAsia" w:ascii="宋体" w:hAnsi="宋体" w:cs="宋体"/>
          <w:b/>
        </w:rPr>
      </w:pPr>
      <w:r>
        <w:rPr>
          <w:rFonts w:hint="eastAsia" w:ascii="宋体" w:hAnsi="宋体" w:cs="宋体"/>
          <w:b/>
          <w:sz w:val="72"/>
          <w:szCs w:val="72"/>
        </w:rPr>
        <w:drawing>
          <wp:inline distT="0" distB="0" distL="114300" distR="114300">
            <wp:extent cx="1983105" cy="1363980"/>
            <wp:effectExtent l="0" t="0" r="17145" b="7620"/>
            <wp:docPr id="2" name="图片 2" descr="14900d1598bdca029cda92b2b4c39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4900d1598bdca029cda92b2b4c399d"/>
                    <pic:cNvPicPr>
                      <a:picLocks noChangeAspect="1"/>
                    </pic:cNvPicPr>
                  </pic:nvPicPr>
                  <pic:blipFill>
                    <a:blip r:embed="rId12"/>
                    <a:srcRect l="18144" t="27112" r="18011" b="26834"/>
                    <a:stretch>
                      <a:fillRect/>
                    </a:stretch>
                  </pic:blipFill>
                  <pic:spPr>
                    <a:xfrm>
                      <a:off x="0" y="0"/>
                      <a:ext cx="1983105" cy="1363980"/>
                    </a:xfrm>
                    <a:prstGeom prst="rect">
                      <a:avLst/>
                    </a:prstGeom>
                    <a:noFill/>
                    <a:ln>
                      <a:noFill/>
                    </a:ln>
                  </pic:spPr>
                </pic:pic>
              </a:graphicData>
            </a:graphic>
          </wp:inline>
        </w:drawing>
      </w:r>
    </w:p>
    <w:p w14:paraId="7B6EA849">
      <w:pPr>
        <w:spacing w:line="360" w:lineRule="auto"/>
        <w:rPr>
          <w:rFonts w:hint="eastAsia" w:ascii="宋体" w:hAnsi="宋体" w:cs="宋体"/>
          <w:sz w:val="36"/>
          <w:szCs w:val="36"/>
        </w:rPr>
      </w:pPr>
    </w:p>
    <w:p w14:paraId="5F3AFC2B">
      <w:pPr>
        <w:spacing w:line="360" w:lineRule="auto"/>
        <w:rPr>
          <w:rFonts w:hint="eastAsia" w:ascii="宋体" w:hAnsi="宋体" w:cs="宋体"/>
          <w:b/>
          <w:sz w:val="32"/>
          <w:szCs w:val="32"/>
        </w:rPr>
      </w:pPr>
    </w:p>
    <w:p w14:paraId="74E8DD00">
      <w:pPr>
        <w:spacing w:line="360" w:lineRule="auto"/>
        <w:ind w:firstLine="1606" w:firstLineChars="500"/>
        <w:rPr>
          <w:rFonts w:hint="eastAsia" w:ascii="宋体" w:hAnsi="宋体" w:cs="宋体"/>
          <w:b/>
          <w:sz w:val="32"/>
          <w:szCs w:val="32"/>
        </w:rPr>
      </w:pPr>
      <w:r>
        <w:rPr>
          <w:rFonts w:hint="eastAsia" w:ascii="宋体" w:hAnsi="宋体" w:cs="宋体"/>
          <w:b/>
          <w:sz w:val="32"/>
          <w:szCs w:val="32"/>
        </w:rPr>
        <w:t>招标单位：三门峡市自然资源和规划局</w:t>
      </w:r>
    </w:p>
    <w:p w14:paraId="247351F9">
      <w:pPr>
        <w:spacing w:line="360" w:lineRule="auto"/>
        <w:ind w:firstLine="1606" w:firstLineChars="500"/>
        <w:rPr>
          <w:rFonts w:hint="eastAsia" w:ascii="宋体" w:hAnsi="宋体" w:cs="宋体"/>
          <w:b/>
          <w:sz w:val="32"/>
          <w:szCs w:val="32"/>
        </w:rPr>
      </w:pPr>
      <w:r>
        <w:rPr>
          <w:rFonts w:hint="eastAsia" w:ascii="宋体" w:hAnsi="宋体" w:cs="宋体"/>
          <w:b/>
          <w:sz w:val="32"/>
          <w:szCs w:val="32"/>
        </w:rPr>
        <w:t>招标代理机构：</w:t>
      </w:r>
      <w:r>
        <w:rPr>
          <w:rFonts w:hint="eastAsia" w:ascii="宋体" w:hAnsi="宋体" w:cs="宋体"/>
          <w:b/>
          <w:bCs/>
          <w:sz w:val="32"/>
          <w:szCs w:val="32"/>
        </w:rPr>
        <w:t>河南中广汇通项目管理有限公司</w:t>
      </w:r>
    </w:p>
    <w:p w14:paraId="771C726E">
      <w:pPr>
        <w:spacing w:line="360" w:lineRule="auto"/>
        <w:ind w:firstLine="1606" w:firstLineChars="500"/>
        <w:rPr>
          <w:rFonts w:hint="eastAsia" w:ascii="宋体" w:hAnsi="宋体" w:cs="宋体"/>
          <w:b/>
          <w:sz w:val="32"/>
          <w:szCs w:val="32"/>
        </w:rPr>
        <w:sectPr>
          <w:headerReference r:id="rId4" w:type="first"/>
          <w:footerReference r:id="rId6" w:type="first"/>
          <w:headerReference r:id="rId3" w:type="even"/>
          <w:footerReference r:id="rId5" w:type="even"/>
          <w:pgSz w:w="11900" w:h="16838"/>
          <w:pgMar w:top="1440" w:right="1080" w:bottom="1440" w:left="1080" w:header="720" w:footer="0" w:gutter="0"/>
          <w:pgNumType w:start="1"/>
          <w:cols w:space="0" w:num="1"/>
          <w:titlePg/>
          <w:docGrid w:type="lines" w:linePitch="368" w:charSpace="0"/>
        </w:sectPr>
      </w:pPr>
      <w:r>
        <w:rPr>
          <w:rFonts w:hint="eastAsia" w:ascii="宋体" w:hAnsi="宋体" w:cs="宋体"/>
          <w:b/>
          <w:sz w:val="32"/>
          <w:szCs w:val="32"/>
        </w:rPr>
        <w:t>招 标 日 期：二〇二五年十月</w:t>
      </w:r>
    </w:p>
    <w:p w14:paraId="195ECFEA">
      <w:pPr>
        <w:pStyle w:val="12"/>
        <w:ind w:firstLine="0" w:firstLineChars="0"/>
        <w:rPr>
          <w:rStyle w:val="24"/>
          <w:rFonts w:hint="eastAsia" w:ascii="宋体" w:hAnsi="宋体" w:eastAsia="宋体"/>
          <w:b/>
          <w:sz w:val="44"/>
          <w:szCs w:val="44"/>
        </w:rPr>
      </w:pPr>
    </w:p>
    <w:p w14:paraId="655AF17D">
      <w:pPr>
        <w:pStyle w:val="12"/>
        <w:ind w:firstLine="0" w:firstLineChars="0"/>
        <w:rPr>
          <w:rStyle w:val="24"/>
          <w:rFonts w:hint="eastAsia" w:ascii="宋体" w:hAnsi="宋体" w:eastAsia="宋体"/>
          <w:b/>
          <w:bCs/>
          <w:caps/>
          <w:sz w:val="44"/>
          <w:szCs w:val="44"/>
        </w:rPr>
      </w:pPr>
      <w:r>
        <w:rPr>
          <w:rStyle w:val="24"/>
          <w:rFonts w:hint="eastAsia" w:ascii="宋体" w:hAnsi="宋体" w:eastAsia="宋体"/>
          <w:b/>
          <w:sz w:val="44"/>
          <w:szCs w:val="44"/>
        </w:rPr>
        <w:t>目   录</w:t>
      </w:r>
    </w:p>
    <w:p w14:paraId="6CEF2C10">
      <w:pPr>
        <w:pStyle w:val="16"/>
        <w:tabs>
          <w:tab w:val="right" w:leader="dot" w:pos="9071"/>
        </w:tabs>
        <w:rPr>
          <w:rFonts w:hint="eastAsia"/>
        </w:rPr>
      </w:pPr>
      <w:bookmarkStart w:id="0" w:name="_Toc270604572"/>
      <w:r>
        <w:rPr>
          <w:rFonts w:hint="eastAsia"/>
          <w:sz w:val="24"/>
          <w:szCs w:val="24"/>
        </w:rPr>
        <w:fldChar w:fldCharType="begin"/>
      </w:r>
      <w:r>
        <w:rPr>
          <w:rFonts w:hint="eastAsia"/>
          <w:sz w:val="24"/>
          <w:szCs w:val="24"/>
        </w:rPr>
        <w:instrText xml:space="preserve">TOC \o "1-1" \h \u </w:instrText>
      </w:r>
      <w:r>
        <w:rPr>
          <w:rFonts w:hint="eastAsia"/>
          <w:sz w:val="24"/>
          <w:szCs w:val="24"/>
        </w:rPr>
        <w:fldChar w:fldCharType="separate"/>
      </w:r>
      <w:r>
        <w:fldChar w:fldCharType="begin"/>
      </w:r>
      <w:r>
        <w:instrText xml:space="preserve"> HYPERLINK \l "_Toc8090" </w:instrText>
      </w:r>
      <w:r>
        <w:fldChar w:fldCharType="separate"/>
      </w:r>
      <w:r>
        <w:rPr>
          <w:rFonts w:hint="eastAsia"/>
          <w:szCs w:val="36"/>
        </w:rPr>
        <w:t>第一章 招标公告</w:t>
      </w:r>
      <w:r>
        <w:rPr>
          <w:rFonts w:hint="eastAsia"/>
        </w:rPr>
        <w:tab/>
      </w:r>
      <w:r>
        <w:rPr>
          <w:rFonts w:hint="eastAsia"/>
        </w:rPr>
        <w:fldChar w:fldCharType="begin"/>
      </w:r>
      <w:r>
        <w:rPr>
          <w:rFonts w:hint="eastAsia"/>
        </w:rPr>
        <w:instrText xml:space="preserve"> PAGEREF _Toc8090 \h </w:instrText>
      </w:r>
      <w:r>
        <w:rPr>
          <w:rFonts w:hint="eastAsia"/>
        </w:rPr>
        <w:fldChar w:fldCharType="separate"/>
      </w:r>
      <w:r>
        <w:rPr>
          <w:rFonts w:hint="eastAsia"/>
        </w:rPr>
        <w:t>1</w:t>
      </w:r>
      <w:r>
        <w:rPr>
          <w:rFonts w:hint="eastAsia"/>
        </w:rPr>
        <w:fldChar w:fldCharType="end"/>
      </w:r>
      <w:r>
        <w:rPr>
          <w:rFonts w:hint="eastAsia"/>
        </w:rPr>
        <w:fldChar w:fldCharType="end"/>
      </w:r>
    </w:p>
    <w:p w14:paraId="2E7A51FB">
      <w:pPr>
        <w:pStyle w:val="16"/>
        <w:tabs>
          <w:tab w:val="right" w:leader="dot" w:pos="9071"/>
        </w:tabs>
        <w:rPr>
          <w:rFonts w:hint="eastAsia"/>
        </w:rPr>
      </w:pPr>
      <w:r>
        <w:fldChar w:fldCharType="begin"/>
      </w:r>
      <w:r>
        <w:instrText xml:space="preserve"> HYPERLINK \l "_Toc28372" </w:instrText>
      </w:r>
      <w:r>
        <w:fldChar w:fldCharType="separate"/>
      </w:r>
      <w:r>
        <w:rPr>
          <w:rFonts w:hint="eastAsia"/>
          <w:szCs w:val="36"/>
        </w:rPr>
        <w:t>第二章 供应商须知</w:t>
      </w:r>
      <w:r>
        <w:rPr>
          <w:rFonts w:hint="eastAsia"/>
        </w:rPr>
        <w:tab/>
      </w:r>
      <w:r>
        <w:rPr>
          <w:rFonts w:hint="eastAsia"/>
        </w:rPr>
        <w:fldChar w:fldCharType="begin"/>
      </w:r>
      <w:r>
        <w:rPr>
          <w:rFonts w:hint="eastAsia"/>
        </w:rPr>
        <w:instrText xml:space="preserve"> PAGEREF _Toc28372 \h </w:instrText>
      </w:r>
      <w:r>
        <w:rPr>
          <w:rFonts w:hint="eastAsia"/>
        </w:rPr>
        <w:fldChar w:fldCharType="separate"/>
      </w:r>
      <w:r>
        <w:rPr>
          <w:rFonts w:hint="eastAsia"/>
        </w:rPr>
        <w:t>6</w:t>
      </w:r>
      <w:r>
        <w:rPr>
          <w:rFonts w:hint="eastAsia"/>
        </w:rPr>
        <w:fldChar w:fldCharType="end"/>
      </w:r>
      <w:r>
        <w:rPr>
          <w:rFonts w:hint="eastAsia"/>
        </w:rPr>
        <w:fldChar w:fldCharType="end"/>
      </w:r>
    </w:p>
    <w:p w14:paraId="25A7E0E1">
      <w:pPr>
        <w:pStyle w:val="16"/>
        <w:tabs>
          <w:tab w:val="right" w:leader="dot" w:pos="9071"/>
        </w:tabs>
        <w:rPr>
          <w:rFonts w:hint="eastAsia"/>
        </w:rPr>
      </w:pPr>
      <w:r>
        <w:fldChar w:fldCharType="begin"/>
      </w:r>
      <w:r>
        <w:instrText xml:space="preserve"> HYPERLINK \l "_Toc18952" </w:instrText>
      </w:r>
      <w:r>
        <w:fldChar w:fldCharType="separate"/>
      </w:r>
      <w:r>
        <w:rPr>
          <w:rFonts w:hint="eastAsia"/>
          <w:szCs w:val="36"/>
        </w:rPr>
        <w:t>第三章 评标办法</w:t>
      </w:r>
      <w:r>
        <w:rPr>
          <w:rFonts w:hint="eastAsia"/>
        </w:rPr>
        <w:tab/>
      </w:r>
      <w:r>
        <w:rPr>
          <w:rFonts w:hint="eastAsia"/>
        </w:rPr>
        <w:fldChar w:fldCharType="begin"/>
      </w:r>
      <w:r>
        <w:rPr>
          <w:rFonts w:hint="eastAsia"/>
        </w:rPr>
        <w:instrText xml:space="preserve"> PAGEREF _Toc18952 \h </w:instrText>
      </w:r>
      <w:r>
        <w:rPr>
          <w:rFonts w:hint="eastAsia"/>
        </w:rPr>
        <w:fldChar w:fldCharType="separate"/>
      </w:r>
      <w:r>
        <w:rPr>
          <w:rFonts w:hint="eastAsia"/>
        </w:rPr>
        <w:t>27</w:t>
      </w:r>
      <w:r>
        <w:rPr>
          <w:rFonts w:hint="eastAsia"/>
        </w:rPr>
        <w:fldChar w:fldCharType="end"/>
      </w:r>
      <w:r>
        <w:rPr>
          <w:rFonts w:hint="eastAsia"/>
        </w:rPr>
        <w:fldChar w:fldCharType="end"/>
      </w:r>
    </w:p>
    <w:p w14:paraId="346AD149">
      <w:pPr>
        <w:pStyle w:val="16"/>
        <w:tabs>
          <w:tab w:val="right" w:leader="dot" w:pos="9071"/>
        </w:tabs>
        <w:rPr>
          <w:rFonts w:hint="eastAsia"/>
        </w:rPr>
      </w:pPr>
      <w:r>
        <w:fldChar w:fldCharType="begin"/>
      </w:r>
      <w:r>
        <w:instrText xml:space="preserve"> HYPERLINK \l "_Toc18036" </w:instrText>
      </w:r>
      <w:r>
        <w:fldChar w:fldCharType="separate"/>
      </w:r>
      <w:r>
        <w:rPr>
          <w:rFonts w:hint="eastAsia"/>
          <w:bCs w:val="0"/>
          <w:kern w:val="0"/>
          <w:szCs w:val="24"/>
        </w:rPr>
        <w:t>第四章  合同条款及格式</w:t>
      </w:r>
      <w:r>
        <w:rPr>
          <w:rFonts w:hint="eastAsia"/>
        </w:rPr>
        <w:tab/>
      </w:r>
      <w:r>
        <w:rPr>
          <w:rFonts w:hint="eastAsia"/>
        </w:rPr>
        <w:fldChar w:fldCharType="begin"/>
      </w:r>
      <w:r>
        <w:rPr>
          <w:rFonts w:hint="eastAsia"/>
        </w:rPr>
        <w:instrText xml:space="preserve"> PAGEREF _Toc18036 \h </w:instrText>
      </w:r>
      <w:r>
        <w:rPr>
          <w:rFonts w:hint="eastAsia"/>
        </w:rPr>
        <w:fldChar w:fldCharType="separate"/>
      </w:r>
      <w:r>
        <w:rPr>
          <w:rFonts w:hint="eastAsia"/>
        </w:rPr>
        <w:t>50</w:t>
      </w:r>
      <w:r>
        <w:rPr>
          <w:rFonts w:hint="eastAsia"/>
        </w:rPr>
        <w:fldChar w:fldCharType="end"/>
      </w:r>
      <w:r>
        <w:rPr>
          <w:rFonts w:hint="eastAsia"/>
        </w:rPr>
        <w:fldChar w:fldCharType="end"/>
      </w:r>
    </w:p>
    <w:p w14:paraId="00EBA42E">
      <w:pPr>
        <w:pStyle w:val="16"/>
        <w:tabs>
          <w:tab w:val="right" w:leader="dot" w:pos="9071"/>
        </w:tabs>
        <w:rPr>
          <w:rFonts w:hint="eastAsia"/>
        </w:rPr>
      </w:pPr>
      <w:r>
        <w:fldChar w:fldCharType="begin"/>
      </w:r>
      <w:r>
        <w:instrText xml:space="preserve"> HYPERLINK \l "_Toc11525" </w:instrText>
      </w:r>
      <w:r>
        <w:fldChar w:fldCharType="separate"/>
      </w:r>
      <w:r>
        <w:rPr>
          <w:rFonts w:hint="eastAsia"/>
          <w:bCs w:val="0"/>
          <w:kern w:val="0"/>
          <w:szCs w:val="36"/>
        </w:rPr>
        <w:t>第五章采购内容及要求</w:t>
      </w:r>
      <w:r>
        <w:rPr>
          <w:rFonts w:hint="eastAsia"/>
        </w:rPr>
        <w:tab/>
      </w:r>
      <w:r>
        <w:rPr>
          <w:rFonts w:hint="eastAsia"/>
        </w:rPr>
        <w:fldChar w:fldCharType="begin"/>
      </w:r>
      <w:r>
        <w:rPr>
          <w:rFonts w:hint="eastAsia"/>
        </w:rPr>
        <w:instrText xml:space="preserve"> PAGEREF _Toc11525 \h </w:instrText>
      </w:r>
      <w:r>
        <w:rPr>
          <w:rFonts w:hint="eastAsia"/>
        </w:rPr>
        <w:fldChar w:fldCharType="separate"/>
      </w:r>
      <w:r>
        <w:rPr>
          <w:rFonts w:hint="eastAsia"/>
        </w:rPr>
        <w:t>53</w:t>
      </w:r>
      <w:r>
        <w:rPr>
          <w:rFonts w:hint="eastAsia"/>
        </w:rPr>
        <w:fldChar w:fldCharType="end"/>
      </w:r>
      <w:r>
        <w:rPr>
          <w:rFonts w:hint="eastAsia"/>
        </w:rPr>
        <w:fldChar w:fldCharType="end"/>
      </w:r>
    </w:p>
    <w:p w14:paraId="6B063733">
      <w:pPr>
        <w:pStyle w:val="16"/>
        <w:tabs>
          <w:tab w:val="right" w:leader="dot" w:pos="9071"/>
        </w:tabs>
        <w:rPr>
          <w:rFonts w:hint="eastAsia"/>
        </w:rPr>
      </w:pPr>
      <w:r>
        <w:fldChar w:fldCharType="begin"/>
      </w:r>
      <w:r>
        <w:instrText xml:space="preserve"> HYPERLINK \l "_Toc10087" </w:instrText>
      </w:r>
      <w:r>
        <w:fldChar w:fldCharType="separate"/>
      </w:r>
      <w:r>
        <w:rPr>
          <w:rFonts w:hint="eastAsia"/>
        </w:rPr>
        <w:t>第六章 投标文件格式</w:t>
      </w:r>
      <w:r>
        <w:rPr>
          <w:rFonts w:hint="eastAsia"/>
        </w:rPr>
        <w:tab/>
      </w:r>
      <w:r>
        <w:rPr>
          <w:rFonts w:hint="eastAsia"/>
        </w:rPr>
        <w:fldChar w:fldCharType="begin"/>
      </w:r>
      <w:r>
        <w:rPr>
          <w:rFonts w:hint="eastAsia"/>
        </w:rPr>
        <w:instrText xml:space="preserve"> PAGEREF _Toc10087 \h </w:instrText>
      </w:r>
      <w:r>
        <w:rPr>
          <w:rFonts w:hint="eastAsia"/>
        </w:rPr>
        <w:fldChar w:fldCharType="separate"/>
      </w:r>
      <w:r>
        <w:rPr>
          <w:rFonts w:hint="eastAsia"/>
        </w:rPr>
        <w:t>80</w:t>
      </w:r>
      <w:r>
        <w:rPr>
          <w:rFonts w:hint="eastAsia"/>
        </w:rPr>
        <w:fldChar w:fldCharType="end"/>
      </w:r>
      <w:r>
        <w:rPr>
          <w:rFonts w:hint="eastAsia"/>
        </w:rPr>
        <w:fldChar w:fldCharType="end"/>
      </w:r>
    </w:p>
    <w:p w14:paraId="68808C19">
      <w:pPr>
        <w:pStyle w:val="17"/>
        <w:tabs>
          <w:tab w:val="right" w:leader="dot" w:pos="8302"/>
        </w:tabs>
        <w:spacing w:line="440" w:lineRule="exact"/>
        <w:ind w:left="0"/>
        <w:rPr>
          <w:rFonts w:hint="eastAsia" w:ascii="宋体" w:hAnsi="宋体"/>
          <w:b/>
          <w:bCs/>
          <w:sz w:val="24"/>
          <w:szCs w:val="24"/>
        </w:rPr>
      </w:pPr>
      <w:r>
        <w:rPr>
          <w:rFonts w:hint="eastAsia" w:ascii="宋体" w:hAnsi="宋体"/>
          <w:bCs/>
          <w:szCs w:val="24"/>
        </w:rPr>
        <w:fldChar w:fldCharType="end"/>
      </w:r>
    </w:p>
    <w:bookmarkEnd w:id="0"/>
    <w:p w14:paraId="268B881B">
      <w:pPr>
        <w:pStyle w:val="2"/>
        <w:spacing w:before="120" w:after="120" w:line="400" w:lineRule="exact"/>
        <w:jc w:val="center"/>
        <w:rPr>
          <w:rFonts w:hint="eastAsia" w:ascii="宋体" w:hAnsi="宋体" w:cs="宋体"/>
          <w:sz w:val="36"/>
          <w:szCs w:val="36"/>
        </w:rPr>
        <w:sectPr>
          <w:headerReference r:id="rId7" w:type="default"/>
          <w:footerReference r:id="rId8" w:type="default"/>
          <w:pgSz w:w="11900" w:h="16838"/>
          <w:pgMar w:top="1134" w:right="1270" w:bottom="992" w:left="1559" w:header="964" w:footer="0" w:gutter="0"/>
          <w:pgNumType w:start="1"/>
          <w:cols w:space="0" w:num="1"/>
          <w:docGrid w:type="lines" w:linePitch="368" w:charSpace="0"/>
        </w:sectPr>
      </w:pPr>
      <w:bookmarkStart w:id="1" w:name="_Toc26551"/>
    </w:p>
    <w:p w14:paraId="51F1324C">
      <w:pPr>
        <w:pStyle w:val="2"/>
        <w:spacing w:before="120" w:after="120" w:line="400" w:lineRule="exact"/>
        <w:jc w:val="center"/>
        <w:rPr>
          <w:rFonts w:hint="eastAsia" w:ascii="宋体" w:hAnsi="宋体" w:cs="宋体"/>
          <w:sz w:val="36"/>
          <w:szCs w:val="36"/>
        </w:rPr>
      </w:pPr>
      <w:bookmarkStart w:id="2" w:name="_Toc22201"/>
      <w:bookmarkStart w:id="3" w:name="_Toc8090"/>
      <w:r>
        <w:rPr>
          <w:rFonts w:hint="eastAsia" w:ascii="宋体" w:hAnsi="宋体" w:cs="宋体"/>
          <w:sz w:val="36"/>
          <w:szCs w:val="36"/>
        </w:rPr>
        <w:t>第一章 招标公告</w:t>
      </w:r>
      <w:bookmarkEnd w:id="1"/>
      <w:bookmarkEnd w:id="2"/>
      <w:bookmarkEnd w:id="3"/>
    </w:p>
    <w:p w14:paraId="2D237A2F">
      <w:pP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4513181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三门峡市自然资源和规划局实景三维三门峡建设项目的潜在投标人应在三门峡市公共资源交易中心（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"http://gzjy.smx.gov.cn/）获取招标文件，并于" </w:instrText>
      </w:r>
      <w:r>
        <w:rPr>
          <w:color w:val="000000" w:themeColor="text1"/>
          <w14:textFill>
            <w14:solidFill>
              <w14:schemeClr w14:val="tx1"/>
            </w14:solidFill>
          </w14:textFill>
        </w:rPr>
        <w:fldChar w:fldCharType="separate"/>
      </w:r>
      <w:r>
        <w:rPr>
          <w:rStyle w:val="24"/>
          <w:rFonts w:hint="eastAsia" w:ascii="宋体" w:hAnsi="宋体" w:cs="宋体"/>
          <w:color w:val="000000" w:themeColor="text1"/>
          <w:sz w:val="24"/>
          <w:szCs w:val="24"/>
          <w14:textFill>
            <w14:solidFill>
              <w14:schemeClr w14:val="tx1"/>
            </w14:solidFill>
          </w14:textFill>
        </w:rPr>
        <w:t>http://gzjy.smx.gov.cn/）获取招标文件，并于</w:t>
      </w:r>
      <w:r>
        <w:rPr>
          <w:rStyle w:val="24"/>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u w:val="single"/>
          <w:lang w:val="en-US" w:eastAsia="zh-CN"/>
          <w14:textFill>
            <w14:solidFill>
              <w14:schemeClr w14:val="tx1"/>
            </w14:solidFill>
          </w14:textFill>
        </w:rPr>
        <w:t>2025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lang w:val="en-US" w:eastAsia="zh-CN"/>
          <w14:textFill>
            <w14:solidFill>
              <w14:schemeClr w14:val="tx1"/>
            </w14:solidFill>
          </w14:textFill>
        </w:rPr>
        <w:t>09</w:t>
      </w:r>
      <w:r>
        <w:rPr>
          <w:rFonts w:hint="eastAsia" w:ascii="宋体" w:hAnsi="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u w:val="single"/>
          <w:lang w:val="en-US" w:eastAsia="zh-CN"/>
          <w14:textFill>
            <w14:solidFill>
              <w14:schemeClr w14:val="tx1"/>
            </w14:solidFill>
          </w14:textFill>
        </w:rPr>
        <w:t>00</w:t>
      </w:r>
      <w:r>
        <w:rPr>
          <w:rFonts w:hint="eastAsia" w:ascii="宋体" w:hAnsi="宋体" w:cs="宋体"/>
          <w:color w:val="000000" w:themeColor="text1"/>
          <w:sz w:val="24"/>
          <w:szCs w:val="24"/>
          <w14:textFill>
            <w14:solidFill>
              <w14:schemeClr w14:val="tx1"/>
            </w14:solidFill>
          </w14:textFill>
        </w:rPr>
        <w:t>分（北京时间）前递交响应文件。</w:t>
      </w:r>
    </w:p>
    <w:p w14:paraId="089115D6">
      <w:pPr>
        <w:spacing w:line="360" w:lineRule="auto"/>
        <w:ind w:firstLine="482" w:firstLineChars="200"/>
        <w:rPr>
          <w:rFonts w:hint="eastAsia" w:ascii="宋体" w:hAnsi="宋体" w:cs="宋体"/>
          <w:sz w:val="24"/>
          <w:szCs w:val="24"/>
        </w:rPr>
      </w:pPr>
      <w:r>
        <w:rPr>
          <w:rFonts w:hint="eastAsia" w:ascii="宋体" w:hAnsi="宋体" w:cs="宋体"/>
          <w:b/>
          <w:bCs/>
          <w:sz w:val="24"/>
          <w:szCs w:val="24"/>
        </w:rPr>
        <w:t>一、项目基本情况</w:t>
      </w:r>
    </w:p>
    <w:p w14:paraId="40FF6B8A">
      <w:pPr>
        <w:spacing w:line="360" w:lineRule="auto"/>
        <w:ind w:firstLine="480" w:firstLineChars="200"/>
        <w:rPr>
          <w:rFonts w:hint="eastAsia" w:ascii="宋体" w:hAnsi="宋体" w:cs="宋体"/>
          <w:color w:val="FF0000"/>
          <w:sz w:val="24"/>
          <w:szCs w:val="24"/>
        </w:rPr>
      </w:pPr>
      <w:r>
        <w:rPr>
          <w:rFonts w:hint="eastAsia" w:ascii="宋体" w:hAnsi="宋体" w:cs="宋体"/>
          <w:sz w:val="24"/>
          <w:szCs w:val="24"/>
        </w:rPr>
        <w:t>1、采购项目编号：</w:t>
      </w:r>
      <w:r>
        <w:rPr>
          <w:rFonts w:hint="eastAsia" w:ascii="宋体" w:hAnsi="宋体" w:cs="宋体"/>
          <w:kern w:val="0"/>
          <w:sz w:val="24"/>
          <w:szCs w:val="24"/>
        </w:rPr>
        <w:t>三财公开采购-2025-61</w:t>
      </w:r>
    </w:p>
    <w:p w14:paraId="21CD5AD6">
      <w:pPr>
        <w:spacing w:line="360" w:lineRule="auto"/>
        <w:ind w:firstLine="480" w:firstLineChars="200"/>
        <w:rPr>
          <w:rFonts w:hint="eastAsia" w:ascii="宋体" w:hAnsi="宋体" w:cs="宋体"/>
          <w:sz w:val="24"/>
          <w:szCs w:val="24"/>
        </w:rPr>
      </w:pPr>
      <w:r>
        <w:rPr>
          <w:rFonts w:hint="eastAsia" w:ascii="宋体" w:hAnsi="宋体" w:cs="宋体"/>
          <w:sz w:val="24"/>
          <w:szCs w:val="24"/>
        </w:rPr>
        <w:t>2、项目名称：</w:t>
      </w:r>
      <w:r>
        <w:rPr>
          <w:rFonts w:hint="eastAsia" w:ascii="宋体" w:hAnsi="宋体" w:cs="宋体"/>
          <w:kern w:val="0"/>
          <w:sz w:val="24"/>
          <w:szCs w:val="24"/>
        </w:rPr>
        <w:t>三门峡市自然资源和规划局实景三维三门峡建设项目</w:t>
      </w:r>
    </w:p>
    <w:p w14:paraId="5E228514">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3、采购方式：公开招标</w:t>
      </w:r>
    </w:p>
    <w:p w14:paraId="6D583916">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zh-TW"/>
        </w:rPr>
        <w:t>4、</w:t>
      </w:r>
      <w:r>
        <w:rPr>
          <w:rFonts w:hint="eastAsia" w:ascii="宋体" w:hAnsi="宋体" w:cs="宋体"/>
          <w:sz w:val="24"/>
          <w:szCs w:val="24"/>
        </w:rPr>
        <w:t>预算金额：11952700.00元</w:t>
      </w:r>
      <w:r>
        <w:rPr>
          <w:rFonts w:hint="eastAsia" w:ascii="宋体" w:hAnsi="宋体" w:cs="宋体"/>
          <w:sz w:val="24"/>
          <w:szCs w:val="24"/>
          <w:lang w:val="en-US" w:eastAsia="zh-CN"/>
        </w:rPr>
        <w:tab/>
      </w:r>
    </w:p>
    <w:p w14:paraId="6C93059D">
      <w:pPr>
        <w:pStyle w:val="26"/>
        <w:spacing w:line="360" w:lineRule="auto"/>
        <w:ind w:firstLine="840" w:firstLineChars="350"/>
        <w:rPr>
          <w:rFonts w:hint="eastAsia" w:ascii="宋体" w:hAnsi="宋体" w:cs="宋体"/>
          <w:szCs w:val="24"/>
        </w:rPr>
      </w:pPr>
      <w:r>
        <w:rPr>
          <w:rFonts w:hint="eastAsia" w:ascii="宋体" w:hAnsi="宋体" w:cs="宋体"/>
          <w:szCs w:val="24"/>
        </w:rPr>
        <w:t>最高限价：11952700.00元</w:t>
      </w:r>
    </w:p>
    <w:tbl>
      <w:tblPr>
        <w:tblStyle w:val="22"/>
        <w:tblW w:w="9923"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7"/>
        <w:gridCol w:w="2616"/>
        <w:gridCol w:w="3008"/>
        <w:gridCol w:w="1936"/>
        <w:gridCol w:w="1676"/>
      </w:tblGrid>
      <w:tr w14:paraId="23566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709" w:type="dxa"/>
            <w:vAlign w:val="center"/>
          </w:tcPr>
          <w:p w14:paraId="5F4B455B">
            <w:pPr>
              <w:spacing w:line="276" w:lineRule="auto"/>
              <w:jc w:val="center"/>
              <w:rPr>
                <w:rFonts w:hint="eastAsia" w:ascii="宋体" w:hAnsi="宋体" w:cs="宋体"/>
                <w:sz w:val="24"/>
                <w:szCs w:val="24"/>
              </w:rPr>
            </w:pPr>
            <w:r>
              <w:rPr>
                <w:rFonts w:hint="eastAsia" w:ascii="宋体" w:hAnsi="宋体" w:cs="宋体"/>
                <w:sz w:val="24"/>
                <w:szCs w:val="24"/>
              </w:rPr>
              <w:t>序号</w:t>
            </w:r>
          </w:p>
        </w:tc>
        <w:tc>
          <w:tcPr>
            <w:tcW w:w="2279" w:type="dxa"/>
            <w:vAlign w:val="center"/>
          </w:tcPr>
          <w:p w14:paraId="65B08E7F">
            <w:pPr>
              <w:spacing w:line="276" w:lineRule="auto"/>
              <w:jc w:val="center"/>
              <w:rPr>
                <w:rFonts w:hint="eastAsia" w:ascii="宋体" w:hAnsi="宋体" w:cs="宋体"/>
                <w:sz w:val="24"/>
                <w:szCs w:val="24"/>
              </w:rPr>
            </w:pPr>
            <w:r>
              <w:rPr>
                <w:rFonts w:hint="eastAsia" w:ascii="宋体" w:hAnsi="宋体" w:cs="宋体"/>
                <w:color w:val="auto"/>
                <w:sz w:val="24"/>
                <w:szCs w:val="24"/>
                <w:highlight w:val="none"/>
              </w:rPr>
              <w:t>包号</w:t>
            </w:r>
          </w:p>
        </w:tc>
        <w:tc>
          <w:tcPr>
            <w:tcW w:w="3249" w:type="dxa"/>
            <w:vAlign w:val="center"/>
          </w:tcPr>
          <w:p w14:paraId="41578131">
            <w:pPr>
              <w:spacing w:line="276" w:lineRule="auto"/>
              <w:jc w:val="center"/>
              <w:rPr>
                <w:rFonts w:hint="eastAsia" w:ascii="宋体" w:hAnsi="宋体" w:cs="宋体"/>
                <w:sz w:val="24"/>
                <w:szCs w:val="24"/>
                <w:highlight w:val="yellow"/>
              </w:rPr>
            </w:pPr>
            <w:r>
              <w:rPr>
                <w:rFonts w:hint="eastAsia" w:ascii="宋体" w:hAnsi="宋体" w:cs="宋体"/>
                <w:sz w:val="24"/>
                <w:szCs w:val="24"/>
              </w:rPr>
              <w:t>包名称</w:t>
            </w:r>
          </w:p>
        </w:tc>
        <w:tc>
          <w:tcPr>
            <w:tcW w:w="1985" w:type="dxa"/>
            <w:vAlign w:val="center"/>
          </w:tcPr>
          <w:p w14:paraId="55041396">
            <w:pPr>
              <w:spacing w:line="276" w:lineRule="auto"/>
              <w:jc w:val="center"/>
              <w:rPr>
                <w:rFonts w:hint="eastAsia" w:ascii="宋体" w:hAnsi="宋体" w:cs="宋体"/>
                <w:sz w:val="24"/>
                <w:szCs w:val="24"/>
              </w:rPr>
            </w:pPr>
            <w:r>
              <w:rPr>
                <w:rFonts w:hint="eastAsia" w:ascii="宋体" w:hAnsi="宋体" w:cs="宋体"/>
                <w:sz w:val="24"/>
                <w:szCs w:val="24"/>
              </w:rPr>
              <w:t>包预算(元)</w:t>
            </w:r>
          </w:p>
        </w:tc>
        <w:tc>
          <w:tcPr>
            <w:tcW w:w="1701" w:type="dxa"/>
            <w:vAlign w:val="center"/>
          </w:tcPr>
          <w:p w14:paraId="187032B8">
            <w:pPr>
              <w:spacing w:line="276" w:lineRule="auto"/>
              <w:jc w:val="center"/>
              <w:rPr>
                <w:rFonts w:hint="eastAsia" w:ascii="宋体" w:hAnsi="宋体" w:cs="宋体"/>
                <w:sz w:val="24"/>
                <w:szCs w:val="24"/>
              </w:rPr>
            </w:pPr>
            <w:r>
              <w:rPr>
                <w:rFonts w:hint="eastAsia" w:ascii="宋体" w:hAnsi="宋体" w:cs="宋体"/>
                <w:sz w:val="24"/>
                <w:szCs w:val="24"/>
              </w:rPr>
              <w:t>包最高限价（元）</w:t>
            </w:r>
          </w:p>
        </w:tc>
      </w:tr>
      <w:tr w14:paraId="0CE99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709" w:type="dxa"/>
            <w:vAlign w:val="center"/>
          </w:tcPr>
          <w:p w14:paraId="458A5230">
            <w:pPr>
              <w:spacing w:line="276" w:lineRule="auto"/>
              <w:jc w:val="center"/>
              <w:rPr>
                <w:rFonts w:hint="eastAsia" w:ascii="宋体" w:hAnsi="宋体" w:cs="宋体"/>
                <w:sz w:val="24"/>
                <w:szCs w:val="24"/>
              </w:rPr>
            </w:pPr>
            <w:r>
              <w:rPr>
                <w:rFonts w:hint="eastAsia" w:ascii="宋体" w:hAnsi="宋体" w:cs="宋体"/>
                <w:sz w:val="24"/>
                <w:szCs w:val="24"/>
              </w:rPr>
              <w:t>1</w:t>
            </w:r>
          </w:p>
        </w:tc>
        <w:tc>
          <w:tcPr>
            <w:tcW w:w="2279" w:type="dxa"/>
            <w:vAlign w:val="center"/>
          </w:tcPr>
          <w:p w14:paraId="667FC4F1">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SGZ[2025]465-ZC307</w:t>
            </w:r>
            <w:r>
              <w:rPr>
                <w:rFonts w:hint="eastAsia" w:ascii="宋体" w:hAnsi="宋体" w:cs="宋体"/>
                <w:sz w:val="24"/>
                <w:szCs w:val="24"/>
                <w:lang w:val="en-US" w:eastAsia="zh-CN"/>
              </w:rPr>
              <w:t>-1</w:t>
            </w:r>
          </w:p>
        </w:tc>
        <w:tc>
          <w:tcPr>
            <w:tcW w:w="3249" w:type="dxa"/>
            <w:vAlign w:val="center"/>
          </w:tcPr>
          <w:p w14:paraId="4EB332A8">
            <w:pPr>
              <w:spacing w:line="276" w:lineRule="auto"/>
              <w:jc w:val="center"/>
              <w:rPr>
                <w:rFonts w:hint="eastAsia" w:ascii="宋体" w:hAnsi="宋体" w:eastAsia="宋体" w:cs="宋体"/>
                <w:sz w:val="24"/>
                <w:szCs w:val="24"/>
              </w:rPr>
            </w:pPr>
            <w:r>
              <w:rPr>
                <w:rFonts w:hint="eastAsia" w:ascii="宋体" w:hAnsi="宋体" w:eastAsia="宋体" w:cs="宋体"/>
                <w:sz w:val="24"/>
                <w:szCs w:val="24"/>
                <w:lang w:eastAsia="zh-CN"/>
              </w:rPr>
              <w:t>三门峡市自然资源和规划局实景三维三门峡建设项目包</w:t>
            </w:r>
            <w:r>
              <w:rPr>
                <w:rFonts w:hint="eastAsia" w:ascii="宋体" w:hAnsi="宋体" w:eastAsia="宋体" w:cs="宋体"/>
                <w:sz w:val="24"/>
                <w:szCs w:val="24"/>
                <w:lang w:val="en-US" w:eastAsia="zh-CN"/>
              </w:rPr>
              <w:t>1</w:t>
            </w:r>
          </w:p>
        </w:tc>
        <w:tc>
          <w:tcPr>
            <w:tcW w:w="1985" w:type="dxa"/>
            <w:vAlign w:val="center"/>
          </w:tcPr>
          <w:p w14:paraId="4BAB407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8440400.00</w:t>
            </w:r>
          </w:p>
        </w:tc>
        <w:tc>
          <w:tcPr>
            <w:tcW w:w="1701" w:type="dxa"/>
            <w:vAlign w:val="center"/>
          </w:tcPr>
          <w:p w14:paraId="03D491C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8440400.00</w:t>
            </w:r>
          </w:p>
        </w:tc>
      </w:tr>
      <w:tr w14:paraId="433E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709" w:type="dxa"/>
            <w:vAlign w:val="center"/>
          </w:tcPr>
          <w:p w14:paraId="78819221">
            <w:pPr>
              <w:spacing w:line="276" w:lineRule="auto"/>
              <w:jc w:val="center"/>
              <w:rPr>
                <w:rFonts w:hint="eastAsia" w:ascii="宋体" w:hAnsi="宋体" w:cs="宋体"/>
                <w:sz w:val="24"/>
                <w:szCs w:val="24"/>
              </w:rPr>
            </w:pPr>
            <w:r>
              <w:rPr>
                <w:rFonts w:hint="eastAsia" w:ascii="宋体" w:hAnsi="宋体" w:cs="宋体"/>
                <w:sz w:val="24"/>
                <w:szCs w:val="24"/>
              </w:rPr>
              <w:t>2</w:t>
            </w:r>
          </w:p>
        </w:tc>
        <w:tc>
          <w:tcPr>
            <w:tcW w:w="2279" w:type="dxa"/>
            <w:vAlign w:val="center"/>
          </w:tcPr>
          <w:p w14:paraId="1DCFEA83">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SGZ[2025]465-ZC307</w:t>
            </w:r>
            <w:r>
              <w:rPr>
                <w:rFonts w:hint="eastAsia" w:ascii="宋体" w:hAnsi="宋体" w:cs="宋体"/>
                <w:sz w:val="24"/>
                <w:szCs w:val="24"/>
                <w:lang w:val="en-US" w:eastAsia="zh-CN"/>
              </w:rPr>
              <w:t>-2</w:t>
            </w:r>
          </w:p>
        </w:tc>
        <w:tc>
          <w:tcPr>
            <w:tcW w:w="3249" w:type="dxa"/>
            <w:vAlign w:val="center"/>
          </w:tcPr>
          <w:p w14:paraId="4C645411">
            <w:pPr>
              <w:spacing w:line="276" w:lineRule="auto"/>
              <w:jc w:val="center"/>
              <w:rPr>
                <w:rFonts w:hint="eastAsia" w:ascii="宋体" w:hAnsi="宋体" w:eastAsia="宋体" w:cs="宋体"/>
                <w:sz w:val="24"/>
                <w:szCs w:val="24"/>
              </w:rPr>
            </w:pPr>
            <w:r>
              <w:rPr>
                <w:rFonts w:hint="eastAsia" w:ascii="宋体" w:hAnsi="宋体" w:eastAsia="宋体" w:cs="宋体"/>
                <w:sz w:val="24"/>
                <w:szCs w:val="24"/>
                <w:lang w:eastAsia="zh-CN"/>
              </w:rPr>
              <w:t>三门峡市自然资源和规划局实景三维三门峡建设项目包</w:t>
            </w:r>
            <w:r>
              <w:rPr>
                <w:rFonts w:hint="eastAsia" w:ascii="宋体" w:hAnsi="宋体" w:eastAsia="宋体" w:cs="宋体"/>
                <w:sz w:val="24"/>
                <w:szCs w:val="24"/>
                <w:lang w:val="en-US" w:eastAsia="zh-CN"/>
              </w:rPr>
              <w:t>2</w:t>
            </w:r>
          </w:p>
        </w:tc>
        <w:tc>
          <w:tcPr>
            <w:tcW w:w="1985" w:type="dxa"/>
            <w:vAlign w:val="center"/>
          </w:tcPr>
          <w:p w14:paraId="3FF9FE0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3085700.00</w:t>
            </w:r>
          </w:p>
        </w:tc>
        <w:tc>
          <w:tcPr>
            <w:tcW w:w="1701" w:type="dxa"/>
            <w:vAlign w:val="center"/>
          </w:tcPr>
          <w:p w14:paraId="7492EA9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3085700.00</w:t>
            </w:r>
          </w:p>
        </w:tc>
      </w:tr>
      <w:tr w14:paraId="36386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trPr>
        <w:tc>
          <w:tcPr>
            <w:tcW w:w="709" w:type="dxa"/>
            <w:vAlign w:val="center"/>
          </w:tcPr>
          <w:p w14:paraId="56C593D1">
            <w:pPr>
              <w:spacing w:line="276" w:lineRule="auto"/>
              <w:jc w:val="center"/>
              <w:rPr>
                <w:rFonts w:hint="eastAsia" w:ascii="宋体" w:hAnsi="宋体" w:cs="宋体"/>
                <w:sz w:val="24"/>
                <w:szCs w:val="24"/>
              </w:rPr>
            </w:pPr>
            <w:r>
              <w:rPr>
                <w:rFonts w:hint="eastAsia" w:ascii="宋体" w:hAnsi="宋体" w:cs="宋体"/>
                <w:sz w:val="24"/>
                <w:szCs w:val="24"/>
              </w:rPr>
              <w:t>3</w:t>
            </w:r>
          </w:p>
        </w:tc>
        <w:tc>
          <w:tcPr>
            <w:tcW w:w="2279" w:type="dxa"/>
            <w:vAlign w:val="center"/>
          </w:tcPr>
          <w:p w14:paraId="74C4977B">
            <w:pPr>
              <w:spacing w:line="276" w:lineRule="auto"/>
              <w:jc w:val="center"/>
              <w:rPr>
                <w:rFonts w:hint="default" w:ascii="宋体" w:hAnsi="宋体" w:eastAsia="宋体" w:cs="宋体"/>
                <w:sz w:val="24"/>
                <w:szCs w:val="24"/>
                <w:lang w:val="en-US" w:eastAsia="zh-CN"/>
              </w:rPr>
            </w:pPr>
            <w:r>
              <w:rPr>
                <w:rFonts w:hint="eastAsia" w:ascii="宋体" w:hAnsi="宋体" w:eastAsia="宋体" w:cs="宋体"/>
                <w:sz w:val="24"/>
                <w:szCs w:val="24"/>
              </w:rPr>
              <w:t>SGZ[2025]465-ZC307</w:t>
            </w:r>
            <w:r>
              <w:rPr>
                <w:rFonts w:hint="eastAsia" w:ascii="宋体" w:hAnsi="宋体" w:cs="宋体"/>
                <w:sz w:val="24"/>
                <w:szCs w:val="24"/>
                <w:lang w:val="en-US" w:eastAsia="zh-CN"/>
              </w:rPr>
              <w:t>-3</w:t>
            </w:r>
          </w:p>
        </w:tc>
        <w:tc>
          <w:tcPr>
            <w:tcW w:w="3249" w:type="dxa"/>
            <w:vAlign w:val="center"/>
          </w:tcPr>
          <w:p w14:paraId="34F452BA">
            <w:pPr>
              <w:spacing w:line="276" w:lineRule="auto"/>
              <w:jc w:val="center"/>
              <w:rPr>
                <w:rFonts w:hint="eastAsia" w:ascii="宋体" w:hAnsi="宋体" w:eastAsia="宋体" w:cs="宋体"/>
                <w:sz w:val="24"/>
                <w:szCs w:val="24"/>
              </w:rPr>
            </w:pPr>
            <w:r>
              <w:rPr>
                <w:rFonts w:hint="eastAsia" w:ascii="宋体" w:hAnsi="宋体" w:eastAsia="宋体" w:cs="宋体"/>
                <w:sz w:val="24"/>
                <w:szCs w:val="24"/>
                <w:lang w:eastAsia="zh-CN"/>
              </w:rPr>
              <w:t>三门峡市自然资源和规划局实景三维三门峡建设项目包</w:t>
            </w:r>
            <w:r>
              <w:rPr>
                <w:rFonts w:hint="eastAsia" w:ascii="宋体" w:hAnsi="宋体" w:eastAsia="宋体" w:cs="宋体"/>
                <w:sz w:val="24"/>
                <w:szCs w:val="24"/>
                <w:lang w:val="en-US" w:eastAsia="zh-CN"/>
              </w:rPr>
              <w:t>3</w:t>
            </w:r>
          </w:p>
        </w:tc>
        <w:tc>
          <w:tcPr>
            <w:tcW w:w="1985" w:type="dxa"/>
            <w:vAlign w:val="center"/>
          </w:tcPr>
          <w:p w14:paraId="1C168BF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426600.00</w:t>
            </w:r>
          </w:p>
        </w:tc>
        <w:tc>
          <w:tcPr>
            <w:tcW w:w="1701" w:type="dxa"/>
            <w:vAlign w:val="center"/>
          </w:tcPr>
          <w:p w14:paraId="2803D61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426600.00</w:t>
            </w:r>
          </w:p>
        </w:tc>
      </w:tr>
    </w:tbl>
    <w:p w14:paraId="2CCE8BC5">
      <w:pPr>
        <w:spacing w:line="360" w:lineRule="auto"/>
        <w:ind w:firstLine="480" w:firstLineChars="200"/>
        <w:rPr>
          <w:rFonts w:hint="eastAsia" w:ascii="宋体" w:hAnsi="宋体" w:cs="宋体"/>
          <w:sz w:val="24"/>
          <w:szCs w:val="24"/>
        </w:rPr>
      </w:pPr>
      <w:r>
        <w:rPr>
          <w:rFonts w:hint="eastAsia" w:ascii="宋体" w:hAnsi="宋体" w:cs="宋体"/>
          <w:sz w:val="24"/>
          <w:szCs w:val="24"/>
          <w:lang w:val="zh-TW"/>
        </w:rPr>
        <w:t>5、</w:t>
      </w:r>
      <w:r>
        <w:rPr>
          <w:rFonts w:hint="eastAsia" w:ascii="宋体" w:hAnsi="宋体" w:cs="宋体"/>
          <w:sz w:val="24"/>
          <w:szCs w:val="24"/>
        </w:rPr>
        <w:t>采购需求(包括但不限于标的的名称、数量、简要技术需求或服务要求等)：</w:t>
      </w:r>
    </w:p>
    <w:p w14:paraId="0AD4BE7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5.1采购范围：</w:t>
      </w:r>
    </w:p>
    <w:p w14:paraId="1E9C848C">
      <w:pPr>
        <w:spacing w:line="360" w:lineRule="auto"/>
        <w:ind w:firstLine="480" w:firstLineChars="200"/>
        <w:jc w:val="left"/>
        <w:rPr>
          <w:rFonts w:hint="eastAsia" w:ascii="宋体" w:hAnsi="宋体" w:cs="宋体"/>
          <w:sz w:val="24"/>
          <w:szCs w:val="24"/>
        </w:rPr>
      </w:pPr>
      <w:r>
        <w:rPr>
          <w:rFonts w:hint="eastAsia" w:ascii="宋体" w:hAnsi="宋体" w:cs="宋体"/>
          <w:kern w:val="0"/>
          <w:sz w:val="24"/>
          <w:szCs w:val="24"/>
        </w:rPr>
        <w:t>本项目为三门峡市自然资源和规划局实景三维三门峡建设项目。项目主要内容为包括城市级实景三维、物联感知数据接入与融合、在线系统与支撑环境建设、示范应用。其中包1：</w:t>
      </w:r>
      <w:r>
        <w:rPr>
          <w:rFonts w:hint="eastAsia" w:ascii="宋体" w:hAnsi="宋体" w:cs="宋体"/>
          <w:sz w:val="24"/>
          <w:szCs w:val="24"/>
        </w:rPr>
        <w:t>城市级实景三维、数据融合、支撑环境建设</w:t>
      </w:r>
      <w:r>
        <w:rPr>
          <w:rFonts w:hint="eastAsia" w:ascii="宋体" w:hAnsi="宋体" w:cs="宋体"/>
          <w:kern w:val="0"/>
          <w:sz w:val="24"/>
          <w:szCs w:val="24"/>
        </w:rPr>
        <w:t>；包2：</w:t>
      </w:r>
      <w:r>
        <w:rPr>
          <w:rFonts w:hint="eastAsia" w:ascii="宋体" w:hAnsi="宋体" w:cs="宋体"/>
          <w:sz w:val="24"/>
          <w:szCs w:val="24"/>
        </w:rPr>
        <w:t>实景三维平台、示范应用建设</w:t>
      </w:r>
      <w:r>
        <w:rPr>
          <w:rFonts w:hint="eastAsia" w:ascii="宋体" w:hAnsi="宋体" w:cs="宋体"/>
          <w:kern w:val="0"/>
          <w:sz w:val="24"/>
          <w:szCs w:val="24"/>
        </w:rPr>
        <w:t>；包3：</w:t>
      </w:r>
      <w:r>
        <w:rPr>
          <w:rFonts w:hint="eastAsia" w:ascii="宋体" w:hAnsi="宋体" w:cs="宋体"/>
          <w:sz w:val="24"/>
          <w:szCs w:val="24"/>
        </w:rPr>
        <w:t>实景三维三门峡建设监理</w:t>
      </w:r>
      <w:r>
        <w:rPr>
          <w:rFonts w:hint="eastAsia" w:ascii="宋体" w:hAnsi="宋体" w:cs="宋体"/>
          <w:kern w:val="0"/>
          <w:sz w:val="24"/>
          <w:szCs w:val="24"/>
        </w:rPr>
        <w:t>。</w:t>
      </w:r>
    </w:p>
    <w:p w14:paraId="7595BF1B">
      <w:pPr>
        <w:pStyle w:val="13"/>
        <w:spacing w:line="360" w:lineRule="auto"/>
        <w:ind w:left="0"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5.2资金来源</w:t>
      </w:r>
      <w:r>
        <w:rPr>
          <w:rFonts w:hint="eastAsia" w:ascii="宋体" w:hAnsi="宋体" w:cs="宋体"/>
          <w:color w:val="000000" w:themeColor="text1"/>
          <w:sz w:val="24"/>
          <w:szCs w:val="24"/>
          <w14:textFill>
            <w14:solidFill>
              <w14:schemeClr w14:val="tx1"/>
            </w14:solidFill>
          </w14:textFill>
        </w:rPr>
        <w:t>：财政资金，已落实</w:t>
      </w:r>
    </w:p>
    <w:p w14:paraId="0CD15D42">
      <w:pPr>
        <w:pStyle w:val="13"/>
        <w:spacing w:line="360" w:lineRule="auto"/>
        <w:ind w:left="0" w:firstLine="480" w:firstLineChars="200"/>
        <w:rPr>
          <w:rFonts w:hint="eastAsia" w:ascii="宋体" w:hAnsi="宋体" w:cs="宋体"/>
          <w:sz w:val="24"/>
          <w:szCs w:val="24"/>
        </w:rPr>
      </w:pPr>
      <w:r>
        <w:rPr>
          <w:rFonts w:hint="eastAsia" w:ascii="宋体" w:hAnsi="宋体" w:cs="宋体"/>
          <w:sz w:val="24"/>
          <w:szCs w:val="24"/>
        </w:rPr>
        <w:t>5.3质量要求：合格，符合国家及行业标准，并满足采购人要求；</w:t>
      </w:r>
    </w:p>
    <w:p w14:paraId="56F35690">
      <w:pPr>
        <w:spacing w:line="360" w:lineRule="auto"/>
        <w:ind w:firstLine="480" w:firstLineChars="200"/>
        <w:rPr>
          <w:rFonts w:hint="eastAsia" w:ascii="宋体" w:hAnsi="宋体" w:cs="宋体"/>
          <w:sz w:val="24"/>
          <w:szCs w:val="24"/>
        </w:rPr>
      </w:pPr>
      <w:r>
        <w:rPr>
          <w:rFonts w:hint="eastAsia" w:ascii="宋体" w:hAnsi="宋体" w:cs="宋体"/>
          <w:sz w:val="24"/>
          <w:szCs w:val="24"/>
        </w:rPr>
        <w:t>5.4服务期限：自合同签订生效之日起至通过验收；</w:t>
      </w:r>
    </w:p>
    <w:p w14:paraId="504CA4E2">
      <w:pPr>
        <w:spacing w:line="360" w:lineRule="auto"/>
        <w:ind w:firstLine="480" w:firstLineChars="200"/>
        <w:rPr>
          <w:rFonts w:hint="eastAsia" w:ascii="宋体" w:hAnsi="宋体" w:cs="宋体"/>
          <w:sz w:val="24"/>
          <w:szCs w:val="24"/>
        </w:rPr>
      </w:pPr>
      <w:r>
        <w:rPr>
          <w:rFonts w:hint="eastAsia" w:ascii="宋体" w:hAnsi="宋体" w:cs="宋体"/>
          <w:sz w:val="24"/>
          <w:szCs w:val="24"/>
        </w:rPr>
        <w:t>6、合同履行期限：同服务期限。</w:t>
      </w:r>
    </w:p>
    <w:p w14:paraId="275E5263">
      <w:pPr>
        <w:spacing w:line="360" w:lineRule="auto"/>
        <w:ind w:firstLine="480" w:firstLineChars="200"/>
        <w:rPr>
          <w:rFonts w:hint="eastAsia" w:ascii="宋体" w:hAnsi="宋体" w:cs="宋体"/>
          <w:sz w:val="24"/>
          <w:szCs w:val="24"/>
        </w:rPr>
      </w:pPr>
      <w:r>
        <w:rPr>
          <w:rFonts w:hint="eastAsia" w:ascii="宋体" w:hAnsi="宋体" w:cs="宋体"/>
          <w:sz w:val="24"/>
          <w:szCs w:val="24"/>
        </w:rPr>
        <w:t>7、本项目是否接受联合体投标：否</w:t>
      </w:r>
    </w:p>
    <w:p w14:paraId="688B6319">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sz w:val="24"/>
          <w:szCs w:val="24"/>
        </w:rPr>
        <w:t>8、</w:t>
      </w:r>
      <w:r>
        <w:rPr>
          <w:rFonts w:hint="eastAsia" w:ascii="宋体" w:hAnsi="宋体" w:cs="宋体"/>
          <w:color w:val="000000" w:themeColor="text1"/>
          <w:sz w:val="24"/>
          <w:szCs w:val="24"/>
          <w14:textFill>
            <w14:solidFill>
              <w14:schemeClr w14:val="tx1"/>
            </w14:solidFill>
          </w14:textFill>
        </w:rPr>
        <w:t>是否接受进口产品：否</w:t>
      </w:r>
    </w:p>
    <w:p w14:paraId="4665ACB2">
      <w:pPr>
        <w:spacing w:line="360" w:lineRule="auto"/>
        <w:ind w:firstLine="480" w:firstLineChars="200"/>
        <w:rPr>
          <w:rFonts w:hint="eastAsia" w:ascii="宋体" w:hAnsi="宋体" w:cs="宋体"/>
          <w:sz w:val="24"/>
          <w:szCs w:val="24"/>
        </w:rPr>
      </w:pPr>
      <w:r>
        <w:rPr>
          <w:rFonts w:hint="eastAsia" w:ascii="宋体" w:hAnsi="宋体" w:cs="宋体"/>
          <w:sz w:val="24"/>
          <w:szCs w:val="24"/>
        </w:rPr>
        <w:t>9、是否专门面向中小企业：否</w:t>
      </w:r>
    </w:p>
    <w:p w14:paraId="459EF0BF">
      <w:pPr>
        <w:spacing w:line="360" w:lineRule="auto"/>
        <w:ind w:firstLine="482" w:firstLineChars="200"/>
        <w:rPr>
          <w:rFonts w:hint="eastAsia" w:ascii="宋体" w:hAnsi="宋体" w:cs="宋体"/>
          <w:sz w:val="24"/>
          <w:szCs w:val="24"/>
        </w:rPr>
      </w:pPr>
      <w:r>
        <w:rPr>
          <w:rFonts w:hint="eastAsia" w:ascii="宋体" w:hAnsi="宋体" w:cs="宋体"/>
          <w:b/>
          <w:bCs/>
          <w:sz w:val="24"/>
          <w:szCs w:val="24"/>
        </w:rPr>
        <w:t>二、申请人资格要求</w:t>
      </w:r>
    </w:p>
    <w:p w14:paraId="7D869F2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1、</w:t>
      </w:r>
      <w:r>
        <w:rPr>
          <w:rFonts w:hint="eastAsia" w:ascii="宋体" w:hAnsi="宋体" w:cs="宋体"/>
          <w:sz w:val="24"/>
          <w:szCs w:val="24"/>
          <w:lang w:val="zh-TW"/>
        </w:rPr>
        <w:t>供应商须符合《中华人民共和国政府采购法》第二十二条的规定；</w:t>
      </w:r>
    </w:p>
    <w:p w14:paraId="3095B913">
      <w:pPr>
        <w:spacing w:line="360" w:lineRule="auto"/>
        <w:ind w:firstLine="480" w:firstLineChars="200"/>
        <w:rPr>
          <w:rFonts w:hint="eastAsia" w:ascii="宋体" w:hAnsi="宋体" w:cs="宋体"/>
          <w:sz w:val="24"/>
          <w:szCs w:val="24"/>
          <w:lang w:bidi="en-US"/>
        </w:rPr>
      </w:pPr>
      <w:r>
        <w:rPr>
          <w:rFonts w:hint="eastAsia" w:ascii="宋体" w:hAnsi="宋体" w:cs="宋体"/>
          <w:sz w:val="24"/>
          <w:szCs w:val="24"/>
        </w:rPr>
        <w:t>2、落实相关采购政策</w:t>
      </w:r>
      <w:r>
        <w:rPr>
          <w:rFonts w:hint="eastAsia" w:ascii="宋体" w:hAnsi="宋体" w:cs="宋体"/>
          <w:sz w:val="24"/>
          <w:szCs w:val="24"/>
          <w:lang w:bidi="en-US"/>
        </w:rPr>
        <w:t>满足的资格要求</w:t>
      </w:r>
      <w:r>
        <w:rPr>
          <w:rFonts w:hint="eastAsia" w:ascii="宋体" w:hAnsi="宋体" w:cs="宋体"/>
          <w:sz w:val="24"/>
          <w:szCs w:val="24"/>
        </w:rPr>
        <w:t>：无。</w:t>
      </w:r>
    </w:p>
    <w:p w14:paraId="7AE9D010">
      <w:pPr>
        <w:spacing w:line="360" w:lineRule="auto"/>
        <w:ind w:firstLine="480" w:firstLineChars="200"/>
        <w:rPr>
          <w:rFonts w:hint="eastAsia" w:ascii="宋体" w:hAnsi="宋体" w:cs="宋体"/>
          <w:sz w:val="24"/>
          <w:szCs w:val="24"/>
        </w:rPr>
      </w:pPr>
      <w:r>
        <w:rPr>
          <w:rFonts w:hint="eastAsia" w:ascii="宋体" w:hAnsi="宋体" w:cs="宋体"/>
          <w:sz w:val="24"/>
          <w:szCs w:val="24"/>
        </w:rPr>
        <w:t>3、本项目特定资格要求</w:t>
      </w:r>
    </w:p>
    <w:p w14:paraId="76DFDE8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3.1第1标包：供应商应具有测绘地理信息行政主管部门颁发的甲级测绘资质，专业类别须包含测绘航空摄影、摄影测量与遥感、地理信息系统工程、地图编制。</w:t>
      </w:r>
    </w:p>
    <w:p w14:paraId="056A11C2">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3.2第2标包：供应商应具有测绘地理信息行政主管部门颁发的乙级及以上测绘资质，专业类别须包含地理信息系统工程。</w:t>
      </w:r>
    </w:p>
    <w:p w14:paraId="5137F20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3.3第3标包：供应商应具有测绘地理信息行政主管部门颁发的甲级测绘资质，专业类别须包含测绘航空摄影、摄影测量与遥感、地理信息系统工程、地图编制。</w:t>
      </w:r>
    </w:p>
    <w:p w14:paraId="6A4DCDD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3.4具有独立承担民事责任的能力(供应商提供有效的法人证书或者其他组织的营业执照等证明文件或自然人的身份证明)。</w:t>
      </w:r>
    </w:p>
    <w:p w14:paraId="45DF7BC4">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5</w:t>
      </w:r>
      <w:r>
        <w:rPr>
          <w:rFonts w:hint="eastAsia" w:ascii="宋体" w:hAnsi="宋体" w:cs="宋体"/>
          <w:sz w:val="24"/>
          <w:szCs w:val="24"/>
          <w:lang w:val="zh-TW"/>
        </w:rPr>
        <w:t>具有履行合同所必需的设备和专业技术能力(提供承诺书，格式自拟)。</w:t>
      </w:r>
    </w:p>
    <w:p w14:paraId="299BD7E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6</w:t>
      </w:r>
      <w:r>
        <w:rPr>
          <w:rFonts w:hint="eastAsia" w:ascii="宋体" w:hAnsi="宋体" w:cs="宋体"/>
          <w:sz w:val="24"/>
          <w:szCs w:val="24"/>
          <w:lang w:val="zh-TW"/>
        </w:rPr>
        <w:t>供应商参加政府采购活动前三年内在经营活动中没有重大违法、违纪行为(提供加盖公章的书面声明，格式自拟)。</w:t>
      </w:r>
    </w:p>
    <w:p w14:paraId="5AB7BB79">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3.7</w:t>
      </w:r>
      <w:r>
        <w:rPr>
          <w:rFonts w:hint="eastAsia" w:ascii="宋体" w:hAnsi="宋体" w:cs="宋体"/>
          <w:sz w:val="24"/>
          <w:szCs w:val="24"/>
          <w:lang w:val="zh-TW" w:eastAsia="zh-CN"/>
        </w:rPr>
        <w:t>供应商</w:t>
      </w:r>
      <w:r>
        <w:rPr>
          <w:rFonts w:hint="eastAsia" w:ascii="宋体" w:hAnsi="宋体" w:cs="宋体"/>
          <w:sz w:val="24"/>
          <w:szCs w:val="24"/>
          <w:lang w:val="zh-TW"/>
        </w:rPr>
        <w:t>自行出具本企业无商业贿赂和不正当竞争行为承诺书。</w:t>
      </w:r>
    </w:p>
    <w:p w14:paraId="559FEE04">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8</w:t>
      </w:r>
      <w:r>
        <w:rPr>
          <w:rFonts w:hint="eastAsia" w:ascii="宋体" w:hAnsi="宋体" w:cs="宋体"/>
          <w:sz w:val="24"/>
          <w:szCs w:val="24"/>
          <w:lang w:val="zh-TW"/>
        </w:rPr>
        <w:t>根据《关于在政府采购活动中查询及使用信用记录有关问题的通知》(财库[2016]125号)和豫财购【2016】15号的规定， 对列入失信被执行人、重大税收违法失信主体、政府采购严重违 法失信行为记录名单的供应商，拒绝参与本项目政府采购活动。 【提供信用查询的方法：首先供应商自行提供信用查询结果，附 在投标文件内，查询日期不得早于公告发布日期。采购人或采购 代理机构在开标结束后对“信用中国、中国政府采购网”网上即时查询信用项，采购人或采购代理机构即时查询信用结果作为最终 审查依据】。</w:t>
      </w:r>
    </w:p>
    <w:p w14:paraId="737B0038">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【查询渠道：1.“信用中国”网站 (</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"https://www.creditchina.gov.cn," </w:instrText>
      </w:r>
      <w:r>
        <w:rPr>
          <w:rFonts w:hint="eastAsia" w:ascii="宋体" w:hAnsi="宋体" w:cs="宋体"/>
          <w:sz w:val="24"/>
          <w:szCs w:val="24"/>
          <w:lang w:val="zh-TW"/>
        </w:rPr>
        <w:fldChar w:fldCharType="separate"/>
      </w:r>
      <w:r>
        <w:rPr>
          <w:rFonts w:hint="eastAsia" w:ascii="宋体" w:hAnsi="宋体" w:cs="宋体"/>
          <w:sz w:val="24"/>
          <w:szCs w:val="24"/>
          <w:lang w:val="zh-TW"/>
        </w:rPr>
        <w:t>www.creditchina.gov.cn,</w:t>
      </w:r>
      <w:r>
        <w:rPr>
          <w:rFonts w:hint="eastAsia" w:ascii="宋体" w:hAnsi="宋体" w:cs="宋体"/>
          <w:sz w:val="24"/>
          <w:szCs w:val="24"/>
          <w:lang w:val="zh-TW"/>
        </w:rPr>
        <w:fldChar w:fldCharType="end"/>
      </w:r>
      <w:r>
        <w:rPr>
          <w:rFonts w:hint="eastAsia" w:ascii="宋体" w:hAnsi="宋体" w:cs="宋体"/>
          <w:sz w:val="24"/>
          <w:szCs w:val="24"/>
          <w:lang w:val="zh-TW"/>
        </w:rPr>
        <w:t>查询内容为：重大税收违法失信主体)、“中国执行信息公开网” 网站(</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"http://zxgk.court.gov.cn" </w:instrText>
      </w:r>
      <w:r>
        <w:rPr>
          <w:rFonts w:hint="eastAsia" w:ascii="宋体" w:hAnsi="宋体" w:cs="宋体"/>
          <w:sz w:val="24"/>
          <w:szCs w:val="24"/>
          <w:lang w:val="zh-TW"/>
        </w:rPr>
        <w:fldChar w:fldCharType="separate"/>
      </w:r>
      <w:r>
        <w:rPr>
          <w:rFonts w:hint="eastAsia" w:ascii="宋体" w:hAnsi="宋体" w:cs="宋体"/>
          <w:sz w:val="24"/>
          <w:szCs w:val="24"/>
          <w:lang w:val="zh-TW"/>
        </w:rPr>
        <w:t>http://zxgk.court.gov.cn</w:t>
      </w:r>
      <w:r>
        <w:rPr>
          <w:rFonts w:hint="eastAsia" w:ascii="宋体" w:hAnsi="宋体" w:cs="宋体"/>
          <w:sz w:val="24"/>
          <w:szCs w:val="24"/>
          <w:lang w:val="zh-TW"/>
        </w:rPr>
        <w:fldChar w:fldCharType="end"/>
      </w:r>
      <w:r>
        <w:rPr>
          <w:rFonts w:hint="eastAsia" w:ascii="宋体" w:hAnsi="宋体" w:cs="宋体"/>
          <w:sz w:val="24"/>
          <w:szCs w:val="24"/>
          <w:lang w:val="zh-TW"/>
        </w:rPr>
        <w:t>,查询内容为：失信被执行人)2.中国政府采购网(</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"https://www.ccgp.gov.cn" </w:instrText>
      </w:r>
      <w:r>
        <w:rPr>
          <w:rFonts w:hint="eastAsia" w:ascii="宋体" w:hAnsi="宋体" w:cs="宋体"/>
          <w:sz w:val="24"/>
          <w:szCs w:val="24"/>
          <w:lang w:val="zh-TW"/>
        </w:rPr>
        <w:fldChar w:fldCharType="separate"/>
      </w:r>
      <w:r>
        <w:rPr>
          <w:rFonts w:hint="eastAsia" w:ascii="宋体" w:hAnsi="宋体" w:cs="宋体"/>
          <w:sz w:val="24"/>
          <w:szCs w:val="24"/>
          <w:lang w:val="zh-TW"/>
        </w:rPr>
        <w:t>www.ccgp.gov.cn</w:t>
      </w:r>
      <w:r>
        <w:rPr>
          <w:rFonts w:hint="eastAsia" w:ascii="宋体" w:hAnsi="宋体" w:cs="宋体"/>
          <w:sz w:val="24"/>
          <w:szCs w:val="24"/>
          <w:lang w:val="zh-TW"/>
        </w:rPr>
        <w:fldChar w:fldCharType="end"/>
      </w:r>
      <w:r>
        <w:rPr>
          <w:rFonts w:hint="eastAsia" w:ascii="宋体" w:hAnsi="宋体" w:cs="宋体"/>
          <w:sz w:val="24"/>
          <w:szCs w:val="24"/>
          <w:lang w:val="zh-TW"/>
        </w:rPr>
        <w:t>, 查询内容为：政府采购严重违法失信行为记录名单)】</w:t>
      </w:r>
    </w:p>
    <w:p w14:paraId="50C44C58">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9</w:t>
      </w:r>
      <w:r>
        <w:rPr>
          <w:rFonts w:hint="eastAsia" w:ascii="宋体" w:hAnsi="宋体" w:cs="宋体"/>
          <w:sz w:val="24"/>
          <w:szCs w:val="24"/>
          <w:lang w:val="zh-TW"/>
        </w:rPr>
        <w:t>单位负责人为同一人或者存在直接控股、管理关系的不同供应商，不得参加同一合同项下的政府采购活动。提供国家企业信用信息公示系统的企业信用信息公示报告或承诺书(格式自拟)。</w:t>
      </w:r>
    </w:p>
    <w:p w14:paraId="15B1AA4E">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w:t>
      </w:r>
      <w:r>
        <w:rPr>
          <w:rFonts w:hint="eastAsia" w:ascii="宋体" w:hAnsi="宋体" w:cs="宋体"/>
          <w:sz w:val="24"/>
          <w:szCs w:val="24"/>
        </w:rPr>
        <w:t>0</w:t>
      </w:r>
      <w:r>
        <w:rPr>
          <w:rFonts w:hint="eastAsia" w:ascii="宋体" w:hAnsi="宋体" w:cs="宋体"/>
          <w:sz w:val="24"/>
          <w:szCs w:val="24"/>
          <w:lang w:val="zh-TW"/>
        </w:rPr>
        <w:t>本项目不接受联合体投标。</w:t>
      </w:r>
    </w:p>
    <w:p w14:paraId="5BDF401C">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注：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14:paraId="1EAB60D8">
      <w:pPr>
        <w:spacing w:line="360" w:lineRule="auto"/>
        <w:ind w:firstLine="482" w:firstLineChars="200"/>
        <w:rPr>
          <w:rFonts w:hint="eastAsia" w:ascii="宋体" w:hAnsi="宋体" w:cs="宋体"/>
          <w:b/>
          <w:bCs/>
          <w:sz w:val="24"/>
          <w:szCs w:val="24"/>
          <w:lang w:val="zh-TW"/>
        </w:rPr>
      </w:pPr>
      <w:r>
        <w:rPr>
          <w:rFonts w:hint="eastAsia" w:ascii="宋体" w:hAnsi="宋体" w:cs="宋体"/>
          <w:b/>
          <w:bCs/>
          <w:sz w:val="24"/>
          <w:szCs w:val="24"/>
          <w:lang w:val="zh-TW"/>
        </w:rPr>
        <w:t>三、获取招标文件</w:t>
      </w:r>
    </w:p>
    <w:p w14:paraId="2FAEFCCF">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1.时间：2025年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cs="宋体"/>
          <w:color w:val="auto"/>
          <w:sz w:val="24"/>
          <w:szCs w:val="24"/>
        </w:rPr>
        <w:t>日</w:t>
      </w:r>
      <w:r>
        <w:rPr>
          <w:rFonts w:hint="eastAsia" w:ascii="宋体" w:hAnsi="宋体" w:cs="宋体"/>
          <w:color w:val="auto"/>
          <w:sz w:val="24"/>
          <w:szCs w:val="24"/>
          <w:lang w:val="en-US" w:eastAsia="zh-CN"/>
        </w:rPr>
        <w:t>08时00分</w:t>
      </w:r>
      <w:r>
        <w:rPr>
          <w:rFonts w:hint="eastAsia" w:ascii="宋体" w:hAnsi="宋体" w:cs="宋体"/>
          <w:color w:val="auto"/>
          <w:sz w:val="24"/>
          <w:szCs w:val="24"/>
        </w:rPr>
        <w:t>至2025年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cs="宋体"/>
          <w:color w:val="auto"/>
          <w:sz w:val="24"/>
          <w:szCs w:val="24"/>
        </w:rPr>
        <w:t>日</w:t>
      </w:r>
      <w:r>
        <w:rPr>
          <w:rFonts w:hint="eastAsia" w:ascii="宋体" w:hAnsi="宋体" w:cs="宋体"/>
          <w:color w:val="auto"/>
          <w:sz w:val="24"/>
          <w:szCs w:val="24"/>
          <w:lang w:val="en-US" w:eastAsia="zh-CN"/>
        </w:rPr>
        <w:t>09时00分；</w:t>
      </w:r>
    </w:p>
    <w:p w14:paraId="67256FD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2.地点：三门峡市公共资源交易中心网（网址：http://gzjy.smx.gov.cn/）</w:t>
      </w:r>
    </w:p>
    <w:p w14:paraId="22402808">
      <w:pPr>
        <w:spacing w:line="360" w:lineRule="auto"/>
        <w:ind w:firstLine="480" w:firstLineChars="200"/>
        <w:rPr>
          <w:rFonts w:hint="eastAsia" w:ascii="宋体" w:hAnsi="宋体" w:cs="宋体"/>
          <w:sz w:val="24"/>
          <w:szCs w:val="24"/>
        </w:rPr>
      </w:pPr>
      <w:r>
        <w:rPr>
          <w:rFonts w:hint="eastAsia" w:ascii="宋体" w:hAnsi="宋体" w:cs="宋体"/>
          <w:sz w:val="24"/>
          <w:szCs w:val="24"/>
        </w:rPr>
        <w:t>3.方式：</w:t>
      </w:r>
      <w:r>
        <w:rPr>
          <w:rFonts w:hint="eastAsia" w:ascii="宋体" w:hAnsi="宋体" w:cs="宋体"/>
          <w:sz w:val="24"/>
          <w:szCs w:val="24"/>
          <w:lang w:val="zh-TW"/>
        </w:rPr>
        <w:t>本项目没有报名环节，供应商凭CA数字证书通过三门峡市公共资源交易中心网（网址：</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"http://gzjy.smx.gov.cn/SMX/Home/index.do），点击交易平台选择" </w:instrText>
      </w:r>
      <w:r>
        <w:rPr>
          <w:rFonts w:hint="eastAsia" w:ascii="宋体" w:hAnsi="宋体" w:cs="宋体"/>
          <w:sz w:val="24"/>
          <w:szCs w:val="24"/>
          <w:lang w:val="zh-TW"/>
        </w:rPr>
        <w:fldChar w:fldCharType="separate"/>
      </w:r>
      <w:r>
        <w:rPr>
          <w:rFonts w:hint="eastAsia" w:ascii="宋体" w:hAnsi="宋体" w:cs="宋体"/>
          <w:sz w:val="24"/>
          <w:szCs w:val="24"/>
          <w:lang w:val="zh-TW"/>
        </w:rPr>
        <w:t>http://gzjy.smx.gov.cn/），点击交易平台选择“市场主体登录”，在所参与项目右侧点击参与投标，即可直接下载本项目招标文件。</w:t>
      </w:r>
      <w:r>
        <w:rPr>
          <w:rFonts w:hint="eastAsia" w:ascii="宋体" w:hAnsi="宋体" w:cs="宋体"/>
          <w:sz w:val="24"/>
          <w:szCs w:val="24"/>
          <w:lang w:val="zh-TW"/>
        </w:rPr>
        <w:fldChar w:fldCharType="end"/>
      </w:r>
    </w:p>
    <w:p w14:paraId="124C72BB">
      <w:pPr>
        <w:spacing w:line="360" w:lineRule="auto"/>
        <w:ind w:firstLine="480" w:firstLineChars="200"/>
        <w:jc w:val="left"/>
        <w:rPr>
          <w:rFonts w:hint="eastAsia" w:ascii="宋体" w:hAnsi="宋体" w:cs="宋体"/>
          <w:sz w:val="24"/>
          <w:szCs w:val="24"/>
          <w:lang w:val="zh-TW"/>
        </w:rPr>
      </w:pPr>
      <w:r>
        <w:rPr>
          <w:rFonts w:hint="eastAsia" w:ascii="宋体" w:hAnsi="宋体" w:cs="宋体"/>
          <w:sz w:val="24"/>
          <w:szCs w:val="24"/>
        </w:rPr>
        <w:t>办理CA证书：http://gzjy.smx.gov.cn/bzzx/008001/20231102/4defc9b5-408e-47f2-9e9f-1f376a06ee1f.html</w:t>
      </w:r>
    </w:p>
    <w:p w14:paraId="19DA2FC6">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4.售价：0元</w:t>
      </w:r>
    </w:p>
    <w:p w14:paraId="62678F7A">
      <w:pPr>
        <w:spacing w:line="360" w:lineRule="auto"/>
        <w:ind w:firstLine="569" w:firstLineChars="236"/>
        <w:rPr>
          <w:rFonts w:hint="eastAsia" w:ascii="宋体" w:hAnsi="宋体" w:cs="宋体"/>
          <w:b/>
          <w:bCs/>
          <w:color w:val="000000"/>
          <w:sz w:val="24"/>
          <w:szCs w:val="24"/>
        </w:rPr>
      </w:pPr>
      <w:r>
        <w:rPr>
          <w:rFonts w:hint="eastAsia" w:ascii="宋体" w:hAnsi="宋体" w:cs="宋体"/>
          <w:b/>
          <w:bCs/>
          <w:color w:val="000000"/>
          <w:sz w:val="24"/>
          <w:szCs w:val="24"/>
        </w:rPr>
        <w:t>四、投标截止时间及地点</w:t>
      </w:r>
    </w:p>
    <w:p w14:paraId="39F81F46">
      <w:pPr>
        <w:spacing w:line="360" w:lineRule="auto"/>
        <w:ind w:firstLine="566" w:firstLineChars="236"/>
        <w:rPr>
          <w:rFonts w:hint="eastAsia"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u w:val="single"/>
          <w:lang w:val="en-US" w:eastAsia="zh-CN"/>
        </w:rPr>
        <w:t>2025</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11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12</w:t>
      </w:r>
      <w:r>
        <w:rPr>
          <w:rFonts w:hint="eastAsia" w:ascii="宋体" w:hAnsi="宋体" w:cs="宋体"/>
          <w:color w:val="auto"/>
          <w:sz w:val="24"/>
          <w:szCs w:val="24"/>
        </w:rPr>
        <w:t>日</w:t>
      </w:r>
      <w:r>
        <w:rPr>
          <w:rFonts w:hint="eastAsia" w:ascii="宋体" w:hAnsi="宋体" w:cs="宋体"/>
          <w:color w:val="auto"/>
          <w:sz w:val="24"/>
          <w:szCs w:val="24"/>
          <w:u w:val="single"/>
          <w:lang w:val="en-US" w:eastAsia="zh-CN"/>
        </w:rPr>
        <w:t>09</w:t>
      </w:r>
      <w:r>
        <w:rPr>
          <w:rFonts w:hint="eastAsia" w:ascii="宋体" w:hAnsi="宋体" w:cs="宋体"/>
          <w:color w:val="auto"/>
          <w:sz w:val="24"/>
          <w:szCs w:val="24"/>
        </w:rPr>
        <w:t>时</w:t>
      </w:r>
      <w:r>
        <w:rPr>
          <w:rFonts w:hint="eastAsia" w:ascii="宋体" w:hAnsi="宋体" w:cs="宋体"/>
          <w:color w:val="auto"/>
          <w:sz w:val="24"/>
          <w:szCs w:val="24"/>
          <w:u w:val="single"/>
          <w:lang w:val="en-US" w:eastAsia="zh-CN"/>
        </w:rPr>
        <w:t>00</w:t>
      </w:r>
      <w:r>
        <w:rPr>
          <w:rFonts w:hint="eastAsia" w:ascii="宋体" w:hAnsi="宋体" w:cs="宋体"/>
          <w:color w:val="auto"/>
          <w:sz w:val="24"/>
          <w:szCs w:val="24"/>
        </w:rPr>
        <w:t>分（北京时间）</w:t>
      </w:r>
    </w:p>
    <w:p w14:paraId="7ED4A61B">
      <w:pPr>
        <w:spacing w:line="360" w:lineRule="auto"/>
        <w:ind w:firstLine="566" w:firstLineChars="236"/>
        <w:rPr>
          <w:rFonts w:hint="eastAsia" w:ascii="宋体" w:hAnsi="宋体" w:cs="宋体"/>
          <w:color w:val="000000"/>
          <w:sz w:val="24"/>
          <w:szCs w:val="24"/>
        </w:rPr>
      </w:pPr>
      <w:r>
        <w:rPr>
          <w:rFonts w:hint="eastAsia" w:ascii="宋体" w:hAnsi="宋体" w:cs="宋体"/>
          <w:color w:val="000000"/>
          <w:sz w:val="24"/>
          <w:szCs w:val="24"/>
        </w:rPr>
        <w:t>2.地点：加密电子投标文件须在投标截止时间前通过三门峡市公共资源交易中心电子交易平台加密上传。</w:t>
      </w:r>
    </w:p>
    <w:p w14:paraId="3EF5464E">
      <w:pPr>
        <w:spacing w:line="360" w:lineRule="auto"/>
        <w:ind w:firstLine="569" w:firstLineChars="236"/>
        <w:rPr>
          <w:rFonts w:hint="eastAsia" w:ascii="宋体" w:hAnsi="宋体" w:cs="宋体"/>
          <w:b/>
          <w:bCs/>
          <w:color w:val="000000"/>
          <w:sz w:val="24"/>
          <w:szCs w:val="24"/>
        </w:rPr>
      </w:pPr>
      <w:r>
        <w:rPr>
          <w:rFonts w:hint="eastAsia" w:ascii="宋体" w:hAnsi="宋体" w:cs="宋体"/>
          <w:b/>
          <w:bCs/>
          <w:color w:val="000000"/>
          <w:sz w:val="24"/>
          <w:szCs w:val="24"/>
        </w:rPr>
        <w:t>五、开标时间及地点</w:t>
      </w:r>
    </w:p>
    <w:p w14:paraId="6296F8C6">
      <w:pPr>
        <w:spacing w:line="360" w:lineRule="auto"/>
        <w:ind w:firstLine="566" w:firstLineChars="236"/>
        <w:rPr>
          <w:rFonts w:hint="eastAsia"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u w:val="single"/>
          <w:lang w:val="en-US" w:eastAsia="zh-CN"/>
        </w:rPr>
        <w:t>2025</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11</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12</w:t>
      </w:r>
      <w:r>
        <w:rPr>
          <w:rFonts w:hint="eastAsia" w:ascii="宋体" w:hAnsi="宋体" w:cs="宋体"/>
          <w:color w:val="auto"/>
          <w:sz w:val="24"/>
          <w:szCs w:val="24"/>
        </w:rPr>
        <w:t>日</w:t>
      </w:r>
      <w:r>
        <w:rPr>
          <w:rFonts w:hint="eastAsia" w:ascii="宋体" w:hAnsi="宋体" w:cs="宋体"/>
          <w:color w:val="auto"/>
          <w:sz w:val="24"/>
          <w:szCs w:val="24"/>
          <w:u w:val="single"/>
          <w:lang w:val="en-US" w:eastAsia="zh-CN"/>
        </w:rPr>
        <w:t>09</w:t>
      </w:r>
      <w:r>
        <w:rPr>
          <w:rFonts w:hint="eastAsia" w:ascii="宋体" w:hAnsi="宋体" w:cs="宋体"/>
          <w:color w:val="auto"/>
          <w:sz w:val="24"/>
          <w:szCs w:val="24"/>
        </w:rPr>
        <w:t>时</w:t>
      </w:r>
      <w:r>
        <w:rPr>
          <w:rFonts w:hint="eastAsia" w:ascii="宋体" w:hAnsi="宋体" w:cs="宋体"/>
          <w:color w:val="auto"/>
          <w:sz w:val="24"/>
          <w:szCs w:val="24"/>
          <w:u w:val="single"/>
          <w:lang w:val="en-US" w:eastAsia="zh-CN"/>
        </w:rPr>
        <w:t>00</w:t>
      </w:r>
      <w:r>
        <w:rPr>
          <w:rFonts w:hint="eastAsia" w:ascii="宋体" w:hAnsi="宋体" w:cs="宋体"/>
          <w:color w:val="auto"/>
          <w:sz w:val="24"/>
          <w:szCs w:val="24"/>
        </w:rPr>
        <w:t>分（北京时间）</w:t>
      </w:r>
    </w:p>
    <w:p w14:paraId="54D2A6FC">
      <w:pPr>
        <w:spacing w:line="360" w:lineRule="auto"/>
        <w:ind w:firstLine="566" w:firstLineChars="236"/>
        <w:rPr>
          <w:rFonts w:hint="eastAsia" w:ascii="宋体" w:hAnsi="宋体" w:cs="宋体"/>
          <w:color w:val="auto"/>
          <w:sz w:val="24"/>
          <w:szCs w:val="24"/>
          <w:u w:val="none"/>
        </w:rPr>
      </w:pPr>
      <w:r>
        <w:rPr>
          <w:rFonts w:hint="eastAsia" w:ascii="宋体" w:hAnsi="宋体" w:cs="宋体"/>
          <w:color w:val="auto"/>
          <w:sz w:val="24"/>
          <w:szCs w:val="24"/>
        </w:rPr>
        <w:t>2.地点：</w:t>
      </w:r>
      <w:r>
        <w:rPr>
          <w:rFonts w:hint="eastAsia" w:ascii="宋体" w:hAnsi="宋体" w:cs="宋体"/>
          <w:color w:val="auto"/>
          <w:sz w:val="24"/>
          <w:szCs w:val="24"/>
          <w:u w:val="none"/>
        </w:rPr>
        <w:t>三门峡市公共资源交易中心第</w:t>
      </w:r>
      <w:r>
        <w:rPr>
          <w:rFonts w:hint="eastAsia" w:ascii="宋体" w:hAnsi="宋体" w:cs="宋体"/>
          <w:color w:val="auto"/>
          <w:sz w:val="24"/>
          <w:szCs w:val="24"/>
          <w:u w:val="none"/>
          <w:lang w:eastAsia="zh-CN"/>
        </w:rPr>
        <w:t>二</w:t>
      </w:r>
      <w:r>
        <w:rPr>
          <w:rFonts w:hint="eastAsia" w:ascii="宋体" w:hAnsi="宋体" w:cs="宋体"/>
          <w:color w:val="auto"/>
          <w:sz w:val="24"/>
          <w:szCs w:val="24"/>
          <w:u w:val="none"/>
        </w:rPr>
        <w:t>开标室</w:t>
      </w:r>
    </w:p>
    <w:p w14:paraId="305CF055">
      <w:pPr>
        <w:wordWrap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注：本项目为不见面开标项目，开标当日，供应商无需到开标现场参加开标会议，供应商应当在投标截止时间前，登陆不见面开标大厅选择登陆三门峡市公共资源电子招投标系统进行登陆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rPr>
        <w:t>（网址为http://120.194.249.36:10094/BidOpening/bidopeninghallaction/hall/login）</w:t>
      </w:r>
      <w:r>
        <w:rPr>
          <w:rFonts w:hint="eastAsia" w:ascii="宋体" w:hAnsi="宋体" w:cs="宋体"/>
          <w:color w:val="000000"/>
          <w:sz w:val="24"/>
          <w:szCs w:val="24"/>
        </w:rPr>
        <w:t>,在线准时参加开标活动并进行投标文件解密等。每位供应商的解密时间为开标时间起30分钟内完成。因供应商原因未能解密、解密失败或解密超时的将被拒绝。</w:t>
      </w:r>
    </w:p>
    <w:p w14:paraId="787CBE19">
      <w:pPr>
        <w:spacing w:line="360" w:lineRule="auto"/>
        <w:ind w:firstLine="569" w:firstLineChars="236"/>
        <w:rPr>
          <w:rFonts w:hint="eastAsia" w:ascii="宋体" w:hAnsi="宋体" w:cs="宋体"/>
          <w:b/>
          <w:bCs/>
          <w:sz w:val="24"/>
          <w:szCs w:val="24"/>
        </w:rPr>
      </w:pPr>
      <w:r>
        <w:rPr>
          <w:rFonts w:hint="eastAsia" w:ascii="宋体" w:hAnsi="宋体" w:cs="宋体"/>
          <w:b/>
          <w:bCs/>
          <w:sz w:val="24"/>
          <w:szCs w:val="24"/>
        </w:rPr>
        <w:t>六、发布公告的媒介</w:t>
      </w:r>
    </w:p>
    <w:p w14:paraId="6495C163">
      <w:pPr>
        <w:spacing w:line="360" w:lineRule="auto"/>
        <w:ind w:firstLine="566" w:firstLineChars="236"/>
        <w:rPr>
          <w:rFonts w:hint="default" w:ascii="宋体" w:hAnsi="宋体" w:cs="宋体"/>
          <w:sz w:val="24"/>
          <w:szCs w:val="24"/>
          <w:highlight w:val="none"/>
          <w:lang w:val="en-US"/>
        </w:rPr>
      </w:pPr>
      <w:r>
        <w:rPr>
          <w:rFonts w:hint="eastAsia" w:ascii="宋体" w:hAnsi="宋体" w:cs="宋体"/>
          <w:sz w:val="24"/>
          <w:szCs w:val="24"/>
          <w:highlight w:val="none"/>
        </w:rPr>
        <w:t>本次公告在《河南省政府采购网》、《中国招标投标公共服务平台》、《三门峡市公共资源交易中心网》上发布。招标公告期限为五个工作日。</w:t>
      </w:r>
    </w:p>
    <w:p w14:paraId="6028D9FD">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七、其他事项</w:t>
      </w:r>
    </w:p>
    <w:p w14:paraId="1A3FB5C0">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1、</w:t>
      </w:r>
      <w:r>
        <w:rPr>
          <w:rFonts w:hint="eastAsia" w:ascii="宋体" w:hAnsi="宋体" w:cs="宋体"/>
          <w:color w:val="000000"/>
          <w:sz w:val="24"/>
          <w:szCs w:val="24"/>
        </w:rPr>
        <w:t>供应商应仔细阅读操作手册，在本公告中要求的截止时间前完成投标工作，因投标人操作不当等问题造成的无法投标等一切后果，由供应商自行承担。</w:t>
      </w:r>
    </w:p>
    <w:p w14:paraId="192C3D6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2、本项目资格评审和业绩以投标文件为准，投标人可使用电子营业执照。</w:t>
      </w:r>
    </w:p>
    <w:p w14:paraId="513B4F4F">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（1）资格评（预）审部分：资格评（预）审以投标文件为准，其上传资料真实性由投标人自行承担，同时，投标人应在开标前自行完善主体库信息。</w:t>
      </w:r>
    </w:p>
    <w:p w14:paraId="6B5E75D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（2）评标打分部分：评标打分部分按照100分制原则进行，涉及到资格审查、企业荣誉、人员业绩、企业业绩等计分部分时，以投标单位自行上传到投标文件中的各类相应内容为准。</w:t>
      </w:r>
    </w:p>
    <w:p w14:paraId="21DAD74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38083B2">
      <w:pPr>
        <w:spacing w:line="360" w:lineRule="auto"/>
        <w:ind w:firstLine="484" w:firstLineChars="202"/>
        <w:rPr>
          <w:rFonts w:hint="eastAsia" w:ascii="宋体" w:hAnsi="宋体" w:cs="宋体"/>
          <w:color w:val="000000"/>
          <w:sz w:val="24"/>
          <w:szCs w:val="24"/>
        </w:rPr>
      </w:pPr>
      <w:r>
        <w:rPr>
          <w:rFonts w:hint="eastAsia" w:ascii="宋体" w:hAnsi="宋体" w:cs="宋体"/>
          <w:color w:val="000000"/>
          <w:sz w:val="24"/>
          <w:szCs w:val="24"/>
        </w:rPr>
        <w:t>3、根据《河南省财政厅关于优化政府采购营商环境有关问题的通知》（豫财购【2019】4号）第6条的规定，投标保证金不再收取。</w:t>
      </w:r>
    </w:p>
    <w:p w14:paraId="54492E8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温馨提示：本项目为电子化、无纸化交易项目，开标时不再接受任何纸质资料，为保证您能投标成功，请需仔细阅读招标文件和三门峡市公共资源交易中心官网业务办理指南。</w:t>
      </w:r>
    </w:p>
    <w:p w14:paraId="168A322E">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八、联系方式</w:t>
      </w:r>
    </w:p>
    <w:p w14:paraId="4EB3D957">
      <w:pPr>
        <w:spacing w:line="360" w:lineRule="auto"/>
        <w:ind w:firstLine="480" w:firstLineChars="200"/>
        <w:rPr>
          <w:rFonts w:hint="eastAsia" w:ascii="宋体" w:hAnsi="宋体" w:cs="宋体"/>
          <w:sz w:val="24"/>
          <w:szCs w:val="24"/>
        </w:rPr>
      </w:pPr>
      <w:bookmarkStart w:id="4" w:name="_Toc28449"/>
      <w:bookmarkStart w:id="5" w:name="_Toc270604573"/>
      <w:bookmarkStart w:id="6" w:name="_Toc410126998"/>
      <w:r>
        <w:rPr>
          <w:rFonts w:hint="eastAsia" w:ascii="宋体" w:hAnsi="宋体" w:cs="宋体"/>
          <w:sz w:val="24"/>
          <w:szCs w:val="24"/>
        </w:rPr>
        <w:t>招标人：三门峡市自然资源和规划局</w:t>
      </w:r>
    </w:p>
    <w:p w14:paraId="64A5B525">
      <w:pPr>
        <w:spacing w:line="360" w:lineRule="auto"/>
        <w:ind w:firstLine="480" w:firstLineChars="200"/>
        <w:rPr>
          <w:rFonts w:hint="eastAsia" w:ascii="宋体" w:hAnsi="宋体" w:cs="宋体"/>
          <w:sz w:val="24"/>
          <w:szCs w:val="24"/>
        </w:rPr>
      </w:pPr>
      <w:r>
        <w:rPr>
          <w:rFonts w:hint="eastAsia" w:ascii="宋体" w:hAnsi="宋体" w:cs="宋体"/>
          <w:sz w:val="24"/>
          <w:szCs w:val="24"/>
        </w:rPr>
        <w:t>地  址：三门峡市湖滨区大岭南路同德嘉园西南侧约90米</w:t>
      </w:r>
    </w:p>
    <w:p w14:paraId="442344C7">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联系人：张永军</w:t>
      </w:r>
    </w:p>
    <w:p w14:paraId="1812553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电  话：0398-8527509</w:t>
      </w:r>
    </w:p>
    <w:p w14:paraId="125B1CE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招标代理机构：</w:t>
      </w:r>
      <w:r>
        <w:rPr>
          <w:rFonts w:hint="eastAsia" w:ascii="宋体" w:hAnsi="宋体" w:cs="宋体"/>
          <w:kern w:val="0"/>
          <w:sz w:val="24"/>
          <w:szCs w:val="24"/>
        </w:rPr>
        <w:t>河南中广汇通项目管理有限公司</w:t>
      </w:r>
    </w:p>
    <w:p w14:paraId="4C70BD88">
      <w:pPr>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地  址：</w:t>
      </w:r>
      <w:r>
        <w:rPr>
          <w:rFonts w:hint="eastAsia" w:ascii="宋体" w:hAnsi="宋体" w:cs="宋体"/>
          <w:sz w:val="24"/>
          <w:szCs w:val="24"/>
        </w:rPr>
        <w:t>三门峡市君悦府五号楼101室</w:t>
      </w:r>
    </w:p>
    <w:p w14:paraId="1C23EEAA">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联系人：</w:t>
      </w:r>
      <w:r>
        <w:rPr>
          <w:rFonts w:hint="eastAsia" w:ascii="宋体" w:hAnsi="宋体" w:cs="宋体"/>
          <w:kern w:val="0"/>
          <w:sz w:val="24"/>
          <w:szCs w:val="24"/>
        </w:rPr>
        <w:t>赵明志 伊小娜</w:t>
      </w:r>
    </w:p>
    <w:p w14:paraId="2987A495">
      <w:pPr>
        <w:widowControl/>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kern w:val="0"/>
          <w:sz w:val="24"/>
          <w:szCs w:val="24"/>
        </w:rPr>
        <w:t>18639808827</w:t>
      </w:r>
    </w:p>
    <w:p w14:paraId="53C1C424">
      <w:pPr>
        <w:spacing w:line="360" w:lineRule="auto"/>
        <w:ind w:firstLine="480" w:firstLineChars="200"/>
        <w:rPr>
          <w:rFonts w:hint="eastAsia" w:ascii="宋体" w:hAnsi="宋体" w:cs="宋体"/>
          <w:sz w:val="24"/>
          <w:szCs w:val="24"/>
        </w:rPr>
      </w:pPr>
      <w:r>
        <w:rPr>
          <w:rFonts w:hint="eastAsia" w:ascii="宋体" w:hAnsi="宋体" w:cs="宋体"/>
          <w:sz w:val="24"/>
          <w:szCs w:val="24"/>
        </w:rPr>
        <w:t>监督单位：三门峡市财政局政府采购监督管理科</w:t>
      </w:r>
    </w:p>
    <w:p w14:paraId="4B8E7504">
      <w:pPr>
        <w:spacing w:line="360" w:lineRule="auto"/>
        <w:ind w:firstLine="480" w:firstLineChars="200"/>
        <w:rPr>
          <w:rFonts w:hint="eastAsia" w:ascii="宋体" w:hAnsi="宋体" w:cs="宋体"/>
          <w:sz w:val="24"/>
          <w:szCs w:val="24"/>
        </w:rPr>
      </w:pPr>
      <w:r>
        <w:rPr>
          <w:rFonts w:hint="eastAsia" w:ascii="宋体" w:hAnsi="宋体" w:cs="宋体"/>
          <w:sz w:val="24"/>
          <w:szCs w:val="24"/>
        </w:rPr>
        <w:t>电话：0398-2608915</w:t>
      </w:r>
    </w:p>
    <w:p w14:paraId="332BEF6C">
      <w:pPr>
        <w:pStyle w:val="2"/>
        <w:keepNext w:val="0"/>
        <w:keepLines w:val="0"/>
        <w:pageBreakBefore/>
        <w:spacing w:before="120" w:after="120" w:line="400" w:lineRule="exact"/>
        <w:jc w:val="center"/>
        <w:rPr>
          <w:rFonts w:hint="eastAsia" w:ascii="宋体" w:hAnsi="宋体" w:cs="宋体"/>
          <w:sz w:val="36"/>
          <w:szCs w:val="36"/>
        </w:rPr>
      </w:pPr>
      <w:bookmarkStart w:id="7" w:name="_Toc12317"/>
      <w:bookmarkStart w:id="8" w:name="_Toc28372"/>
      <w:r>
        <w:rPr>
          <w:rFonts w:hint="eastAsia" w:ascii="宋体" w:hAnsi="宋体" w:cs="宋体"/>
          <w:sz w:val="36"/>
          <w:szCs w:val="36"/>
        </w:rPr>
        <w:t>第二章 供应商须知</w:t>
      </w:r>
      <w:bookmarkEnd w:id="4"/>
      <w:bookmarkEnd w:id="5"/>
      <w:bookmarkEnd w:id="6"/>
      <w:bookmarkEnd w:id="7"/>
      <w:bookmarkEnd w:id="8"/>
      <w:bookmarkStart w:id="9" w:name="_Toc4962"/>
      <w:bookmarkStart w:id="10" w:name="_Toc15504"/>
      <w:bookmarkStart w:id="11" w:name="_Toc31918"/>
      <w:bookmarkStart w:id="12" w:name="_Toc503885586"/>
      <w:bookmarkStart w:id="13" w:name="_Toc505073888"/>
      <w:bookmarkStart w:id="14" w:name="_Toc269470293"/>
      <w:bookmarkStart w:id="15" w:name="_Toc504055106"/>
      <w:bookmarkStart w:id="16" w:name="_Toc503886922"/>
      <w:bookmarkStart w:id="17" w:name="_Toc270604574"/>
      <w:bookmarkStart w:id="18" w:name="_Toc503112329"/>
    </w:p>
    <w:p w14:paraId="378CDB53">
      <w:pPr>
        <w:spacing w:line="360" w:lineRule="auto"/>
        <w:jc w:val="center"/>
        <w:rPr>
          <w:rFonts w:hint="eastAsia" w:ascii="宋体" w:hAnsi="宋体" w:cs="宋体"/>
          <w:sz w:val="24"/>
          <w:szCs w:val="24"/>
        </w:rPr>
      </w:pPr>
      <w:bookmarkStart w:id="19" w:name="_Toc6916"/>
      <w:bookmarkStart w:id="20" w:name="_Toc31332"/>
      <w:r>
        <w:rPr>
          <w:rFonts w:hint="eastAsia" w:ascii="宋体" w:hAnsi="宋体" w:cs="宋体"/>
          <w:b/>
          <w:sz w:val="24"/>
          <w:szCs w:val="20"/>
        </w:rPr>
        <w:t>供应商须知前附表</w:t>
      </w:r>
      <w:bookmarkEnd w:id="9"/>
      <w:bookmarkEnd w:id="10"/>
      <w:bookmarkEnd w:id="11"/>
      <w:bookmarkEnd w:id="12"/>
      <w:bookmarkEnd w:id="13"/>
      <w:bookmarkEnd w:id="14"/>
      <w:bookmarkEnd w:id="15"/>
      <w:bookmarkEnd w:id="16"/>
      <w:bookmarkEnd w:id="17"/>
      <w:bookmarkEnd w:id="18"/>
      <w:bookmarkEnd w:id="19"/>
      <w:bookmarkEnd w:id="20"/>
    </w:p>
    <w:tbl>
      <w:tblPr>
        <w:tblStyle w:val="22"/>
        <w:tblW w:w="96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6803"/>
      </w:tblGrid>
      <w:tr w14:paraId="3877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1C6D7DE">
            <w:pPr>
              <w:spacing w:line="360" w:lineRule="auto"/>
              <w:jc w:val="center"/>
              <w:rPr>
                <w:rFonts w:hint="eastAsia" w:ascii="宋体" w:hAnsi="宋体" w:cs="宋体"/>
                <w:b/>
                <w:bCs/>
                <w:sz w:val="24"/>
                <w:szCs w:val="24"/>
              </w:rPr>
            </w:pPr>
            <w:r>
              <w:rPr>
                <w:rFonts w:hint="eastAsia" w:ascii="宋体" w:hAnsi="宋体" w:cs="宋体"/>
                <w:b/>
                <w:bCs/>
                <w:sz w:val="24"/>
                <w:szCs w:val="24"/>
              </w:rPr>
              <w:t>条款号</w:t>
            </w:r>
          </w:p>
        </w:tc>
        <w:tc>
          <w:tcPr>
            <w:tcW w:w="1843" w:type="dxa"/>
            <w:tcBorders>
              <w:top w:val="single" w:color="auto" w:sz="4" w:space="0"/>
              <w:left w:val="nil"/>
              <w:bottom w:val="single" w:color="auto" w:sz="4" w:space="0"/>
              <w:right w:val="single" w:color="auto" w:sz="4" w:space="0"/>
            </w:tcBorders>
            <w:vAlign w:val="center"/>
          </w:tcPr>
          <w:p w14:paraId="34543BE3">
            <w:pPr>
              <w:spacing w:line="360" w:lineRule="auto"/>
              <w:jc w:val="center"/>
              <w:rPr>
                <w:rFonts w:hint="eastAsia" w:ascii="宋体" w:hAnsi="宋体" w:cs="宋体"/>
                <w:b/>
                <w:bCs/>
                <w:sz w:val="24"/>
                <w:szCs w:val="24"/>
              </w:rPr>
            </w:pPr>
            <w:r>
              <w:rPr>
                <w:rFonts w:hint="eastAsia" w:ascii="宋体" w:hAnsi="宋体" w:cs="宋体"/>
                <w:b/>
                <w:bCs/>
                <w:sz w:val="24"/>
                <w:szCs w:val="24"/>
              </w:rPr>
              <w:t>条款名称</w:t>
            </w:r>
          </w:p>
        </w:tc>
        <w:tc>
          <w:tcPr>
            <w:tcW w:w="6803" w:type="dxa"/>
            <w:tcBorders>
              <w:top w:val="single" w:color="auto" w:sz="4" w:space="0"/>
              <w:left w:val="nil"/>
              <w:bottom w:val="single" w:color="auto" w:sz="4" w:space="0"/>
              <w:right w:val="single" w:color="auto" w:sz="4" w:space="0"/>
            </w:tcBorders>
            <w:vAlign w:val="center"/>
          </w:tcPr>
          <w:p w14:paraId="1E8A3DF2">
            <w:pPr>
              <w:spacing w:line="360" w:lineRule="auto"/>
              <w:jc w:val="center"/>
              <w:rPr>
                <w:rFonts w:hint="eastAsia" w:ascii="宋体" w:hAnsi="宋体" w:cs="宋体"/>
                <w:b/>
                <w:bCs/>
                <w:sz w:val="24"/>
                <w:szCs w:val="24"/>
              </w:rPr>
            </w:pPr>
            <w:r>
              <w:rPr>
                <w:rFonts w:hint="eastAsia" w:ascii="宋体" w:hAnsi="宋体" w:cs="宋体"/>
                <w:b/>
                <w:bCs/>
                <w:sz w:val="24"/>
                <w:szCs w:val="24"/>
              </w:rPr>
              <w:t>编  列  内  容</w:t>
            </w:r>
          </w:p>
        </w:tc>
      </w:tr>
      <w:tr w14:paraId="23F9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04D098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1.1</w:t>
            </w:r>
          </w:p>
        </w:tc>
        <w:tc>
          <w:tcPr>
            <w:tcW w:w="1843" w:type="dxa"/>
            <w:tcBorders>
              <w:top w:val="single" w:color="auto" w:sz="4" w:space="0"/>
              <w:left w:val="nil"/>
              <w:bottom w:val="single" w:color="auto" w:sz="4" w:space="0"/>
              <w:right w:val="single" w:color="auto" w:sz="4" w:space="0"/>
            </w:tcBorders>
            <w:vAlign w:val="center"/>
          </w:tcPr>
          <w:p w14:paraId="3673748F">
            <w:pPr>
              <w:spacing w:line="360" w:lineRule="auto"/>
              <w:jc w:val="center"/>
              <w:rPr>
                <w:rFonts w:hint="eastAsia" w:ascii="宋体" w:hAnsi="宋体" w:cs="宋体"/>
                <w:sz w:val="24"/>
                <w:szCs w:val="24"/>
              </w:rPr>
            </w:pPr>
            <w:r>
              <w:rPr>
                <w:rFonts w:hint="eastAsia" w:ascii="宋体" w:hAnsi="宋体" w:cs="宋体"/>
                <w:sz w:val="24"/>
                <w:szCs w:val="24"/>
              </w:rPr>
              <w:t>采购人</w:t>
            </w:r>
          </w:p>
        </w:tc>
        <w:tc>
          <w:tcPr>
            <w:tcW w:w="6803" w:type="dxa"/>
            <w:tcBorders>
              <w:top w:val="single" w:color="auto" w:sz="4" w:space="0"/>
              <w:left w:val="nil"/>
              <w:bottom w:val="single" w:color="auto" w:sz="4" w:space="0"/>
              <w:right w:val="single" w:color="auto" w:sz="4" w:space="0"/>
            </w:tcBorders>
            <w:vAlign w:val="center"/>
          </w:tcPr>
          <w:p w14:paraId="064B56BD">
            <w:pPr>
              <w:spacing w:line="360" w:lineRule="auto"/>
              <w:rPr>
                <w:rFonts w:hint="eastAsia" w:ascii="宋体" w:hAnsi="宋体" w:cs="宋体"/>
                <w:sz w:val="24"/>
                <w:szCs w:val="24"/>
              </w:rPr>
            </w:pPr>
            <w:r>
              <w:rPr>
                <w:rFonts w:hint="eastAsia" w:ascii="宋体" w:hAnsi="宋体" w:cs="宋体"/>
                <w:sz w:val="24"/>
                <w:szCs w:val="24"/>
              </w:rPr>
              <w:t>招标人：三门峡市自然资源和规划局</w:t>
            </w:r>
          </w:p>
          <w:p w14:paraId="134B3A66">
            <w:pPr>
              <w:widowControl/>
              <w:spacing w:line="360" w:lineRule="auto"/>
              <w:jc w:val="left"/>
              <w:rPr>
                <w:rFonts w:hint="eastAsia" w:ascii="宋体" w:hAnsi="宋体" w:cs="宋体"/>
                <w:sz w:val="24"/>
                <w:szCs w:val="24"/>
                <w:highlight w:val="none"/>
              </w:rPr>
            </w:pPr>
            <w:r>
              <w:rPr>
                <w:rFonts w:hint="eastAsia" w:ascii="宋体" w:hAnsi="宋体" w:cs="宋体"/>
                <w:sz w:val="24"/>
                <w:szCs w:val="24"/>
              </w:rPr>
              <w:t>地</w:t>
            </w:r>
            <w:r>
              <w:rPr>
                <w:rFonts w:hint="eastAsia" w:ascii="宋体" w:hAnsi="宋体" w:cs="宋体"/>
                <w:sz w:val="24"/>
                <w:szCs w:val="24"/>
                <w:highlight w:val="none"/>
              </w:rPr>
              <w:t xml:space="preserve">  址：三门峡市湖滨区大岭南路同德嘉园西南侧约90米</w:t>
            </w:r>
          </w:p>
          <w:p w14:paraId="480C1533">
            <w:pPr>
              <w:spacing w:line="360" w:lineRule="auto"/>
              <w:rPr>
                <w:rFonts w:hint="eastAsia" w:ascii="宋体" w:hAnsi="宋体" w:cs="宋体"/>
                <w:sz w:val="24"/>
                <w:szCs w:val="24"/>
                <w:highlight w:val="none"/>
              </w:rPr>
            </w:pPr>
            <w:r>
              <w:rPr>
                <w:rFonts w:hint="eastAsia" w:ascii="宋体" w:hAnsi="宋体" w:cs="宋体"/>
                <w:sz w:val="24"/>
                <w:szCs w:val="24"/>
                <w:highlight w:val="none"/>
              </w:rPr>
              <w:t>联系人：张永军</w:t>
            </w:r>
          </w:p>
          <w:p w14:paraId="12961D92">
            <w:pPr>
              <w:spacing w:line="360" w:lineRule="auto"/>
              <w:rPr>
                <w:rFonts w:hint="eastAsia" w:ascii="宋体" w:hAnsi="宋体" w:cs="宋体"/>
                <w:color w:val="FF0000"/>
                <w:sz w:val="24"/>
                <w:szCs w:val="24"/>
              </w:rPr>
            </w:pPr>
            <w:r>
              <w:rPr>
                <w:rFonts w:hint="eastAsia" w:ascii="宋体" w:hAnsi="宋体" w:cs="宋体"/>
                <w:sz w:val="24"/>
                <w:szCs w:val="24"/>
                <w:highlight w:val="none"/>
              </w:rPr>
              <w:t>联系电话：0398-8527509</w:t>
            </w:r>
          </w:p>
        </w:tc>
      </w:tr>
      <w:tr w14:paraId="5EE7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963A64E">
            <w:pPr>
              <w:widowControl/>
              <w:spacing w:line="360" w:lineRule="auto"/>
              <w:ind w:firstLine="240" w:firstLineChars="100"/>
              <w:jc w:val="left"/>
              <w:rPr>
                <w:rFonts w:hint="eastAsia" w:ascii="宋体" w:hAnsi="宋体" w:cs="宋体"/>
                <w:kern w:val="0"/>
                <w:sz w:val="24"/>
                <w:szCs w:val="24"/>
              </w:rPr>
            </w:pPr>
            <w:r>
              <w:rPr>
                <w:rFonts w:hint="eastAsia" w:ascii="宋体" w:hAnsi="宋体" w:cs="宋体"/>
                <w:kern w:val="0"/>
                <w:sz w:val="24"/>
                <w:szCs w:val="24"/>
              </w:rPr>
              <w:t>1.2</w:t>
            </w:r>
          </w:p>
        </w:tc>
        <w:tc>
          <w:tcPr>
            <w:tcW w:w="1843" w:type="dxa"/>
            <w:tcBorders>
              <w:top w:val="single" w:color="auto" w:sz="4" w:space="0"/>
              <w:left w:val="nil"/>
              <w:bottom w:val="single" w:color="auto" w:sz="4" w:space="0"/>
              <w:right w:val="single" w:color="auto" w:sz="4" w:space="0"/>
            </w:tcBorders>
            <w:vAlign w:val="center"/>
          </w:tcPr>
          <w:p w14:paraId="6EEFC391">
            <w:pPr>
              <w:spacing w:line="360" w:lineRule="auto"/>
              <w:jc w:val="center"/>
              <w:rPr>
                <w:rFonts w:hint="eastAsia" w:ascii="宋体" w:hAnsi="宋体" w:cs="宋体"/>
                <w:sz w:val="24"/>
                <w:szCs w:val="24"/>
              </w:rPr>
            </w:pPr>
            <w:r>
              <w:rPr>
                <w:rFonts w:hint="eastAsia" w:ascii="宋体" w:hAnsi="宋体" w:cs="宋体"/>
                <w:sz w:val="24"/>
                <w:szCs w:val="24"/>
              </w:rPr>
              <w:t>采购代理</w:t>
            </w:r>
          </w:p>
          <w:p w14:paraId="7F2E8B95">
            <w:pPr>
              <w:spacing w:line="360" w:lineRule="auto"/>
              <w:jc w:val="center"/>
              <w:rPr>
                <w:rFonts w:hint="eastAsia" w:ascii="宋体" w:hAnsi="宋体" w:cs="宋体"/>
                <w:sz w:val="24"/>
                <w:szCs w:val="24"/>
              </w:rPr>
            </w:pPr>
            <w:r>
              <w:rPr>
                <w:rFonts w:hint="eastAsia" w:ascii="宋体" w:hAnsi="宋体" w:cs="宋体"/>
                <w:sz w:val="24"/>
                <w:szCs w:val="24"/>
              </w:rPr>
              <w:t>机构</w:t>
            </w:r>
          </w:p>
        </w:tc>
        <w:tc>
          <w:tcPr>
            <w:tcW w:w="6803" w:type="dxa"/>
            <w:tcBorders>
              <w:top w:val="single" w:color="auto" w:sz="4" w:space="0"/>
              <w:left w:val="nil"/>
              <w:bottom w:val="single" w:color="auto" w:sz="4" w:space="0"/>
              <w:right w:val="single" w:color="auto" w:sz="4" w:space="0"/>
            </w:tcBorders>
            <w:vAlign w:val="center"/>
          </w:tcPr>
          <w:p w14:paraId="37ADC159">
            <w:pPr>
              <w:spacing w:line="360" w:lineRule="auto"/>
              <w:rPr>
                <w:rFonts w:hint="eastAsia" w:ascii="宋体" w:hAnsi="宋体" w:cs="宋体"/>
                <w:color w:val="000000"/>
                <w:sz w:val="24"/>
                <w:szCs w:val="24"/>
              </w:rPr>
            </w:pPr>
            <w:r>
              <w:rPr>
                <w:rFonts w:hint="eastAsia" w:ascii="宋体" w:hAnsi="宋体" w:cs="宋体"/>
                <w:color w:val="000000"/>
                <w:sz w:val="24"/>
                <w:szCs w:val="24"/>
              </w:rPr>
              <w:t>招标代理机构：河南中广汇通项目管理有限公司</w:t>
            </w:r>
          </w:p>
          <w:p w14:paraId="1FDF54AB">
            <w:pPr>
              <w:spacing w:line="360" w:lineRule="auto"/>
              <w:rPr>
                <w:rFonts w:hint="eastAsia"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kern w:val="0"/>
                <w:sz w:val="24"/>
                <w:szCs w:val="24"/>
              </w:rPr>
              <w:t>三门峡市君悦府五号楼101室</w:t>
            </w:r>
          </w:p>
          <w:p w14:paraId="55BFD5B9">
            <w:pPr>
              <w:spacing w:line="360" w:lineRule="auto"/>
              <w:rPr>
                <w:rFonts w:hint="eastAsia" w:ascii="宋体" w:hAnsi="宋体" w:cs="宋体"/>
                <w:color w:val="000000"/>
                <w:sz w:val="24"/>
                <w:szCs w:val="24"/>
              </w:rPr>
            </w:pPr>
            <w:r>
              <w:rPr>
                <w:rFonts w:hint="eastAsia" w:ascii="宋体" w:hAnsi="宋体" w:cs="宋体"/>
                <w:color w:val="000000"/>
                <w:sz w:val="24"/>
                <w:szCs w:val="24"/>
              </w:rPr>
              <w:t>联系人：</w:t>
            </w:r>
            <w:r>
              <w:rPr>
                <w:rFonts w:hint="eastAsia" w:ascii="宋体" w:hAnsi="宋体" w:cs="宋体"/>
                <w:kern w:val="0"/>
                <w:sz w:val="24"/>
                <w:szCs w:val="24"/>
              </w:rPr>
              <w:t>赵明志 伊小娜</w:t>
            </w:r>
          </w:p>
          <w:p w14:paraId="3B76FD7D">
            <w:pPr>
              <w:spacing w:line="360" w:lineRule="auto"/>
              <w:rPr>
                <w:rFonts w:hint="eastAsia" w:ascii="宋体" w:hAnsi="宋体" w:cs="宋体"/>
                <w:color w:val="000000"/>
                <w:sz w:val="24"/>
                <w:szCs w:val="24"/>
              </w:rPr>
            </w:pPr>
            <w:r>
              <w:rPr>
                <w:rFonts w:hint="eastAsia" w:ascii="宋体" w:hAnsi="宋体" w:cs="宋体"/>
                <w:color w:val="000000"/>
                <w:sz w:val="24"/>
                <w:szCs w:val="24"/>
              </w:rPr>
              <w:t>电  话：</w:t>
            </w:r>
            <w:r>
              <w:rPr>
                <w:rFonts w:hint="eastAsia" w:ascii="宋体" w:hAnsi="宋体" w:cs="宋体"/>
                <w:kern w:val="0"/>
                <w:sz w:val="24"/>
                <w:szCs w:val="24"/>
              </w:rPr>
              <w:t>18639808827</w:t>
            </w:r>
          </w:p>
        </w:tc>
      </w:tr>
      <w:tr w14:paraId="5437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003248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1.3</w:t>
            </w:r>
          </w:p>
        </w:tc>
        <w:tc>
          <w:tcPr>
            <w:tcW w:w="1843" w:type="dxa"/>
            <w:tcBorders>
              <w:top w:val="single" w:color="auto" w:sz="4" w:space="0"/>
              <w:left w:val="nil"/>
              <w:bottom w:val="single" w:color="auto" w:sz="4" w:space="0"/>
              <w:right w:val="single" w:color="auto" w:sz="4" w:space="0"/>
            </w:tcBorders>
            <w:vAlign w:val="center"/>
          </w:tcPr>
          <w:p w14:paraId="439CD962">
            <w:pPr>
              <w:spacing w:line="360" w:lineRule="auto"/>
              <w:jc w:val="center"/>
              <w:rPr>
                <w:rFonts w:hint="eastAsia" w:ascii="宋体" w:hAnsi="宋体" w:cs="宋体"/>
                <w:sz w:val="24"/>
                <w:szCs w:val="24"/>
              </w:rPr>
            </w:pPr>
            <w:r>
              <w:rPr>
                <w:rFonts w:hint="eastAsia" w:ascii="宋体" w:hAnsi="宋体" w:cs="宋体"/>
                <w:sz w:val="24"/>
                <w:szCs w:val="24"/>
              </w:rPr>
              <w:t>项目名称</w:t>
            </w:r>
          </w:p>
        </w:tc>
        <w:tc>
          <w:tcPr>
            <w:tcW w:w="6803" w:type="dxa"/>
            <w:tcBorders>
              <w:top w:val="single" w:color="auto" w:sz="4" w:space="0"/>
              <w:left w:val="nil"/>
              <w:bottom w:val="single" w:color="auto" w:sz="4" w:space="0"/>
              <w:right w:val="single" w:color="auto" w:sz="4" w:space="0"/>
            </w:tcBorders>
            <w:vAlign w:val="center"/>
          </w:tcPr>
          <w:p w14:paraId="734C6123">
            <w:pPr>
              <w:spacing w:line="360" w:lineRule="auto"/>
              <w:rPr>
                <w:rFonts w:hint="eastAsia" w:ascii="宋体" w:hAnsi="宋体" w:cs="宋体"/>
                <w:sz w:val="24"/>
                <w:szCs w:val="24"/>
              </w:rPr>
            </w:pPr>
            <w:r>
              <w:rPr>
                <w:rFonts w:hint="eastAsia" w:ascii="宋体" w:hAnsi="宋体" w:cs="宋体"/>
                <w:kern w:val="0"/>
                <w:sz w:val="24"/>
                <w:szCs w:val="24"/>
              </w:rPr>
              <w:t>三门峡市自然资源和规划局实景三维三门峡建设项目</w:t>
            </w:r>
          </w:p>
        </w:tc>
      </w:tr>
      <w:tr w14:paraId="4738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BBA04CF">
            <w:pPr>
              <w:widowControl/>
              <w:spacing w:line="360" w:lineRule="auto"/>
              <w:ind w:firstLine="240" w:firstLineChars="100"/>
              <w:jc w:val="left"/>
              <w:rPr>
                <w:rFonts w:hint="eastAsia" w:ascii="宋体" w:hAnsi="宋体" w:cs="宋体"/>
                <w:kern w:val="0"/>
                <w:sz w:val="24"/>
                <w:szCs w:val="24"/>
              </w:rPr>
            </w:pPr>
            <w:r>
              <w:rPr>
                <w:rFonts w:hint="eastAsia" w:ascii="宋体" w:hAnsi="宋体" w:cs="宋体"/>
                <w:kern w:val="0"/>
                <w:sz w:val="24"/>
                <w:szCs w:val="24"/>
              </w:rPr>
              <w:t>1.4</w:t>
            </w:r>
          </w:p>
        </w:tc>
        <w:tc>
          <w:tcPr>
            <w:tcW w:w="1843" w:type="dxa"/>
            <w:tcBorders>
              <w:top w:val="single" w:color="auto" w:sz="4" w:space="0"/>
              <w:left w:val="nil"/>
              <w:bottom w:val="single" w:color="auto" w:sz="4" w:space="0"/>
              <w:right w:val="single" w:color="auto" w:sz="4" w:space="0"/>
            </w:tcBorders>
            <w:vAlign w:val="center"/>
          </w:tcPr>
          <w:p w14:paraId="5A5762D9">
            <w:pPr>
              <w:spacing w:line="360" w:lineRule="auto"/>
              <w:jc w:val="center"/>
              <w:rPr>
                <w:rFonts w:hint="eastAsia" w:ascii="宋体" w:hAnsi="宋体" w:cs="宋体"/>
                <w:sz w:val="24"/>
                <w:szCs w:val="24"/>
              </w:rPr>
            </w:pPr>
            <w:r>
              <w:rPr>
                <w:rFonts w:hint="eastAsia" w:ascii="宋体" w:hAnsi="宋体" w:cs="宋体"/>
                <w:kern w:val="0"/>
                <w:sz w:val="24"/>
                <w:szCs w:val="24"/>
              </w:rPr>
              <w:t>最高限价</w:t>
            </w:r>
          </w:p>
        </w:tc>
        <w:tc>
          <w:tcPr>
            <w:tcW w:w="6803" w:type="dxa"/>
            <w:tcBorders>
              <w:top w:val="single" w:color="auto" w:sz="4" w:space="0"/>
              <w:left w:val="nil"/>
              <w:bottom w:val="single" w:color="auto" w:sz="4" w:space="0"/>
              <w:right w:val="single" w:color="auto" w:sz="4" w:space="0"/>
            </w:tcBorders>
            <w:vAlign w:val="center"/>
          </w:tcPr>
          <w:p w14:paraId="6577FD2A">
            <w:pPr>
              <w:spacing w:line="360" w:lineRule="auto"/>
              <w:rPr>
                <w:rFonts w:hint="eastAsia" w:ascii="宋体" w:hAnsi="宋体" w:cs="宋体"/>
                <w:sz w:val="24"/>
                <w:szCs w:val="24"/>
                <w:u w:val="single"/>
              </w:rPr>
            </w:pPr>
            <w:r>
              <w:rPr>
                <w:rFonts w:hint="eastAsia" w:ascii="宋体" w:hAnsi="宋体" w:cs="宋体"/>
                <w:sz w:val="24"/>
                <w:szCs w:val="24"/>
              </w:rPr>
              <w:t>包1：</w:t>
            </w:r>
            <w:r>
              <w:rPr>
                <w:rFonts w:hint="eastAsia" w:ascii="宋体" w:hAnsi="宋体" w:cs="宋体"/>
                <w:sz w:val="24"/>
                <w:szCs w:val="24"/>
                <w:u w:val="single"/>
              </w:rPr>
              <w:t>8440400.00元</w:t>
            </w:r>
            <w:r>
              <w:rPr>
                <w:rFonts w:hint="eastAsia" w:ascii="宋体" w:hAnsi="宋体" w:cs="宋体"/>
                <w:sz w:val="24"/>
                <w:szCs w:val="24"/>
              </w:rPr>
              <w:t>；包2：</w:t>
            </w:r>
            <w:r>
              <w:rPr>
                <w:rFonts w:hint="eastAsia" w:ascii="宋体" w:hAnsi="宋体" w:cs="宋体"/>
                <w:sz w:val="24"/>
                <w:szCs w:val="24"/>
                <w:u w:val="single"/>
              </w:rPr>
              <w:t>3085700.00元</w:t>
            </w:r>
            <w:r>
              <w:rPr>
                <w:rFonts w:hint="eastAsia" w:ascii="宋体" w:hAnsi="宋体" w:cs="宋体"/>
                <w:sz w:val="24"/>
                <w:szCs w:val="24"/>
              </w:rPr>
              <w:t>；包3：</w:t>
            </w:r>
            <w:r>
              <w:rPr>
                <w:rFonts w:hint="eastAsia" w:ascii="宋体" w:hAnsi="宋体" w:cs="宋体"/>
                <w:sz w:val="24"/>
                <w:szCs w:val="24"/>
                <w:u w:val="single"/>
              </w:rPr>
              <w:t>426600.00元</w:t>
            </w:r>
          </w:p>
        </w:tc>
      </w:tr>
      <w:tr w14:paraId="10EB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072995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1.5</w:t>
            </w:r>
          </w:p>
        </w:tc>
        <w:tc>
          <w:tcPr>
            <w:tcW w:w="1843" w:type="dxa"/>
            <w:tcBorders>
              <w:top w:val="single" w:color="auto" w:sz="4" w:space="0"/>
              <w:left w:val="nil"/>
              <w:bottom w:val="single" w:color="auto" w:sz="4" w:space="0"/>
              <w:right w:val="single" w:color="auto" w:sz="4" w:space="0"/>
            </w:tcBorders>
            <w:vAlign w:val="center"/>
          </w:tcPr>
          <w:p w14:paraId="57724320">
            <w:pPr>
              <w:pStyle w:val="26"/>
              <w:spacing w:line="360" w:lineRule="auto"/>
              <w:jc w:val="center"/>
              <w:rPr>
                <w:rFonts w:hint="eastAsia" w:ascii="宋体" w:hAnsi="宋体" w:cs="宋体"/>
                <w:szCs w:val="24"/>
              </w:rPr>
            </w:pPr>
            <w:r>
              <w:rPr>
                <w:rFonts w:hint="eastAsia" w:ascii="宋体" w:hAnsi="宋体" w:cs="宋体"/>
                <w:szCs w:val="24"/>
              </w:rPr>
              <w:t>资金来源</w:t>
            </w:r>
          </w:p>
        </w:tc>
        <w:tc>
          <w:tcPr>
            <w:tcW w:w="6803" w:type="dxa"/>
            <w:tcBorders>
              <w:top w:val="single" w:color="auto" w:sz="4" w:space="0"/>
              <w:left w:val="nil"/>
              <w:bottom w:val="single" w:color="auto" w:sz="4" w:space="0"/>
              <w:right w:val="single" w:color="auto" w:sz="4" w:space="0"/>
            </w:tcBorders>
            <w:vAlign w:val="center"/>
          </w:tcPr>
          <w:p w14:paraId="55860142">
            <w:pPr>
              <w:pStyle w:val="26"/>
              <w:spacing w:line="360" w:lineRule="auto"/>
              <w:rPr>
                <w:rFonts w:hint="eastAsia" w:ascii="宋体" w:hAnsi="宋体" w:cs="宋体"/>
                <w:szCs w:val="24"/>
              </w:rPr>
            </w:pPr>
            <w:r>
              <w:rPr>
                <w:rFonts w:hint="eastAsia" w:ascii="宋体" w:hAnsi="宋体" w:cs="宋体"/>
                <w:szCs w:val="24"/>
              </w:rPr>
              <w:t>财政资金，已落实</w:t>
            </w:r>
          </w:p>
        </w:tc>
      </w:tr>
      <w:tr w14:paraId="5940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993" w:type="dxa"/>
            <w:tcBorders>
              <w:top w:val="single" w:color="auto" w:sz="4" w:space="0"/>
              <w:left w:val="single" w:color="auto" w:sz="4" w:space="0"/>
              <w:bottom w:val="single" w:color="auto" w:sz="4" w:space="0"/>
              <w:right w:val="single" w:color="auto" w:sz="4" w:space="0"/>
            </w:tcBorders>
            <w:vAlign w:val="center"/>
          </w:tcPr>
          <w:p w14:paraId="28CF1A50">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1.6</w:t>
            </w:r>
          </w:p>
        </w:tc>
        <w:tc>
          <w:tcPr>
            <w:tcW w:w="1843" w:type="dxa"/>
            <w:tcBorders>
              <w:top w:val="single" w:color="auto" w:sz="4" w:space="0"/>
              <w:left w:val="nil"/>
              <w:bottom w:val="single" w:color="auto" w:sz="4" w:space="0"/>
              <w:right w:val="single" w:color="auto" w:sz="4" w:space="0"/>
            </w:tcBorders>
            <w:vAlign w:val="center"/>
          </w:tcPr>
          <w:p w14:paraId="2C312EE7">
            <w:pPr>
              <w:spacing w:line="360" w:lineRule="auto"/>
              <w:jc w:val="center"/>
              <w:rPr>
                <w:rFonts w:hint="eastAsia" w:ascii="宋体" w:hAnsi="宋体" w:cs="宋体"/>
                <w:sz w:val="24"/>
                <w:szCs w:val="24"/>
              </w:rPr>
            </w:pPr>
            <w:r>
              <w:rPr>
                <w:rFonts w:hint="eastAsia" w:ascii="宋体" w:hAnsi="宋体" w:cs="宋体"/>
                <w:sz w:val="24"/>
                <w:szCs w:val="24"/>
              </w:rPr>
              <w:t>采购范围</w:t>
            </w:r>
          </w:p>
        </w:tc>
        <w:tc>
          <w:tcPr>
            <w:tcW w:w="6803" w:type="dxa"/>
            <w:tcBorders>
              <w:top w:val="single" w:color="auto" w:sz="4" w:space="0"/>
              <w:left w:val="nil"/>
              <w:bottom w:val="single" w:color="auto" w:sz="4" w:space="0"/>
              <w:right w:val="single" w:color="auto" w:sz="4" w:space="0"/>
            </w:tcBorders>
            <w:vAlign w:val="center"/>
          </w:tcPr>
          <w:p w14:paraId="75E12477">
            <w:pPr>
              <w:pStyle w:val="26"/>
              <w:spacing w:line="360" w:lineRule="auto"/>
              <w:rPr>
                <w:rFonts w:hint="eastAsia" w:ascii="宋体" w:hAnsi="宋体" w:cs="宋体"/>
                <w:szCs w:val="24"/>
              </w:rPr>
            </w:pPr>
            <w:r>
              <w:rPr>
                <w:rFonts w:hint="eastAsia" w:ascii="宋体" w:hAnsi="宋体" w:cs="宋体"/>
                <w:kern w:val="0"/>
                <w:szCs w:val="24"/>
              </w:rPr>
              <w:t>本项目为三门峡市自然资源和规划局实景三维三门峡建设项目。项目主要内容为包括城市级实景三维、物联感知数据接入与融合、在线系统与支撑环境建设、示范应用。其中包1：</w:t>
            </w:r>
            <w:r>
              <w:rPr>
                <w:rFonts w:hint="eastAsia" w:ascii="宋体" w:hAnsi="宋体" w:cs="宋体"/>
                <w:szCs w:val="24"/>
              </w:rPr>
              <w:t>城市级实景三维、数据融合、支撑环境建设</w:t>
            </w:r>
            <w:r>
              <w:rPr>
                <w:rFonts w:hint="eastAsia" w:ascii="宋体" w:hAnsi="宋体" w:cs="宋体"/>
                <w:kern w:val="0"/>
                <w:szCs w:val="24"/>
              </w:rPr>
              <w:t>；包2：</w:t>
            </w:r>
            <w:r>
              <w:rPr>
                <w:rFonts w:hint="eastAsia" w:ascii="宋体" w:hAnsi="宋体" w:cs="宋体"/>
                <w:szCs w:val="24"/>
              </w:rPr>
              <w:t>实景三维平台、示范应用建设</w:t>
            </w:r>
            <w:r>
              <w:rPr>
                <w:rFonts w:hint="eastAsia" w:ascii="宋体" w:hAnsi="宋体" w:cs="宋体"/>
                <w:kern w:val="0"/>
                <w:szCs w:val="24"/>
              </w:rPr>
              <w:t>；包3：</w:t>
            </w:r>
            <w:r>
              <w:rPr>
                <w:rFonts w:hint="eastAsia" w:ascii="宋体" w:hAnsi="宋体" w:cs="宋体"/>
                <w:szCs w:val="24"/>
              </w:rPr>
              <w:t>实景三维三门峡建设监理</w:t>
            </w:r>
            <w:r>
              <w:rPr>
                <w:rFonts w:hint="eastAsia" w:ascii="宋体" w:hAnsi="宋体" w:cs="宋体"/>
                <w:kern w:val="0"/>
                <w:szCs w:val="24"/>
              </w:rPr>
              <w:t>。</w:t>
            </w:r>
          </w:p>
        </w:tc>
      </w:tr>
      <w:tr w14:paraId="2D5A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60C69E7">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1.7</w:t>
            </w:r>
          </w:p>
        </w:tc>
        <w:tc>
          <w:tcPr>
            <w:tcW w:w="1843" w:type="dxa"/>
            <w:tcBorders>
              <w:top w:val="single" w:color="auto" w:sz="4" w:space="0"/>
              <w:left w:val="nil"/>
              <w:bottom w:val="single" w:color="auto" w:sz="4" w:space="0"/>
              <w:right w:val="single" w:color="auto" w:sz="4" w:space="0"/>
            </w:tcBorders>
            <w:vAlign w:val="center"/>
          </w:tcPr>
          <w:p w14:paraId="454796FD">
            <w:pPr>
              <w:pStyle w:val="26"/>
              <w:spacing w:line="360" w:lineRule="auto"/>
              <w:jc w:val="center"/>
              <w:rPr>
                <w:rFonts w:hint="eastAsia" w:ascii="宋体" w:hAnsi="宋体" w:cs="宋体"/>
                <w:szCs w:val="24"/>
              </w:rPr>
            </w:pPr>
            <w:r>
              <w:rPr>
                <w:rFonts w:hint="eastAsia" w:ascii="宋体" w:hAnsi="宋体" w:cs="宋体"/>
                <w:szCs w:val="24"/>
              </w:rPr>
              <w:t>服务期限</w:t>
            </w:r>
          </w:p>
        </w:tc>
        <w:tc>
          <w:tcPr>
            <w:tcW w:w="6803" w:type="dxa"/>
            <w:tcBorders>
              <w:top w:val="single" w:color="auto" w:sz="4" w:space="0"/>
              <w:left w:val="nil"/>
              <w:bottom w:val="single" w:color="auto" w:sz="4" w:space="0"/>
              <w:right w:val="single" w:color="auto" w:sz="4" w:space="0"/>
            </w:tcBorders>
            <w:vAlign w:val="center"/>
          </w:tcPr>
          <w:p w14:paraId="66783A1B">
            <w:pPr>
              <w:pStyle w:val="26"/>
              <w:spacing w:line="360" w:lineRule="auto"/>
              <w:rPr>
                <w:rFonts w:hint="eastAsia" w:ascii="宋体" w:hAnsi="宋体" w:cs="宋体"/>
                <w:szCs w:val="24"/>
              </w:rPr>
            </w:pPr>
            <w:r>
              <w:rPr>
                <w:rFonts w:hint="eastAsia" w:ascii="宋体" w:hAnsi="宋体" w:cs="宋体"/>
                <w:szCs w:val="24"/>
              </w:rPr>
              <w:t>自合同签订生效之日起至通过验收</w:t>
            </w:r>
          </w:p>
        </w:tc>
      </w:tr>
      <w:tr w14:paraId="22C0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0FCBBC6">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1.8</w:t>
            </w:r>
          </w:p>
        </w:tc>
        <w:tc>
          <w:tcPr>
            <w:tcW w:w="1843" w:type="dxa"/>
            <w:tcBorders>
              <w:top w:val="single" w:color="auto" w:sz="4" w:space="0"/>
              <w:left w:val="nil"/>
              <w:bottom w:val="single" w:color="auto" w:sz="4" w:space="0"/>
              <w:right w:val="single" w:color="auto" w:sz="4" w:space="0"/>
            </w:tcBorders>
            <w:vAlign w:val="center"/>
          </w:tcPr>
          <w:p w14:paraId="2ABC8FAB">
            <w:pPr>
              <w:pStyle w:val="26"/>
              <w:spacing w:line="360" w:lineRule="auto"/>
              <w:jc w:val="center"/>
              <w:rPr>
                <w:rFonts w:hint="eastAsia" w:ascii="宋体" w:hAnsi="宋体" w:cs="宋体"/>
                <w:szCs w:val="24"/>
              </w:rPr>
            </w:pPr>
            <w:r>
              <w:rPr>
                <w:rFonts w:hint="eastAsia" w:ascii="宋体" w:hAnsi="宋体" w:cs="宋体"/>
                <w:szCs w:val="24"/>
              </w:rPr>
              <w:t>项目地点</w:t>
            </w:r>
          </w:p>
        </w:tc>
        <w:tc>
          <w:tcPr>
            <w:tcW w:w="6803" w:type="dxa"/>
            <w:tcBorders>
              <w:top w:val="single" w:color="auto" w:sz="4" w:space="0"/>
              <w:left w:val="nil"/>
              <w:bottom w:val="single" w:color="auto" w:sz="4" w:space="0"/>
              <w:right w:val="single" w:color="auto" w:sz="4" w:space="0"/>
            </w:tcBorders>
            <w:vAlign w:val="center"/>
          </w:tcPr>
          <w:p w14:paraId="1EE06CF6">
            <w:pPr>
              <w:pStyle w:val="26"/>
              <w:spacing w:line="360" w:lineRule="auto"/>
              <w:rPr>
                <w:rFonts w:hint="eastAsia" w:ascii="宋体" w:hAnsi="宋体" w:cs="宋体"/>
                <w:szCs w:val="24"/>
              </w:rPr>
            </w:pPr>
            <w:r>
              <w:rPr>
                <w:rFonts w:hint="eastAsia" w:ascii="宋体" w:hAnsi="宋体" w:cs="宋体"/>
                <w:szCs w:val="24"/>
              </w:rPr>
              <w:t>采购人指定地点</w:t>
            </w:r>
          </w:p>
        </w:tc>
      </w:tr>
      <w:tr w14:paraId="4859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E05B80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1.9</w:t>
            </w:r>
          </w:p>
        </w:tc>
        <w:tc>
          <w:tcPr>
            <w:tcW w:w="1843" w:type="dxa"/>
            <w:tcBorders>
              <w:top w:val="single" w:color="auto" w:sz="4" w:space="0"/>
              <w:left w:val="nil"/>
              <w:bottom w:val="single" w:color="auto" w:sz="4" w:space="0"/>
              <w:right w:val="single" w:color="auto" w:sz="4" w:space="0"/>
            </w:tcBorders>
            <w:vAlign w:val="center"/>
          </w:tcPr>
          <w:p w14:paraId="1C718C68">
            <w:pPr>
              <w:spacing w:line="360" w:lineRule="auto"/>
              <w:jc w:val="center"/>
              <w:rPr>
                <w:rFonts w:hint="eastAsia" w:ascii="宋体" w:hAnsi="宋体" w:cs="宋体"/>
                <w:sz w:val="24"/>
                <w:szCs w:val="24"/>
              </w:rPr>
            </w:pPr>
            <w:r>
              <w:rPr>
                <w:rFonts w:hint="eastAsia" w:ascii="宋体" w:hAnsi="宋体" w:cs="宋体"/>
                <w:sz w:val="24"/>
                <w:szCs w:val="24"/>
              </w:rPr>
              <w:t>质量要求</w:t>
            </w:r>
          </w:p>
        </w:tc>
        <w:tc>
          <w:tcPr>
            <w:tcW w:w="6803" w:type="dxa"/>
            <w:tcBorders>
              <w:top w:val="single" w:color="auto" w:sz="4" w:space="0"/>
              <w:left w:val="nil"/>
              <w:bottom w:val="single" w:color="auto" w:sz="4" w:space="0"/>
              <w:right w:val="single" w:color="auto" w:sz="4" w:space="0"/>
            </w:tcBorders>
            <w:vAlign w:val="center"/>
          </w:tcPr>
          <w:p w14:paraId="4B243D89">
            <w:pPr>
              <w:snapToGrid w:val="0"/>
              <w:textAlignment w:val="baseline"/>
              <w:rPr>
                <w:rFonts w:hint="eastAsia" w:ascii="宋体" w:hAnsi="宋体" w:cs="宋体"/>
                <w:sz w:val="24"/>
                <w:szCs w:val="24"/>
              </w:rPr>
            </w:pPr>
            <w:r>
              <w:rPr>
                <w:rFonts w:hint="eastAsia" w:ascii="宋体" w:hAnsi="宋体" w:cs="宋体"/>
                <w:sz w:val="24"/>
                <w:szCs w:val="24"/>
              </w:rPr>
              <w:t>合格，符合国家及行业标准，并满足采购人要求。</w:t>
            </w:r>
          </w:p>
        </w:tc>
      </w:tr>
      <w:tr w14:paraId="1637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93" w:type="dxa"/>
            <w:tcBorders>
              <w:top w:val="single" w:color="auto" w:sz="4" w:space="0"/>
              <w:left w:val="single" w:color="auto" w:sz="4" w:space="0"/>
              <w:bottom w:val="single" w:color="auto" w:sz="4" w:space="0"/>
              <w:right w:val="single" w:color="auto" w:sz="4" w:space="0"/>
            </w:tcBorders>
            <w:vAlign w:val="center"/>
          </w:tcPr>
          <w:p w14:paraId="2C138C45">
            <w:pPr>
              <w:spacing w:line="360" w:lineRule="auto"/>
              <w:jc w:val="center"/>
              <w:rPr>
                <w:rFonts w:hint="eastAsia" w:ascii="宋体" w:hAnsi="宋体" w:cs="宋体"/>
                <w:sz w:val="24"/>
                <w:szCs w:val="24"/>
              </w:rPr>
            </w:pPr>
            <w:r>
              <w:rPr>
                <w:rFonts w:hint="eastAsia" w:ascii="宋体" w:hAnsi="宋体" w:cs="宋体"/>
                <w:sz w:val="24"/>
                <w:szCs w:val="24"/>
              </w:rPr>
              <w:t>2.0</w:t>
            </w:r>
          </w:p>
        </w:tc>
        <w:tc>
          <w:tcPr>
            <w:tcW w:w="1843" w:type="dxa"/>
            <w:tcBorders>
              <w:top w:val="single" w:color="auto" w:sz="4" w:space="0"/>
              <w:left w:val="nil"/>
              <w:bottom w:val="single" w:color="auto" w:sz="4" w:space="0"/>
              <w:right w:val="single" w:color="auto" w:sz="4" w:space="0"/>
            </w:tcBorders>
            <w:vAlign w:val="center"/>
          </w:tcPr>
          <w:p w14:paraId="04F90797">
            <w:pPr>
              <w:spacing w:line="360" w:lineRule="auto"/>
              <w:jc w:val="center"/>
              <w:rPr>
                <w:rFonts w:hint="eastAsia" w:ascii="宋体" w:hAnsi="宋体" w:cs="宋体"/>
                <w:sz w:val="24"/>
                <w:szCs w:val="24"/>
              </w:rPr>
            </w:pPr>
            <w:r>
              <w:rPr>
                <w:rFonts w:hint="eastAsia" w:ascii="宋体" w:hAnsi="宋体" w:cs="宋体"/>
                <w:sz w:val="24"/>
                <w:szCs w:val="24"/>
              </w:rPr>
              <w:t>供应商资质</w:t>
            </w:r>
          </w:p>
          <w:p w14:paraId="60A4DB22">
            <w:pPr>
              <w:spacing w:line="360" w:lineRule="auto"/>
              <w:jc w:val="center"/>
              <w:rPr>
                <w:rFonts w:hint="eastAsia" w:ascii="宋体" w:hAnsi="宋体" w:cs="宋体"/>
                <w:sz w:val="24"/>
                <w:szCs w:val="24"/>
              </w:rPr>
            </w:pPr>
            <w:r>
              <w:rPr>
                <w:rFonts w:hint="eastAsia" w:ascii="宋体" w:hAnsi="宋体" w:cs="宋体"/>
                <w:sz w:val="24"/>
                <w:szCs w:val="24"/>
              </w:rPr>
              <w:t>条件、能力</w:t>
            </w:r>
          </w:p>
          <w:p w14:paraId="2F7798CB">
            <w:pPr>
              <w:spacing w:line="360" w:lineRule="auto"/>
              <w:jc w:val="center"/>
              <w:rPr>
                <w:rFonts w:hint="eastAsia" w:ascii="宋体" w:hAnsi="宋体" w:cs="宋体"/>
                <w:sz w:val="24"/>
                <w:szCs w:val="24"/>
              </w:rPr>
            </w:pPr>
            <w:r>
              <w:rPr>
                <w:rFonts w:hint="eastAsia" w:ascii="宋体" w:hAnsi="宋体" w:cs="宋体"/>
                <w:sz w:val="24"/>
                <w:szCs w:val="24"/>
              </w:rPr>
              <w:t>和信誉</w:t>
            </w:r>
          </w:p>
        </w:tc>
        <w:tc>
          <w:tcPr>
            <w:tcW w:w="6803" w:type="dxa"/>
            <w:tcBorders>
              <w:top w:val="single" w:color="auto" w:sz="4" w:space="0"/>
              <w:left w:val="nil"/>
              <w:bottom w:val="single" w:color="auto" w:sz="4" w:space="0"/>
              <w:right w:val="single" w:color="auto" w:sz="4" w:space="0"/>
            </w:tcBorders>
            <w:vAlign w:val="center"/>
          </w:tcPr>
          <w:p w14:paraId="1A2D7DB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1、</w:t>
            </w:r>
            <w:r>
              <w:rPr>
                <w:rFonts w:hint="eastAsia" w:ascii="宋体" w:hAnsi="宋体" w:cs="宋体"/>
                <w:sz w:val="24"/>
                <w:szCs w:val="24"/>
                <w:lang w:val="zh-TW"/>
              </w:rPr>
              <w:t>供应商须符合《中华人民共和国政府采购法》第二十二条的规定；</w:t>
            </w:r>
          </w:p>
          <w:p w14:paraId="5E3D74E7">
            <w:pPr>
              <w:spacing w:line="360" w:lineRule="auto"/>
              <w:ind w:firstLine="480" w:firstLineChars="200"/>
              <w:rPr>
                <w:rFonts w:hint="eastAsia" w:ascii="宋体" w:hAnsi="宋体" w:cs="宋体"/>
                <w:sz w:val="24"/>
                <w:szCs w:val="24"/>
                <w:lang w:bidi="en-US"/>
              </w:rPr>
            </w:pPr>
            <w:r>
              <w:rPr>
                <w:rFonts w:hint="eastAsia" w:ascii="宋体" w:hAnsi="宋体" w:cs="宋体"/>
                <w:sz w:val="24"/>
                <w:szCs w:val="24"/>
              </w:rPr>
              <w:t>2、落实相关采购政策</w:t>
            </w:r>
            <w:r>
              <w:rPr>
                <w:rFonts w:hint="eastAsia" w:ascii="宋体" w:hAnsi="宋体" w:cs="宋体"/>
                <w:sz w:val="24"/>
                <w:szCs w:val="24"/>
                <w:lang w:bidi="en-US"/>
              </w:rPr>
              <w:t>满足的资格要求</w:t>
            </w:r>
            <w:r>
              <w:rPr>
                <w:rFonts w:hint="eastAsia" w:ascii="宋体" w:hAnsi="宋体" w:cs="宋体"/>
                <w:sz w:val="24"/>
                <w:szCs w:val="24"/>
              </w:rPr>
              <w:t>：无。</w:t>
            </w:r>
          </w:p>
          <w:p w14:paraId="76BAB96D">
            <w:pPr>
              <w:spacing w:line="360" w:lineRule="auto"/>
              <w:ind w:firstLine="480" w:firstLineChars="200"/>
              <w:rPr>
                <w:rFonts w:hint="eastAsia" w:ascii="宋体" w:hAnsi="宋体" w:cs="宋体"/>
                <w:sz w:val="24"/>
                <w:szCs w:val="24"/>
              </w:rPr>
            </w:pPr>
            <w:r>
              <w:rPr>
                <w:rFonts w:hint="eastAsia" w:ascii="宋体" w:hAnsi="宋体" w:cs="宋体"/>
                <w:sz w:val="24"/>
                <w:szCs w:val="24"/>
              </w:rPr>
              <w:t>3、本项目特定资格要求</w:t>
            </w:r>
          </w:p>
          <w:p w14:paraId="74687FEF">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3.1第1标包：供应商应具有测绘地理信息行政主管部门颁发的甲级测绘资质，专业类别须包含测绘航空摄影、摄影测量与遥感、地理信息系统工程、地图编制。</w:t>
            </w:r>
          </w:p>
          <w:p w14:paraId="6800DF0B">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3.2第2标包：供应商应具有测绘地理信息行政主管部门颁发的乙级及以上测绘资质，专业类别须包含地理信息系统工程。</w:t>
            </w:r>
          </w:p>
          <w:p w14:paraId="0479A681">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3.3第3标包：供应商应具有测绘地理信息行政主管部门颁发的甲级测绘资质，专业类别须包含测绘航空摄影、摄影测量与遥感、地理信息系统工程、地图编制。</w:t>
            </w:r>
          </w:p>
          <w:p w14:paraId="49F55FDB">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3.4具有独立承担民事责任的能力(供应商提供有效的法人证书或者其他组织的营业执照等证明文件或自然人的身份证明)。</w:t>
            </w:r>
          </w:p>
          <w:p w14:paraId="656B28DA">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5</w:t>
            </w:r>
            <w:r>
              <w:rPr>
                <w:rFonts w:hint="eastAsia" w:ascii="宋体" w:hAnsi="宋体" w:cs="宋体"/>
                <w:sz w:val="24"/>
                <w:szCs w:val="24"/>
                <w:lang w:val="zh-TW"/>
              </w:rPr>
              <w:t>具有履行合同所必需的设备和专业技术能力(提供承诺书，格式自拟)。</w:t>
            </w:r>
          </w:p>
          <w:p w14:paraId="5B0B1A4C">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6</w:t>
            </w:r>
            <w:r>
              <w:rPr>
                <w:rFonts w:hint="eastAsia" w:ascii="宋体" w:hAnsi="宋体" w:cs="宋体"/>
                <w:sz w:val="24"/>
                <w:szCs w:val="24"/>
                <w:lang w:val="zh-TW"/>
              </w:rPr>
              <w:t>供应商参加政府采购活动前三年内在经营活动中没有重大违法、违纪行为(提供加盖公章的书面声明，格式自拟)。</w:t>
            </w:r>
          </w:p>
          <w:p w14:paraId="53FCAD0D">
            <w:pPr>
              <w:spacing w:line="360" w:lineRule="auto"/>
              <w:ind w:firstLine="480" w:firstLineChars="200"/>
              <w:rPr>
                <w:rFonts w:hint="eastAsia" w:ascii="宋体" w:hAnsi="宋体" w:cs="宋体"/>
                <w:sz w:val="24"/>
                <w:szCs w:val="24"/>
                <w:lang w:val="zh-TW"/>
              </w:rPr>
            </w:pPr>
            <w:r>
              <w:rPr>
                <w:rFonts w:hint="eastAsia" w:ascii="宋体" w:hAnsi="宋体" w:cs="宋体"/>
                <w:sz w:val="24"/>
                <w:szCs w:val="24"/>
              </w:rPr>
              <w:t>3.7</w:t>
            </w:r>
            <w:r>
              <w:rPr>
                <w:rFonts w:hint="eastAsia" w:ascii="宋体" w:hAnsi="宋体" w:cs="宋体"/>
                <w:sz w:val="24"/>
                <w:szCs w:val="24"/>
                <w:lang w:val="zh-TW" w:eastAsia="zh-CN"/>
              </w:rPr>
              <w:t>供应商</w:t>
            </w:r>
            <w:r>
              <w:rPr>
                <w:rFonts w:hint="eastAsia" w:ascii="宋体" w:hAnsi="宋体" w:cs="宋体"/>
                <w:sz w:val="24"/>
                <w:szCs w:val="24"/>
                <w:lang w:val="zh-TW"/>
              </w:rPr>
              <w:t>自行出具本企业无商业贿赂和不正当竞争行为承诺书。</w:t>
            </w:r>
          </w:p>
          <w:p w14:paraId="1F87A497">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8</w:t>
            </w:r>
            <w:r>
              <w:rPr>
                <w:rFonts w:hint="eastAsia" w:ascii="宋体" w:hAnsi="宋体" w:cs="宋体"/>
                <w:sz w:val="24"/>
                <w:szCs w:val="24"/>
                <w:lang w:val="zh-TW"/>
              </w:rPr>
              <w:t>根据《关于在政府采购活动中查询及使用信用记录有关问题的通知》(财库[2016]125号)和豫财购【2016】15号的规定， 对列入失信被执行人、重大税收违法失信主体、政府采购严重违 法失信行为记录名单的供应商，拒绝参与本项目政府采购活动。 【提供信用查询的方法：首先供应商自行提供信用查询结果，附在投标文件内，查询日期不得早于公告发布日期。采购人或采购代理机构在开标结束后对“信用中国、中国政府采购网”网上即时查询信用项，采购人或采购代理机构即时查询信用结果作为最终 审查依据】。</w:t>
            </w:r>
          </w:p>
          <w:p w14:paraId="31C1F8AB">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【查询渠道：1.“信用中国”网站 (</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"https://www.creditchina.gov.cn," </w:instrText>
            </w:r>
            <w:r>
              <w:rPr>
                <w:rFonts w:hint="eastAsia" w:ascii="宋体" w:hAnsi="宋体" w:cs="宋体"/>
                <w:sz w:val="24"/>
                <w:szCs w:val="24"/>
                <w:lang w:val="zh-TW"/>
              </w:rPr>
              <w:fldChar w:fldCharType="separate"/>
            </w:r>
            <w:r>
              <w:rPr>
                <w:rFonts w:hint="eastAsia" w:ascii="宋体" w:hAnsi="宋体" w:cs="宋体"/>
                <w:sz w:val="24"/>
                <w:szCs w:val="24"/>
                <w:lang w:val="zh-TW"/>
              </w:rPr>
              <w:t>www.creditchina.gov.cn,</w:t>
            </w:r>
            <w:r>
              <w:rPr>
                <w:rFonts w:hint="eastAsia" w:ascii="宋体" w:hAnsi="宋体" w:cs="宋体"/>
                <w:sz w:val="24"/>
                <w:szCs w:val="24"/>
                <w:lang w:val="zh-TW"/>
              </w:rPr>
              <w:fldChar w:fldCharType="end"/>
            </w:r>
            <w:r>
              <w:rPr>
                <w:rFonts w:hint="eastAsia" w:ascii="宋体" w:hAnsi="宋体" w:cs="宋体"/>
                <w:sz w:val="24"/>
                <w:szCs w:val="24"/>
                <w:lang w:val="zh-TW"/>
              </w:rPr>
              <w:t>查询内容为：重大税收违法失信主体)、“中国执行信息公开网” 网站(</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"http://zxgk.court.gov.cn" </w:instrText>
            </w:r>
            <w:r>
              <w:rPr>
                <w:rFonts w:hint="eastAsia" w:ascii="宋体" w:hAnsi="宋体" w:cs="宋体"/>
                <w:sz w:val="24"/>
                <w:szCs w:val="24"/>
                <w:lang w:val="zh-TW"/>
              </w:rPr>
              <w:fldChar w:fldCharType="separate"/>
            </w:r>
            <w:r>
              <w:rPr>
                <w:rFonts w:hint="eastAsia" w:ascii="宋体" w:hAnsi="宋体" w:cs="宋体"/>
                <w:sz w:val="24"/>
                <w:szCs w:val="24"/>
                <w:lang w:val="zh-TW"/>
              </w:rPr>
              <w:t>http://zxgk.court.gov.cn</w:t>
            </w:r>
            <w:r>
              <w:rPr>
                <w:rFonts w:hint="eastAsia" w:ascii="宋体" w:hAnsi="宋体" w:cs="宋体"/>
                <w:sz w:val="24"/>
                <w:szCs w:val="24"/>
                <w:lang w:val="zh-TW"/>
              </w:rPr>
              <w:fldChar w:fldCharType="end"/>
            </w:r>
            <w:r>
              <w:rPr>
                <w:rFonts w:hint="eastAsia" w:ascii="宋体" w:hAnsi="宋体" w:cs="宋体"/>
                <w:sz w:val="24"/>
                <w:szCs w:val="24"/>
                <w:lang w:val="zh-TW"/>
              </w:rPr>
              <w:t>,查询内容为：失信被执行人)2.中国政府采购网(</w:t>
            </w:r>
            <w:r>
              <w:rPr>
                <w:rFonts w:hint="eastAsia" w:ascii="宋体" w:hAnsi="宋体" w:cs="宋体"/>
                <w:sz w:val="24"/>
                <w:szCs w:val="24"/>
                <w:lang w:val="zh-TW"/>
              </w:rPr>
              <w:fldChar w:fldCharType="begin"/>
            </w:r>
            <w:r>
              <w:rPr>
                <w:rFonts w:hint="eastAsia" w:ascii="宋体" w:hAnsi="宋体" w:cs="宋体"/>
                <w:sz w:val="24"/>
                <w:szCs w:val="24"/>
                <w:lang w:val="zh-TW"/>
              </w:rPr>
              <w:instrText xml:space="preserve"> HYPERLINK "https://www.ccgp.gov.cn" </w:instrText>
            </w:r>
            <w:r>
              <w:rPr>
                <w:rFonts w:hint="eastAsia" w:ascii="宋体" w:hAnsi="宋体" w:cs="宋体"/>
                <w:sz w:val="24"/>
                <w:szCs w:val="24"/>
                <w:lang w:val="zh-TW"/>
              </w:rPr>
              <w:fldChar w:fldCharType="separate"/>
            </w:r>
            <w:r>
              <w:rPr>
                <w:rFonts w:hint="eastAsia" w:ascii="宋体" w:hAnsi="宋体" w:cs="宋体"/>
                <w:sz w:val="24"/>
                <w:szCs w:val="24"/>
                <w:lang w:val="zh-TW"/>
              </w:rPr>
              <w:t>www.ccgp.gov.cn</w:t>
            </w:r>
            <w:r>
              <w:rPr>
                <w:rFonts w:hint="eastAsia" w:ascii="宋体" w:hAnsi="宋体" w:cs="宋体"/>
                <w:sz w:val="24"/>
                <w:szCs w:val="24"/>
                <w:lang w:val="zh-TW"/>
              </w:rPr>
              <w:fldChar w:fldCharType="end"/>
            </w:r>
            <w:r>
              <w:rPr>
                <w:rFonts w:hint="eastAsia" w:ascii="宋体" w:hAnsi="宋体" w:cs="宋体"/>
                <w:sz w:val="24"/>
                <w:szCs w:val="24"/>
                <w:lang w:val="zh-TW"/>
              </w:rPr>
              <w:t>, 查询内容为：政府采购严重违法失信行为记录名单)】</w:t>
            </w:r>
          </w:p>
          <w:p w14:paraId="796D7A5B">
            <w:pPr>
              <w:wordWrap w:val="0"/>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w:t>
            </w:r>
            <w:r>
              <w:rPr>
                <w:rFonts w:hint="eastAsia" w:ascii="宋体" w:hAnsi="宋体" w:cs="宋体"/>
                <w:sz w:val="24"/>
                <w:szCs w:val="24"/>
              </w:rPr>
              <w:t>9</w:t>
            </w:r>
            <w:r>
              <w:rPr>
                <w:rFonts w:hint="eastAsia" w:ascii="宋体" w:hAnsi="宋体" w:cs="宋体"/>
                <w:sz w:val="24"/>
                <w:szCs w:val="24"/>
                <w:lang w:val="zh-TW"/>
              </w:rPr>
              <w:t>单位负责人为同一人或者存在直接控股、管理关系的不 同供应商，不得参加同一合同项下的政府采购活动。提供国家企业信用信息公示系统的企业信用信息公示报告或承诺书(格式自拟)。</w:t>
            </w:r>
          </w:p>
          <w:p w14:paraId="77FBE4C6">
            <w:pPr>
              <w:spacing w:line="360" w:lineRule="auto"/>
              <w:ind w:firstLine="480" w:firstLineChars="200"/>
              <w:rPr>
                <w:rFonts w:hint="eastAsia" w:ascii="宋体" w:hAnsi="宋体" w:cs="宋体"/>
                <w:sz w:val="24"/>
                <w:szCs w:val="24"/>
                <w:lang w:val="zh-TW"/>
              </w:rPr>
            </w:pPr>
            <w:r>
              <w:rPr>
                <w:rFonts w:hint="eastAsia" w:ascii="宋体" w:hAnsi="宋体" w:cs="宋体"/>
                <w:sz w:val="24"/>
                <w:szCs w:val="24"/>
                <w:lang w:val="zh-TW"/>
              </w:rPr>
              <w:t>3.1</w:t>
            </w:r>
            <w:r>
              <w:rPr>
                <w:rFonts w:hint="eastAsia" w:ascii="宋体" w:hAnsi="宋体" w:cs="宋体"/>
                <w:sz w:val="24"/>
                <w:szCs w:val="24"/>
              </w:rPr>
              <w:t>0</w:t>
            </w:r>
            <w:r>
              <w:rPr>
                <w:rFonts w:hint="eastAsia" w:ascii="宋体" w:hAnsi="宋体" w:cs="宋体"/>
                <w:sz w:val="24"/>
                <w:szCs w:val="24"/>
                <w:lang w:val="zh-TW"/>
              </w:rPr>
              <w:t>本项目不接受联合体投标。</w:t>
            </w:r>
          </w:p>
          <w:p w14:paraId="1584798B">
            <w:pPr>
              <w:spacing w:line="360" w:lineRule="auto"/>
              <w:ind w:firstLine="480" w:firstLineChars="200"/>
              <w:rPr>
                <w:rFonts w:hint="eastAsia" w:ascii="宋体" w:hAnsi="宋体" w:cs="宋体"/>
                <w:sz w:val="24"/>
                <w:szCs w:val="24"/>
              </w:rPr>
            </w:pPr>
            <w:r>
              <w:rPr>
                <w:rFonts w:hint="eastAsia" w:ascii="宋体" w:hAnsi="宋体" w:cs="宋体"/>
                <w:sz w:val="24"/>
                <w:szCs w:val="24"/>
                <w:lang w:val="zh-TW"/>
              </w:rPr>
              <w:t>注：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tc>
      </w:tr>
      <w:tr w14:paraId="73B5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8A2BB0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2.1</w:t>
            </w:r>
          </w:p>
        </w:tc>
        <w:tc>
          <w:tcPr>
            <w:tcW w:w="1843" w:type="dxa"/>
            <w:tcBorders>
              <w:top w:val="single" w:color="auto" w:sz="4" w:space="0"/>
              <w:left w:val="nil"/>
              <w:bottom w:val="single" w:color="auto" w:sz="4" w:space="0"/>
              <w:right w:val="single" w:color="auto" w:sz="4" w:space="0"/>
            </w:tcBorders>
            <w:vAlign w:val="center"/>
          </w:tcPr>
          <w:p w14:paraId="45EF2450">
            <w:pPr>
              <w:spacing w:line="360" w:lineRule="auto"/>
              <w:jc w:val="center"/>
              <w:rPr>
                <w:rFonts w:hint="eastAsia" w:ascii="宋体" w:hAnsi="宋体" w:cs="宋体"/>
                <w:sz w:val="24"/>
                <w:szCs w:val="24"/>
              </w:rPr>
            </w:pPr>
            <w:r>
              <w:rPr>
                <w:rFonts w:hint="eastAsia" w:ascii="宋体" w:hAnsi="宋体" w:cs="宋体"/>
                <w:sz w:val="24"/>
                <w:szCs w:val="24"/>
              </w:rPr>
              <w:t>是否接受联合体</w:t>
            </w:r>
          </w:p>
        </w:tc>
        <w:tc>
          <w:tcPr>
            <w:tcW w:w="6803" w:type="dxa"/>
            <w:tcBorders>
              <w:top w:val="single" w:color="auto" w:sz="4" w:space="0"/>
              <w:left w:val="nil"/>
              <w:bottom w:val="single" w:color="auto" w:sz="4" w:space="0"/>
              <w:right w:val="single" w:color="auto" w:sz="4" w:space="0"/>
            </w:tcBorders>
            <w:vAlign w:val="center"/>
          </w:tcPr>
          <w:p w14:paraId="0250E031">
            <w:pPr>
              <w:spacing w:line="360" w:lineRule="auto"/>
              <w:rPr>
                <w:rFonts w:hint="eastAsia" w:ascii="宋体" w:hAnsi="宋体" w:cs="宋体"/>
                <w:sz w:val="24"/>
                <w:szCs w:val="24"/>
              </w:rPr>
            </w:pPr>
            <w:r>
              <w:rPr>
                <w:rFonts w:hint="eastAsia" w:ascii="宋体" w:hAnsi="宋体" w:cs="宋体"/>
                <w:sz w:val="24"/>
                <w:szCs w:val="24"/>
              </w:rPr>
              <w:t>不接受</w:t>
            </w:r>
          </w:p>
        </w:tc>
      </w:tr>
      <w:tr w14:paraId="7A61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0CD60E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2.2</w:t>
            </w:r>
          </w:p>
        </w:tc>
        <w:tc>
          <w:tcPr>
            <w:tcW w:w="1843" w:type="dxa"/>
            <w:tcBorders>
              <w:top w:val="single" w:color="auto" w:sz="4" w:space="0"/>
              <w:left w:val="nil"/>
              <w:bottom w:val="single" w:color="auto" w:sz="4" w:space="0"/>
              <w:right w:val="single" w:color="auto" w:sz="4" w:space="0"/>
            </w:tcBorders>
            <w:vAlign w:val="center"/>
          </w:tcPr>
          <w:p w14:paraId="320A9432">
            <w:pPr>
              <w:spacing w:line="360" w:lineRule="auto"/>
              <w:ind w:firstLine="240" w:firstLineChars="100"/>
              <w:rPr>
                <w:rFonts w:hint="eastAsia" w:ascii="宋体" w:hAnsi="宋体" w:cs="宋体"/>
                <w:sz w:val="24"/>
                <w:szCs w:val="24"/>
              </w:rPr>
            </w:pPr>
            <w:r>
              <w:rPr>
                <w:rFonts w:hint="eastAsia" w:ascii="宋体" w:hAnsi="宋体" w:cs="宋体"/>
                <w:sz w:val="24"/>
                <w:szCs w:val="24"/>
              </w:rPr>
              <w:t>踏勘现场</w:t>
            </w:r>
          </w:p>
        </w:tc>
        <w:tc>
          <w:tcPr>
            <w:tcW w:w="6803" w:type="dxa"/>
            <w:tcBorders>
              <w:top w:val="single" w:color="auto" w:sz="4" w:space="0"/>
              <w:left w:val="nil"/>
              <w:bottom w:val="single" w:color="auto" w:sz="4" w:space="0"/>
              <w:right w:val="single" w:color="auto" w:sz="4" w:space="0"/>
            </w:tcBorders>
            <w:vAlign w:val="center"/>
          </w:tcPr>
          <w:p w14:paraId="5AE410B0">
            <w:pPr>
              <w:spacing w:line="360" w:lineRule="auto"/>
              <w:rPr>
                <w:rFonts w:hint="eastAsia" w:ascii="宋体" w:hAnsi="宋体" w:cs="宋体"/>
                <w:sz w:val="24"/>
                <w:szCs w:val="24"/>
              </w:rPr>
            </w:pPr>
            <w:r>
              <w:rPr>
                <w:rFonts w:hint="eastAsia" w:ascii="宋体" w:hAnsi="宋体" w:cs="宋体"/>
                <w:sz w:val="24"/>
                <w:szCs w:val="24"/>
              </w:rPr>
              <w:t>不组织</w:t>
            </w:r>
          </w:p>
        </w:tc>
      </w:tr>
      <w:tr w14:paraId="7906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9D1D12A">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2.3</w:t>
            </w:r>
          </w:p>
        </w:tc>
        <w:tc>
          <w:tcPr>
            <w:tcW w:w="1843" w:type="dxa"/>
            <w:tcBorders>
              <w:top w:val="single" w:color="auto" w:sz="4" w:space="0"/>
              <w:left w:val="nil"/>
              <w:bottom w:val="single" w:color="auto" w:sz="4" w:space="0"/>
              <w:right w:val="single" w:color="auto" w:sz="4" w:space="0"/>
            </w:tcBorders>
            <w:vAlign w:val="center"/>
          </w:tcPr>
          <w:p w14:paraId="01524128">
            <w:pPr>
              <w:spacing w:line="360" w:lineRule="auto"/>
              <w:jc w:val="center"/>
              <w:rPr>
                <w:rFonts w:hint="eastAsia" w:ascii="宋体" w:hAnsi="宋体" w:cs="宋体"/>
                <w:sz w:val="24"/>
                <w:szCs w:val="24"/>
              </w:rPr>
            </w:pPr>
            <w:r>
              <w:rPr>
                <w:rFonts w:hint="eastAsia" w:ascii="宋体" w:hAnsi="宋体" w:cs="宋体"/>
                <w:sz w:val="24"/>
                <w:szCs w:val="24"/>
              </w:rPr>
              <w:t>招标预备会</w:t>
            </w:r>
          </w:p>
        </w:tc>
        <w:tc>
          <w:tcPr>
            <w:tcW w:w="6803" w:type="dxa"/>
            <w:tcBorders>
              <w:top w:val="single" w:color="auto" w:sz="4" w:space="0"/>
              <w:left w:val="nil"/>
              <w:bottom w:val="single" w:color="auto" w:sz="4" w:space="0"/>
              <w:right w:val="single" w:color="auto" w:sz="4" w:space="0"/>
            </w:tcBorders>
            <w:vAlign w:val="center"/>
          </w:tcPr>
          <w:p w14:paraId="4B9A499D">
            <w:pPr>
              <w:spacing w:line="360" w:lineRule="auto"/>
              <w:rPr>
                <w:rFonts w:hint="eastAsia" w:ascii="宋体" w:hAnsi="宋体" w:cs="宋体"/>
                <w:sz w:val="24"/>
                <w:szCs w:val="24"/>
              </w:rPr>
            </w:pPr>
            <w:r>
              <w:rPr>
                <w:rFonts w:hint="eastAsia" w:ascii="宋体" w:hAnsi="宋体" w:cs="宋体"/>
                <w:sz w:val="24"/>
                <w:szCs w:val="24"/>
              </w:rPr>
              <w:t>不召开</w:t>
            </w:r>
          </w:p>
        </w:tc>
      </w:tr>
      <w:tr w14:paraId="5AFE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70152C9">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2.4</w:t>
            </w:r>
          </w:p>
        </w:tc>
        <w:tc>
          <w:tcPr>
            <w:tcW w:w="1843" w:type="dxa"/>
            <w:tcBorders>
              <w:top w:val="single" w:color="auto" w:sz="4" w:space="0"/>
              <w:left w:val="nil"/>
              <w:bottom w:val="single" w:color="auto" w:sz="4" w:space="0"/>
              <w:right w:val="single" w:color="auto" w:sz="4" w:space="0"/>
            </w:tcBorders>
            <w:vAlign w:val="center"/>
          </w:tcPr>
          <w:p w14:paraId="28D19468">
            <w:pPr>
              <w:spacing w:line="360" w:lineRule="auto"/>
              <w:jc w:val="center"/>
              <w:rPr>
                <w:rFonts w:hint="eastAsia" w:ascii="宋体" w:hAnsi="宋体" w:cs="宋体"/>
                <w:sz w:val="24"/>
                <w:szCs w:val="24"/>
              </w:rPr>
            </w:pPr>
            <w:r>
              <w:rPr>
                <w:rFonts w:hint="eastAsia" w:ascii="宋体" w:hAnsi="宋体" w:cs="宋体"/>
                <w:sz w:val="24"/>
                <w:szCs w:val="24"/>
              </w:rPr>
              <w:t>分  包</w:t>
            </w:r>
          </w:p>
        </w:tc>
        <w:tc>
          <w:tcPr>
            <w:tcW w:w="6803" w:type="dxa"/>
            <w:tcBorders>
              <w:top w:val="single" w:color="auto" w:sz="4" w:space="0"/>
              <w:left w:val="nil"/>
              <w:bottom w:val="single" w:color="auto" w:sz="4" w:space="0"/>
              <w:right w:val="single" w:color="auto" w:sz="4" w:space="0"/>
            </w:tcBorders>
            <w:vAlign w:val="center"/>
          </w:tcPr>
          <w:p w14:paraId="0B3713C8">
            <w:pPr>
              <w:spacing w:line="360" w:lineRule="auto"/>
              <w:rPr>
                <w:rFonts w:hint="eastAsia" w:ascii="宋体" w:hAnsi="宋体" w:cs="宋体"/>
                <w:sz w:val="24"/>
                <w:szCs w:val="24"/>
              </w:rPr>
            </w:pPr>
            <w:r>
              <w:rPr>
                <w:rFonts w:hint="eastAsia" w:ascii="宋体" w:hAnsi="宋体" w:cs="宋体"/>
                <w:sz w:val="24"/>
                <w:szCs w:val="24"/>
              </w:rPr>
              <w:t>不允许</w:t>
            </w:r>
          </w:p>
        </w:tc>
      </w:tr>
      <w:tr w14:paraId="0CAF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103AC2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2.5</w:t>
            </w:r>
          </w:p>
        </w:tc>
        <w:tc>
          <w:tcPr>
            <w:tcW w:w="1843" w:type="dxa"/>
            <w:tcBorders>
              <w:top w:val="single" w:color="auto" w:sz="4" w:space="0"/>
              <w:left w:val="nil"/>
              <w:bottom w:val="single" w:color="auto" w:sz="4" w:space="0"/>
              <w:right w:val="single" w:color="auto" w:sz="4" w:space="0"/>
            </w:tcBorders>
            <w:vAlign w:val="center"/>
          </w:tcPr>
          <w:p w14:paraId="34F14F88">
            <w:pPr>
              <w:spacing w:line="360" w:lineRule="auto"/>
              <w:jc w:val="center"/>
              <w:rPr>
                <w:rFonts w:hint="eastAsia" w:ascii="宋体" w:hAnsi="宋体" w:cs="宋体"/>
                <w:sz w:val="24"/>
                <w:szCs w:val="24"/>
              </w:rPr>
            </w:pPr>
            <w:r>
              <w:rPr>
                <w:rFonts w:hint="eastAsia" w:ascii="宋体" w:hAnsi="宋体" w:cs="宋体"/>
                <w:sz w:val="24"/>
                <w:szCs w:val="24"/>
              </w:rPr>
              <w:t>构成招标文件的其他材料</w:t>
            </w:r>
          </w:p>
        </w:tc>
        <w:tc>
          <w:tcPr>
            <w:tcW w:w="6803" w:type="dxa"/>
            <w:tcBorders>
              <w:top w:val="single" w:color="auto" w:sz="4" w:space="0"/>
              <w:left w:val="nil"/>
              <w:bottom w:val="single" w:color="auto" w:sz="4" w:space="0"/>
              <w:right w:val="single" w:color="auto" w:sz="4" w:space="0"/>
            </w:tcBorders>
            <w:vAlign w:val="center"/>
          </w:tcPr>
          <w:p w14:paraId="2884E0C3">
            <w:pPr>
              <w:spacing w:line="360" w:lineRule="auto"/>
              <w:rPr>
                <w:rFonts w:hint="eastAsia" w:ascii="宋体" w:hAnsi="宋体" w:cs="宋体"/>
                <w:sz w:val="24"/>
                <w:szCs w:val="24"/>
              </w:rPr>
            </w:pPr>
            <w:r>
              <w:rPr>
                <w:rFonts w:hint="eastAsia" w:ascii="宋体" w:hAnsi="宋体" w:cs="宋体"/>
                <w:sz w:val="24"/>
                <w:szCs w:val="24"/>
              </w:rPr>
              <w:t>对招标文件所作的澄清（含答疑）、修改，补充构成招标文件的组成部分。</w:t>
            </w:r>
          </w:p>
        </w:tc>
      </w:tr>
      <w:tr w14:paraId="054D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C96AB0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2.6</w:t>
            </w:r>
          </w:p>
        </w:tc>
        <w:tc>
          <w:tcPr>
            <w:tcW w:w="1843" w:type="dxa"/>
            <w:tcBorders>
              <w:top w:val="single" w:color="auto" w:sz="4" w:space="0"/>
              <w:left w:val="nil"/>
              <w:bottom w:val="single" w:color="auto" w:sz="4" w:space="0"/>
              <w:right w:val="single" w:color="auto" w:sz="4" w:space="0"/>
            </w:tcBorders>
            <w:vAlign w:val="center"/>
          </w:tcPr>
          <w:p w14:paraId="7B2BB654">
            <w:pPr>
              <w:spacing w:line="360" w:lineRule="auto"/>
              <w:jc w:val="center"/>
              <w:rPr>
                <w:rFonts w:hint="eastAsia" w:ascii="宋体" w:hAnsi="宋体" w:cs="宋体"/>
                <w:sz w:val="24"/>
                <w:szCs w:val="24"/>
              </w:rPr>
            </w:pPr>
            <w:r>
              <w:rPr>
                <w:rFonts w:hint="eastAsia" w:ascii="宋体" w:hAnsi="宋体" w:cs="宋体"/>
                <w:sz w:val="24"/>
                <w:szCs w:val="24"/>
              </w:rPr>
              <w:t>供应商要求澄清招标文件的截止时间</w:t>
            </w:r>
          </w:p>
        </w:tc>
        <w:tc>
          <w:tcPr>
            <w:tcW w:w="6803" w:type="dxa"/>
            <w:tcBorders>
              <w:top w:val="single" w:color="auto" w:sz="4" w:space="0"/>
              <w:left w:val="nil"/>
              <w:bottom w:val="single" w:color="auto" w:sz="4" w:space="0"/>
              <w:right w:val="single" w:color="auto" w:sz="4" w:space="0"/>
            </w:tcBorders>
            <w:vAlign w:val="center"/>
          </w:tcPr>
          <w:p w14:paraId="56FEBAB6">
            <w:pPr>
              <w:spacing w:line="360" w:lineRule="auto"/>
              <w:rPr>
                <w:rFonts w:hint="eastAsia" w:ascii="宋体" w:hAnsi="宋体" w:cs="宋体"/>
                <w:sz w:val="24"/>
                <w:szCs w:val="24"/>
              </w:rPr>
            </w:pPr>
            <w:r>
              <w:rPr>
                <w:rFonts w:hint="eastAsia" w:ascii="宋体" w:hAnsi="宋体" w:cs="宋体"/>
                <w:sz w:val="24"/>
                <w:szCs w:val="24"/>
              </w:rPr>
              <w:t>投标文件递交截止时间15日前</w:t>
            </w:r>
          </w:p>
        </w:tc>
      </w:tr>
      <w:tr w14:paraId="6002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1288407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2.7</w:t>
            </w:r>
          </w:p>
        </w:tc>
        <w:tc>
          <w:tcPr>
            <w:tcW w:w="1843" w:type="dxa"/>
            <w:tcBorders>
              <w:top w:val="single" w:color="auto" w:sz="4" w:space="0"/>
              <w:left w:val="nil"/>
              <w:bottom w:val="single" w:color="auto" w:sz="4" w:space="0"/>
              <w:right w:val="single" w:color="auto" w:sz="4" w:space="0"/>
            </w:tcBorders>
            <w:vAlign w:val="center"/>
          </w:tcPr>
          <w:p w14:paraId="101DFD4F">
            <w:pPr>
              <w:spacing w:line="360" w:lineRule="auto"/>
              <w:ind w:left="240" w:hanging="240" w:hangingChars="100"/>
              <w:jc w:val="center"/>
              <w:rPr>
                <w:rFonts w:hint="eastAsia" w:ascii="宋体" w:hAnsi="宋体" w:cs="宋体"/>
                <w:sz w:val="24"/>
                <w:szCs w:val="24"/>
              </w:rPr>
            </w:pPr>
            <w:r>
              <w:rPr>
                <w:rFonts w:hint="eastAsia" w:ascii="宋体" w:hAnsi="宋体" w:cs="宋体"/>
                <w:sz w:val="24"/>
                <w:szCs w:val="24"/>
              </w:rPr>
              <w:t>投标文件递</w:t>
            </w:r>
          </w:p>
          <w:p w14:paraId="698B7EA3">
            <w:pPr>
              <w:spacing w:line="360" w:lineRule="auto"/>
              <w:ind w:left="240" w:hanging="240" w:hangingChars="100"/>
              <w:jc w:val="center"/>
              <w:rPr>
                <w:rFonts w:hint="eastAsia" w:ascii="宋体" w:hAnsi="宋体" w:cs="宋体"/>
                <w:sz w:val="24"/>
                <w:szCs w:val="24"/>
              </w:rPr>
            </w:pPr>
            <w:r>
              <w:rPr>
                <w:rFonts w:hint="eastAsia" w:ascii="宋体" w:hAnsi="宋体" w:cs="宋体"/>
                <w:sz w:val="24"/>
                <w:szCs w:val="24"/>
              </w:rPr>
              <w:t>交截止时间</w:t>
            </w:r>
          </w:p>
        </w:tc>
        <w:tc>
          <w:tcPr>
            <w:tcW w:w="6803" w:type="dxa"/>
            <w:tcBorders>
              <w:top w:val="single" w:color="auto" w:sz="4" w:space="0"/>
              <w:left w:val="nil"/>
              <w:bottom w:val="single" w:color="auto" w:sz="4" w:space="0"/>
              <w:right w:val="single" w:color="auto" w:sz="4" w:space="0"/>
            </w:tcBorders>
            <w:vAlign w:val="center"/>
          </w:tcPr>
          <w:p w14:paraId="2786233C">
            <w:pPr>
              <w:spacing w:line="360" w:lineRule="auto"/>
              <w:rPr>
                <w:rFonts w:hint="eastAsia" w:ascii="宋体" w:hAnsi="宋体" w:cs="宋体"/>
                <w:sz w:val="24"/>
                <w:szCs w:val="24"/>
              </w:rPr>
            </w:pPr>
            <w:r>
              <w:rPr>
                <w:rFonts w:hint="eastAsia" w:ascii="宋体" w:hAnsi="宋体" w:cs="宋体"/>
                <w:sz w:val="24"/>
                <w:szCs w:val="24"/>
              </w:rPr>
              <w:t>同开标时间</w:t>
            </w:r>
          </w:p>
        </w:tc>
      </w:tr>
      <w:tr w14:paraId="09CD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93" w:type="dxa"/>
            <w:tcBorders>
              <w:top w:val="single" w:color="auto" w:sz="4" w:space="0"/>
              <w:left w:val="single" w:color="auto" w:sz="4" w:space="0"/>
              <w:bottom w:val="single" w:color="auto" w:sz="4" w:space="0"/>
              <w:right w:val="single" w:color="auto" w:sz="4" w:space="0"/>
            </w:tcBorders>
            <w:vAlign w:val="center"/>
          </w:tcPr>
          <w:p w14:paraId="5A949280">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2.2</w:t>
            </w:r>
          </w:p>
        </w:tc>
        <w:tc>
          <w:tcPr>
            <w:tcW w:w="1843" w:type="dxa"/>
            <w:tcBorders>
              <w:top w:val="single" w:color="auto" w:sz="4" w:space="0"/>
              <w:left w:val="nil"/>
              <w:bottom w:val="single" w:color="auto" w:sz="4" w:space="0"/>
              <w:right w:val="single" w:color="auto" w:sz="4" w:space="0"/>
            </w:tcBorders>
            <w:vAlign w:val="center"/>
          </w:tcPr>
          <w:p w14:paraId="10C528E5">
            <w:pPr>
              <w:spacing w:line="360" w:lineRule="auto"/>
              <w:jc w:val="center"/>
              <w:rPr>
                <w:rFonts w:hint="eastAsia" w:ascii="宋体" w:hAnsi="宋体" w:cs="宋体"/>
                <w:sz w:val="24"/>
                <w:szCs w:val="24"/>
              </w:rPr>
            </w:pPr>
            <w:r>
              <w:rPr>
                <w:rFonts w:hint="eastAsia" w:ascii="宋体" w:hAnsi="宋体" w:cs="宋体"/>
                <w:sz w:val="24"/>
                <w:szCs w:val="24"/>
              </w:rPr>
              <w:t>供应商确认收到招标文件澄清的时间</w:t>
            </w:r>
          </w:p>
        </w:tc>
        <w:tc>
          <w:tcPr>
            <w:tcW w:w="6803" w:type="dxa"/>
            <w:tcBorders>
              <w:top w:val="single" w:color="auto" w:sz="4" w:space="0"/>
              <w:left w:val="nil"/>
              <w:bottom w:val="single" w:color="auto" w:sz="4" w:space="0"/>
              <w:right w:val="single" w:color="auto" w:sz="4" w:space="0"/>
            </w:tcBorders>
            <w:vAlign w:val="center"/>
          </w:tcPr>
          <w:p w14:paraId="76BE9E59">
            <w:pPr>
              <w:spacing w:line="360" w:lineRule="auto"/>
              <w:rPr>
                <w:rFonts w:hint="eastAsia"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072A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2C9DC7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2.3</w:t>
            </w:r>
          </w:p>
        </w:tc>
        <w:tc>
          <w:tcPr>
            <w:tcW w:w="1843" w:type="dxa"/>
            <w:tcBorders>
              <w:top w:val="single" w:color="auto" w:sz="4" w:space="0"/>
              <w:left w:val="nil"/>
              <w:bottom w:val="single" w:color="auto" w:sz="4" w:space="0"/>
              <w:right w:val="single" w:color="auto" w:sz="4" w:space="0"/>
            </w:tcBorders>
            <w:vAlign w:val="center"/>
          </w:tcPr>
          <w:p w14:paraId="051C428A">
            <w:pPr>
              <w:spacing w:line="360" w:lineRule="auto"/>
              <w:jc w:val="center"/>
              <w:rPr>
                <w:rFonts w:hint="eastAsia" w:ascii="宋体" w:hAnsi="宋体" w:cs="宋体"/>
                <w:sz w:val="24"/>
                <w:szCs w:val="24"/>
              </w:rPr>
            </w:pPr>
            <w:r>
              <w:rPr>
                <w:rFonts w:hint="eastAsia" w:ascii="宋体" w:hAnsi="宋体" w:cs="宋体"/>
                <w:sz w:val="24"/>
                <w:szCs w:val="24"/>
              </w:rPr>
              <w:t>供应商确认收到招标文件修改的时间</w:t>
            </w:r>
          </w:p>
        </w:tc>
        <w:tc>
          <w:tcPr>
            <w:tcW w:w="6803" w:type="dxa"/>
            <w:tcBorders>
              <w:top w:val="single" w:color="auto" w:sz="4" w:space="0"/>
              <w:left w:val="nil"/>
              <w:bottom w:val="single" w:color="auto" w:sz="4" w:space="0"/>
              <w:right w:val="single" w:color="auto" w:sz="4" w:space="0"/>
            </w:tcBorders>
            <w:vAlign w:val="center"/>
          </w:tcPr>
          <w:p w14:paraId="2831522B">
            <w:pPr>
              <w:spacing w:line="360" w:lineRule="auto"/>
              <w:rPr>
                <w:rFonts w:hint="eastAsia"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100D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3F38822">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2.4</w:t>
            </w:r>
          </w:p>
        </w:tc>
        <w:tc>
          <w:tcPr>
            <w:tcW w:w="1843" w:type="dxa"/>
            <w:tcBorders>
              <w:top w:val="single" w:color="auto" w:sz="4" w:space="0"/>
              <w:left w:val="nil"/>
              <w:bottom w:val="single" w:color="auto" w:sz="4" w:space="0"/>
              <w:right w:val="single" w:color="auto" w:sz="4" w:space="0"/>
            </w:tcBorders>
            <w:vAlign w:val="center"/>
          </w:tcPr>
          <w:p w14:paraId="60BA6C19">
            <w:pPr>
              <w:spacing w:line="360" w:lineRule="auto"/>
              <w:jc w:val="center"/>
              <w:rPr>
                <w:rFonts w:hint="eastAsia" w:ascii="宋体" w:hAnsi="宋体" w:cs="宋体"/>
                <w:sz w:val="24"/>
                <w:szCs w:val="24"/>
              </w:rPr>
            </w:pPr>
            <w:r>
              <w:rPr>
                <w:rFonts w:hint="eastAsia" w:ascii="宋体" w:hAnsi="宋体" w:cs="宋体"/>
                <w:sz w:val="24"/>
                <w:szCs w:val="24"/>
              </w:rPr>
              <w:t>构成投标文件的其他材料</w:t>
            </w:r>
          </w:p>
        </w:tc>
        <w:tc>
          <w:tcPr>
            <w:tcW w:w="6803" w:type="dxa"/>
            <w:tcBorders>
              <w:top w:val="single" w:color="auto" w:sz="4" w:space="0"/>
              <w:left w:val="nil"/>
              <w:bottom w:val="single" w:color="auto" w:sz="4" w:space="0"/>
              <w:right w:val="single" w:color="auto" w:sz="4" w:space="0"/>
            </w:tcBorders>
            <w:vAlign w:val="center"/>
          </w:tcPr>
          <w:p w14:paraId="6AD1DCB6">
            <w:pPr>
              <w:spacing w:line="360" w:lineRule="auto"/>
              <w:rPr>
                <w:rFonts w:hint="eastAsia" w:ascii="宋体" w:hAnsi="宋体" w:cs="宋体"/>
                <w:b/>
                <w:bCs/>
                <w:sz w:val="24"/>
                <w:szCs w:val="24"/>
              </w:rPr>
            </w:pPr>
            <w:r>
              <w:rPr>
                <w:rFonts w:hint="eastAsia" w:ascii="宋体" w:hAnsi="宋体" w:cs="宋体"/>
                <w:sz w:val="24"/>
                <w:szCs w:val="24"/>
              </w:rPr>
              <w:t>供应商认为与本投标可能有关的其他资料</w:t>
            </w:r>
          </w:p>
        </w:tc>
      </w:tr>
      <w:tr w14:paraId="6E87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375FAF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2.5</w:t>
            </w:r>
          </w:p>
        </w:tc>
        <w:tc>
          <w:tcPr>
            <w:tcW w:w="1843" w:type="dxa"/>
            <w:tcBorders>
              <w:top w:val="single" w:color="auto" w:sz="4" w:space="0"/>
              <w:left w:val="nil"/>
              <w:bottom w:val="single" w:color="auto" w:sz="4" w:space="0"/>
              <w:right w:val="single" w:color="auto" w:sz="4" w:space="0"/>
            </w:tcBorders>
            <w:vAlign w:val="center"/>
          </w:tcPr>
          <w:p w14:paraId="4029190A">
            <w:pPr>
              <w:spacing w:line="360" w:lineRule="auto"/>
              <w:jc w:val="center"/>
              <w:rPr>
                <w:rFonts w:hint="eastAsia" w:ascii="宋体" w:hAnsi="宋体" w:cs="宋体"/>
                <w:sz w:val="24"/>
                <w:szCs w:val="24"/>
              </w:rPr>
            </w:pPr>
            <w:r>
              <w:rPr>
                <w:rFonts w:hint="eastAsia" w:ascii="宋体" w:hAnsi="宋体" w:cs="宋体"/>
                <w:sz w:val="24"/>
                <w:szCs w:val="24"/>
              </w:rPr>
              <w:t>投标有效期</w:t>
            </w:r>
          </w:p>
        </w:tc>
        <w:tc>
          <w:tcPr>
            <w:tcW w:w="6803" w:type="dxa"/>
            <w:tcBorders>
              <w:top w:val="single" w:color="auto" w:sz="4" w:space="0"/>
              <w:left w:val="nil"/>
              <w:bottom w:val="single" w:color="auto" w:sz="4" w:space="0"/>
              <w:right w:val="single" w:color="auto" w:sz="4" w:space="0"/>
            </w:tcBorders>
            <w:vAlign w:val="center"/>
          </w:tcPr>
          <w:p w14:paraId="03B26988">
            <w:pPr>
              <w:spacing w:line="360" w:lineRule="auto"/>
              <w:rPr>
                <w:rFonts w:hint="eastAsia" w:ascii="宋体" w:hAnsi="宋体" w:cs="宋体"/>
                <w:sz w:val="24"/>
                <w:szCs w:val="24"/>
              </w:rPr>
            </w:pPr>
            <w:r>
              <w:rPr>
                <w:rFonts w:hint="eastAsia" w:ascii="宋体" w:hAnsi="宋体" w:cs="宋体"/>
                <w:sz w:val="24"/>
                <w:szCs w:val="24"/>
              </w:rPr>
              <w:t>自投标文件递交截止之日起60日历天</w:t>
            </w:r>
          </w:p>
        </w:tc>
      </w:tr>
      <w:tr w14:paraId="65D4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39C5218">
            <w:pPr>
              <w:keepLines/>
              <w:spacing w:line="360" w:lineRule="auto"/>
              <w:jc w:val="center"/>
              <w:rPr>
                <w:rFonts w:hint="eastAsia" w:ascii="宋体" w:hAnsi="宋体" w:cs="宋体"/>
                <w:sz w:val="24"/>
                <w:szCs w:val="24"/>
              </w:rPr>
            </w:pPr>
            <w:r>
              <w:rPr>
                <w:rFonts w:hint="eastAsia" w:ascii="宋体" w:hAnsi="宋体" w:cs="宋体"/>
                <w:kern w:val="0"/>
                <w:sz w:val="24"/>
                <w:szCs w:val="24"/>
              </w:rPr>
              <w:t>2.6</w:t>
            </w:r>
          </w:p>
        </w:tc>
        <w:tc>
          <w:tcPr>
            <w:tcW w:w="1843" w:type="dxa"/>
            <w:tcBorders>
              <w:top w:val="single" w:color="auto" w:sz="4" w:space="0"/>
              <w:left w:val="nil"/>
              <w:bottom w:val="single" w:color="auto" w:sz="4" w:space="0"/>
              <w:right w:val="single" w:color="auto" w:sz="4" w:space="0"/>
            </w:tcBorders>
            <w:vAlign w:val="center"/>
          </w:tcPr>
          <w:p w14:paraId="2F063EA8">
            <w:pPr>
              <w:spacing w:line="360" w:lineRule="auto"/>
              <w:jc w:val="center"/>
              <w:rPr>
                <w:rFonts w:hint="eastAsia" w:ascii="宋体" w:hAnsi="宋体" w:cs="宋体"/>
                <w:sz w:val="24"/>
                <w:szCs w:val="24"/>
              </w:rPr>
            </w:pPr>
            <w:r>
              <w:rPr>
                <w:rFonts w:hint="eastAsia" w:ascii="宋体" w:hAnsi="宋体" w:cs="宋体"/>
                <w:sz w:val="24"/>
                <w:szCs w:val="24"/>
              </w:rPr>
              <w:t>近年完成的类似项目的年份要求</w:t>
            </w:r>
          </w:p>
        </w:tc>
        <w:tc>
          <w:tcPr>
            <w:tcW w:w="6803" w:type="dxa"/>
            <w:tcBorders>
              <w:top w:val="single" w:color="auto" w:sz="4" w:space="0"/>
              <w:left w:val="nil"/>
              <w:bottom w:val="single" w:color="auto" w:sz="4" w:space="0"/>
              <w:right w:val="single" w:color="auto" w:sz="4" w:space="0"/>
            </w:tcBorders>
            <w:vAlign w:val="center"/>
          </w:tcPr>
          <w:p w14:paraId="1D9E8801">
            <w:pPr>
              <w:spacing w:line="360" w:lineRule="auto"/>
              <w:rPr>
                <w:rFonts w:hint="eastAsia" w:ascii="宋体" w:hAnsi="宋体" w:cs="宋体"/>
                <w:sz w:val="24"/>
                <w:szCs w:val="24"/>
                <w:u w:val="single"/>
              </w:rPr>
            </w:pPr>
            <w:r>
              <w:rPr>
                <w:rFonts w:hint="eastAsia" w:ascii="宋体" w:hAnsi="宋体" w:cs="宋体"/>
                <w:sz w:val="24"/>
                <w:szCs w:val="24"/>
                <w:u w:val="none"/>
              </w:rPr>
              <w:t>近</w:t>
            </w:r>
            <w:r>
              <w:rPr>
                <w:rFonts w:hint="eastAsia" w:ascii="宋体" w:hAnsi="宋体" w:cs="宋体"/>
                <w:sz w:val="24"/>
                <w:szCs w:val="24"/>
              </w:rPr>
              <w:t>年，指</w:t>
            </w:r>
            <w:r>
              <w:rPr>
                <w:rFonts w:hint="eastAsia" w:ascii="宋体" w:hAnsi="宋体" w:cs="宋体"/>
                <w:sz w:val="24"/>
                <w:szCs w:val="24"/>
                <w:u w:val="single"/>
              </w:rPr>
              <w:t>2022</w:t>
            </w:r>
            <w:r>
              <w:rPr>
                <w:rFonts w:hint="eastAsia" w:ascii="宋体" w:hAnsi="宋体" w:cs="宋体"/>
                <w:sz w:val="24"/>
                <w:szCs w:val="24"/>
              </w:rPr>
              <w:t>年</w:t>
            </w:r>
            <w:r>
              <w:rPr>
                <w:rFonts w:hint="eastAsia" w:ascii="宋体" w:hAnsi="宋体" w:cs="宋体"/>
                <w:sz w:val="24"/>
                <w:szCs w:val="24"/>
                <w:u w:val="single"/>
              </w:rPr>
              <w:t>01</w:t>
            </w:r>
            <w:r>
              <w:rPr>
                <w:rFonts w:hint="eastAsia" w:ascii="宋体" w:hAnsi="宋体" w:cs="宋体"/>
                <w:sz w:val="24"/>
                <w:szCs w:val="24"/>
              </w:rPr>
              <w:t>月</w:t>
            </w:r>
            <w:r>
              <w:rPr>
                <w:rFonts w:hint="eastAsia" w:ascii="宋体" w:hAnsi="宋体" w:cs="宋体"/>
                <w:sz w:val="24"/>
                <w:szCs w:val="24"/>
                <w:u w:val="single"/>
              </w:rPr>
              <w:t>01</w:t>
            </w:r>
            <w:r>
              <w:rPr>
                <w:rFonts w:hint="eastAsia" w:ascii="宋体" w:hAnsi="宋体" w:cs="宋体"/>
                <w:sz w:val="24"/>
                <w:szCs w:val="24"/>
              </w:rPr>
              <w:t>日以来</w:t>
            </w:r>
          </w:p>
        </w:tc>
      </w:tr>
      <w:tr w14:paraId="5EFF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D1E813">
            <w:pPr>
              <w:spacing w:line="360" w:lineRule="auto"/>
              <w:jc w:val="center"/>
              <w:rPr>
                <w:rFonts w:hint="eastAsia" w:ascii="宋体" w:hAnsi="宋体" w:cs="宋体"/>
                <w:sz w:val="24"/>
                <w:szCs w:val="24"/>
              </w:rPr>
            </w:pPr>
            <w:r>
              <w:rPr>
                <w:rFonts w:hint="eastAsia" w:ascii="宋体" w:hAnsi="宋体" w:cs="宋体"/>
                <w:sz w:val="24"/>
                <w:szCs w:val="24"/>
              </w:rPr>
              <w:t>2.7</w:t>
            </w:r>
          </w:p>
        </w:tc>
        <w:tc>
          <w:tcPr>
            <w:tcW w:w="1843" w:type="dxa"/>
            <w:tcBorders>
              <w:top w:val="single" w:color="auto" w:sz="4" w:space="0"/>
              <w:left w:val="nil"/>
              <w:bottom w:val="single" w:color="auto" w:sz="4" w:space="0"/>
              <w:right w:val="single" w:color="auto" w:sz="4" w:space="0"/>
            </w:tcBorders>
            <w:vAlign w:val="center"/>
          </w:tcPr>
          <w:p w14:paraId="01C0D6C8">
            <w:pPr>
              <w:spacing w:line="360" w:lineRule="auto"/>
              <w:jc w:val="center"/>
              <w:rPr>
                <w:rFonts w:hint="eastAsia" w:ascii="宋体" w:hAnsi="宋体" w:cs="宋体"/>
                <w:sz w:val="24"/>
                <w:szCs w:val="24"/>
              </w:rPr>
            </w:pPr>
            <w:r>
              <w:rPr>
                <w:rFonts w:hint="eastAsia" w:ascii="宋体" w:hAnsi="宋体" w:cs="宋体"/>
                <w:sz w:val="24"/>
                <w:szCs w:val="24"/>
              </w:rPr>
              <w:t>签字和（或）盖章要求</w:t>
            </w:r>
          </w:p>
        </w:tc>
        <w:tc>
          <w:tcPr>
            <w:tcW w:w="6803" w:type="dxa"/>
            <w:tcBorders>
              <w:top w:val="single" w:color="auto" w:sz="4" w:space="0"/>
              <w:left w:val="nil"/>
              <w:bottom w:val="single" w:color="auto" w:sz="4" w:space="0"/>
              <w:right w:val="single" w:color="auto" w:sz="4" w:space="0"/>
            </w:tcBorders>
            <w:vAlign w:val="center"/>
          </w:tcPr>
          <w:p w14:paraId="5DFC5AC5">
            <w:pPr>
              <w:spacing w:line="360" w:lineRule="auto"/>
              <w:rPr>
                <w:rFonts w:hint="eastAsia" w:ascii="宋体" w:hAnsi="宋体" w:cs="宋体"/>
                <w:sz w:val="24"/>
                <w:szCs w:val="24"/>
              </w:rPr>
            </w:pPr>
            <w:r>
              <w:rPr>
                <w:rFonts w:hint="eastAsia" w:ascii="宋体" w:hAnsi="宋体" w:cs="宋体"/>
                <w:sz w:val="24"/>
                <w:szCs w:val="24"/>
              </w:rPr>
              <w:t>电子化投标文件的签章：</w:t>
            </w:r>
          </w:p>
          <w:p w14:paraId="3533268A">
            <w:pPr>
              <w:spacing w:line="360" w:lineRule="auto"/>
              <w:rPr>
                <w:rFonts w:hint="eastAsia"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065A46FD">
            <w:pPr>
              <w:autoSpaceDE w:val="0"/>
              <w:autoSpaceDN w:val="0"/>
              <w:adjustRightInd w:val="0"/>
              <w:spacing w:line="360" w:lineRule="auto"/>
              <w:jc w:val="left"/>
              <w:rPr>
                <w:rFonts w:hint="eastAsia" w:ascii="宋体" w:hAnsi="宋体" w:cs="宋体"/>
                <w:sz w:val="24"/>
                <w:szCs w:val="24"/>
              </w:rPr>
            </w:pPr>
            <w:r>
              <w:rPr>
                <w:rFonts w:hint="eastAsia" w:ascii="宋体" w:hAnsi="宋体" w:cs="宋体"/>
                <w:sz w:val="24"/>
                <w:szCs w:val="24"/>
              </w:rPr>
              <w:t>2、招标文件中要求</w:t>
            </w:r>
            <w:r>
              <w:rPr>
                <w:rFonts w:hint="eastAsia" w:ascii="宋体" w:hAnsi="宋体" w:cs="宋体"/>
                <w:bCs/>
                <w:sz w:val="24"/>
                <w:szCs w:val="24"/>
              </w:rPr>
              <w:t>法定代表人签字或盖章的，</w:t>
            </w:r>
            <w:r>
              <w:rPr>
                <w:rFonts w:hint="eastAsia" w:ascii="宋体" w:hAnsi="宋体" w:cs="宋体"/>
                <w:sz w:val="24"/>
                <w:szCs w:val="24"/>
              </w:rPr>
              <w:t>供应商在进行</w:t>
            </w:r>
            <w:r>
              <w:rPr>
                <w:rFonts w:hint="eastAsia" w:ascii="宋体" w:hAnsi="宋体" w:cs="宋体"/>
                <w:bCs/>
                <w:sz w:val="24"/>
                <w:szCs w:val="24"/>
              </w:rPr>
              <w:t>电子化投标文件签章时，以签盖法定代表人签章为准</w:t>
            </w:r>
            <w:r>
              <w:rPr>
                <w:rFonts w:hint="eastAsia" w:ascii="宋体" w:hAnsi="宋体" w:cs="宋体"/>
                <w:sz w:val="24"/>
                <w:szCs w:val="24"/>
              </w:rPr>
              <w:t>。</w:t>
            </w:r>
          </w:p>
          <w:p w14:paraId="50621CFE">
            <w:pPr>
              <w:autoSpaceDE w:val="0"/>
              <w:autoSpaceDN w:val="0"/>
              <w:adjustRightInd w:val="0"/>
              <w:spacing w:line="360" w:lineRule="auto"/>
              <w:jc w:val="left"/>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电子化投标文件具体制作文件请点击：https://download.bqpoint.com/download/downloaddetail.html?SourceFrom=Ztb&amp;ZtbSoftXiaQuCode=1506&amp;ZtbSoftType=tballinclusive进行下载。</w:t>
            </w:r>
          </w:p>
        </w:tc>
      </w:tr>
      <w:tr w14:paraId="2AAE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DB7C8E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2.8</w:t>
            </w:r>
          </w:p>
        </w:tc>
        <w:tc>
          <w:tcPr>
            <w:tcW w:w="1843" w:type="dxa"/>
            <w:tcBorders>
              <w:top w:val="single" w:color="auto" w:sz="4" w:space="0"/>
              <w:left w:val="nil"/>
              <w:bottom w:val="single" w:color="auto" w:sz="4" w:space="0"/>
              <w:right w:val="single" w:color="auto" w:sz="4" w:space="0"/>
            </w:tcBorders>
            <w:vAlign w:val="center"/>
          </w:tcPr>
          <w:p w14:paraId="0EA36C30">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电子化投标文件上传</w:t>
            </w:r>
          </w:p>
        </w:tc>
        <w:tc>
          <w:tcPr>
            <w:tcW w:w="6803" w:type="dxa"/>
            <w:tcBorders>
              <w:top w:val="single" w:color="auto" w:sz="4" w:space="0"/>
              <w:left w:val="nil"/>
              <w:bottom w:val="single" w:color="auto" w:sz="4" w:space="0"/>
              <w:right w:val="single" w:color="auto" w:sz="4" w:space="0"/>
            </w:tcBorders>
            <w:vAlign w:val="center"/>
          </w:tcPr>
          <w:p w14:paraId="2E7A2350">
            <w:pPr>
              <w:snapToGrid w:val="0"/>
              <w:spacing w:line="360" w:lineRule="auto"/>
              <w:rPr>
                <w:rFonts w:hint="eastAsia" w:ascii="宋体" w:hAnsi="宋体" w:cs="宋体"/>
                <w:sz w:val="24"/>
                <w:szCs w:val="24"/>
              </w:rPr>
            </w:pPr>
            <w:r>
              <w:rPr>
                <w:rFonts w:hint="eastAsia" w:ascii="宋体" w:hAnsi="宋体" w:cs="宋体"/>
                <w:sz w:val="24"/>
                <w:szCs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1EA97E8B">
            <w:pPr>
              <w:snapToGrid w:val="0"/>
              <w:spacing w:line="360" w:lineRule="auto"/>
              <w:rPr>
                <w:rFonts w:hint="eastAsia" w:ascii="宋体" w:hAnsi="宋体" w:cs="宋体"/>
                <w:sz w:val="24"/>
                <w:szCs w:val="24"/>
              </w:rPr>
            </w:pPr>
            <w:r>
              <w:rPr>
                <w:rFonts w:hint="eastAsia" w:ascii="宋体" w:hAnsi="宋体" w:cs="宋体"/>
                <w:sz w:val="24"/>
                <w:szCs w:val="24"/>
              </w:rPr>
              <w:t>2.电子化投标文件应在投标截止时间前成功上传至三门峡市公共资源电子化交易系统。至投标截止时间止，仍未上传成功的电子化投标文件将不予接收。</w:t>
            </w:r>
          </w:p>
          <w:p w14:paraId="67686319">
            <w:pPr>
              <w:keepLines/>
              <w:spacing w:line="360" w:lineRule="auto"/>
              <w:jc w:val="left"/>
              <w:rPr>
                <w:rFonts w:hint="eastAsia" w:ascii="宋体" w:hAnsi="宋体" w:cs="宋体"/>
                <w:sz w:val="24"/>
                <w:szCs w:val="24"/>
              </w:rPr>
            </w:pPr>
            <w:r>
              <w:rPr>
                <w:rFonts w:hint="eastAsia" w:ascii="宋体" w:hAnsi="宋体" w:cs="宋体"/>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14:paraId="2B12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BA23F8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2.9</w:t>
            </w:r>
          </w:p>
        </w:tc>
        <w:tc>
          <w:tcPr>
            <w:tcW w:w="1843" w:type="dxa"/>
            <w:tcBorders>
              <w:top w:val="single" w:color="auto" w:sz="4" w:space="0"/>
              <w:left w:val="nil"/>
              <w:bottom w:val="single" w:color="auto" w:sz="4" w:space="0"/>
              <w:right w:val="single" w:color="auto" w:sz="4" w:space="0"/>
            </w:tcBorders>
            <w:vAlign w:val="center"/>
          </w:tcPr>
          <w:p w14:paraId="6A6CA2A4">
            <w:pPr>
              <w:keepLines/>
              <w:spacing w:line="360" w:lineRule="auto"/>
              <w:jc w:val="center"/>
              <w:rPr>
                <w:rFonts w:hint="eastAsia" w:ascii="宋体" w:hAnsi="宋体" w:cs="宋体"/>
                <w:kern w:val="0"/>
                <w:sz w:val="24"/>
                <w:szCs w:val="24"/>
              </w:rPr>
            </w:pPr>
            <w:r>
              <w:rPr>
                <w:rFonts w:hint="eastAsia" w:ascii="宋体" w:hAnsi="宋体" w:cs="宋体"/>
                <w:bCs/>
                <w:spacing w:val="7"/>
                <w:sz w:val="24"/>
                <w:szCs w:val="24"/>
              </w:rPr>
              <w:t>合同价格形式</w:t>
            </w:r>
          </w:p>
        </w:tc>
        <w:tc>
          <w:tcPr>
            <w:tcW w:w="6803" w:type="dxa"/>
            <w:tcBorders>
              <w:top w:val="single" w:color="auto" w:sz="4" w:space="0"/>
              <w:left w:val="nil"/>
              <w:bottom w:val="single" w:color="auto" w:sz="4" w:space="0"/>
              <w:right w:val="single" w:color="auto" w:sz="4" w:space="0"/>
            </w:tcBorders>
            <w:vAlign w:val="center"/>
          </w:tcPr>
          <w:p w14:paraId="64A8640A">
            <w:pPr>
              <w:keepLines/>
              <w:spacing w:line="360" w:lineRule="auto"/>
              <w:jc w:val="left"/>
              <w:rPr>
                <w:rFonts w:hint="eastAsia" w:ascii="宋体" w:hAnsi="宋体" w:cs="宋体"/>
                <w:color w:val="FF0000"/>
                <w:kern w:val="0"/>
                <w:sz w:val="24"/>
                <w:szCs w:val="24"/>
              </w:rPr>
            </w:pPr>
            <w:r>
              <w:rPr>
                <w:rFonts w:hint="eastAsia" w:ascii="宋体" w:hAnsi="宋体" w:cs="宋体"/>
                <w:bCs/>
                <w:color w:val="FF0000"/>
                <w:spacing w:val="7"/>
                <w:sz w:val="24"/>
                <w:szCs w:val="24"/>
              </w:rPr>
              <w:t>/</w:t>
            </w:r>
          </w:p>
        </w:tc>
      </w:tr>
      <w:tr w14:paraId="63A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795A11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3.0</w:t>
            </w:r>
          </w:p>
        </w:tc>
        <w:tc>
          <w:tcPr>
            <w:tcW w:w="1843" w:type="dxa"/>
            <w:tcBorders>
              <w:top w:val="single" w:color="auto" w:sz="4" w:space="0"/>
              <w:left w:val="nil"/>
              <w:bottom w:val="single" w:color="auto" w:sz="4" w:space="0"/>
              <w:right w:val="single" w:color="auto" w:sz="4" w:space="0"/>
            </w:tcBorders>
            <w:vAlign w:val="center"/>
          </w:tcPr>
          <w:p w14:paraId="1252E626">
            <w:pPr>
              <w:keepLines/>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开标时间和</w:t>
            </w:r>
          </w:p>
          <w:p w14:paraId="11540903">
            <w:pPr>
              <w:keepLines/>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地点</w:t>
            </w:r>
          </w:p>
        </w:tc>
        <w:tc>
          <w:tcPr>
            <w:tcW w:w="6803" w:type="dxa"/>
            <w:tcBorders>
              <w:top w:val="single" w:color="auto" w:sz="4" w:space="0"/>
              <w:left w:val="nil"/>
              <w:bottom w:val="single" w:color="auto" w:sz="4" w:space="0"/>
              <w:right w:val="single" w:color="auto" w:sz="4" w:space="0"/>
            </w:tcBorders>
            <w:vAlign w:val="center"/>
          </w:tcPr>
          <w:p w14:paraId="5FEA7D52">
            <w:pPr>
              <w:spacing w:line="360" w:lineRule="auto"/>
              <w:rPr>
                <w:rFonts w:hint="eastAsia" w:ascii="宋体" w:hAnsi="宋体" w:cs="宋体"/>
                <w:color w:val="auto"/>
                <w:kern w:val="0"/>
                <w:sz w:val="24"/>
                <w:szCs w:val="24"/>
              </w:rPr>
            </w:pPr>
            <w:r>
              <w:rPr>
                <w:rFonts w:hint="eastAsia" w:ascii="宋体" w:hAnsi="宋体" w:cs="宋体"/>
                <w:color w:val="auto"/>
                <w:sz w:val="24"/>
                <w:szCs w:val="24"/>
              </w:rPr>
              <w:t>时间</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2025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09</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rPr>
              <w:t>分（北京时间）</w:t>
            </w:r>
          </w:p>
          <w:p w14:paraId="41D6ACB3">
            <w:pPr>
              <w:keepLines/>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地点：三门峡市公共资源交易中心第</w:t>
            </w:r>
            <w:r>
              <w:rPr>
                <w:rFonts w:hint="eastAsia" w:ascii="宋体" w:hAnsi="宋体" w:cs="宋体"/>
                <w:color w:val="auto"/>
                <w:kern w:val="0"/>
                <w:sz w:val="24"/>
                <w:szCs w:val="24"/>
                <w:lang w:eastAsia="zh-CN"/>
              </w:rPr>
              <w:t>二</w:t>
            </w:r>
            <w:r>
              <w:rPr>
                <w:rFonts w:hint="eastAsia" w:ascii="宋体" w:hAnsi="宋体" w:cs="宋体"/>
                <w:color w:val="auto"/>
                <w:kern w:val="0"/>
                <w:sz w:val="24"/>
                <w:szCs w:val="24"/>
              </w:rPr>
              <w:t>开标室。</w:t>
            </w:r>
          </w:p>
        </w:tc>
      </w:tr>
      <w:tr w14:paraId="61A8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BF3DD7D">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3.1</w:t>
            </w:r>
          </w:p>
        </w:tc>
        <w:tc>
          <w:tcPr>
            <w:tcW w:w="1843" w:type="dxa"/>
            <w:tcBorders>
              <w:top w:val="single" w:color="auto" w:sz="4" w:space="0"/>
              <w:left w:val="nil"/>
              <w:bottom w:val="single" w:color="auto" w:sz="4" w:space="0"/>
              <w:right w:val="single" w:color="auto" w:sz="4" w:space="0"/>
            </w:tcBorders>
            <w:vAlign w:val="center"/>
          </w:tcPr>
          <w:p w14:paraId="3584D98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偏离</w:t>
            </w:r>
          </w:p>
        </w:tc>
        <w:tc>
          <w:tcPr>
            <w:tcW w:w="6803" w:type="dxa"/>
            <w:tcBorders>
              <w:top w:val="single" w:color="auto" w:sz="4" w:space="0"/>
              <w:left w:val="nil"/>
              <w:bottom w:val="single" w:color="auto" w:sz="4" w:space="0"/>
              <w:right w:val="single" w:color="auto" w:sz="4" w:space="0"/>
            </w:tcBorders>
            <w:vAlign w:val="center"/>
          </w:tcPr>
          <w:p w14:paraId="4499F712">
            <w:pPr>
              <w:keepLines/>
              <w:spacing w:line="360" w:lineRule="auto"/>
              <w:jc w:val="left"/>
              <w:rPr>
                <w:rFonts w:hint="eastAsia" w:ascii="宋体" w:hAnsi="宋体" w:cs="宋体"/>
                <w:kern w:val="0"/>
                <w:sz w:val="24"/>
                <w:szCs w:val="24"/>
              </w:rPr>
            </w:pPr>
            <w:r>
              <w:rPr>
                <w:rFonts w:hint="eastAsia" w:ascii="宋体" w:hAnsi="宋体" w:cs="宋体"/>
                <w:kern w:val="0"/>
                <w:sz w:val="24"/>
                <w:szCs w:val="24"/>
              </w:rPr>
              <w:t>允许</w:t>
            </w:r>
          </w:p>
        </w:tc>
      </w:tr>
      <w:tr w14:paraId="3789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93" w:type="dxa"/>
            <w:tcBorders>
              <w:top w:val="single" w:color="auto" w:sz="4" w:space="0"/>
              <w:left w:val="single" w:color="auto" w:sz="4" w:space="0"/>
              <w:bottom w:val="single" w:color="auto" w:sz="4" w:space="0"/>
              <w:right w:val="single" w:color="auto" w:sz="4" w:space="0"/>
            </w:tcBorders>
            <w:vAlign w:val="center"/>
          </w:tcPr>
          <w:p w14:paraId="0E5FD61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3.2</w:t>
            </w:r>
          </w:p>
        </w:tc>
        <w:tc>
          <w:tcPr>
            <w:tcW w:w="1843" w:type="dxa"/>
            <w:tcBorders>
              <w:top w:val="single" w:color="auto" w:sz="4" w:space="0"/>
              <w:left w:val="nil"/>
              <w:bottom w:val="single" w:color="auto" w:sz="4" w:space="0"/>
              <w:right w:val="single" w:color="auto" w:sz="4" w:space="0"/>
            </w:tcBorders>
            <w:vAlign w:val="center"/>
          </w:tcPr>
          <w:p w14:paraId="0DA480B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评标委员会</w:t>
            </w:r>
          </w:p>
          <w:p w14:paraId="7AEA3F2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的组建</w:t>
            </w:r>
          </w:p>
        </w:tc>
        <w:tc>
          <w:tcPr>
            <w:tcW w:w="6803" w:type="dxa"/>
            <w:tcBorders>
              <w:top w:val="single" w:color="auto" w:sz="4" w:space="0"/>
              <w:left w:val="nil"/>
              <w:bottom w:val="single" w:color="auto" w:sz="4" w:space="0"/>
              <w:right w:val="single" w:color="auto" w:sz="4" w:space="0"/>
            </w:tcBorders>
            <w:vAlign w:val="center"/>
          </w:tcPr>
          <w:p w14:paraId="078572C5">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评标委员会构成：7人，其中采购人代表2人，专家5人；</w:t>
            </w:r>
          </w:p>
          <w:p w14:paraId="25909AA7">
            <w:pPr>
              <w:spacing w:line="360" w:lineRule="auto"/>
              <w:rPr>
                <w:rFonts w:hint="eastAsia" w:ascii="宋体" w:hAnsi="宋体" w:eastAsia="宋体" w:cs="宋体"/>
                <w:sz w:val="24"/>
                <w:szCs w:val="24"/>
                <w:lang w:eastAsia="zh-CN"/>
              </w:rPr>
            </w:pPr>
            <w:r>
              <w:rPr>
                <w:rFonts w:hint="eastAsia" w:ascii="宋体" w:hAnsi="宋体" w:cs="宋体"/>
                <w:sz w:val="24"/>
                <w:szCs w:val="24"/>
              </w:rPr>
              <w:t>评标专家确定方式：从河南省政府采购专家库中随机抽取</w:t>
            </w:r>
            <w:r>
              <w:rPr>
                <w:rFonts w:hint="eastAsia" w:ascii="宋体" w:hAnsi="宋体" w:cs="宋体"/>
                <w:sz w:val="24"/>
                <w:szCs w:val="24"/>
                <w:lang w:eastAsia="zh-CN"/>
              </w:rPr>
              <w:t>。</w:t>
            </w:r>
          </w:p>
        </w:tc>
      </w:tr>
      <w:tr w14:paraId="4BBB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93" w:type="dxa"/>
            <w:tcBorders>
              <w:top w:val="single" w:color="auto" w:sz="4" w:space="0"/>
              <w:left w:val="single" w:color="auto" w:sz="4" w:space="0"/>
              <w:bottom w:val="single" w:color="auto" w:sz="4" w:space="0"/>
              <w:right w:val="single" w:color="auto" w:sz="4" w:space="0"/>
            </w:tcBorders>
            <w:vAlign w:val="center"/>
          </w:tcPr>
          <w:p w14:paraId="3A2A5BC2">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3.3</w:t>
            </w:r>
          </w:p>
        </w:tc>
        <w:tc>
          <w:tcPr>
            <w:tcW w:w="1843" w:type="dxa"/>
            <w:tcBorders>
              <w:top w:val="single" w:color="auto" w:sz="4" w:space="0"/>
              <w:left w:val="nil"/>
              <w:bottom w:val="single" w:color="auto" w:sz="4" w:space="0"/>
              <w:right w:val="single" w:color="auto" w:sz="4" w:space="0"/>
            </w:tcBorders>
            <w:vAlign w:val="center"/>
          </w:tcPr>
          <w:p w14:paraId="060EEC1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是否授权评标委员会确定中标供应商</w:t>
            </w:r>
          </w:p>
        </w:tc>
        <w:tc>
          <w:tcPr>
            <w:tcW w:w="6803" w:type="dxa"/>
            <w:tcBorders>
              <w:top w:val="single" w:color="auto" w:sz="4" w:space="0"/>
              <w:left w:val="nil"/>
              <w:bottom w:val="single" w:color="auto" w:sz="4" w:space="0"/>
              <w:right w:val="single" w:color="auto" w:sz="4" w:space="0"/>
            </w:tcBorders>
            <w:vAlign w:val="center"/>
          </w:tcPr>
          <w:p w14:paraId="05849E5B">
            <w:pPr>
              <w:spacing w:line="360" w:lineRule="auto"/>
              <w:rPr>
                <w:rFonts w:hint="eastAsia" w:ascii="宋体" w:hAnsi="宋体" w:cs="宋体"/>
                <w:sz w:val="24"/>
                <w:szCs w:val="24"/>
              </w:rPr>
            </w:pPr>
            <w:r>
              <w:rPr>
                <w:rFonts w:hint="eastAsia" w:ascii="宋体" w:hAnsi="宋体" w:cs="宋体"/>
                <w:sz w:val="24"/>
                <w:szCs w:val="24"/>
              </w:rPr>
              <w:t>否，评标委员会原则上推荐3名中标候选人并排序；</w:t>
            </w:r>
          </w:p>
        </w:tc>
      </w:tr>
      <w:tr w14:paraId="731C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B0ED304">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3.4</w:t>
            </w:r>
          </w:p>
        </w:tc>
        <w:tc>
          <w:tcPr>
            <w:tcW w:w="1843" w:type="dxa"/>
            <w:tcBorders>
              <w:top w:val="single" w:color="auto" w:sz="4" w:space="0"/>
              <w:left w:val="nil"/>
              <w:bottom w:val="single" w:color="auto" w:sz="4" w:space="0"/>
              <w:right w:val="single" w:color="auto" w:sz="4" w:space="0"/>
            </w:tcBorders>
            <w:vAlign w:val="center"/>
          </w:tcPr>
          <w:p w14:paraId="02C24AED">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履约保证金</w:t>
            </w:r>
          </w:p>
        </w:tc>
        <w:tc>
          <w:tcPr>
            <w:tcW w:w="6803" w:type="dxa"/>
            <w:tcBorders>
              <w:top w:val="single" w:color="auto" w:sz="4" w:space="0"/>
              <w:left w:val="nil"/>
              <w:bottom w:val="single" w:color="auto" w:sz="4" w:space="0"/>
              <w:right w:val="single" w:color="auto" w:sz="4" w:space="0"/>
            </w:tcBorders>
            <w:vAlign w:val="center"/>
          </w:tcPr>
          <w:p w14:paraId="72C10CFC">
            <w:pPr>
              <w:keepLines/>
              <w:spacing w:line="360" w:lineRule="auto"/>
              <w:rPr>
                <w:rFonts w:hint="eastAsia" w:ascii="宋体" w:hAnsi="宋体" w:cs="宋体"/>
                <w:sz w:val="24"/>
                <w:szCs w:val="24"/>
              </w:rPr>
            </w:pPr>
            <w:r>
              <w:rPr>
                <w:rFonts w:hint="eastAsia" w:ascii="宋体" w:hAnsi="宋体" w:cs="宋体"/>
                <w:sz w:val="24"/>
                <w:szCs w:val="24"/>
              </w:rPr>
              <w:t>本项目不收取履约保证金。如供应商违反政府采购合同约定给采购人造成损失的,采购人按照合同约定,要求供应商承担赔偿责任。</w:t>
            </w:r>
          </w:p>
        </w:tc>
      </w:tr>
      <w:tr w14:paraId="1891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14:paraId="14CAC1B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3.5</w:t>
            </w:r>
          </w:p>
        </w:tc>
        <w:tc>
          <w:tcPr>
            <w:tcW w:w="1843" w:type="dxa"/>
            <w:tcBorders>
              <w:top w:val="single" w:color="auto" w:sz="4" w:space="0"/>
              <w:left w:val="nil"/>
              <w:bottom w:val="single" w:color="auto" w:sz="4" w:space="0"/>
              <w:right w:val="single" w:color="auto" w:sz="4" w:space="0"/>
            </w:tcBorders>
            <w:vAlign w:val="center"/>
          </w:tcPr>
          <w:p w14:paraId="417749A6">
            <w:pPr>
              <w:keepLines/>
              <w:spacing w:line="360" w:lineRule="auto"/>
              <w:jc w:val="center"/>
              <w:rPr>
                <w:rFonts w:hint="eastAsia" w:ascii="宋体" w:hAnsi="宋体" w:cs="宋体"/>
                <w:sz w:val="24"/>
                <w:szCs w:val="24"/>
              </w:rPr>
            </w:pPr>
            <w:r>
              <w:rPr>
                <w:rFonts w:hint="eastAsia" w:ascii="宋体" w:hAnsi="宋体" w:cs="宋体"/>
                <w:sz w:val="24"/>
                <w:szCs w:val="24"/>
              </w:rPr>
              <w:t>无效标条件</w:t>
            </w:r>
          </w:p>
        </w:tc>
        <w:tc>
          <w:tcPr>
            <w:tcW w:w="6803" w:type="dxa"/>
            <w:tcBorders>
              <w:top w:val="single" w:color="auto" w:sz="4" w:space="0"/>
              <w:left w:val="nil"/>
              <w:bottom w:val="single" w:color="auto" w:sz="4" w:space="0"/>
              <w:right w:val="single" w:color="auto" w:sz="4" w:space="0"/>
            </w:tcBorders>
            <w:vAlign w:val="center"/>
          </w:tcPr>
          <w:p w14:paraId="185144EA">
            <w:pPr>
              <w:spacing w:line="360" w:lineRule="auto"/>
              <w:rPr>
                <w:rFonts w:hint="eastAsia" w:ascii="宋体" w:hAnsi="宋体" w:cs="宋体"/>
                <w:sz w:val="24"/>
                <w:szCs w:val="24"/>
              </w:rPr>
            </w:pPr>
            <w:r>
              <w:rPr>
                <w:rFonts w:hint="eastAsia" w:ascii="宋体" w:hAnsi="宋体" w:cs="宋体"/>
                <w:sz w:val="24"/>
                <w:szCs w:val="24"/>
              </w:rPr>
              <w:t>1.电子化投标文件附有采购人不能接受的条件的；</w:t>
            </w:r>
          </w:p>
          <w:p w14:paraId="00CD9629">
            <w:pPr>
              <w:spacing w:line="360" w:lineRule="auto"/>
              <w:rPr>
                <w:rFonts w:hint="eastAsia" w:ascii="宋体" w:hAnsi="宋体" w:cs="宋体"/>
                <w:sz w:val="24"/>
                <w:szCs w:val="24"/>
              </w:rPr>
            </w:pPr>
            <w:r>
              <w:rPr>
                <w:rFonts w:hint="eastAsia" w:ascii="宋体" w:hAnsi="宋体" w:cs="宋体"/>
                <w:sz w:val="24"/>
                <w:szCs w:val="24"/>
              </w:rPr>
              <w:t>2.投标报价高于招标文件中投标最高限价的；</w:t>
            </w:r>
          </w:p>
          <w:p w14:paraId="6A064B81">
            <w:pPr>
              <w:spacing w:line="360" w:lineRule="auto"/>
              <w:rPr>
                <w:rFonts w:hint="eastAsia" w:ascii="宋体" w:hAnsi="宋体" w:cs="宋体"/>
                <w:sz w:val="24"/>
                <w:szCs w:val="24"/>
              </w:rPr>
            </w:pPr>
            <w:r>
              <w:rPr>
                <w:rFonts w:hint="eastAsia" w:ascii="宋体" w:hAnsi="宋体" w:cs="宋体"/>
                <w:sz w:val="24"/>
                <w:szCs w:val="24"/>
              </w:rPr>
              <w:t>3.以他人的名义投标、串通投标、以行贿手段谋取中标或者以其他弄虚作假方式投标的；</w:t>
            </w:r>
          </w:p>
          <w:p w14:paraId="0E8B7EF1">
            <w:pPr>
              <w:spacing w:line="360" w:lineRule="auto"/>
              <w:rPr>
                <w:rFonts w:hint="eastAsia" w:ascii="宋体" w:hAnsi="宋体" w:cs="宋体"/>
                <w:sz w:val="24"/>
                <w:szCs w:val="24"/>
              </w:rPr>
            </w:pPr>
            <w:r>
              <w:rPr>
                <w:rFonts w:hint="eastAsia" w:ascii="宋体" w:hAnsi="宋体" w:cs="宋体"/>
                <w:sz w:val="24"/>
                <w:szCs w:val="24"/>
              </w:rPr>
              <w:t>4.采取不正当手段谋取中标的。</w:t>
            </w:r>
          </w:p>
        </w:tc>
      </w:tr>
      <w:tr w14:paraId="5BA3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14:paraId="23928245">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3.6</w:t>
            </w:r>
          </w:p>
        </w:tc>
        <w:tc>
          <w:tcPr>
            <w:tcW w:w="1843" w:type="dxa"/>
            <w:tcBorders>
              <w:top w:val="single" w:color="auto" w:sz="4" w:space="0"/>
              <w:left w:val="nil"/>
              <w:bottom w:val="single" w:color="auto" w:sz="4" w:space="0"/>
              <w:right w:val="single" w:color="auto" w:sz="4" w:space="0"/>
            </w:tcBorders>
            <w:vAlign w:val="center"/>
          </w:tcPr>
          <w:p w14:paraId="469C5806">
            <w:pPr>
              <w:keepLines/>
              <w:spacing w:line="360" w:lineRule="auto"/>
              <w:jc w:val="center"/>
              <w:rPr>
                <w:rFonts w:hint="eastAsia" w:ascii="宋体" w:hAnsi="宋体" w:cs="宋体"/>
                <w:sz w:val="24"/>
                <w:szCs w:val="24"/>
              </w:rPr>
            </w:pPr>
            <w:r>
              <w:rPr>
                <w:rFonts w:hint="eastAsia" w:ascii="宋体" w:hAnsi="宋体" w:cs="宋体"/>
                <w:kern w:val="0"/>
                <w:sz w:val="24"/>
                <w:szCs w:val="24"/>
              </w:rPr>
              <w:t>投标最高限价</w:t>
            </w:r>
          </w:p>
        </w:tc>
        <w:tc>
          <w:tcPr>
            <w:tcW w:w="6803" w:type="dxa"/>
            <w:tcBorders>
              <w:top w:val="single" w:color="auto" w:sz="4" w:space="0"/>
              <w:left w:val="nil"/>
              <w:bottom w:val="single" w:color="auto" w:sz="4" w:space="0"/>
              <w:right w:val="single" w:color="auto" w:sz="4" w:space="0"/>
            </w:tcBorders>
            <w:vAlign w:val="center"/>
          </w:tcPr>
          <w:p w14:paraId="76E9B88A">
            <w:pPr>
              <w:spacing w:line="360" w:lineRule="auto"/>
              <w:rPr>
                <w:rFonts w:hint="eastAsia" w:ascii="宋体" w:hAnsi="宋体" w:cs="宋体"/>
                <w:sz w:val="24"/>
                <w:szCs w:val="24"/>
              </w:rPr>
            </w:pPr>
            <w:r>
              <w:rPr>
                <w:rFonts w:hint="eastAsia" w:ascii="宋体" w:hAnsi="宋体" w:cs="宋体"/>
                <w:sz w:val="24"/>
                <w:szCs w:val="24"/>
              </w:rPr>
              <w:t>本项目投标</w:t>
            </w:r>
            <w:r>
              <w:rPr>
                <w:rFonts w:hint="eastAsia" w:ascii="宋体" w:hAnsi="宋体" w:cs="宋体"/>
                <w:kern w:val="0"/>
                <w:sz w:val="24"/>
                <w:szCs w:val="24"/>
              </w:rPr>
              <w:t>最高限价</w:t>
            </w:r>
            <w:r>
              <w:rPr>
                <w:rFonts w:hint="eastAsia" w:ascii="宋体" w:hAnsi="宋体" w:cs="宋体"/>
                <w:sz w:val="24"/>
                <w:szCs w:val="24"/>
              </w:rPr>
              <w:t>：</w:t>
            </w:r>
          </w:p>
          <w:p w14:paraId="7F598894">
            <w:pPr>
              <w:spacing w:line="360" w:lineRule="auto"/>
              <w:rPr>
                <w:rFonts w:hint="eastAsia" w:ascii="宋体" w:hAnsi="宋体" w:cs="宋体"/>
                <w:kern w:val="0"/>
                <w:sz w:val="24"/>
                <w:szCs w:val="24"/>
              </w:rPr>
            </w:pPr>
            <w:r>
              <w:rPr>
                <w:rFonts w:hint="eastAsia" w:ascii="宋体" w:hAnsi="宋体" w:cs="宋体"/>
                <w:kern w:val="0"/>
                <w:sz w:val="24"/>
                <w:szCs w:val="24"/>
              </w:rPr>
              <w:t>包1：8440400.00元；</w:t>
            </w:r>
          </w:p>
          <w:p w14:paraId="28D99F1C">
            <w:pPr>
              <w:spacing w:line="360" w:lineRule="auto"/>
              <w:rPr>
                <w:rFonts w:hint="eastAsia" w:ascii="宋体" w:hAnsi="宋体" w:cs="宋体"/>
                <w:kern w:val="0"/>
                <w:sz w:val="24"/>
                <w:szCs w:val="24"/>
              </w:rPr>
            </w:pPr>
            <w:r>
              <w:rPr>
                <w:rFonts w:hint="eastAsia" w:ascii="宋体" w:hAnsi="宋体" w:cs="宋体"/>
                <w:kern w:val="0"/>
                <w:sz w:val="24"/>
                <w:szCs w:val="24"/>
              </w:rPr>
              <w:t>包2：3085700.00元；</w:t>
            </w:r>
          </w:p>
          <w:p w14:paraId="3FB9CD10">
            <w:pPr>
              <w:spacing w:line="360" w:lineRule="auto"/>
              <w:rPr>
                <w:rFonts w:hint="eastAsia" w:ascii="宋体" w:hAnsi="宋体" w:cs="宋体"/>
                <w:sz w:val="24"/>
                <w:szCs w:val="24"/>
              </w:rPr>
            </w:pPr>
            <w:r>
              <w:rPr>
                <w:rFonts w:hint="eastAsia" w:ascii="宋体" w:hAnsi="宋体" w:cs="宋体"/>
                <w:kern w:val="0"/>
                <w:sz w:val="24"/>
                <w:szCs w:val="24"/>
              </w:rPr>
              <w:t>包3：426600.00元；</w:t>
            </w:r>
          </w:p>
          <w:p w14:paraId="55FCBB20">
            <w:pPr>
              <w:spacing w:line="360" w:lineRule="auto"/>
              <w:rPr>
                <w:rFonts w:hint="eastAsia" w:ascii="宋体" w:hAnsi="宋体" w:cs="宋体"/>
                <w:sz w:val="24"/>
                <w:szCs w:val="24"/>
              </w:rPr>
            </w:pPr>
            <w:r>
              <w:rPr>
                <w:rFonts w:hint="eastAsia" w:ascii="宋体" w:hAnsi="宋体" w:cs="宋体"/>
                <w:sz w:val="24"/>
                <w:szCs w:val="24"/>
              </w:rPr>
              <w:t>凡投标供应商投标报价超出“投标最高限价”的，该投标供应商的电子化投标文件应作无效标处理。</w:t>
            </w:r>
          </w:p>
        </w:tc>
      </w:tr>
      <w:tr w14:paraId="47F8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C41796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3.7</w:t>
            </w:r>
          </w:p>
        </w:tc>
        <w:tc>
          <w:tcPr>
            <w:tcW w:w="1843" w:type="dxa"/>
            <w:tcBorders>
              <w:top w:val="single" w:color="auto" w:sz="4" w:space="0"/>
              <w:left w:val="single" w:color="auto" w:sz="4" w:space="0"/>
              <w:bottom w:val="single" w:color="auto" w:sz="4" w:space="0"/>
              <w:right w:val="single" w:color="auto" w:sz="4" w:space="0"/>
            </w:tcBorders>
            <w:vAlign w:val="center"/>
          </w:tcPr>
          <w:p w14:paraId="66DAA58D">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报价及费用</w:t>
            </w:r>
          </w:p>
        </w:tc>
        <w:tc>
          <w:tcPr>
            <w:tcW w:w="6803" w:type="dxa"/>
            <w:tcBorders>
              <w:top w:val="single" w:color="auto" w:sz="4" w:space="0"/>
              <w:left w:val="single" w:color="auto" w:sz="4" w:space="0"/>
              <w:bottom w:val="single" w:color="auto" w:sz="4" w:space="0"/>
              <w:right w:val="single" w:color="auto" w:sz="4" w:space="0"/>
            </w:tcBorders>
            <w:vAlign w:val="center"/>
          </w:tcPr>
          <w:p w14:paraId="6D0E0336">
            <w:pPr>
              <w:keepLines/>
              <w:spacing w:line="360" w:lineRule="auto"/>
              <w:rPr>
                <w:rFonts w:hint="eastAsia" w:ascii="宋体" w:hAnsi="宋体" w:cs="宋体"/>
                <w:sz w:val="24"/>
                <w:szCs w:val="24"/>
              </w:rPr>
            </w:pPr>
            <w:r>
              <w:rPr>
                <w:rFonts w:hint="eastAsia" w:ascii="宋体" w:hAnsi="宋体" w:cs="宋体"/>
                <w:sz w:val="24"/>
                <w:szCs w:val="24"/>
              </w:rPr>
              <w:t>1．本项目应以人民币报价，供应商应就该项目完整投标（报价、服务、税费、售后服务等综合费用），采购人不另外支付其他任何费用；</w:t>
            </w:r>
          </w:p>
          <w:p w14:paraId="4D9E2B86">
            <w:pPr>
              <w:keepLines/>
              <w:spacing w:line="360" w:lineRule="auto"/>
              <w:rPr>
                <w:rFonts w:hint="eastAsia" w:ascii="宋体" w:hAnsi="宋体" w:cs="宋体"/>
                <w:sz w:val="24"/>
                <w:szCs w:val="24"/>
              </w:rPr>
            </w:pPr>
            <w:r>
              <w:rPr>
                <w:rFonts w:hint="eastAsia" w:ascii="宋体" w:hAnsi="宋体" w:cs="宋体"/>
                <w:sz w:val="24"/>
                <w:szCs w:val="24"/>
              </w:rPr>
              <w:t>2. 招标代理服务费按《河南省招标代理服务收费指导意见（豫招协【2023】002号）》进行计取。由中标人支付。</w:t>
            </w:r>
          </w:p>
        </w:tc>
      </w:tr>
      <w:tr w14:paraId="314F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242F0671">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3.8</w:t>
            </w:r>
          </w:p>
        </w:tc>
        <w:tc>
          <w:tcPr>
            <w:tcW w:w="1843" w:type="dxa"/>
            <w:tcBorders>
              <w:top w:val="single" w:color="auto" w:sz="4" w:space="0"/>
              <w:left w:val="nil"/>
              <w:bottom w:val="single" w:color="auto" w:sz="4" w:space="0"/>
              <w:right w:val="single" w:color="auto" w:sz="4" w:space="0"/>
            </w:tcBorders>
            <w:vAlign w:val="center"/>
          </w:tcPr>
          <w:p w14:paraId="3B16D6AC">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质疑和投诉</w:t>
            </w:r>
          </w:p>
        </w:tc>
        <w:tc>
          <w:tcPr>
            <w:tcW w:w="6803" w:type="dxa"/>
            <w:tcBorders>
              <w:top w:val="single" w:color="auto" w:sz="4" w:space="0"/>
              <w:left w:val="nil"/>
              <w:bottom w:val="single" w:color="auto" w:sz="4" w:space="0"/>
              <w:right w:val="single" w:color="auto" w:sz="4" w:space="0"/>
            </w:tcBorders>
            <w:vAlign w:val="center"/>
          </w:tcPr>
          <w:p w14:paraId="7636521B">
            <w:pPr>
              <w:keepLines/>
              <w:spacing w:line="360" w:lineRule="auto"/>
              <w:rPr>
                <w:rFonts w:hint="eastAsia" w:ascii="宋体" w:hAnsi="宋体" w:cs="宋体"/>
                <w:sz w:val="24"/>
                <w:szCs w:val="24"/>
              </w:rPr>
            </w:pPr>
            <w:r>
              <w:rPr>
                <w:rFonts w:hint="eastAsia" w:ascii="宋体" w:hAnsi="宋体" w:cs="宋体"/>
                <w:sz w:val="24"/>
                <w:szCs w:val="24"/>
              </w:rPr>
              <w:t>1.供应商认为采购文件、采购过程和中标或者成交结果使自己的权益受到损害的，可以在知道或者应知其权益受到损害之日起7个工作日内，以书面形式向采购人、采购代理机构提出质疑。</w:t>
            </w:r>
          </w:p>
          <w:p w14:paraId="1CF8DCE8">
            <w:pPr>
              <w:keepLines/>
              <w:spacing w:line="360" w:lineRule="auto"/>
              <w:rPr>
                <w:rFonts w:hint="eastAsia" w:ascii="宋体" w:hAnsi="宋体" w:cs="宋体"/>
                <w:sz w:val="24"/>
                <w:szCs w:val="24"/>
              </w:rPr>
            </w:pPr>
            <w:r>
              <w:rPr>
                <w:rFonts w:hint="eastAsia" w:ascii="宋体" w:hAnsi="宋体" w:cs="宋体"/>
                <w:sz w:val="24"/>
                <w:szCs w:val="24"/>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123F76F1">
            <w:pPr>
              <w:keepLines/>
              <w:spacing w:line="360" w:lineRule="auto"/>
              <w:rPr>
                <w:rFonts w:hint="eastAsia" w:ascii="宋体" w:hAnsi="宋体" w:cs="宋体"/>
                <w:sz w:val="24"/>
                <w:szCs w:val="24"/>
              </w:rPr>
            </w:pPr>
            <w:r>
              <w:rPr>
                <w:rFonts w:hint="eastAsia" w:ascii="宋体" w:hAnsi="宋体" w:cs="宋体"/>
                <w:sz w:val="24"/>
                <w:szCs w:val="24"/>
              </w:rPr>
              <w:t>超出法定质疑期的、重复提出的、分次提出的或内容、形式不符合《政府采购质疑和投诉办法》的，提出质疑的供应商将依法承担不利后果。</w:t>
            </w:r>
          </w:p>
          <w:p w14:paraId="27C2BA0B">
            <w:pPr>
              <w:keepLines/>
              <w:spacing w:line="360" w:lineRule="auto"/>
              <w:rPr>
                <w:rFonts w:hint="eastAsia" w:ascii="宋体" w:hAnsi="宋体" w:cs="宋体"/>
                <w:sz w:val="24"/>
                <w:szCs w:val="24"/>
              </w:rPr>
            </w:pPr>
            <w:r>
              <w:rPr>
                <w:rFonts w:hint="eastAsia" w:ascii="宋体" w:hAnsi="宋体" w:cs="宋体"/>
                <w:sz w:val="24"/>
                <w:szCs w:val="24"/>
              </w:rPr>
              <w:t>3.质疑函接收部门、联系电话和通讯地址,见供应商须知前附表</w:t>
            </w:r>
          </w:p>
          <w:p w14:paraId="7467FE33">
            <w:pPr>
              <w:keepLines/>
              <w:spacing w:line="360" w:lineRule="auto"/>
              <w:rPr>
                <w:rFonts w:hint="eastAsia" w:ascii="宋体" w:hAnsi="宋体" w:cs="宋体"/>
                <w:sz w:val="24"/>
                <w:szCs w:val="24"/>
              </w:rPr>
            </w:pPr>
            <w:r>
              <w:rPr>
                <w:rFonts w:hint="eastAsia" w:ascii="宋体" w:hAnsi="宋体" w:cs="宋体"/>
                <w:sz w:val="24"/>
                <w:szCs w:val="24"/>
              </w:rPr>
              <w:t>4.质疑供应商对采购人、采购代理机构的答复不满意，或者采购人、采购代理机构未在规定时间内作出答复的，可以在答复期满后15个工作日内向财政部门提起投诉。</w:t>
            </w:r>
          </w:p>
          <w:p w14:paraId="548FF24C">
            <w:pPr>
              <w:keepLines/>
              <w:spacing w:line="360" w:lineRule="auto"/>
              <w:rPr>
                <w:rFonts w:hint="eastAsia" w:ascii="宋体" w:hAnsi="宋体" w:cs="宋体"/>
                <w:sz w:val="24"/>
                <w:szCs w:val="24"/>
              </w:rPr>
            </w:pPr>
            <w:r>
              <w:rPr>
                <w:rFonts w:hint="eastAsia" w:ascii="宋体" w:hAnsi="宋体" w:cs="宋体"/>
                <w:sz w:val="24"/>
                <w:szCs w:val="24"/>
              </w:rPr>
              <w:t>5.投诉人投诉时,应当提交投诉书和必要的证明材料，并按照被投诉采购人、采购代理机构（以下简称被投诉人）和与投诉事项有关的供应商数量提供投诉书的副本。</w:t>
            </w:r>
          </w:p>
        </w:tc>
      </w:tr>
      <w:tr w14:paraId="6D6B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56CAFA8">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3.9</w:t>
            </w:r>
          </w:p>
        </w:tc>
        <w:tc>
          <w:tcPr>
            <w:tcW w:w="1843" w:type="dxa"/>
            <w:tcBorders>
              <w:top w:val="single" w:color="auto" w:sz="4" w:space="0"/>
              <w:left w:val="nil"/>
              <w:bottom w:val="single" w:color="auto" w:sz="4" w:space="0"/>
              <w:right w:val="single" w:color="auto" w:sz="4" w:space="0"/>
            </w:tcBorders>
            <w:vAlign w:val="center"/>
          </w:tcPr>
          <w:p w14:paraId="759B8DBB">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招标文件解释</w:t>
            </w:r>
          </w:p>
        </w:tc>
        <w:tc>
          <w:tcPr>
            <w:tcW w:w="6803" w:type="dxa"/>
            <w:tcBorders>
              <w:top w:val="single" w:color="auto" w:sz="4" w:space="0"/>
              <w:left w:val="nil"/>
              <w:bottom w:val="single" w:color="auto" w:sz="4" w:space="0"/>
              <w:right w:val="single" w:color="auto" w:sz="4" w:space="0"/>
            </w:tcBorders>
            <w:vAlign w:val="center"/>
          </w:tcPr>
          <w:p w14:paraId="6B9926A2">
            <w:pPr>
              <w:keepLines/>
              <w:spacing w:line="360" w:lineRule="auto"/>
              <w:rPr>
                <w:rFonts w:hint="eastAsia" w:ascii="宋体" w:hAnsi="宋体" w:cs="宋体"/>
                <w:sz w:val="24"/>
                <w:szCs w:val="24"/>
              </w:rPr>
            </w:pPr>
            <w:r>
              <w:rPr>
                <w:rFonts w:hint="eastAsia" w:ascii="宋体" w:hAnsi="宋体" w:cs="宋体"/>
                <w:sz w:val="24"/>
                <w:szCs w:val="24"/>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4B1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2EFB42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4.0</w:t>
            </w:r>
          </w:p>
        </w:tc>
        <w:tc>
          <w:tcPr>
            <w:tcW w:w="1843" w:type="dxa"/>
            <w:tcBorders>
              <w:top w:val="single" w:color="auto" w:sz="4" w:space="0"/>
              <w:left w:val="nil"/>
              <w:bottom w:val="single" w:color="auto" w:sz="4" w:space="0"/>
              <w:right w:val="single" w:color="auto" w:sz="4" w:space="0"/>
            </w:tcBorders>
            <w:vAlign w:val="center"/>
          </w:tcPr>
          <w:p w14:paraId="20E03CED">
            <w:pPr>
              <w:spacing w:line="360" w:lineRule="auto"/>
              <w:jc w:val="center"/>
              <w:rPr>
                <w:rFonts w:hint="eastAsia" w:ascii="宋体" w:hAnsi="宋体" w:cs="宋体"/>
                <w:sz w:val="24"/>
                <w:szCs w:val="24"/>
              </w:rPr>
            </w:pPr>
            <w:r>
              <w:rPr>
                <w:rFonts w:hint="eastAsia" w:ascii="宋体" w:hAnsi="宋体" w:cs="宋体"/>
                <w:sz w:val="24"/>
                <w:szCs w:val="24"/>
              </w:rPr>
              <w:t>中标结果</w:t>
            </w:r>
          </w:p>
        </w:tc>
        <w:tc>
          <w:tcPr>
            <w:tcW w:w="6803" w:type="dxa"/>
            <w:tcBorders>
              <w:top w:val="single" w:color="auto" w:sz="4" w:space="0"/>
              <w:left w:val="nil"/>
              <w:bottom w:val="single" w:color="auto" w:sz="4" w:space="0"/>
              <w:right w:val="single" w:color="auto" w:sz="4" w:space="0"/>
            </w:tcBorders>
            <w:vAlign w:val="center"/>
          </w:tcPr>
          <w:p w14:paraId="558E1F5F">
            <w:pPr>
              <w:spacing w:line="360" w:lineRule="auto"/>
              <w:rPr>
                <w:rFonts w:hint="eastAsia" w:ascii="宋体" w:hAnsi="宋体" w:cs="宋体"/>
                <w:sz w:val="24"/>
                <w:szCs w:val="24"/>
              </w:rPr>
            </w:pPr>
            <w:r>
              <w:rPr>
                <w:rFonts w:hint="eastAsia" w:ascii="宋体" w:hAnsi="宋体" w:cs="宋体"/>
                <w:sz w:val="24"/>
                <w:szCs w:val="24"/>
              </w:rPr>
              <w:t>在《中国招标投标公共服务平台》、《河南省政府采购网》和《三门峡市公共资源交易中心网》三个网站同步中标结果公告。</w:t>
            </w:r>
          </w:p>
          <w:p w14:paraId="48566018">
            <w:pPr>
              <w:spacing w:line="360" w:lineRule="auto"/>
              <w:rPr>
                <w:rFonts w:hint="eastAsia" w:ascii="宋体" w:hAnsi="宋体" w:cs="宋体"/>
                <w:sz w:val="24"/>
                <w:szCs w:val="24"/>
              </w:rPr>
            </w:pPr>
            <w:r>
              <w:rPr>
                <w:rFonts w:hint="eastAsia" w:ascii="宋体" w:hAnsi="宋体" w:cs="宋体"/>
                <w:sz w:val="24"/>
                <w:szCs w:val="24"/>
              </w:rPr>
              <w:t>采购人以书面形式向中标人发出中标通知书。</w:t>
            </w:r>
          </w:p>
        </w:tc>
      </w:tr>
      <w:tr w14:paraId="480A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27F60B3">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4.1</w:t>
            </w:r>
          </w:p>
        </w:tc>
        <w:tc>
          <w:tcPr>
            <w:tcW w:w="1843" w:type="dxa"/>
            <w:tcBorders>
              <w:top w:val="single" w:color="auto" w:sz="4" w:space="0"/>
              <w:left w:val="nil"/>
              <w:bottom w:val="single" w:color="auto" w:sz="4" w:space="0"/>
              <w:right w:val="single" w:color="auto" w:sz="4" w:space="0"/>
            </w:tcBorders>
            <w:vAlign w:val="center"/>
          </w:tcPr>
          <w:p w14:paraId="3BAD7C9C">
            <w:pPr>
              <w:spacing w:line="360" w:lineRule="auto"/>
              <w:jc w:val="center"/>
              <w:rPr>
                <w:rFonts w:hint="eastAsia" w:ascii="宋体" w:hAnsi="宋体" w:cs="宋体"/>
                <w:sz w:val="24"/>
                <w:szCs w:val="24"/>
              </w:rPr>
            </w:pPr>
            <w:r>
              <w:rPr>
                <w:rFonts w:hint="eastAsia" w:ascii="宋体" w:hAnsi="宋体" w:cs="宋体"/>
                <w:sz w:val="24"/>
                <w:szCs w:val="24"/>
              </w:rPr>
              <w:t>重新招标的其他情形</w:t>
            </w:r>
          </w:p>
        </w:tc>
        <w:tc>
          <w:tcPr>
            <w:tcW w:w="6803" w:type="dxa"/>
            <w:tcBorders>
              <w:top w:val="single" w:color="auto" w:sz="4" w:space="0"/>
              <w:left w:val="nil"/>
              <w:bottom w:val="single" w:color="auto" w:sz="4" w:space="0"/>
              <w:right w:val="single" w:color="auto" w:sz="4" w:space="0"/>
            </w:tcBorders>
            <w:vAlign w:val="center"/>
          </w:tcPr>
          <w:p w14:paraId="09922E63">
            <w:pPr>
              <w:spacing w:line="360" w:lineRule="auto"/>
              <w:rPr>
                <w:rFonts w:hint="eastAsia" w:ascii="宋体" w:hAnsi="宋体" w:cs="宋体"/>
                <w:sz w:val="24"/>
                <w:szCs w:val="24"/>
              </w:rPr>
            </w:pPr>
            <w:r>
              <w:rPr>
                <w:rFonts w:hint="eastAsia" w:ascii="宋体" w:hAnsi="宋体" w:cs="宋体"/>
                <w:sz w:val="24"/>
                <w:szCs w:val="24"/>
              </w:rPr>
              <w:t>除供应商须知规定的情形外，除非已经产生中标候选人，在投标有效期内同意延长投标有效期的供应商少于三个的，采购人应当依法重新招标。</w:t>
            </w:r>
          </w:p>
        </w:tc>
      </w:tr>
      <w:tr w14:paraId="44F9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DE86FE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4.2</w:t>
            </w:r>
          </w:p>
        </w:tc>
        <w:tc>
          <w:tcPr>
            <w:tcW w:w="1843" w:type="dxa"/>
            <w:tcBorders>
              <w:top w:val="single" w:color="auto" w:sz="4" w:space="0"/>
              <w:left w:val="nil"/>
              <w:bottom w:val="single" w:color="auto" w:sz="4" w:space="0"/>
              <w:right w:val="single" w:color="auto" w:sz="4" w:space="0"/>
            </w:tcBorders>
            <w:vAlign w:val="center"/>
          </w:tcPr>
          <w:p w14:paraId="691B12DE">
            <w:pPr>
              <w:spacing w:line="360" w:lineRule="auto"/>
              <w:jc w:val="center"/>
              <w:rPr>
                <w:rFonts w:hint="eastAsia" w:ascii="宋体" w:hAnsi="宋体" w:cs="宋体"/>
                <w:sz w:val="24"/>
                <w:szCs w:val="24"/>
              </w:rPr>
            </w:pPr>
            <w:r>
              <w:rPr>
                <w:rFonts w:hint="eastAsia" w:ascii="宋体" w:hAnsi="宋体" w:cs="宋体"/>
                <w:sz w:val="24"/>
                <w:szCs w:val="24"/>
              </w:rPr>
              <w:t>监督</w:t>
            </w:r>
          </w:p>
        </w:tc>
        <w:tc>
          <w:tcPr>
            <w:tcW w:w="6803" w:type="dxa"/>
            <w:tcBorders>
              <w:top w:val="single" w:color="auto" w:sz="4" w:space="0"/>
              <w:left w:val="nil"/>
              <w:bottom w:val="single" w:color="auto" w:sz="4" w:space="0"/>
              <w:right w:val="single" w:color="auto" w:sz="4" w:space="0"/>
            </w:tcBorders>
            <w:vAlign w:val="center"/>
          </w:tcPr>
          <w:p w14:paraId="4EAFAFD4">
            <w:pPr>
              <w:spacing w:line="360" w:lineRule="auto"/>
              <w:rPr>
                <w:rFonts w:hint="eastAsia" w:ascii="宋体" w:hAnsi="宋体" w:cs="宋体"/>
                <w:sz w:val="24"/>
                <w:szCs w:val="24"/>
                <w:highlight w:val="cyan"/>
              </w:rPr>
            </w:pPr>
            <w:r>
              <w:rPr>
                <w:rFonts w:hint="eastAsia" w:ascii="宋体" w:hAnsi="宋体" w:cs="宋体"/>
                <w:sz w:val="24"/>
                <w:szCs w:val="24"/>
              </w:rPr>
              <w:t>本项目的招标投标活动及其相关当事人应当接受有管辖权的行政监督部门依法实施的监督。</w:t>
            </w:r>
          </w:p>
        </w:tc>
      </w:tr>
      <w:tr w14:paraId="2AB2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A5BA94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4.3</w:t>
            </w:r>
          </w:p>
        </w:tc>
        <w:tc>
          <w:tcPr>
            <w:tcW w:w="1843" w:type="dxa"/>
            <w:tcBorders>
              <w:top w:val="single" w:color="auto" w:sz="4" w:space="0"/>
              <w:left w:val="nil"/>
              <w:bottom w:val="single" w:color="auto" w:sz="4" w:space="0"/>
              <w:right w:val="single" w:color="auto" w:sz="4" w:space="0"/>
            </w:tcBorders>
            <w:vAlign w:val="center"/>
          </w:tcPr>
          <w:p w14:paraId="197AE1EA">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其他</w:t>
            </w:r>
          </w:p>
        </w:tc>
        <w:tc>
          <w:tcPr>
            <w:tcW w:w="6803" w:type="dxa"/>
            <w:tcBorders>
              <w:top w:val="single" w:color="auto" w:sz="4" w:space="0"/>
              <w:left w:val="nil"/>
              <w:bottom w:val="single" w:color="auto" w:sz="4" w:space="0"/>
              <w:right w:val="single" w:color="auto" w:sz="4" w:space="0"/>
            </w:tcBorders>
            <w:vAlign w:val="center"/>
          </w:tcPr>
          <w:p w14:paraId="1A3999EA">
            <w:pPr>
              <w:keepLines/>
              <w:spacing w:line="360" w:lineRule="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bidi="en-US"/>
              </w:rPr>
              <w:t xml:space="preserve"> 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14:paraId="2ED2598F">
            <w:pPr>
              <w:keepLines/>
              <w:spacing w:line="360" w:lineRule="auto"/>
              <w:rPr>
                <w:rFonts w:hint="eastAsia" w:ascii="宋体" w:hAnsi="宋体" w:cs="宋体"/>
                <w:sz w:val="24"/>
                <w:szCs w:val="24"/>
              </w:rPr>
            </w:pPr>
            <w:r>
              <w:rPr>
                <w:rFonts w:hint="eastAsia" w:ascii="宋体" w:hAnsi="宋体" w:cs="宋体"/>
                <w:sz w:val="24"/>
                <w:szCs w:val="24"/>
              </w:rPr>
              <w:t>2.评标打分部分：评标打分部分仍按照100分制原则进行，涉及到资格审查、企业荣誉、企业业绩等计分部分时，以投标单位自行上传到投标文件中的相应内容为准。</w:t>
            </w:r>
          </w:p>
          <w:p w14:paraId="56C29B97">
            <w:pPr>
              <w:keepLines/>
              <w:spacing w:line="360" w:lineRule="auto"/>
              <w:rPr>
                <w:rFonts w:hint="eastAsia" w:ascii="宋体" w:hAnsi="宋体" w:cs="宋体"/>
                <w:sz w:val="24"/>
                <w:szCs w:val="24"/>
              </w:rPr>
            </w:pPr>
            <w:r>
              <w:rPr>
                <w:rFonts w:hint="eastAsia" w:ascii="宋体" w:hAnsi="宋体" w:cs="宋体"/>
                <w:sz w:val="24"/>
                <w:szCs w:val="24"/>
              </w:rPr>
              <w:t>3.在招标文件中要求供应商按照投标文件格式进行投标文件编制，在投标文件编制时，应明确将供应商企业基本情况、人员情况、财务情况、业绩情况编入投标文件，便于进行资格审查及评标打分。</w:t>
            </w:r>
          </w:p>
          <w:p w14:paraId="02D7C521">
            <w:pPr>
              <w:keepLines/>
              <w:spacing w:line="360" w:lineRule="auto"/>
              <w:rPr>
                <w:rFonts w:hint="eastAsia" w:ascii="宋体" w:hAnsi="宋体" w:cs="宋体"/>
                <w:sz w:val="24"/>
                <w:szCs w:val="24"/>
              </w:rPr>
            </w:pPr>
            <w:r>
              <w:rPr>
                <w:rFonts w:hint="eastAsia" w:ascii="宋体" w:hAnsi="宋体" w:cs="宋体"/>
                <w:sz w:val="24"/>
                <w:szCs w:val="24"/>
              </w:rPr>
              <w:t>4.我单位（采购人）严格按三财购【2021】9号文要求的时限发布中标结果公告，发出中标通知书，签订采购合同，上传采购合同。</w:t>
            </w:r>
          </w:p>
        </w:tc>
      </w:tr>
      <w:tr w14:paraId="25AA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031184F">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4.4</w:t>
            </w:r>
          </w:p>
        </w:tc>
        <w:tc>
          <w:tcPr>
            <w:tcW w:w="1843" w:type="dxa"/>
            <w:tcBorders>
              <w:top w:val="single" w:color="auto" w:sz="4" w:space="0"/>
              <w:left w:val="nil"/>
              <w:bottom w:val="single" w:color="auto" w:sz="4" w:space="0"/>
              <w:right w:val="single" w:color="auto" w:sz="4" w:space="0"/>
            </w:tcBorders>
            <w:vAlign w:val="center"/>
          </w:tcPr>
          <w:p w14:paraId="467E36B6">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电子化交易</w:t>
            </w:r>
          </w:p>
          <w:p w14:paraId="7305BDCE">
            <w:pPr>
              <w:keepLines/>
              <w:spacing w:line="360" w:lineRule="auto"/>
              <w:jc w:val="center"/>
              <w:rPr>
                <w:rFonts w:hint="eastAsia" w:ascii="宋体" w:hAnsi="宋体" w:cs="宋体"/>
                <w:kern w:val="0"/>
                <w:sz w:val="24"/>
                <w:szCs w:val="24"/>
              </w:rPr>
            </w:pPr>
            <w:r>
              <w:rPr>
                <w:rFonts w:hint="eastAsia" w:ascii="宋体" w:hAnsi="宋体" w:cs="宋体"/>
                <w:kern w:val="0"/>
                <w:sz w:val="24"/>
                <w:szCs w:val="24"/>
              </w:rPr>
              <w:t>注意事项</w:t>
            </w:r>
          </w:p>
        </w:tc>
        <w:tc>
          <w:tcPr>
            <w:tcW w:w="6803" w:type="dxa"/>
            <w:tcBorders>
              <w:top w:val="single" w:color="auto" w:sz="4" w:space="0"/>
              <w:left w:val="nil"/>
              <w:bottom w:val="single" w:color="auto" w:sz="4" w:space="0"/>
              <w:right w:val="single" w:color="auto" w:sz="4" w:space="0"/>
            </w:tcBorders>
            <w:vAlign w:val="center"/>
          </w:tcPr>
          <w:p w14:paraId="3E4F71EF">
            <w:pPr>
              <w:spacing w:line="360" w:lineRule="auto"/>
              <w:rPr>
                <w:rFonts w:hint="eastAsia" w:ascii="宋体" w:hAnsi="宋体" w:cs="宋体"/>
                <w:sz w:val="24"/>
                <w:szCs w:val="24"/>
              </w:rPr>
            </w:pPr>
            <w:r>
              <w:rPr>
                <w:rFonts w:hint="eastAsia" w:ascii="宋体" w:hAnsi="宋体" w:cs="宋体"/>
                <w:sz w:val="24"/>
                <w:szCs w:val="24"/>
              </w:rPr>
              <w:t>具体要求：本项目为电子化、无纸化交易项目，投标文件是投标供应商、供应商（以下简称“投标供应商”）通过中心投标文件制作系统制作，并经过签章和加密后生成的电子版投标文件。</w:t>
            </w:r>
          </w:p>
          <w:p w14:paraId="08D2BF76">
            <w:pPr>
              <w:spacing w:line="360" w:lineRule="auto"/>
              <w:rPr>
                <w:rFonts w:hint="eastAsia" w:ascii="宋体" w:hAnsi="宋体" w:cs="宋体"/>
                <w:sz w:val="24"/>
                <w:szCs w:val="24"/>
              </w:rPr>
            </w:pPr>
            <w:r>
              <w:rPr>
                <w:rFonts w:hint="eastAsia" w:ascii="宋体" w:hAnsi="宋体" w:cs="宋体"/>
                <w:b/>
                <w:sz w:val="24"/>
                <w:szCs w:val="24"/>
              </w:rPr>
              <w:t>温馨提示：本项目为电子化、无纸化交易项目，为保证您能投标成功，请需仔细阅读以下条款。</w:t>
            </w:r>
          </w:p>
          <w:p w14:paraId="1807B8FC">
            <w:pPr>
              <w:spacing w:line="360" w:lineRule="auto"/>
              <w:rPr>
                <w:rFonts w:hint="eastAsia" w:ascii="宋体" w:hAnsi="宋体" w:cs="宋体"/>
                <w:b/>
                <w:sz w:val="24"/>
                <w:szCs w:val="24"/>
              </w:rPr>
            </w:pPr>
            <w:r>
              <w:rPr>
                <w:rFonts w:hint="eastAsia" w:ascii="宋体" w:hAnsi="宋体" w:cs="宋体"/>
                <w:b/>
                <w:sz w:val="24"/>
                <w:szCs w:val="24"/>
              </w:rPr>
              <w:t>一、电子化投标</w:t>
            </w:r>
          </w:p>
          <w:p w14:paraId="7B5047FA">
            <w:pPr>
              <w:spacing w:line="360" w:lineRule="auto"/>
              <w:rPr>
                <w:rFonts w:hint="eastAsia" w:ascii="宋体" w:hAnsi="宋体" w:cs="宋体"/>
                <w:sz w:val="24"/>
                <w:szCs w:val="24"/>
              </w:rPr>
            </w:pPr>
            <w:r>
              <w:rPr>
                <w:rFonts w:hint="eastAsia" w:ascii="宋体" w:hAnsi="宋体" w:cs="宋体"/>
                <w:sz w:val="24"/>
                <w:szCs w:val="24"/>
              </w:rPr>
              <w:t>（一）网上投标保证金的缴纳</w:t>
            </w:r>
          </w:p>
          <w:p w14:paraId="51E63702">
            <w:pPr>
              <w:spacing w:line="360" w:lineRule="auto"/>
              <w:rPr>
                <w:rFonts w:hint="eastAsia"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根据《河南省财政厅关于优化政府采购营商环境有关问题的通知》（豫财购【2019】4号）第6条的规定，投标保证金不再收取。</w:t>
            </w:r>
          </w:p>
          <w:p w14:paraId="07D924DE">
            <w:pPr>
              <w:spacing w:line="360" w:lineRule="auto"/>
              <w:rPr>
                <w:rFonts w:hint="eastAsia" w:ascii="宋体" w:hAnsi="宋体" w:cs="宋体"/>
                <w:sz w:val="24"/>
                <w:szCs w:val="24"/>
              </w:rPr>
            </w:pPr>
            <w:r>
              <w:rPr>
                <w:rFonts w:hint="eastAsia" w:ascii="宋体" w:hAnsi="宋体" w:cs="宋体"/>
                <w:sz w:val="24"/>
                <w:szCs w:val="24"/>
              </w:rPr>
              <w:t>（二）电子化投标文件的签章</w:t>
            </w:r>
          </w:p>
          <w:p w14:paraId="306803A9">
            <w:pPr>
              <w:spacing w:line="360" w:lineRule="auto"/>
              <w:rPr>
                <w:rFonts w:hint="eastAsia" w:ascii="宋体" w:hAnsi="宋体" w:cs="宋体"/>
                <w:sz w:val="24"/>
                <w:szCs w:val="24"/>
              </w:rPr>
            </w:pPr>
            <w:r>
              <w:rPr>
                <w:rFonts w:hint="eastAsia" w:ascii="宋体" w:hAnsi="宋体" w:cs="宋体"/>
                <w:sz w:val="24"/>
                <w:szCs w:val="24"/>
              </w:rPr>
              <w:t>1.投标供应商在生成电子化投标文件后，应对电子化投标文件进行签章，未进行签章的视为无效投标。</w:t>
            </w:r>
          </w:p>
          <w:p w14:paraId="216127EA">
            <w:pPr>
              <w:spacing w:line="360" w:lineRule="auto"/>
              <w:rPr>
                <w:rFonts w:hint="eastAsia" w:ascii="宋体" w:hAnsi="宋体" w:cs="宋体"/>
                <w:sz w:val="24"/>
                <w:szCs w:val="24"/>
              </w:rPr>
            </w:pPr>
            <w:r>
              <w:rPr>
                <w:rFonts w:hint="eastAsia" w:ascii="宋体" w:hAnsi="宋体" w:cs="宋体"/>
                <w:sz w:val="24"/>
                <w:szCs w:val="24"/>
              </w:rPr>
              <w:t>2.</w:t>
            </w:r>
            <w:r>
              <w:rPr>
                <w:rFonts w:hint="eastAsia" w:ascii="宋体" w:hAnsi="宋体" w:cs="宋体"/>
                <w:b/>
                <w:sz w:val="24"/>
                <w:szCs w:val="24"/>
              </w:rPr>
              <w:t>招标文件中要求投标供应商盖章的，以签盖单位章为准；要求法定代表人签章的，以签盖法定代表人签章为准。</w:t>
            </w:r>
          </w:p>
          <w:p w14:paraId="2744F45B">
            <w:pPr>
              <w:spacing w:line="360" w:lineRule="auto"/>
              <w:rPr>
                <w:rFonts w:hint="eastAsia" w:ascii="宋体" w:hAnsi="宋体" w:cs="宋体"/>
                <w:b/>
                <w:sz w:val="24"/>
                <w:szCs w:val="24"/>
              </w:rPr>
            </w:pPr>
            <w:r>
              <w:rPr>
                <w:rFonts w:hint="eastAsia" w:ascii="宋体" w:hAnsi="宋体" w:cs="宋体"/>
                <w:sz w:val="24"/>
                <w:szCs w:val="24"/>
              </w:rPr>
              <w:t>（三）电子化投标文件的格式及上传投标</w:t>
            </w:r>
          </w:p>
          <w:p w14:paraId="1B5F1151">
            <w:pPr>
              <w:spacing w:line="360" w:lineRule="auto"/>
              <w:jc w:val="left"/>
              <w:rPr>
                <w:rFonts w:hint="eastAsia" w:ascii="宋体" w:hAnsi="宋体" w:cs="宋体"/>
                <w:sz w:val="24"/>
                <w:szCs w:val="24"/>
              </w:rPr>
            </w:pPr>
            <w:r>
              <w:rPr>
                <w:rFonts w:hint="eastAsia" w:ascii="宋体" w:hAnsi="宋体" w:cs="宋体"/>
                <w:sz w:val="24"/>
                <w:szCs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29280421">
            <w:pPr>
              <w:spacing w:line="360" w:lineRule="auto"/>
              <w:rPr>
                <w:rFonts w:hint="eastAsia" w:ascii="宋体" w:hAnsi="宋体" w:cs="宋体"/>
                <w:sz w:val="24"/>
                <w:szCs w:val="24"/>
              </w:rPr>
            </w:pPr>
            <w:r>
              <w:rPr>
                <w:rFonts w:hint="eastAsia" w:ascii="宋体" w:hAnsi="宋体" w:cs="宋体"/>
                <w:sz w:val="24"/>
                <w:szCs w:val="24"/>
              </w:rPr>
              <w:t>2.电子化投标文件应在投标截止时间前成功上传至三门峡市公共资源电子化交易系统。至投标截止时间止，仍未上传成功的电子化投标文件将不予接收。</w:t>
            </w:r>
          </w:p>
          <w:p w14:paraId="7F332633">
            <w:pPr>
              <w:spacing w:line="360" w:lineRule="auto"/>
              <w:rPr>
                <w:rFonts w:hint="eastAsia" w:ascii="宋体" w:hAnsi="宋体" w:cs="宋体"/>
                <w:b/>
                <w:sz w:val="24"/>
                <w:szCs w:val="24"/>
              </w:rPr>
            </w:pPr>
            <w:r>
              <w:rPr>
                <w:rFonts w:hint="eastAsia" w:ascii="宋体" w:hAnsi="宋体" w:cs="宋体"/>
                <w:b/>
                <w:sz w:val="24"/>
                <w:szCs w:val="24"/>
              </w:rPr>
              <w:t>注：</w:t>
            </w:r>
            <w:r>
              <w:rPr>
                <w:rFonts w:hint="eastAsia" w:ascii="宋体" w:hAnsi="宋体" w:cs="宋体"/>
                <w:sz w:val="24"/>
                <w:szCs w:val="24"/>
              </w:rPr>
              <w:t>如按照电子化投标操作教材制作完成的电子化投标文件无法上传的，投标供应商应在</w:t>
            </w:r>
            <w:r>
              <w:rPr>
                <w:rFonts w:hint="eastAsia" w:ascii="宋体" w:hAnsi="宋体" w:cs="宋体"/>
                <w:b/>
                <w:sz w:val="24"/>
                <w:szCs w:val="24"/>
              </w:rPr>
              <w:t>投标截止时间前尽早的</w:t>
            </w:r>
            <w:r>
              <w:rPr>
                <w:rFonts w:hint="eastAsia" w:ascii="宋体" w:hAnsi="宋体" w:cs="宋体"/>
                <w:sz w:val="24"/>
                <w:szCs w:val="24"/>
              </w:rPr>
              <w:t>联系中心技术人员，以便有充分的时间进行处理。</w:t>
            </w:r>
            <w:r>
              <w:rPr>
                <w:rFonts w:hint="eastAsia" w:ascii="宋体" w:hAnsi="宋体" w:cs="宋体"/>
                <w:b/>
                <w:sz w:val="24"/>
                <w:szCs w:val="24"/>
              </w:rPr>
              <w:t>投标供应商应充分考虑到处理技术问题和上传数据等工作所需的时间问题，投标文件未在投标截止时间前成功上传的，其投标文件不予接收。</w:t>
            </w:r>
          </w:p>
          <w:p w14:paraId="684D65EA">
            <w:pPr>
              <w:spacing w:line="360" w:lineRule="auto"/>
              <w:rPr>
                <w:rFonts w:hint="eastAsia" w:ascii="宋体" w:hAnsi="宋体" w:cs="宋体"/>
                <w:sz w:val="24"/>
                <w:szCs w:val="24"/>
              </w:rPr>
            </w:pPr>
            <w:r>
              <w:rPr>
                <w:rFonts w:hint="eastAsia" w:ascii="宋体" w:hAnsi="宋体" w:cs="宋体"/>
                <w:sz w:val="24"/>
                <w:szCs w:val="24"/>
              </w:rPr>
              <w:t>新点客服电话:4009980000</w:t>
            </w:r>
          </w:p>
          <w:p w14:paraId="7C4BB7B8">
            <w:pPr>
              <w:spacing w:line="360" w:lineRule="auto"/>
              <w:rPr>
                <w:rFonts w:hint="eastAsia" w:ascii="宋体" w:hAnsi="宋体" w:cs="宋体"/>
                <w:sz w:val="24"/>
                <w:szCs w:val="24"/>
              </w:rPr>
            </w:pPr>
            <w:r>
              <w:rPr>
                <w:rFonts w:hint="eastAsia" w:ascii="宋体" w:hAnsi="宋体" w:cs="宋体"/>
                <w:sz w:val="24"/>
                <w:szCs w:val="24"/>
              </w:rPr>
              <w:t>（四）电子化项目开标、解密、唱标、评标</w:t>
            </w:r>
          </w:p>
          <w:p w14:paraId="7FD3F564">
            <w:pPr>
              <w:spacing w:line="360" w:lineRule="auto"/>
              <w:rPr>
                <w:rFonts w:hint="eastAsia" w:ascii="宋体" w:hAnsi="宋体" w:cs="宋体"/>
                <w:sz w:val="24"/>
                <w:szCs w:val="24"/>
              </w:rPr>
            </w:pPr>
            <w:r>
              <w:rPr>
                <w:rFonts w:hint="eastAsia" w:ascii="宋体" w:hAnsi="宋体" w:cs="宋体"/>
                <w:sz w:val="24"/>
                <w:szCs w:val="24"/>
              </w:rPr>
              <w:t>1.本项目采用</w:t>
            </w:r>
            <w:r>
              <w:rPr>
                <w:rFonts w:hint="eastAsia" w:ascii="宋体" w:hAnsi="宋体" w:cs="宋体"/>
                <w:b/>
                <w:sz w:val="24"/>
                <w:szCs w:val="24"/>
              </w:rPr>
              <w:t>电子化、无纸化</w:t>
            </w:r>
            <w:r>
              <w:rPr>
                <w:rFonts w:hint="eastAsia" w:ascii="宋体" w:hAnsi="宋体" w:cs="宋体"/>
                <w:sz w:val="24"/>
                <w:szCs w:val="24"/>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179FEBC">
            <w:pPr>
              <w:spacing w:line="360" w:lineRule="auto"/>
              <w:rPr>
                <w:rFonts w:hint="eastAsia" w:ascii="宋体" w:hAnsi="宋体" w:cs="宋体"/>
                <w:sz w:val="24"/>
                <w:szCs w:val="24"/>
              </w:rPr>
            </w:pPr>
            <w:r>
              <w:rPr>
                <w:rFonts w:hint="eastAsia" w:ascii="宋体" w:hAnsi="宋体" w:cs="宋体"/>
                <w:sz w:val="24"/>
                <w:szCs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402E1A16">
            <w:pPr>
              <w:spacing w:line="360" w:lineRule="auto"/>
              <w:rPr>
                <w:rFonts w:hint="eastAsia" w:ascii="宋体" w:hAnsi="宋体" w:cs="宋体"/>
                <w:b/>
                <w:sz w:val="24"/>
                <w:szCs w:val="24"/>
              </w:rPr>
            </w:pPr>
            <w:r>
              <w:rPr>
                <w:rFonts w:hint="eastAsia" w:ascii="宋体" w:hAnsi="宋体" w:cs="宋体"/>
                <w:sz w:val="24"/>
                <w:szCs w:val="24"/>
              </w:rPr>
              <w:t>3.电子化投标文件解密异常的处理</w:t>
            </w:r>
          </w:p>
          <w:p w14:paraId="43AB82C7">
            <w:pPr>
              <w:spacing w:line="360" w:lineRule="auto"/>
              <w:rPr>
                <w:rFonts w:hint="eastAsia" w:ascii="宋体" w:hAnsi="宋体" w:cs="宋体"/>
                <w:sz w:val="24"/>
                <w:szCs w:val="24"/>
              </w:rPr>
            </w:pPr>
            <w:r>
              <w:rPr>
                <w:rFonts w:hint="eastAsia" w:ascii="宋体" w:hAnsi="宋体" w:cs="宋体"/>
                <w:sz w:val="24"/>
                <w:szCs w:val="24"/>
              </w:rPr>
              <w:t>如出现投标供应商的电子投标文件无法解密等异常情况，投标供应商应及时致电中介服务机构说明。投标文件异常，按以下步骤进行处理：</w:t>
            </w:r>
          </w:p>
          <w:p w14:paraId="25C4E7DB">
            <w:pPr>
              <w:spacing w:line="360" w:lineRule="auto"/>
              <w:rPr>
                <w:rFonts w:hint="eastAsia" w:ascii="宋体" w:hAnsi="宋体" w:cs="宋体"/>
                <w:sz w:val="24"/>
                <w:szCs w:val="24"/>
              </w:rPr>
            </w:pPr>
            <w:r>
              <w:rPr>
                <w:rFonts w:hint="eastAsia" w:ascii="宋体" w:hAnsi="宋体" w:cs="宋体"/>
                <w:sz w:val="24"/>
                <w:szCs w:val="24"/>
              </w:rPr>
              <w:t>（1）首先由技术人员进行问题排查。</w:t>
            </w:r>
          </w:p>
          <w:p w14:paraId="0DFF950D">
            <w:pPr>
              <w:spacing w:line="360" w:lineRule="auto"/>
              <w:rPr>
                <w:rFonts w:hint="eastAsia" w:ascii="宋体" w:hAnsi="宋体" w:cs="宋体"/>
                <w:sz w:val="24"/>
                <w:szCs w:val="24"/>
              </w:rPr>
            </w:pPr>
            <w:r>
              <w:rPr>
                <w:rFonts w:hint="eastAsia" w:ascii="宋体" w:hAnsi="宋体" w:cs="宋体"/>
                <w:sz w:val="24"/>
                <w:szCs w:val="24"/>
              </w:rPr>
              <w:t>（2）经技术人员排查后，是投标供应商文件自身问题导致投标文件无法解密的，该投标文件将不予接收、解密和唱标。开标会议继续进行。</w:t>
            </w:r>
          </w:p>
          <w:p w14:paraId="2105DB0E">
            <w:pPr>
              <w:spacing w:line="360" w:lineRule="auto"/>
              <w:rPr>
                <w:rFonts w:hint="eastAsia" w:ascii="宋体" w:hAnsi="宋体" w:cs="宋体"/>
                <w:sz w:val="24"/>
                <w:szCs w:val="24"/>
              </w:rPr>
            </w:pPr>
            <w:r>
              <w:rPr>
                <w:rFonts w:hint="eastAsia" w:ascii="宋体" w:hAnsi="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8B17EED">
            <w:pPr>
              <w:spacing w:line="360" w:lineRule="auto"/>
              <w:rPr>
                <w:rFonts w:hint="eastAsia" w:ascii="宋体" w:hAnsi="宋体" w:cs="宋体"/>
                <w:sz w:val="24"/>
                <w:szCs w:val="24"/>
              </w:rPr>
            </w:pPr>
            <w:r>
              <w:rPr>
                <w:rFonts w:hint="eastAsia" w:ascii="宋体" w:hAnsi="宋体" w:cs="宋体"/>
                <w:sz w:val="24"/>
                <w:szCs w:val="24"/>
              </w:rPr>
              <w:t>4.待所有投标供应商投标文件解密完成后，由中介服务机构操作，对所有已解密投标文件进行唱标。</w:t>
            </w:r>
          </w:p>
          <w:p w14:paraId="4C5F37F1">
            <w:pPr>
              <w:spacing w:line="360" w:lineRule="auto"/>
              <w:rPr>
                <w:rFonts w:hint="eastAsia" w:ascii="宋体" w:hAnsi="宋体" w:cs="宋体"/>
                <w:sz w:val="24"/>
                <w:szCs w:val="24"/>
              </w:rPr>
            </w:pPr>
            <w:r>
              <w:rPr>
                <w:rFonts w:hint="eastAsia" w:ascii="宋体" w:hAnsi="宋体" w:cs="宋体"/>
                <w:b/>
                <w:sz w:val="24"/>
                <w:szCs w:val="24"/>
              </w:rPr>
              <w:t>投标供应商应保证在开标期间电话、电脑、网络能够正常工作，投标供应商因停电、电脑病毒、网络堵塞等原因，未在规定的解密时间内对投标文件进行解密的，其投标文件不予接收、唱标。</w:t>
            </w:r>
          </w:p>
          <w:p w14:paraId="7BF1FD7A">
            <w:pPr>
              <w:spacing w:line="360" w:lineRule="auto"/>
              <w:rPr>
                <w:rFonts w:hint="eastAsia" w:ascii="宋体" w:hAnsi="宋体" w:cs="宋体"/>
                <w:sz w:val="24"/>
                <w:szCs w:val="24"/>
              </w:rPr>
            </w:pPr>
            <w:r>
              <w:rPr>
                <w:rFonts w:hint="eastAsia" w:ascii="宋体" w:hAnsi="宋体" w:cs="宋体"/>
                <w:sz w:val="24"/>
                <w:szCs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0D9624DD">
            <w:pPr>
              <w:spacing w:line="360" w:lineRule="auto"/>
              <w:rPr>
                <w:rFonts w:hint="eastAsia" w:ascii="宋体" w:hAnsi="宋体" w:cs="宋体"/>
                <w:sz w:val="24"/>
                <w:szCs w:val="24"/>
              </w:rPr>
            </w:pPr>
            <w:r>
              <w:rPr>
                <w:rFonts w:hint="eastAsia" w:ascii="宋体" w:hAnsi="宋体" w:cs="宋体"/>
                <w:sz w:val="24"/>
                <w:szCs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5410E95B">
            <w:pPr>
              <w:spacing w:line="360" w:lineRule="auto"/>
              <w:rPr>
                <w:rFonts w:hint="eastAsia" w:ascii="宋体" w:hAnsi="宋体" w:cs="宋体"/>
                <w:sz w:val="24"/>
                <w:szCs w:val="24"/>
              </w:rPr>
            </w:pPr>
            <w:r>
              <w:rPr>
                <w:rFonts w:hint="eastAsia" w:ascii="宋体" w:hAnsi="宋体" w:cs="宋体"/>
                <w:sz w:val="24"/>
                <w:szCs w:val="24"/>
              </w:rPr>
              <w:t>7.如评标委员会对需要回复的投标供应商连续三次致电未接通的，视为投标供应商放弃回复，评标委员会将自行对需要回复的内容进行认定。</w:t>
            </w:r>
          </w:p>
          <w:p w14:paraId="27D5354E">
            <w:pPr>
              <w:spacing w:line="360" w:lineRule="auto"/>
              <w:rPr>
                <w:rFonts w:hint="eastAsia" w:ascii="宋体" w:hAnsi="宋体" w:cs="宋体"/>
                <w:sz w:val="24"/>
                <w:szCs w:val="24"/>
              </w:rPr>
            </w:pPr>
            <w:r>
              <w:rPr>
                <w:rFonts w:hint="eastAsia" w:ascii="宋体" w:hAnsi="宋体" w:cs="宋体"/>
                <w:sz w:val="24"/>
                <w:szCs w:val="24"/>
              </w:rPr>
              <w:t>评标委员会对原件的核验工作按以下条款进行：</w:t>
            </w:r>
          </w:p>
          <w:p w14:paraId="396AC4BB">
            <w:pPr>
              <w:spacing w:line="360" w:lineRule="auto"/>
              <w:rPr>
                <w:rFonts w:hint="eastAsia" w:ascii="宋体" w:hAnsi="宋体" w:cs="宋体"/>
                <w:sz w:val="24"/>
                <w:szCs w:val="24"/>
              </w:rPr>
            </w:pPr>
            <w:r>
              <w:rPr>
                <w:rFonts w:hint="eastAsia" w:ascii="宋体" w:hAnsi="宋体" w:cs="宋体"/>
                <w:b/>
                <w:bCs/>
                <w:sz w:val="24"/>
                <w:szCs w:val="24"/>
              </w:rPr>
              <w:t>评标时，评委先查阅投标文件中是否具有该资料的原件扫描件，其上传资料真实性由供应商自行承担，同时，供应商请完善主体库。</w:t>
            </w:r>
          </w:p>
          <w:p w14:paraId="500A1A24">
            <w:pPr>
              <w:spacing w:line="360" w:lineRule="auto"/>
              <w:rPr>
                <w:rFonts w:hint="eastAsia" w:ascii="宋体" w:hAnsi="宋体" w:cs="宋体"/>
                <w:sz w:val="24"/>
                <w:szCs w:val="24"/>
              </w:rPr>
            </w:pPr>
            <w:r>
              <w:rPr>
                <w:rFonts w:hint="eastAsia" w:ascii="宋体" w:hAnsi="宋体" w:cs="宋体"/>
                <w:sz w:val="24"/>
                <w:szCs w:val="24"/>
              </w:rPr>
              <w:t>具体操作详见《三门峡市公共资源交易服务平台市场主体信息库操作手册》。链接地址：</w:t>
            </w:r>
          </w:p>
          <w:p w14:paraId="2E99B99C">
            <w:pPr>
              <w:spacing w:line="360" w:lineRule="auto"/>
              <w:rPr>
                <w:rFonts w:hint="eastAsia" w:ascii="宋体" w:hAnsi="宋体" w:cs="宋体"/>
                <w:sz w:val="24"/>
                <w:szCs w:val="24"/>
              </w:rPr>
            </w:pPr>
            <w:r>
              <w:rPr>
                <w:rFonts w:hint="eastAsia" w:ascii="宋体" w:hAnsi="宋体" w:cs="宋体"/>
                <w:sz w:val="24"/>
                <w:szCs w:val="24"/>
              </w:rPr>
              <w:t>http://gzjy.smx.gov.cn/fwzn/004003/20200325/b13aa3fa-a543-403f-b537-82cb417132bd.html</w:t>
            </w:r>
          </w:p>
          <w:p w14:paraId="5A726A0A">
            <w:pPr>
              <w:spacing w:line="360" w:lineRule="auto"/>
              <w:rPr>
                <w:rFonts w:hint="eastAsia" w:ascii="宋体" w:hAnsi="宋体" w:cs="宋体"/>
                <w:sz w:val="24"/>
                <w:szCs w:val="24"/>
              </w:rPr>
            </w:pPr>
            <w:r>
              <w:rPr>
                <w:rFonts w:hint="eastAsia" w:ascii="宋体" w:hAnsi="宋体" w:cs="宋体"/>
                <w:sz w:val="24"/>
                <w:szCs w:val="24"/>
              </w:rPr>
              <w:t>投标供应商需应仔细阅读操作手册，保证上传内容齐全，真实有效，原件扫描件清晰可辨。因投标供应商上传原因导致应得分项而未得分或资格审查不合格等情况的，由投标供应商自行承担责任。</w:t>
            </w:r>
          </w:p>
          <w:p w14:paraId="725AEFB3">
            <w:pPr>
              <w:keepLines/>
              <w:snapToGrid w:val="0"/>
              <w:spacing w:line="360" w:lineRule="auto"/>
              <w:rPr>
                <w:rFonts w:hint="eastAsia" w:ascii="宋体" w:hAnsi="宋体" w:cs="宋体"/>
                <w:sz w:val="24"/>
                <w:szCs w:val="24"/>
              </w:rPr>
            </w:pPr>
            <w:r>
              <w:rPr>
                <w:rFonts w:hint="eastAsia" w:ascii="宋体" w:hAnsi="宋体" w:cs="宋体"/>
                <w:b/>
                <w:sz w:val="24"/>
                <w:szCs w:val="24"/>
              </w:rPr>
              <w:t>提示：本项目为电子化、无纸化交易项目，为保证您能投标成功，请需仔细阅读以上条款。</w:t>
            </w:r>
          </w:p>
        </w:tc>
      </w:tr>
      <w:tr w14:paraId="35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DBDE25C">
            <w:pPr>
              <w:keepLines/>
              <w:spacing w:line="360" w:lineRule="auto"/>
              <w:ind w:firstLine="120" w:firstLineChars="50"/>
              <w:jc w:val="left"/>
              <w:rPr>
                <w:rFonts w:hint="eastAsia" w:ascii="宋体" w:hAnsi="宋体" w:cs="宋体"/>
                <w:kern w:val="0"/>
                <w:sz w:val="24"/>
                <w:szCs w:val="24"/>
              </w:rPr>
            </w:pPr>
            <w:bookmarkStart w:id="21" w:name="_Toc28251186"/>
            <w:bookmarkStart w:id="22" w:name="_Toc16690619"/>
            <w:bookmarkStart w:id="23" w:name="_Toc38013513"/>
            <w:r>
              <w:rPr>
                <w:rFonts w:hint="eastAsia" w:ascii="宋体" w:hAnsi="宋体" w:cs="宋体"/>
                <w:kern w:val="0"/>
                <w:sz w:val="24"/>
                <w:szCs w:val="24"/>
              </w:rPr>
              <w:t>4.5</w:t>
            </w:r>
          </w:p>
        </w:tc>
        <w:tc>
          <w:tcPr>
            <w:tcW w:w="1843" w:type="dxa"/>
            <w:tcBorders>
              <w:top w:val="single" w:color="auto" w:sz="4" w:space="0"/>
              <w:left w:val="nil"/>
              <w:bottom w:val="single" w:color="auto" w:sz="4" w:space="0"/>
              <w:right w:val="single" w:color="auto" w:sz="4" w:space="0"/>
            </w:tcBorders>
            <w:vAlign w:val="center"/>
          </w:tcPr>
          <w:p w14:paraId="18A1A3B7">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付款方式</w:t>
            </w:r>
          </w:p>
        </w:tc>
        <w:tc>
          <w:tcPr>
            <w:tcW w:w="6803" w:type="dxa"/>
            <w:tcBorders>
              <w:top w:val="single" w:color="auto" w:sz="4" w:space="0"/>
              <w:left w:val="nil"/>
              <w:bottom w:val="single" w:color="auto" w:sz="4" w:space="0"/>
              <w:right w:val="single" w:color="auto" w:sz="4" w:space="0"/>
            </w:tcBorders>
            <w:vAlign w:val="center"/>
          </w:tcPr>
          <w:p w14:paraId="0C12511E">
            <w:pPr>
              <w:spacing w:line="360" w:lineRule="auto"/>
              <w:rPr>
                <w:rFonts w:hint="eastAsia" w:ascii="宋体" w:hAnsi="宋体" w:cs="宋体"/>
                <w:sz w:val="24"/>
                <w:szCs w:val="24"/>
                <w:highlight w:val="none"/>
              </w:rPr>
            </w:pPr>
            <w:r>
              <w:rPr>
                <w:rFonts w:hint="eastAsia" w:ascii="宋体" w:hAnsi="宋体" w:cs="宋体"/>
                <w:sz w:val="24"/>
                <w:szCs w:val="24"/>
                <w:highlight w:val="none"/>
              </w:rPr>
              <w:t>合同签订后付合同价款的50%，每一合同年度末支付合同价款的20%;剩余10%合同价款在提交正式成果并通过验收后支付(最终付款方式以合同签订为准)。</w:t>
            </w:r>
          </w:p>
        </w:tc>
      </w:tr>
      <w:tr w14:paraId="428F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AC470C3">
            <w:pPr>
              <w:keepLines/>
              <w:spacing w:line="360" w:lineRule="auto"/>
              <w:ind w:firstLine="120" w:firstLineChars="50"/>
              <w:jc w:val="left"/>
              <w:rPr>
                <w:rFonts w:hint="eastAsia" w:ascii="宋体" w:hAnsi="宋体" w:cs="宋体"/>
                <w:kern w:val="0"/>
                <w:sz w:val="24"/>
                <w:szCs w:val="24"/>
              </w:rPr>
            </w:pPr>
            <w:r>
              <w:rPr>
                <w:rFonts w:hint="eastAsia" w:ascii="宋体" w:hAnsi="宋体" w:cs="宋体"/>
                <w:kern w:val="0"/>
                <w:sz w:val="24"/>
                <w:szCs w:val="24"/>
              </w:rPr>
              <w:t>4.6</w:t>
            </w:r>
          </w:p>
        </w:tc>
        <w:tc>
          <w:tcPr>
            <w:tcW w:w="1843" w:type="dxa"/>
            <w:tcBorders>
              <w:top w:val="single" w:color="auto" w:sz="4" w:space="0"/>
              <w:left w:val="nil"/>
              <w:bottom w:val="single" w:color="auto" w:sz="4" w:space="0"/>
              <w:right w:val="single" w:color="auto" w:sz="4" w:space="0"/>
            </w:tcBorders>
            <w:vAlign w:val="center"/>
          </w:tcPr>
          <w:p w14:paraId="0D26E693">
            <w:pPr>
              <w:spacing w:line="360" w:lineRule="auto"/>
              <w:jc w:val="center"/>
              <w:rPr>
                <w:rFonts w:hint="eastAsia" w:ascii="宋体" w:hAnsi="宋体" w:cs="宋体"/>
                <w:sz w:val="24"/>
                <w:szCs w:val="24"/>
              </w:rPr>
            </w:pPr>
            <w:r>
              <w:rPr>
                <w:rFonts w:hint="eastAsia" w:ascii="宋体" w:hAnsi="宋体" w:cs="宋体"/>
                <w:sz w:val="24"/>
                <w:szCs w:val="24"/>
              </w:rPr>
              <w:t>招标代理服务费</w:t>
            </w:r>
          </w:p>
        </w:tc>
        <w:tc>
          <w:tcPr>
            <w:tcW w:w="6803" w:type="dxa"/>
            <w:tcBorders>
              <w:top w:val="single" w:color="auto" w:sz="4" w:space="0"/>
              <w:left w:val="nil"/>
              <w:bottom w:val="single" w:color="auto" w:sz="4" w:space="0"/>
              <w:right w:val="single" w:color="auto" w:sz="4" w:space="0"/>
            </w:tcBorders>
            <w:vAlign w:val="center"/>
          </w:tcPr>
          <w:p w14:paraId="286840F0">
            <w:pPr>
              <w:spacing w:line="360" w:lineRule="auto"/>
              <w:rPr>
                <w:rFonts w:hint="eastAsia" w:ascii="宋体" w:hAnsi="宋体" w:cs="宋体"/>
                <w:sz w:val="24"/>
                <w:szCs w:val="24"/>
              </w:rPr>
            </w:pPr>
            <w:r>
              <w:rPr>
                <w:rFonts w:hint="eastAsia" w:ascii="宋体" w:hAnsi="宋体" w:cs="宋体"/>
                <w:sz w:val="24"/>
                <w:szCs w:val="24"/>
              </w:rPr>
              <w:t>本项目招标代理服务费按照河南省招标投标协会关于印发《河南省招标代理服务收费指导意见》的通知【豫招协（2023）002号】文件中招标代理服务收费标准。由中标人承担中标服务费。</w:t>
            </w:r>
          </w:p>
        </w:tc>
      </w:tr>
      <w:tr w14:paraId="0B02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93B0A20">
            <w:pPr>
              <w:keepLines/>
              <w:spacing w:line="360" w:lineRule="auto"/>
              <w:ind w:firstLine="120" w:firstLineChars="50"/>
              <w:jc w:val="left"/>
              <w:rPr>
                <w:rFonts w:hint="eastAsia" w:ascii="宋体" w:hAnsi="宋体" w:cs="宋体"/>
                <w:kern w:val="0"/>
                <w:sz w:val="24"/>
                <w:szCs w:val="24"/>
              </w:rPr>
            </w:pPr>
            <w:r>
              <w:rPr>
                <w:rFonts w:hint="eastAsia" w:ascii="宋体" w:hAnsi="宋体" w:cs="宋体"/>
                <w:kern w:val="0"/>
                <w:sz w:val="24"/>
                <w:szCs w:val="24"/>
              </w:rPr>
              <w:t>4.7</w:t>
            </w:r>
          </w:p>
        </w:tc>
        <w:tc>
          <w:tcPr>
            <w:tcW w:w="1843" w:type="dxa"/>
            <w:tcBorders>
              <w:top w:val="single" w:color="auto" w:sz="4" w:space="0"/>
              <w:left w:val="nil"/>
              <w:bottom w:val="single" w:color="auto" w:sz="4" w:space="0"/>
              <w:right w:val="single" w:color="auto" w:sz="4" w:space="0"/>
            </w:tcBorders>
            <w:vAlign w:val="center"/>
          </w:tcPr>
          <w:p w14:paraId="59003A80">
            <w:pPr>
              <w:spacing w:line="360" w:lineRule="auto"/>
              <w:jc w:val="center"/>
              <w:rPr>
                <w:rFonts w:hint="eastAsia" w:ascii="宋体" w:hAnsi="宋体" w:cs="宋体"/>
                <w:sz w:val="24"/>
                <w:szCs w:val="24"/>
              </w:rPr>
            </w:pPr>
            <w:r>
              <w:rPr>
                <w:rFonts w:hint="eastAsia" w:ascii="宋体" w:hAnsi="宋体" w:cs="宋体"/>
                <w:sz w:val="24"/>
                <w:szCs w:val="24"/>
              </w:rPr>
              <w:t>本项目对应的中小企业划分标准所属行业</w:t>
            </w:r>
          </w:p>
        </w:tc>
        <w:tc>
          <w:tcPr>
            <w:tcW w:w="6803" w:type="dxa"/>
            <w:tcBorders>
              <w:top w:val="single" w:color="auto" w:sz="4" w:space="0"/>
              <w:left w:val="nil"/>
              <w:bottom w:val="single" w:color="auto" w:sz="4" w:space="0"/>
              <w:right w:val="single" w:color="auto" w:sz="4" w:space="0"/>
            </w:tcBorders>
            <w:vAlign w:val="center"/>
          </w:tcPr>
          <w:p w14:paraId="78D12846">
            <w:pPr>
              <w:spacing w:line="360" w:lineRule="auto"/>
              <w:rPr>
                <w:rFonts w:hint="eastAsia" w:ascii="宋体" w:hAnsi="宋体" w:cs="宋体"/>
                <w:sz w:val="24"/>
                <w:szCs w:val="24"/>
              </w:rPr>
            </w:pPr>
            <w:r>
              <w:rPr>
                <w:rFonts w:hint="eastAsia" w:ascii="宋体" w:hAnsi="宋体" w:cs="宋体"/>
                <w:sz w:val="24"/>
                <w:szCs w:val="24"/>
              </w:rPr>
              <w:t>其他未列明行业</w:t>
            </w:r>
          </w:p>
        </w:tc>
      </w:tr>
    </w:tbl>
    <w:p w14:paraId="0B8665D9">
      <w:pPr>
        <w:rPr>
          <w:rFonts w:hint="eastAsia" w:ascii="宋体" w:hAnsi="宋体" w:cs="宋体"/>
        </w:rPr>
      </w:pPr>
    </w:p>
    <w:bookmarkEnd w:id="21"/>
    <w:bookmarkEnd w:id="22"/>
    <w:bookmarkEnd w:id="23"/>
    <w:p w14:paraId="3DFDFD04">
      <w:pPr>
        <w:rPr>
          <w:rFonts w:hint="eastAsia" w:ascii="宋体" w:hAnsi="宋体" w:cs="宋体"/>
          <w:sz w:val="24"/>
          <w:szCs w:val="24"/>
        </w:rPr>
      </w:pPr>
      <w:bookmarkStart w:id="24" w:name="_Toc38013514"/>
      <w:bookmarkStart w:id="25" w:name="_Toc28251187"/>
      <w:r>
        <w:rPr>
          <w:rFonts w:hint="eastAsia" w:ascii="宋体" w:hAnsi="宋体" w:cs="宋体"/>
          <w:sz w:val="24"/>
          <w:szCs w:val="24"/>
        </w:rPr>
        <w:br w:type="page"/>
      </w:r>
    </w:p>
    <w:p w14:paraId="53E04B5C">
      <w:pPr>
        <w:pStyle w:val="28"/>
        <w:spacing w:line="360" w:lineRule="auto"/>
        <w:rPr>
          <w:rFonts w:hint="eastAsia" w:ascii="宋体" w:hAnsi="宋体" w:cs="宋体"/>
          <w:sz w:val="24"/>
          <w:szCs w:val="24"/>
        </w:rPr>
      </w:pPr>
      <w:r>
        <w:rPr>
          <w:rFonts w:hint="eastAsia" w:ascii="宋体" w:hAnsi="宋体" w:cs="宋体"/>
          <w:sz w:val="24"/>
          <w:szCs w:val="24"/>
        </w:rPr>
        <w:t>一、总则</w:t>
      </w:r>
    </w:p>
    <w:bookmarkEnd w:id="24"/>
    <w:bookmarkEnd w:id="25"/>
    <w:p w14:paraId="5EB7D825">
      <w:pPr>
        <w:shd w:val="clear" w:color="auto" w:fill="FFFFFF"/>
        <w:snapToGrid w:val="0"/>
        <w:spacing w:line="360" w:lineRule="auto"/>
        <w:ind w:right="105" w:rightChars="50" w:firstLine="482" w:firstLineChars="200"/>
        <w:rPr>
          <w:rFonts w:hint="eastAsia" w:ascii="宋体" w:hAnsi="宋体" w:cs="宋体"/>
          <w:sz w:val="24"/>
          <w:szCs w:val="24"/>
        </w:rPr>
      </w:pPr>
      <w:bookmarkStart w:id="26" w:name="_Toc466566784"/>
      <w:bookmarkEnd w:id="26"/>
      <w:bookmarkStart w:id="27" w:name="_Toc5478"/>
      <w:bookmarkStart w:id="28" w:name="_Toc270604617"/>
      <w:bookmarkStart w:id="29" w:name="_Toc254788523"/>
      <w:bookmarkStart w:id="30" w:name="_Toc256519755"/>
      <w:bookmarkStart w:id="31" w:name="_Toc271556721"/>
      <w:r>
        <w:rPr>
          <w:rFonts w:hint="eastAsia" w:ascii="宋体" w:hAnsi="宋体" w:cs="宋体"/>
          <w:b/>
          <w:bCs/>
          <w:sz w:val="24"/>
          <w:szCs w:val="24"/>
        </w:rPr>
        <w:t>1、</w:t>
      </w:r>
      <w:r>
        <w:rPr>
          <w:rFonts w:hint="eastAsia" w:ascii="宋体" w:hAnsi="宋体" w:cs="宋体"/>
          <w:sz w:val="24"/>
          <w:szCs w:val="24"/>
        </w:rPr>
        <w:t>项目概况</w:t>
      </w:r>
    </w:p>
    <w:p w14:paraId="4DEBE778">
      <w:pPr>
        <w:spacing w:line="360" w:lineRule="auto"/>
        <w:ind w:firstLine="480" w:firstLineChars="200"/>
        <w:rPr>
          <w:rFonts w:hint="eastAsia" w:ascii="宋体" w:hAnsi="宋体" w:cs="宋体"/>
          <w:sz w:val="24"/>
          <w:szCs w:val="24"/>
        </w:rPr>
      </w:pPr>
      <w:r>
        <w:rPr>
          <w:rFonts w:hint="eastAsia" w:ascii="宋体" w:hAnsi="宋体" w:cs="宋体"/>
          <w:sz w:val="24"/>
          <w:szCs w:val="24"/>
        </w:rPr>
        <w:t>1.1采购范围：</w:t>
      </w:r>
      <w:r>
        <w:rPr>
          <w:rFonts w:hint="eastAsia" w:ascii="宋体" w:hAnsi="宋体" w:cs="宋体"/>
          <w:kern w:val="0"/>
          <w:sz w:val="24"/>
          <w:szCs w:val="24"/>
        </w:rPr>
        <w:t>本项目为三门峡市自然资源和规划局实景三维三门峡建设项目。项目主要内容为包括城市级实景三维、物联感知数据接入与融合、在线系统与支撑环境建设、示范应用。其中包1：</w:t>
      </w:r>
      <w:r>
        <w:rPr>
          <w:rFonts w:hint="eastAsia" w:ascii="宋体" w:hAnsi="宋体" w:cs="宋体"/>
          <w:sz w:val="24"/>
          <w:szCs w:val="24"/>
        </w:rPr>
        <w:t>城市级实景三维、数据融合、支撑环境建设</w:t>
      </w:r>
      <w:r>
        <w:rPr>
          <w:rFonts w:hint="eastAsia" w:ascii="宋体" w:hAnsi="宋体" w:cs="宋体"/>
          <w:kern w:val="0"/>
          <w:sz w:val="24"/>
          <w:szCs w:val="24"/>
        </w:rPr>
        <w:t>；包2：</w:t>
      </w:r>
      <w:r>
        <w:rPr>
          <w:rFonts w:hint="eastAsia" w:ascii="宋体" w:hAnsi="宋体" w:cs="宋体"/>
          <w:sz w:val="24"/>
          <w:szCs w:val="24"/>
        </w:rPr>
        <w:t>实景三维平台、示范应用建设</w:t>
      </w:r>
      <w:r>
        <w:rPr>
          <w:rFonts w:hint="eastAsia" w:ascii="宋体" w:hAnsi="宋体" w:cs="宋体"/>
          <w:kern w:val="0"/>
          <w:sz w:val="24"/>
          <w:szCs w:val="24"/>
        </w:rPr>
        <w:t>；包3：</w:t>
      </w:r>
      <w:r>
        <w:rPr>
          <w:rFonts w:hint="eastAsia" w:ascii="宋体" w:hAnsi="宋体" w:cs="宋体"/>
          <w:sz w:val="24"/>
          <w:szCs w:val="24"/>
        </w:rPr>
        <w:t>实景三维三门峡建设监理</w:t>
      </w:r>
      <w:r>
        <w:rPr>
          <w:rFonts w:hint="eastAsia" w:ascii="宋体" w:hAnsi="宋体" w:cs="宋体"/>
          <w:kern w:val="0"/>
          <w:sz w:val="24"/>
          <w:szCs w:val="24"/>
        </w:rPr>
        <w:t>。</w:t>
      </w:r>
    </w:p>
    <w:p w14:paraId="6E1BD33D">
      <w:pPr>
        <w:spacing w:line="360" w:lineRule="auto"/>
        <w:ind w:firstLine="480" w:firstLineChars="200"/>
        <w:rPr>
          <w:rFonts w:hint="eastAsia" w:ascii="宋体" w:hAnsi="宋体" w:cs="宋体"/>
          <w:sz w:val="24"/>
        </w:rPr>
      </w:pPr>
      <w:r>
        <w:rPr>
          <w:rFonts w:hint="eastAsia" w:ascii="宋体" w:hAnsi="宋体" w:cs="宋体"/>
          <w:sz w:val="24"/>
        </w:rPr>
        <w:t>1.2资金来源：财政资金，已落实。</w:t>
      </w:r>
    </w:p>
    <w:p w14:paraId="3C83B389">
      <w:pPr>
        <w:spacing w:line="360" w:lineRule="auto"/>
        <w:ind w:firstLine="480" w:firstLineChars="200"/>
        <w:rPr>
          <w:rFonts w:hint="eastAsia" w:ascii="宋体" w:hAnsi="宋体" w:cs="宋体"/>
          <w:sz w:val="24"/>
        </w:rPr>
      </w:pPr>
      <w:r>
        <w:rPr>
          <w:rFonts w:hint="eastAsia" w:ascii="宋体" w:hAnsi="宋体" w:cs="宋体"/>
          <w:sz w:val="24"/>
        </w:rPr>
        <w:t>1.3质量要求：</w:t>
      </w:r>
      <w:r>
        <w:rPr>
          <w:rFonts w:hint="eastAsia" w:ascii="宋体" w:hAnsi="宋体" w:cs="宋体"/>
          <w:sz w:val="24"/>
          <w:szCs w:val="24"/>
        </w:rPr>
        <w:t>合格，符合国家及行业标准，并满足采购人要求。</w:t>
      </w:r>
    </w:p>
    <w:p w14:paraId="238B69A9">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2、投标费用</w:t>
      </w:r>
    </w:p>
    <w:p w14:paraId="36613889">
      <w:pPr>
        <w:shd w:val="clear" w:color="auto" w:fill="FFFFFF"/>
        <w:snapToGrid w:val="0"/>
        <w:spacing w:line="360" w:lineRule="auto"/>
        <w:ind w:right="105" w:rightChars="50" w:firstLine="361" w:firstLineChars="150"/>
        <w:rPr>
          <w:rFonts w:hint="eastAsia" w:ascii="宋体" w:hAnsi="宋体" w:cs="宋体"/>
          <w:color w:val="000000"/>
          <w:sz w:val="24"/>
          <w:szCs w:val="24"/>
        </w:rPr>
      </w:pPr>
      <w:r>
        <w:rPr>
          <w:rFonts w:hint="eastAsia" w:ascii="宋体" w:hAnsi="宋体" w:cs="宋体"/>
          <w:b/>
          <w:bCs/>
          <w:color w:val="000000"/>
          <w:sz w:val="24"/>
          <w:szCs w:val="24"/>
        </w:rPr>
        <w:t xml:space="preserve"> 2.1</w:t>
      </w:r>
      <w:r>
        <w:rPr>
          <w:rFonts w:hint="eastAsia" w:ascii="宋体" w:hAnsi="宋体" w:cs="宋体"/>
          <w:color w:val="000000"/>
          <w:sz w:val="24"/>
          <w:szCs w:val="24"/>
        </w:rPr>
        <w:t>投标供应商承担其投标文件编制与递交所涉及的一切费用。在任何情况下采购人和招标代理机构对上述费用均不承担任何责任。</w:t>
      </w:r>
    </w:p>
    <w:p w14:paraId="4AC2A5D4">
      <w:pPr>
        <w:shd w:val="clear" w:color="auto" w:fill="FFFFFF"/>
        <w:snapToGrid w:val="0"/>
        <w:spacing w:line="360" w:lineRule="auto"/>
        <w:ind w:right="105" w:rightChars="50" w:firstLine="118" w:firstLineChars="49"/>
        <w:rPr>
          <w:rFonts w:hint="eastAsia" w:ascii="宋体" w:hAnsi="宋体" w:cs="宋体"/>
          <w:color w:val="000000"/>
          <w:sz w:val="24"/>
          <w:szCs w:val="24"/>
        </w:rPr>
      </w:pPr>
      <w:r>
        <w:rPr>
          <w:rFonts w:hint="eastAsia" w:ascii="宋体" w:hAnsi="宋体" w:cs="宋体"/>
          <w:b/>
          <w:bCs/>
          <w:color w:val="000000"/>
          <w:sz w:val="24"/>
          <w:szCs w:val="24"/>
        </w:rPr>
        <w:t xml:space="preserve">   3、定义及解释</w:t>
      </w:r>
    </w:p>
    <w:p w14:paraId="2860897D">
      <w:pPr>
        <w:spacing w:line="360" w:lineRule="auto"/>
        <w:ind w:right="105" w:rightChars="50"/>
        <w:rPr>
          <w:rFonts w:hint="eastAsia" w:ascii="宋体" w:hAnsi="宋体" w:cs="宋体"/>
          <w:b/>
          <w:bCs/>
          <w:sz w:val="24"/>
          <w:szCs w:val="24"/>
        </w:rPr>
      </w:pPr>
      <w:r>
        <w:rPr>
          <w:rFonts w:hint="eastAsia" w:ascii="宋体" w:hAnsi="宋体" w:cs="宋体"/>
          <w:b/>
          <w:bCs/>
          <w:sz w:val="24"/>
          <w:szCs w:val="24"/>
        </w:rPr>
        <w:t xml:space="preserve">    3.1</w:t>
      </w:r>
      <w:r>
        <w:rPr>
          <w:rFonts w:hint="eastAsia" w:ascii="宋体" w:hAnsi="宋体" w:cs="宋体"/>
          <w:sz w:val="24"/>
          <w:szCs w:val="24"/>
        </w:rPr>
        <w:t>货物：系指投标供应商按招标文件规定而提供的设备、工具、备品备件、手册及其他有关技术资料和材料。</w:t>
      </w:r>
    </w:p>
    <w:p w14:paraId="1A87413A">
      <w:pPr>
        <w:spacing w:line="360" w:lineRule="auto"/>
        <w:ind w:right="105" w:rightChars="50" w:firstLine="477" w:firstLineChars="198"/>
        <w:rPr>
          <w:rFonts w:hint="eastAsia" w:ascii="宋体" w:hAnsi="宋体" w:cs="宋体"/>
          <w:b/>
          <w:bCs/>
          <w:sz w:val="24"/>
          <w:szCs w:val="24"/>
        </w:rPr>
      </w:pPr>
      <w:r>
        <w:rPr>
          <w:rFonts w:hint="eastAsia" w:ascii="宋体" w:hAnsi="宋体" w:cs="宋体"/>
          <w:b/>
          <w:bCs/>
          <w:sz w:val="24"/>
          <w:szCs w:val="24"/>
        </w:rPr>
        <w:t>3.2</w:t>
      </w:r>
      <w:r>
        <w:rPr>
          <w:rFonts w:hint="eastAsia" w:ascii="宋体" w:hAnsi="宋体" w:cs="宋体"/>
          <w:sz w:val="24"/>
          <w:szCs w:val="24"/>
        </w:rPr>
        <w:t>服务：系指投标供应商提供的安装、调试、验收、培训、质保期服务、与货物有关的运输和保险及其他伴随服务。</w:t>
      </w:r>
    </w:p>
    <w:p w14:paraId="51DE061E">
      <w:pPr>
        <w:spacing w:line="360" w:lineRule="auto"/>
        <w:ind w:right="105" w:rightChars="50" w:firstLine="352" w:firstLineChars="146"/>
        <w:rPr>
          <w:rFonts w:hint="eastAsia" w:ascii="宋体" w:hAnsi="宋体" w:cs="宋体"/>
          <w:sz w:val="24"/>
          <w:szCs w:val="24"/>
        </w:rPr>
      </w:pPr>
      <w:r>
        <w:rPr>
          <w:rFonts w:hint="eastAsia" w:ascii="宋体" w:hAnsi="宋体" w:cs="宋体"/>
          <w:b/>
          <w:bCs/>
          <w:sz w:val="24"/>
          <w:szCs w:val="24"/>
        </w:rPr>
        <w:t xml:space="preserve"> 3.3</w:t>
      </w:r>
      <w:r>
        <w:rPr>
          <w:rFonts w:hint="eastAsia" w:ascii="宋体" w:hAnsi="宋体" w:cs="宋体"/>
          <w:sz w:val="24"/>
          <w:szCs w:val="24"/>
        </w:rPr>
        <w:t>采购人：三门峡市自然资源和规划局</w:t>
      </w:r>
    </w:p>
    <w:p w14:paraId="4D9D81A4">
      <w:pPr>
        <w:spacing w:line="360" w:lineRule="auto"/>
        <w:ind w:right="105" w:rightChars="50" w:firstLine="352" w:firstLineChars="146"/>
        <w:rPr>
          <w:rFonts w:hint="eastAsia" w:ascii="宋体" w:hAnsi="宋体" w:cs="宋体"/>
          <w:sz w:val="24"/>
          <w:szCs w:val="24"/>
        </w:rPr>
      </w:pPr>
      <w:r>
        <w:rPr>
          <w:rFonts w:hint="eastAsia" w:ascii="宋体" w:hAnsi="宋体" w:cs="宋体"/>
          <w:b/>
          <w:bCs/>
          <w:sz w:val="24"/>
          <w:szCs w:val="24"/>
        </w:rPr>
        <w:t xml:space="preserve"> 3.4</w:t>
      </w:r>
      <w:r>
        <w:rPr>
          <w:rFonts w:hint="eastAsia" w:ascii="宋体" w:hAnsi="宋体" w:cs="宋体"/>
          <w:sz w:val="24"/>
          <w:szCs w:val="24"/>
        </w:rPr>
        <w:t>投标供应商：是指响应招标、参加投标竞争的法人或者其他组织。</w:t>
      </w:r>
    </w:p>
    <w:p w14:paraId="2E835B21">
      <w:pPr>
        <w:spacing w:line="360" w:lineRule="auto"/>
        <w:ind w:right="105" w:rightChars="50" w:firstLine="236" w:firstLineChars="98"/>
        <w:rPr>
          <w:rFonts w:hint="eastAsia" w:ascii="宋体" w:hAnsi="宋体" w:cs="宋体"/>
          <w:b/>
          <w:bCs/>
          <w:sz w:val="24"/>
          <w:szCs w:val="24"/>
        </w:rPr>
      </w:pPr>
      <w:r>
        <w:rPr>
          <w:rFonts w:hint="eastAsia" w:ascii="宋体" w:hAnsi="宋体" w:cs="宋体"/>
          <w:b/>
          <w:bCs/>
          <w:sz w:val="24"/>
          <w:szCs w:val="24"/>
        </w:rPr>
        <w:t xml:space="preserve">  3.5</w:t>
      </w:r>
      <w:r>
        <w:rPr>
          <w:rFonts w:hint="eastAsia" w:ascii="宋体" w:hAnsi="宋体" w:cs="宋体"/>
          <w:sz w:val="24"/>
          <w:szCs w:val="24"/>
        </w:rPr>
        <w:t>采购代理机构：河南中广汇通项目管理有限公司</w:t>
      </w:r>
    </w:p>
    <w:p w14:paraId="004BBFB5">
      <w:pPr>
        <w:spacing w:line="360" w:lineRule="auto"/>
        <w:ind w:right="105" w:rightChars="50" w:firstLine="482" w:firstLineChars="200"/>
        <w:rPr>
          <w:rFonts w:hint="eastAsia" w:ascii="宋体" w:hAnsi="宋体" w:cs="宋体"/>
          <w:b/>
          <w:bCs/>
          <w:sz w:val="24"/>
          <w:szCs w:val="24"/>
        </w:rPr>
      </w:pPr>
      <w:r>
        <w:rPr>
          <w:rFonts w:hint="eastAsia" w:ascii="宋体" w:hAnsi="宋体" w:cs="宋体"/>
          <w:b/>
          <w:bCs/>
          <w:sz w:val="24"/>
          <w:szCs w:val="24"/>
        </w:rPr>
        <w:t>3.6</w:t>
      </w:r>
      <w:r>
        <w:rPr>
          <w:rFonts w:hint="eastAsia" w:ascii="宋体" w:hAnsi="宋体" w:cs="宋体"/>
          <w:sz w:val="24"/>
          <w:szCs w:val="24"/>
        </w:rPr>
        <w:t>评标委员会：是指按照《中华人民共和国政府采购法》和《评标委员会和评标方法暂行规定》的规定组建的专门负责本次招标的评标工作的临时机构。</w:t>
      </w:r>
    </w:p>
    <w:p w14:paraId="75063780">
      <w:pPr>
        <w:spacing w:line="360" w:lineRule="auto"/>
        <w:ind w:right="105" w:rightChars="50"/>
        <w:rPr>
          <w:rFonts w:hint="eastAsia" w:ascii="宋体" w:hAnsi="宋体" w:cs="宋体"/>
          <w:sz w:val="24"/>
          <w:szCs w:val="24"/>
        </w:rPr>
      </w:pPr>
      <w:r>
        <w:rPr>
          <w:rFonts w:hint="eastAsia" w:ascii="宋体" w:hAnsi="宋体" w:cs="宋体"/>
          <w:b/>
          <w:bCs/>
          <w:sz w:val="24"/>
          <w:szCs w:val="24"/>
        </w:rPr>
        <w:t xml:space="preserve">    3.7</w:t>
      </w:r>
      <w:r>
        <w:rPr>
          <w:rFonts w:hint="eastAsia" w:ascii="宋体" w:hAnsi="宋体" w:cs="宋体"/>
          <w:sz w:val="24"/>
          <w:szCs w:val="24"/>
        </w:rPr>
        <w:t>日期、天数、时间：无特别说明时是指公历日及北京时间。</w:t>
      </w:r>
    </w:p>
    <w:p w14:paraId="0A8C24E9">
      <w:pPr>
        <w:spacing w:line="360" w:lineRule="auto"/>
        <w:ind w:right="105" w:rightChars="50" w:firstLine="118" w:firstLineChars="49"/>
        <w:rPr>
          <w:rFonts w:hint="eastAsia" w:ascii="宋体" w:hAnsi="宋体" w:cs="宋体"/>
          <w:b/>
          <w:bCs/>
          <w:sz w:val="24"/>
          <w:szCs w:val="24"/>
        </w:rPr>
      </w:pPr>
      <w:r>
        <w:rPr>
          <w:rFonts w:hint="eastAsia" w:ascii="宋体" w:hAnsi="宋体" w:cs="宋体"/>
          <w:b/>
          <w:bCs/>
          <w:sz w:val="24"/>
          <w:szCs w:val="24"/>
        </w:rPr>
        <w:t xml:space="preserve">   3.8</w:t>
      </w:r>
      <w:r>
        <w:rPr>
          <w:rFonts w:hint="eastAsia" w:ascii="宋体" w:hAnsi="宋体" w:cs="宋体"/>
          <w:sz w:val="24"/>
          <w:szCs w:val="24"/>
        </w:rPr>
        <w:t>招标文件中所规定的“书面形式”，是指任何手写的、打印或印刷的通讯，不包括传真发送。</w:t>
      </w:r>
    </w:p>
    <w:p w14:paraId="3D70C6CD">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4、合格的投标供应商</w:t>
      </w:r>
    </w:p>
    <w:p w14:paraId="2A877D3E">
      <w:pPr>
        <w:pStyle w:val="20"/>
        <w:ind w:left="420" w:leftChars="200" w:firstLine="0" w:firstLineChars="0"/>
        <w:rPr>
          <w:rFonts w:hint="eastAsia" w:ascii="宋体" w:hAnsi="宋体" w:eastAsia="宋体" w:cs="宋体"/>
          <w:lang w:eastAsia="zh-CN"/>
        </w:rPr>
      </w:pPr>
      <w:r>
        <w:rPr>
          <w:rFonts w:hint="eastAsia" w:ascii="宋体" w:hAnsi="宋体" w:eastAsia="宋体" w:cs="宋体"/>
          <w:lang w:eastAsia="zh-CN"/>
        </w:rPr>
        <w:t>详见供应商须知前附表规定</w:t>
      </w:r>
    </w:p>
    <w:p w14:paraId="2ADC740A">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hint="eastAsia" w:ascii="宋体" w:hAnsi="宋体" w:cs="宋体"/>
          <w:b/>
          <w:bCs/>
          <w:color w:val="000000"/>
          <w:sz w:val="24"/>
          <w:szCs w:val="24"/>
        </w:rPr>
        <w:t>5、保证</w:t>
      </w:r>
    </w:p>
    <w:p w14:paraId="665C662B">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5.1</w:t>
      </w:r>
      <w:r>
        <w:rPr>
          <w:rFonts w:hint="eastAsia" w:ascii="宋体" w:hAnsi="宋体" w:cs="宋体"/>
          <w:color w:val="000000"/>
          <w:sz w:val="24"/>
          <w:szCs w:val="24"/>
        </w:rPr>
        <w:t>投标供应商应保证在投标文件中所提交的资料和数据是真实的。</w:t>
      </w:r>
    </w:p>
    <w:p w14:paraId="01C864DA">
      <w:pPr>
        <w:pStyle w:val="28"/>
        <w:spacing w:line="360" w:lineRule="auto"/>
        <w:rPr>
          <w:rFonts w:hint="eastAsia" w:ascii="宋体" w:hAnsi="宋体" w:cs="宋体"/>
          <w:sz w:val="24"/>
          <w:szCs w:val="24"/>
        </w:rPr>
      </w:pPr>
      <w:r>
        <w:rPr>
          <w:rFonts w:hint="eastAsia" w:ascii="宋体" w:hAnsi="宋体" w:cs="宋体"/>
          <w:sz w:val="24"/>
          <w:szCs w:val="24"/>
        </w:rPr>
        <w:t>二、招标文件</w:t>
      </w:r>
    </w:p>
    <w:p w14:paraId="7FD1C1E1">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6、招标文件的组成</w:t>
      </w:r>
    </w:p>
    <w:p w14:paraId="2D07C7E8">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6.1</w:t>
      </w:r>
      <w:r>
        <w:rPr>
          <w:rFonts w:hint="eastAsia" w:ascii="宋体" w:hAnsi="宋体" w:cs="宋体"/>
          <w:color w:val="000000"/>
          <w:sz w:val="24"/>
          <w:szCs w:val="24"/>
        </w:rPr>
        <w:t>招标文件包括下列内容及按投标供应商须知第7条款内容发出的答疑文件和第8条款内容发出的补充文件。</w:t>
      </w:r>
    </w:p>
    <w:p w14:paraId="1E8CE0BB">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第一章 招标公告</w:t>
      </w:r>
    </w:p>
    <w:p w14:paraId="1D962A6C">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第二章 供应商须知</w:t>
      </w:r>
    </w:p>
    <w:p w14:paraId="2C37EA7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第三章 评标办法</w:t>
      </w:r>
    </w:p>
    <w:p w14:paraId="782BE0AD">
      <w:pPr>
        <w:shd w:val="clear" w:color="auto" w:fill="FFFFFF"/>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第四章 合同条款及格式</w:t>
      </w:r>
    </w:p>
    <w:p w14:paraId="7D09CF7E">
      <w:pPr>
        <w:shd w:val="clear" w:color="auto" w:fill="FFFFFF"/>
        <w:snapToGrid w:val="0"/>
        <w:spacing w:line="360" w:lineRule="auto"/>
        <w:ind w:firstLine="480" w:firstLineChars="200"/>
        <w:rPr>
          <w:rFonts w:hint="eastAsia" w:ascii="宋体" w:hAnsi="宋体" w:cs="宋体"/>
          <w:color w:val="000000"/>
          <w:sz w:val="24"/>
          <w:szCs w:val="24"/>
        </w:rPr>
      </w:pPr>
      <w:r>
        <w:rPr>
          <w:rStyle w:val="23"/>
          <w:rFonts w:hint="eastAsia"/>
          <w:color w:val="000000"/>
          <w:sz w:val="24"/>
          <w:szCs w:val="24"/>
        </w:rPr>
        <w:t>第五章</w:t>
      </w:r>
      <w:r>
        <w:rPr>
          <w:rFonts w:hint="eastAsia"/>
          <w:color w:val="000000"/>
          <w:sz w:val="24"/>
          <w:szCs w:val="24"/>
        </w:rPr>
        <w:t xml:space="preserve"> </w:t>
      </w:r>
      <w:r>
        <w:rPr>
          <w:rStyle w:val="23"/>
          <w:rFonts w:hint="eastAsia"/>
          <w:color w:val="000000"/>
          <w:sz w:val="24"/>
          <w:szCs w:val="24"/>
        </w:rPr>
        <w:t>采购内容及要求</w:t>
      </w:r>
    </w:p>
    <w:p w14:paraId="4657452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第六章 投标文件格式</w:t>
      </w:r>
    </w:p>
    <w:p w14:paraId="1D05EB20">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6.2</w:t>
      </w:r>
      <w:r>
        <w:rPr>
          <w:rFonts w:hint="eastAsia" w:ascii="宋体" w:hAnsi="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0719F64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7、招标文件的澄清</w:t>
      </w:r>
    </w:p>
    <w:p w14:paraId="0A0AD359">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7.1投标人应仔细阅读和检查招标文件的全部内容。如发现缺页或附件不全，应及时向采购人提出，以便补齐。如有疑问，应在投标截止时间10日前登录三门峡市公共资源交易中心网（http://gzjy.smx.gov.cn），在网上向采购人提出澄清要求，要求采购人对招标文件予以澄清。</w:t>
      </w:r>
    </w:p>
    <w:p w14:paraId="5C5ABBF8">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7.2采购人的澄清将在投标截止时间15日前，在三门峡市公共资源交易中心网（http://gzjy.smx.gov.cn）以答疑澄清形式通知所有下载招标文件的投标人，但不指明澄清问题的来源。</w:t>
      </w:r>
    </w:p>
    <w:p w14:paraId="1FEA139B">
      <w:pPr>
        <w:autoSpaceDE w:val="0"/>
        <w:autoSpaceDN w:val="0"/>
        <w:adjustRightInd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kern w:val="0"/>
          <w:sz w:val="24"/>
          <w:szCs w:val="24"/>
        </w:rPr>
        <w:t>7.3投标人应注意及时浏览网上发布的澄清和修改通知并下载，因投标人原因未及时获知澄清、修改内容而导致的任何后果，概由投标人自己承担。</w:t>
      </w:r>
    </w:p>
    <w:p w14:paraId="71FED41B">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8、招标文件的修正</w:t>
      </w:r>
    </w:p>
    <w:p w14:paraId="581C15DB">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8.1在投标截止时间15日前，采购人可以在三门峡市公共资源交易中心网以网上答疑形式修改招标文件，并以网上公告形式通知所有已下载招标文件的投标人。如果修改招标文件的时间距投标截止时间不足15天，相应延长投标截止时间。</w:t>
      </w:r>
    </w:p>
    <w:p w14:paraId="487F4AC0">
      <w:pPr>
        <w:autoSpaceDE w:val="0"/>
        <w:autoSpaceDN w:val="0"/>
        <w:adjustRightIn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8.2招标文件的澄清、修改、补充等内容均以采购人答疑形式明确的内容为准。当招标文件的澄清、修改、补充等在同一内容的表述上不一致时，以最后发出的答疑为准。</w:t>
      </w:r>
    </w:p>
    <w:p w14:paraId="56637992">
      <w:pPr>
        <w:pStyle w:val="28"/>
        <w:spacing w:line="360" w:lineRule="auto"/>
        <w:rPr>
          <w:rFonts w:hint="eastAsia" w:ascii="宋体" w:hAnsi="宋体" w:cs="宋体"/>
          <w:sz w:val="24"/>
          <w:szCs w:val="24"/>
        </w:rPr>
      </w:pPr>
      <w:r>
        <w:rPr>
          <w:rFonts w:hint="eastAsia" w:ascii="宋体" w:hAnsi="宋体" w:cs="宋体"/>
          <w:sz w:val="24"/>
          <w:szCs w:val="24"/>
        </w:rPr>
        <w:t>三、投标文件的编制</w:t>
      </w:r>
    </w:p>
    <w:p w14:paraId="413BBD5E">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9、特别说明</w:t>
      </w:r>
    </w:p>
    <w:p w14:paraId="2BDC8522">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9.1</w:t>
      </w:r>
      <w:r>
        <w:rPr>
          <w:rFonts w:hint="eastAsia" w:ascii="宋体" w:hAnsi="宋体" w:cs="宋体"/>
          <w:color w:val="000000"/>
          <w:sz w:val="24"/>
          <w:szCs w:val="24"/>
        </w:rPr>
        <w:t>投标语言</w:t>
      </w:r>
    </w:p>
    <w:p w14:paraId="45EC35DA">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11DAD77F">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9.2</w:t>
      </w:r>
      <w:r>
        <w:rPr>
          <w:rFonts w:hint="eastAsia" w:ascii="宋体" w:hAnsi="宋体" w:cs="宋体"/>
          <w:color w:val="000000"/>
          <w:sz w:val="24"/>
          <w:szCs w:val="24"/>
        </w:rPr>
        <w:t>计量</w:t>
      </w:r>
    </w:p>
    <w:p w14:paraId="1389DAD0">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在投标文件所有计量单位均采用中华人民共和国法定计量单位。</w:t>
      </w:r>
    </w:p>
    <w:p w14:paraId="2A9C0F77">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9.3</w:t>
      </w:r>
      <w:r>
        <w:rPr>
          <w:rFonts w:hint="eastAsia" w:ascii="宋体" w:hAnsi="宋体" w:cs="宋体"/>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400A2105">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9.4</w:t>
      </w:r>
      <w:r>
        <w:rPr>
          <w:rFonts w:hint="eastAsia" w:ascii="宋体" w:hAnsi="宋体" w:cs="宋体"/>
          <w:color w:val="000000"/>
          <w:sz w:val="24"/>
          <w:szCs w:val="24"/>
        </w:rPr>
        <w:t>投标供应商应当按照招标文件和电子招标投标交易平台的要求编制并加密投标文件。投标供应商未按规定加密的投标文件，电子招标投标交易平台将拒收并提示。</w:t>
      </w:r>
    </w:p>
    <w:p w14:paraId="5FA1A005">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9.5温馨提示：本项目为电子化、无纸化交易项目，开标时不接受任何纸质资料，为保证您能投标成功，请需仔细阅读投标供应商须知前附表第4.6条。</w:t>
      </w:r>
    </w:p>
    <w:p w14:paraId="5684CC89">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10、投标货物和服务的报价</w:t>
      </w:r>
    </w:p>
    <w:p w14:paraId="3FA7931D">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 投标报价中应包含以下内容。</w:t>
      </w:r>
    </w:p>
    <w:p w14:paraId="1AC3963B">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10.1.1 投标供应商的投标报价应包含验收合格正式交付使用前所发生的一切费用，且投标供应商只能提出一个不变价格，采购人不接受任何选择报价。</w:t>
      </w:r>
    </w:p>
    <w:p w14:paraId="5C670EFA">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10.1.2 该项目类别及取费标准按照国家相关规定执行。</w:t>
      </w:r>
    </w:p>
    <w:p w14:paraId="78B679D6">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10.1.3 电子化投标文件的投标报价，应是完成本文件所列招标范围的全部内容。</w:t>
      </w:r>
    </w:p>
    <w:p w14:paraId="0B6D11F6">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10.1.4 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7256D0B9">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10.1.5 全部报价均应以人民币为计量币种，并以人民币进行结算。</w:t>
      </w:r>
    </w:p>
    <w:p w14:paraId="0792388E">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10.1.6 采购人对投标供应商提供的货物有权利到生产厂家进行考察和交货前验货，投标供应商应提供便利条件。</w:t>
      </w:r>
    </w:p>
    <w:p w14:paraId="0F905011">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11、投标保证金</w:t>
      </w:r>
    </w:p>
    <w:p w14:paraId="2E5C63A9">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w:t>
      </w:r>
    </w:p>
    <w:p w14:paraId="296808D0">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12、投标有效期</w:t>
      </w:r>
    </w:p>
    <w:p w14:paraId="1726D2C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12.1</w:t>
      </w:r>
      <w:r>
        <w:rPr>
          <w:rFonts w:hint="eastAsia" w:ascii="宋体" w:hAnsi="宋体" w:cs="宋体"/>
          <w:color w:val="000000"/>
          <w:sz w:val="24"/>
          <w:szCs w:val="24"/>
        </w:rPr>
        <w:t>投标文件从开标之时起开始生效，投标有效期</w:t>
      </w:r>
      <w:r>
        <w:rPr>
          <w:rFonts w:hint="eastAsia" w:ascii="宋体" w:hAnsi="宋体" w:cs="宋体"/>
          <w:sz w:val="24"/>
          <w:szCs w:val="24"/>
        </w:rPr>
        <w:t>从投标截止之日起60日历天</w:t>
      </w:r>
      <w:r>
        <w:rPr>
          <w:rFonts w:hint="eastAsia" w:ascii="宋体" w:hAnsi="宋体" w:cs="宋体"/>
          <w:color w:val="000000"/>
          <w:sz w:val="24"/>
          <w:szCs w:val="24"/>
        </w:rPr>
        <w:t>。</w:t>
      </w:r>
    </w:p>
    <w:p w14:paraId="4771E800">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12.2</w:t>
      </w:r>
      <w:r>
        <w:rPr>
          <w:rFonts w:hint="eastAsia" w:ascii="宋体" w:hAnsi="宋体" w:cs="宋体"/>
          <w:color w:val="000000"/>
          <w:sz w:val="24"/>
          <w:szCs w:val="24"/>
        </w:rPr>
        <w:t>在特殊情况下，采购人可征求投标供应商同意延长投标有效期，这种要求和答复均应以网上形式提交。同意延长投标有效期的投标供应商不需要也不允许修改其电子化投标文件。</w:t>
      </w:r>
    </w:p>
    <w:p w14:paraId="77DE268E">
      <w:pPr>
        <w:shd w:val="clear" w:color="auto" w:fill="FFFFFF"/>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13、电子化投标文件的组成</w:t>
      </w:r>
    </w:p>
    <w:p w14:paraId="207A1EA2">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一、法定代表人身份证明书</w:t>
      </w:r>
    </w:p>
    <w:p w14:paraId="07F5E8D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二、投标文件签署授权委托书</w:t>
      </w:r>
    </w:p>
    <w:p w14:paraId="7FF37971">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三、投标函及投标函附录</w:t>
      </w:r>
    </w:p>
    <w:p w14:paraId="3A86DA5D">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四、服务方案</w:t>
      </w:r>
    </w:p>
    <w:p w14:paraId="6273F46E">
      <w:pPr>
        <w:shd w:val="clear" w:color="auto" w:fill="FFFFFF"/>
        <w:tabs>
          <w:tab w:val="left" w:pos="353"/>
        </w:tabs>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五、资格审查资料</w:t>
      </w:r>
    </w:p>
    <w:p w14:paraId="15750737">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六、中小企业声明函</w:t>
      </w:r>
    </w:p>
    <w:p w14:paraId="45A287FF">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七、投标承诺函</w:t>
      </w:r>
    </w:p>
    <w:p w14:paraId="07481243">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八、其他资料</w:t>
      </w:r>
    </w:p>
    <w:p w14:paraId="72F158E5">
      <w:pPr>
        <w:autoSpaceDE w:val="0"/>
        <w:autoSpaceDN w:val="0"/>
        <w:adjustRightInd w:val="0"/>
        <w:spacing w:line="360" w:lineRule="auto"/>
        <w:ind w:firstLine="241" w:firstLineChars="100"/>
        <w:jc w:val="left"/>
        <w:rPr>
          <w:rFonts w:hint="eastAsia" w:ascii="宋体" w:hAnsi="宋体" w:cs="宋体"/>
          <w:b/>
          <w:bCs/>
          <w:color w:val="000000"/>
          <w:sz w:val="24"/>
          <w:szCs w:val="24"/>
        </w:rPr>
      </w:pPr>
      <w:r>
        <w:rPr>
          <w:rFonts w:hint="eastAsia" w:ascii="宋体" w:hAnsi="宋体" w:cs="宋体"/>
          <w:b/>
          <w:bCs/>
          <w:color w:val="000000"/>
          <w:sz w:val="24"/>
          <w:szCs w:val="24"/>
        </w:rPr>
        <w:t>14、电子化投标文件的格式</w:t>
      </w:r>
    </w:p>
    <w:p w14:paraId="2FEC511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14.1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17F08C3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注：投标人投报多个标段的，需要每个标段单独制作电子投标文件。</w:t>
      </w:r>
    </w:p>
    <w:p w14:paraId="023F18A9">
      <w:pPr>
        <w:autoSpaceDE w:val="0"/>
        <w:autoSpaceDN w:val="0"/>
        <w:adjustRightInd w:val="0"/>
        <w:spacing w:line="360" w:lineRule="auto"/>
        <w:ind w:firstLine="241" w:firstLineChars="100"/>
        <w:jc w:val="left"/>
        <w:rPr>
          <w:rFonts w:hint="eastAsia" w:ascii="宋体" w:hAnsi="宋体" w:cs="宋体"/>
          <w:b/>
          <w:bCs/>
          <w:kern w:val="0"/>
          <w:sz w:val="24"/>
          <w:szCs w:val="24"/>
        </w:rPr>
      </w:pPr>
      <w:r>
        <w:rPr>
          <w:rFonts w:hint="eastAsia" w:ascii="宋体" w:hAnsi="宋体" w:cs="宋体"/>
          <w:b/>
          <w:bCs/>
          <w:kern w:val="0"/>
          <w:sz w:val="24"/>
          <w:szCs w:val="24"/>
        </w:rPr>
        <w:t>15、电子化投标文件的签章</w:t>
      </w:r>
    </w:p>
    <w:p w14:paraId="49A1AB3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15.1投标人在生成电子化投标文件后，应对电子化投标文件进行签章，未进行签章的视为无效投标。</w:t>
      </w:r>
    </w:p>
    <w:p w14:paraId="5A332491">
      <w:pPr>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15.2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p>
    <w:p w14:paraId="770EC49C">
      <w:pPr>
        <w:pStyle w:val="28"/>
        <w:spacing w:line="360" w:lineRule="auto"/>
        <w:rPr>
          <w:rFonts w:hint="eastAsia" w:ascii="宋体" w:hAnsi="宋体" w:cs="宋体"/>
          <w:sz w:val="24"/>
          <w:szCs w:val="24"/>
        </w:rPr>
      </w:pPr>
      <w:r>
        <w:rPr>
          <w:rFonts w:hint="eastAsia" w:ascii="宋体" w:hAnsi="宋体" w:cs="宋体"/>
          <w:sz w:val="24"/>
          <w:szCs w:val="24"/>
        </w:rPr>
        <w:t>四、投标文件的上传</w:t>
      </w:r>
    </w:p>
    <w:p w14:paraId="0C999122">
      <w:pPr>
        <w:shd w:val="clear" w:color="auto" w:fill="FFFFFF"/>
        <w:snapToGrid w:val="0"/>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16、投标文件上传</w:t>
      </w:r>
    </w:p>
    <w:p w14:paraId="7A616D96">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16.1电子化投标文件应在投标截止时间前成功上传至三门峡市公共资源电子化交易系统。至投标截止时间止，仍未上传成功的电子化投标文件将不予接收。</w:t>
      </w:r>
    </w:p>
    <w:p w14:paraId="06B60217">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F7AE3BB">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17.投标截止时间</w:t>
      </w:r>
    </w:p>
    <w:p w14:paraId="787F3953">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17.1</w:t>
      </w:r>
      <w:r>
        <w:rPr>
          <w:rFonts w:hint="eastAsia" w:ascii="宋体" w:hAnsi="宋体" w:cs="宋体"/>
          <w:color w:val="000000"/>
          <w:sz w:val="24"/>
          <w:szCs w:val="24"/>
        </w:rPr>
        <w:t>投标文件的截止时间见本须知前附表规定。</w:t>
      </w:r>
    </w:p>
    <w:p w14:paraId="43C70E6D">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17.2</w:t>
      </w:r>
      <w:r>
        <w:rPr>
          <w:rFonts w:hint="eastAsia" w:ascii="宋体" w:hAnsi="宋体" w:cs="宋体"/>
          <w:color w:val="000000"/>
          <w:sz w:val="24"/>
          <w:szCs w:val="24"/>
        </w:rPr>
        <w:t>到投标截止时间止，采购人收到的投标文件少于3个的，采购人将依法重新组织招标。</w:t>
      </w:r>
    </w:p>
    <w:p w14:paraId="46814D61">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kern w:val="0"/>
          <w:sz w:val="24"/>
          <w:szCs w:val="24"/>
        </w:rPr>
        <w:t>17.3电子化投标文件的补充、修改与撤回</w:t>
      </w:r>
    </w:p>
    <w:p w14:paraId="69825DA6">
      <w:pPr>
        <w:shd w:val="clear" w:color="auto" w:fill="FFFFFF"/>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17.3.1在投标截止时间之后，投标供应商不得补充、修改电子化投标文件。</w:t>
      </w:r>
    </w:p>
    <w:p w14:paraId="494F9A39">
      <w:pPr>
        <w:pStyle w:val="28"/>
        <w:spacing w:line="360" w:lineRule="auto"/>
        <w:rPr>
          <w:rFonts w:hint="eastAsia" w:ascii="宋体" w:hAnsi="宋体" w:cs="宋体"/>
          <w:sz w:val="24"/>
          <w:szCs w:val="24"/>
        </w:rPr>
      </w:pPr>
      <w:r>
        <w:rPr>
          <w:rFonts w:hint="eastAsia" w:ascii="宋体" w:hAnsi="宋体" w:cs="宋体"/>
          <w:sz w:val="24"/>
          <w:szCs w:val="24"/>
        </w:rPr>
        <w:t>五、开标</w:t>
      </w:r>
    </w:p>
    <w:p w14:paraId="0DDC4C49">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18、开标</w:t>
      </w:r>
    </w:p>
    <w:p w14:paraId="57673C3F">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18.1</w:t>
      </w:r>
      <w:r>
        <w:rPr>
          <w:rFonts w:hint="eastAsia" w:ascii="宋体" w:hAnsi="宋体" w:cs="宋体"/>
          <w:color w:val="000000"/>
          <w:sz w:val="24"/>
          <w:szCs w:val="24"/>
        </w:rPr>
        <w:t>采购人按本须知前附表所规定的时间和地点公开开标，开标会议由招标代理机构主持，在有关部门监督下进行。</w:t>
      </w:r>
    </w:p>
    <w:p w14:paraId="2E7F31C7">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18.2开标程序：</w:t>
      </w:r>
    </w:p>
    <w:p w14:paraId="60A5608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18.2.1</w:t>
      </w:r>
      <w:r>
        <w:rPr>
          <w:rFonts w:hint="eastAsia" w:ascii="宋体" w:hAnsi="宋体" w:cs="宋体"/>
          <w:color w:val="000000"/>
          <w:sz w:val="24"/>
          <w:szCs w:val="24"/>
        </w:rPr>
        <w:t>开标由招标代理机构主持；</w:t>
      </w:r>
    </w:p>
    <w:p w14:paraId="43760971">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18.2.2</w:t>
      </w:r>
      <w:r>
        <w:rPr>
          <w:rFonts w:hint="eastAsia" w:ascii="宋体" w:hAnsi="宋体" w:cs="宋体"/>
          <w:color w:val="000000"/>
          <w:sz w:val="24"/>
          <w:szCs w:val="24"/>
        </w:rPr>
        <w:t>介绍本项目的情况；</w:t>
      </w:r>
    </w:p>
    <w:p w14:paraId="2255166F">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18.2.3</w:t>
      </w:r>
      <w:r>
        <w:rPr>
          <w:rFonts w:hint="eastAsia" w:ascii="宋体" w:hAnsi="宋体" w:cs="宋体"/>
          <w:color w:val="000000"/>
          <w:sz w:val="24"/>
          <w:szCs w:val="24"/>
        </w:rPr>
        <w:t>宣布开标会议纪律；</w:t>
      </w:r>
    </w:p>
    <w:p w14:paraId="354A66C2">
      <w:pPr>
        <w:shd w:val="clear" w:color="auto" w:fill="FFFFFF"/>
        <w:tabs>
          <w:tab w:val="left" w:pos="383"/>
        </w:tabs>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18.2.4</w:t>
      </w:r>
      <w:r>
        <w:rPr>
          <w:rFonts w:hint="eastAsia" w:ascii="宋体" w:hAnsi="宋体" w:cs="宋体"/>
          <w:color w:val="000000"/>
          <w:sz w:val="24"/>
          <w:szCs w:val="24"/>
        </w:rPr>
        <w:t>介绍参会的采购人、监督人；</w:t>
      </w:r>
    </w:p>
    <w:p w14:paraId="0254F06E">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18.2.5</w:t>
      </w:r>
      <w:r>
        <w:rPr>
          <w:rFonts w:hint="eastAsia" w:ascii="宋体" w:hAnsi="宋体" w:cs="宋体"/>
          <w:color w:val="000000"/>
          <w:sz w:val="24"/>
          <w:szCs w:val="24"/>
        </w:rPr>
        <w:t>开标时，电子招标投标交易平台自动提取所有投标文件，按时在线解密。解密全部完成后，向所有投标供应商公布投标供应商名称、投标价格和招标文件规定的其他内容。</w:t>
      </w:r>
    </w:p>
    <w:p w14:paraId="0F98582C">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18.3</w:t>
      </w:r>
      <w:r>
        <w:rPr>
          <w:rFonts w:hint="eastAsia" w:ascii="宋体" w:hAnsi="宋体" w:cs="宋体"/>
          <w:color w:val="000000"/>
          <w:sz w:val="24"/>
          <w:szCs w:val="24"/>
        </w:rPr>
        <w:t>投标文件的有效性</w:t>
      </w:r>
    </w:p>
    <w:p w14:paraId="627B49E8">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18.3.1</w:t>
      </w:r>
      <w:r>
        <w:rPr>
          <w:rFonts w:hint="eastAsia" w:ascii="宋体" w:hAnsi="宋体" w:cs="宋体"/>
          <w:color w:val="000000"/>
          <w:sz w:val="24"/>
          <w:szCs w:val="24"/>
        </w:rPr>
        <w:t>投标文件有下列情形之一的为无效电子化投标文件，采购人不予受理：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2ECF236C">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18.3.2</w:t>
      </w:r>
      <w:r>
        <w:rPr>
          <w:rFonts w:hint="eastAsia" w:ascii="宋体" w:hAnsi="宋体" w:cs="宋体"/>
          <w:color w:val="000000"/>
          <w:sz w:val="24"/>
          <w:szCs w:val="24"/>
        </w:rPr>
        <w:t>若投标文件解密后，有效电子投标文件不足三家的，本项目应予废标。</w:t>
      </w:r>
    </w:p>
    <w:p w14:paraId="5B8EAD6A">
      <w:pPr>
        <w:pStyle w:val="28"/>
        <w:spacing w:line="360" w:lineRule="auto"/>
        <w:rPr>
          <w:rFonts w:hint="eastAsia" w:ascii="宋体" w:hAnsi="宋体" w:cs="宋体"/>
          <w:sz w:val="24"/>
          <w:szCs w:val="24"/>
        </w:rPr>
      </w:pPr>
      <w:r>
        <w:rPr>
          <w:rFonts w:hint="eastAsia" w:ascii="宋体" w:hAnsi="宋体" w:cs="宋体"/>
          <w:sz w:val="24"/>
          <w:szCs w:val="24"/>
        </w:rPr>
        <w:t>六、评标与定标</w:t>
      </w:r>
    </w:p>
    <w:p w14:paraId="0B9FAAC8">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19、评标委员会</w:t>
      </w:r>
    </w:p>
    <w:p w14:paraId="07676405">
      <w:pPr>
        <w:shd w:val="clear" w:color="auto" w:fill="FFFFFF"/>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19.1</w:t>
      </w:r>
      <w:r>
        <w:rPr>
          <w:rFonts w:hint="eastAsia" w:ascii="宋体" w:hAnsi="宋体" w:cs="宋体"/>
          <w:color w:val="000000"/>
          <w:sz w:val="24"/>
          <w:szCs w:val="24"/>
        </w:rPr>
        <w:t>评标委员会由采购人依法组建，负责评标活动。</w:t>
      </w:r>
    </w:p>
    <w:p w14:paraId="2474D17C">
      <w:pPr>
        <w:shd w:val="clear" w:color="auto" w:fill="FFFFFF"/>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19.2评标委员会构成：见供应商须知前附表</w:t>
      </w:r>
    </w:p>
    <w:p w14:paraId="30954855">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19.3参加评标的专家通过相关专家库随机抽取随机选定。与投标供应商有利害关系的人不得进入评标委员会。</w:t>
      </w:r>
    </w:p>
    <w:p w14:paraId="6A04A6E3">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19.4</w:t>
      </w:r>
      <w:r>
        <w:rPr>
          <w:rFonts w:hint="eastAsia" w:ascii="宋体" w:hAnsi="宋体" w:cs="宋体"/>
          <w:color w:val="000000"/>
          <w:sz w:val="24"/>
          <w:szCs w:val="24"/>
        </w:rPr>
        <w:t>开标结束后，开始评标。评标工作在相关部门监督下，采用保密方式进行。</w:t>
      </w:r>
    </w:p>
    <w:p w14:paraId="4F8353A4">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20、评标过程的保密</w:t>
      </w:r>
    </w:p>
    <w:p w14:paraId="7C2C9A1C">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20.1</w:t>
      </w:r>
      <w:r>
        <w:rPr>
          <w:rFonts w:hint="eastAsia" w:ascii="宋体" w:hAnsi="宋体" w:cs="宋体"/>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562114B7">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20.2</w:t>
      </w:r>
      <w:r>
        <w:rPr>
          <w:rFonts w:hint="eastAsia" w:ascii="宋体" w:hAnsi="宋体" w:cs="宋体"/>
          <w:color w:val="000000"/>
          <w:sz w:val="24"/>
          <w:szCs w:val="24"/>
        </w:rPr>
        <w:t>在电子化投标文件的评审和比较、中标候选人推荐以及授予合同的过程中，投标供应商向采购人和评标委员会施加影响的任何行为，都将会导致其投标被拒绝。</w:t>
      </w:r>
    </w:p>
    <w:p w14:paraId="4E2483BA">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20.3</w:t>
      </w:r>
      <w:r>
        <w:rPr>
          <w:rFonts w:hint="eastAsia" w:ascii="宋体" w:hAnsi="宋体" w:cs="宋体"/>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69DE48D7">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21、评标纪律</w:t>
      </w:r>
    </w:p>
    <w:p w14:paraId="0F9D4AE2">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21.1</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204E6D5C">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21.2</w:t>
      </w:r>
      <w:r>
        <w:rPr>
          <w:rFonts w:hint="eastAsia" w:ascii="宋体" w:hAnsi="宋体" w:cs="宋体"/>
          <w:color w:val="000000"/>
          <w:sz w:val="24"/>
          <w:szCs w:val="24"/>
        </w:rPr>
        <w:t>除投标须知第28条款的规定以外，开标以后至授予中标通知书前，任何投标供应商均不得就与其投标文件有关的问题主动与采购人和招标代理机构发生联系。</w:t>
      </w:r>
    </w:p>
    <w:p w14:paraId="7BC6312B">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bCs/>
          <w:color w:val="000000"/>
          <w:sz w:val="24"/>
          <w:szCs w:val="24"/>
        </w:rPr>
        <w:t>21.3</w:t>
      </w:r>
      <w:r>
        <w:rPr>
          <w:rFonts w:hint="eastAsia" w:ascii="宋体" w:hAnsi="宋体" w:cs="宋体"/>
          <w:color w:val="000000"/>
          <w:sz w:val="24"/>
          <w:szCs w:val="24"/>
        </w:rPr>
        <w:t>如果投标供应商试图对评标委员会的评标施加影响，则将导致该投标供应商的投标文件被拒绝。</w:t>
      </w:r>
    </w:p>
    <w:p w14:paraId="7D593B26">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22、投标文件的澄清</w:t>
      </w:r>
    </w:p>
    <w:p w14:paraId="633F1CCF">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宋体"/>
          <w:b/>
          <w:color w:val="000000"/>
          <w:sz w:val="24"/>
          <w:szCs w:val="24"/>
        </w:rPr>
        <w:t>22.1</w:t>
      </w:r>
      <w:r>
        <w:rPr>
          <w:rFonts w:hint="eastAsia" w:ascii="宋体" w:hAnsi="宋体" w:cs="宋体"/>
          <w:color w:val="000000"/>
          <w:sz w:val="24"/>
          <w:szCs w:val="24"/>
        </w:rPr>
        <w:t>为有助于投标文件的审查、评价和比较，评标委员会可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074122B8">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23、投标文件的初步评审</w:t>
      </w:r>
    </w:p>
    <w:p w14:paraId="68DDA76F">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23.1投标文件资格审查：</w:t>
      </w:r>
    </w:p>
    <w:p w14:paraId="1A6D4F2D">
      <w:pPr>
        <w:spacing w:line="360" w:lineRule="auto"/>
        <w:ind w:firstLine="480" w:firstLineChars="200"/>
        <w:rPr>
          <w:rFonts w:hint="eastAsia" w:ascii="宋体" w:hAnsi="宋体" w:cs="宋体"/>
          <w:sz w:val="24"/>
          <w:szCs w:val="24"/>
        </w:rPr>
      </w:pPr>
      <w:r>
        <w:rPr>
          <w:rFonts w:hint="eastAsia" w:ascii="宋体" w:hAnsi="宋体" w:cs="宋体"/>
          <w:sz w:val="24"/>
          <w:szCs w:val="24"/>
        </w:rPr>
        <w:t>符合第二章供应商须知前附表规定</w:t>
      </w:r>
    </w:p>
    <w:p w14:paraId="6E8342DE">
      <w:pPr>
        <w:spacing w:line="360" w:lineRule="auto"/>
        <w:ind w:firstLine="480" w:firstLineChars="200"/>
        <w:rPr>
          <w:rFonts w:hint="eastAsia" w:ascii="宋体" w:hAnsi="宋体" w:cs="宋体"/>
          <w:sz w:val="24"/>
          <w:szCs w:val="24"/>
        </w:rPr>
      </w:pPr>
      <w:r>
        <w:rPr>
          <w:rFonts w:hint="eastAsia" w:ascii="宋体" w:hAnsi="宋体" w:cs="宋体"/>
          <w:sz w:val="24"/>
          <w:szCs w:val="24"/>
        </w:rPr>
        <w:t>23.2评标</w:t>
      </w:r>
      <w:r>
        <w:rPr>
          <w:rFonts w:hint="eastAsia" w:ascii="宋体" w:hAnsi="宋体" w:cs="宋体"/>
          <w:color w:val="000000"/>
          <w:sz w:val="24"/>
          <w:szCs w:val="24"/>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3CA93077">
      <w:pPr>
        <w:shd w:val="clear" w:color="auto" w:fill="FFFFFF"/>
        <w:snapToGrid w:val="0"/>
        <w:spacing w:line="360" w:lineRule="auto"/>
        <w:ind w:right="105" w:rightChars="50" w:firstLine="480" w:firstLineChars="200"/>
        <w:rPr>
          <w:rFonts w:hint="eastAsia" w:ascii="宋体" w:hAnsi="宋体" w:cs="宋体"/>
          <w:sz w:val="24"/>
          <w:szCs w:val="24"/>
        </w:rPr>
      </w:pPr>
      <w:r>
        <w:rPr>
          <w:rFonts w:hint="eastAsia" w:ascii="宋体" w:hAnsi="宋体" w:cs="宋体"/>
          <w:sz w:val="24"/>
          <w:szCs w:val="24"/>
        </w:rPr>
        <w:t>23.3如果投标文件实质上不响应招标文件的各项要求，评标委员会将予以拒绝，并且不允许投标供应商通过修改或撤销其不符合要求的差异或保留，使之成为具有响应性的投标。</w:t>
      </w:r>
    </w:p>
    <w:p w14:paraId="41B51BC6">
      <w:pPr>
        <w:shd w:val="clear" w:color="auto" w:fill="FFFFFF"/>
        <w:snapToGrid w:val="0"/>
        <w:spacing w:line="360" w:lineRule="auto"/>
        <w:ind w:right="105" w:rightChars="50" w:firstLine="480" w:firstLineChars="200"/>
        <w:rPr>
          <w:rFonts w:hint="eastAsia" w:ascii="宋体" w:hAnsi="宋体" w:cs="宋体"/>
          <w:sz w:val="24"/>
          <w:szCs w:val="24"/>
        </w:rPr>
      </w:pPr>
      <w:r>
        <w:rPr>
          <w:rFonts w:hint="eastAsia" w:ascii="宋体" w:hAnsi="宋体" w:cs="宋体"/>
          <w:sz w:val="24"/>
          <w:szCs w:val="24"/>
        </w:rPr>
        <w:t>23.4投标文件有下列情形之一的，由评标委员会初审后按无效标处理：</w:t>
      </w:r>
    </w:p>
    <w:p w14:paraId="5BF74CE6">
      <w:pPr>
        <w:spacing w:line="360" w:lineRule="auto"/>
        <w:ind w:right="105" w:rightChars="50" w:firstLine="480" w:firstLineChars="200"/>
        <w:rPr>
          <w:rFonts w:hint="eastAsia" w:ascii="宋体" w:hAnsi="宋体" w:cs="宋体"/>
          <w:sz w:val="24"/>
          <w:szCs w:val="24"/>
        </w:rPr>
      </w:pPr>
      <w:r>
        <w:rPr>
          <w:rFonts w:hint="eastAsia" w:ascii="宋体" w:hAnsi="宋体" w:cs="宋体"/>
          <w:sz w:val="24"/>
          <w:szCs w:val="24"/>
        </w:rPr>
        <w:t>（1）投标人在生成电子化投标文件后，应对电子化投标文件进行签章，未进行签章的视为无效投标。</w:t>
      </w:r>
    </w:p>
    <w:p w14:paraId="394E08D1">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（2）投标供应商资格条件不符合国家有关规定和招标文件要求的；</w:t>
      </w:r>
    </w:p>
    <w:p w14:paraId="01B51E09">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kern w:val="0"/>
          <w:sz w:val="24"/>
          <w:szCs w:val="24"/>
        </w:rPr>
        <w:t>电子化投标文件附有采购人不能接受的条件的；</w:t>
      </w:r>
    </w:p>
    <w:p w14:paraId="1C4DE629">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（4）投标报价超过招标文件规定的预算金额的；</w:t>
      </w:r>
    </w:p>
    <w:p w14:paraId="738370C9">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（5）以他人的名义投标、串通投标、以行贿手段谋取中标或者以其他弄虚作假方式投标的；</w:t>
      </w:r>
    </w:p>
    <w:p w14:paraId="148AC137">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（6）采取不正当手段谋取中标的。</w:t>
      </w:r>
    </w:p>
    <w:p w14:paraId="2A230791">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24、投标文件计算错误的修正</w:t>
      </w:r>
    </w:p>
    <w:p w14:paraId="1CE5FC14">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24.1评标委员会将对确定为实质上响应招标文件要求的投标文件进行校核，看其是否有计算或表达上的错误，修正错误的原则如下：</w:t>
      </w:r>
    </w:p>
    <w:p w14:paraId="3E0439CC">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24.1.1投标文件中的大写金额和小写金额不一致的，以大写金额为准；</w:t>
      </w:r>
    </w:p>
    <w:p w14:paraId="432A193B">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24.1.2对不同文字文本投标文件的解释发生异议的，以中文文本为准。</w:t>
      </w:r>
    </w:p>
    <w:p w14:paraId="4116C945">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24.2按上述修正错误的原则及方法调整或修正投标文件的投标报价，投标供应商同意后，调整后的投标报价对投标供应商起约束作用。</w:t>
      </w:r>
    </w:p>
    <w:p w14:paraId="223437EE">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25、投标文件的评审、比较和否决</w:t>
      </w:r>
    </w:p>
    <w:p w14:paraId="48527376">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25.1评标委员会将按照招标文件的规定，仅对在实质上响应招标文件要求的上传投标文件进行评估和比较。</w:t>
      </w:r>
    </w:p>
    <w:p w14:paraId="1E245315">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25.2根据相关法律法规及有关招投标文件规定，结合本项目具体情况，制定本次招标评标办法。并按照“公平、公正、科学、择优”的原则进行评标。采用综合评分法进行评比。</w:t>
      </w:r>
    </w:p>
    <w:p w14:paraId="7293FE9A">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25.3在评审过程中，评标委员会可以要求投标供应商就投标文件中含义不明确的内容进行说明并提供相关材料。</w:t>
      </w:r>
    </w:p>
    <w:p w14:paraId="329B6011">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25.4评标时，投标报价是评标的重要依据，但不是唯一依据，采购人不承诺将合同授予报价最低或最高的投标供应商。投标</w:t>
      </w:r>
      <w:r>
        <w:rPr>
          <w:rFonts w:hint="eastAsia" w:ascii="宋体" w:hAnsi="宋体" w:cs="宋体"/>
          <w:color w:val="000000"/>
          <w:sz w:val="24"/>
          <w:szCs w:val="24"/>
          <w:shd w:val="clear" w:color="050000" w:fill="auto"/>
        </w:rPr>
        <w:t>报价明显低于其他报价，使得其报价可能低于其个别成本的，有可能影响货物质量或不能诚信履约的，评标委员会可要求供应商做出说明并提供相关证明材料。不能合理说明或不能提供相关证明材料的，其投标应文件有可能被拒绝。</w:t>
      </w:r>
    </w:p>
    <w:p w14:paraId="0DC14B6A">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25.5评标委员会依据本须知规定的评标标准和方法，对投标文件进行评审和比较，向采购人提出书面评标报告，并推荐合格的中标候选人。</w:t>
      </w:r>
    </w:p>
    <w:p w14:paraId="4B76CFD0">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color w:val="000000"/>
          <w:sz w:val="24"/>
          <w:szCs w:val="24"/>
        </w:rPr>
        <w:t>25.6</w:t>
      </w:r>
      <w:r>
        <w:rPr>
          <w:rFonts w:hint="eastAsia" w:ascii="宋体" w:hAnsi="宋体" w:cs="宋体"/>
          <w:kern w:val="0"/>
          <w:sz w:val="24"/>
          <w:szCs w:val="24"/>
        </w:rPr>
        <w:t>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w:t>
      </w:r>
    </w:p>
    <w:p w14:paraId="280F4225">
      <w:pPr>
        <w:autoSpaceDE w:val="0"/>
        <w:autoSpaceDN w:val="0"/>
        <w:adjustRightInd w:val="0"/>
        <w:spacing w:line="360" w:lineRule="auto"/>
        <w:jc w:val="center"/>
        <w:rPr>
          <w:rFonts w:hint="eastAsia" w:ascii="宋体" w:hAnsi="宋体" w:cs="宋体"/>
          <w:b/>
          <w:bCs/>
          <w:sz w:val="24"/>
          <w:szCs w:val="24"/>
        </w:rPr>
      </w:pPr>
      <w:r>
        <w:rPr>
          <w:rFonts w:hint="eastAsia" w:ascii="宋体" w:hAnsi="宋体" w:cs="宋体"/>
          <w:b/>
          <w:bCs/>
          <w:sz w:val="24"/>
          <w:szCs w:val="24"/>
        </w:rPr>
        <w:t>七、授予合同</w:t>
      </w:r>
    </w:p>
    <w:p w14:paraId="6C694846">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26、授予合同标准</w:t>
      </w:r>
    </w:p>
    <w:p w14:paraId="1E06A689">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bCs/>
          <w:color w:val="000000"/>
          <w:sz w:val="24"/>
          <w:szCs w:val="24"/>
        </w:rPr>
        <w:t>26.1</w:t>
      </w:r>
      <w:r>
        <w:rPr>
          <w:rFonts w:hint="eastAsia" w:ascii="宋体" w:hAnsi="宋体" w:cs="宋体"/>
          <w:color w:val="000000"/>
          <w:sz w:val="24"/>
          <w:szCs w:val="24"/>
        </w:rPr>
        <w:t>本招标项目的合同将授予按本评标办法确定的中标供应商。</w:t>
      </w:r>
    </w:p>
    <w:p w14:paraId="002F880D">
      <w:pPr>
        <w:shd w:val="clear" w:color="auto" w:fill="FFFFFF"/>
        <w:snapToGrid w:val="0"/>
        <w:spacing w:line="360" w:lineRule="auto"/>
        <w:ind w:firstLine="480" w:firstLineChars="200"/>
        <w:rPr>
          <w:rFonts w:hint="eastAsia" w:ascii="宋体" w:hAnsi="宋体" w:cs="宋体"/>
          <w:color w:val="000000"/>
          <w:sz w:val="24"/>
          <w:szCs w:val="24"/>
        </w:rPr>
      </w:pPr>
      <w:r>
        <w:rPr>
          <w:rFonts w:hint="eastAsia" w:ascii="宋体" w:hAnsi="宋体" w:cs="宋体"/>
          <w:bCs/>
          <w:color w:val="000000"/>
          <w:sz w:val="24"/>
          <w:szCs w:val="24"/>
        </w:rPr>
        <w:t>26.2</w:t>
      </w:r>
      <w:r>
        <w:rPr>
          <w:rFonts w:hint="eastAsia" w:ascii="宋体" w:hAnsi="宋体" w:cs="宋体"/>
          <w:color w:val="000000"/>
          <w:sz w:val="24"/>
          <w:szCs w:val="24"/>
        </w:rPr>
        <w:t>评标委员会经采购人授权，确定排名第一的中标候选人为中标供应商。当确定中标的中标供应商候选人放弃中标、因不可抗力提出不能履行合同的，采购人可以按序确定排名第二的中标候选人为中标供应商，以此类推。</w:t>
      </w:r>
    </w:p>
    <w:p w14:paraId="3A8309A1">
      <w:pPr>
        <w:autoSpaceDE w:val="0"/>
        <w:autoSpaceDN w:val="0"/>
        <w:adjustRightInd w:val="0"/>
        <w:spacing w:line="360" w:lineRule="auto"/>
        <w:ind w:firstLine="240" w:firstLineChars="100"/>
        <w:jc w:val="left"/>
        <w:rPr>
          <w:rFonts w:hint="eastAsia" w:ascii="宋体" w:hAnsi="宋体" w:cs="宋体"/>
          <w:kern w:val="0"/>
          <w:sz w:val="24"/>
          <w:szCs w:val="24"/>
        </w:rPr>
      </w:pPr>
      <w:r>
        <w:rPr>
          <w:rFonts w:hint="eastAsia" w:ascii="宋体" w:hAnsi="宋体" w:cs="宋体"/>
          <w:kern w:val="0"/>
          <w:sz w:val="24"/>
          <w:szCs w:val="24"/>
        </w:rPr>
        <w:t>27、授予合同时变更数量的权利</w:t>
      </w:r>
    </w:p>
    <w:p w14:paraId="50153417">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27.1采购人在授予合同时，保留对货物数量予以适当增减的权利。供应商不得在此情况下对投标文件作出修改，如价格、服务期限、售后服务等。</w:t>
      </w:r>
    </w:p>
    <w:p w14:paraId="587C2CF9">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28、采购人拒绝投标的权力</w:t>
      </w:r>
    </w:p>
    <w:p w14:paraId="2ED62566">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28.1采购人不承诺将合同授予报价最低的或最高的中标候选人。</w:t>
      </w:r>
    </w:p>
    <w:p w14:paraId="686584D5">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29、中标通知</w:t>
      </w:r>
    </w:p>
    <w:p w14:paraId="19A5C3DC">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bCs/>
          <w:color w:val="000000"/>
          <w:sz w:val="24"/>
          <w:szCs w:val="24"/>
        </w:rPr>
        <w:t>29.1</w:t>
      </w:r>
      <w:r>
        <w:rPr>
          <w:rFonts w:hint="eastAsia" w:ascii="宋体" w:hAnsi="宋体" w:cs="宋体"/>
          <w:color w:val="000000"/>
          <w:sz w:val="24"/>
          <w:szCs w:val="24"/>
        </w:rPr>
        <w:t>中标供应商确定后，在发布本项目招标公告的媒介上发布中标公示。</w:t>
      </w:r>
    </w:p>
    <w:p w14:paraId="075798A8">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bCs/>
          <w:color w:val="000000"/>
          <w:sz w:val="24"/>
          <w:szCs w:val="24"/>
        </w:rPr>
        <w:t>29.2</w:t>
      </w:r>
      <w:r>
        <w:rPr>
          <w:rFonts w:hint="eastAsia" w:ascii="宋体" w:hAnsi="宋体" w:cs="宋体"/>
          <w:color w:val="000000"/>
          <w:sz w:val="24"/>
          <w:szCs w:val="24"/>
        </w:rPr>
        <w:t>中标通知书是合同的组成部分。</w:t>
      </w:r>
    </w:p>
    <w:p w14:paraId="46880E51">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bCs/>
          <w:color w:val="000000"/>
          <w:sz w:val="24"/>
          <w:szCs w:val="24"/>
        </w:rPr>
        <w:t>29.3</w:t>
      </w:r>
      <w:r>
        <w:rPr>
          <w:rFonts w:hint="eastAsia" w:ascii="宋体" w:hAnsi="宋体" w:cs="宋体"/>
          <w:color w:val="000000"/>
          <w:sz w:val="24"/>
          <w:szCs w:val="24"/>
        </w:rPr>
        <w:t>对未中标的投标供应商，不做任何未中标原因的解释。所有投标文件不予退还。</w:t>
      </w:r>
    </w:p>
    <w:p w14:paraId="6C9A167C">
      <w:pPr>
        <w:shd w:val="clear" w:color="auto" w:fill="FFFFFF"/>
        <w:snapToGrid w:val="0"/>
        <w:spacing w:line="360" w:lineRule="auto"/>
        <w:ind w:right="105" w:rightChars="50" w:firstLine="241" w:firstLineChars="100"/>
        <w:rPr>
          <w:rFonts w:hint="eastAsia" w:ascii="宋体" w:hAnsi="宋体" w:cs="宋体"/>
          <w:color w:val="000000"/>
          <w:sz w:val="24"/>
          <w:szCs w:val="24"/>
        </w:rPr>
      </w:pPr>
      <w:r>
        <w:rPr>
          <w:rFonts w:hint="eastAsia" w:ascii="宋体" w:hAnsi="宋体" w:cs="宋体"/>
          <w:b/>
          <w:bCs/>
          <w:color w:val="000000"/>
          <w:sz w:val="24"/>
          <w:szCs w:val="24"/>
        </w:rPr>
        <w:t>30、合同协议书的签署</w:t>
      </w:r>
    </w:p>
    <w:p w14:paraId="6E5D83D0">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30.1采购人与中标供应商将于中标通知书发出之日起2日内，按照招标文件及中标供应商的投标文件订立书面承包合同，采购人和中标供应商不得再行订立背离合同实质性内容的其他协议。</w:t>
      </w:r>
    </w:p>
    <w:p w14:paraId="1496AAA4">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30.2中标供应商如不按本投标须知的规定与采购人订立合同，则采购人将废除授标，给采购人造成损失的，应当予以赔偿，同时依法承担相应法律责任。</w:t>
      </w:r>
    </w:p>
    <w:p w14:paraId="731D1497">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31、履约保证金</w:t>
      </w:r>
    </w:p>
    <w:p w14:paraId="3DABDBD8">
      <w:pPr>
        <w:shd w:val="clear" w:color="auto" w:fill="FFFFFF"/>
        <w:snapToGrid w:val="0"/>
        <w:spacing w:line="360" w:lineRule="auto"/>
        <w:ind w:firstLine="480" w:firstLineChars="200"/>
        <w:rPr>
          <w:rFonts w:hint="eastAsia" w:ascii="宋体" w:hAnsi="宋体" w:cs="宋体"/>
          <w:sz w:val="24"/>
          <w:szCs w:val="24"/>
        </w:rPr>
      </w:pPr>
      <w:r>
        <w:rPr>
          <w:rFonts w:hint="eastAsia" w:ascii="宋体" w:hAnsi="宋体" w:cs="宋体"/>
          <w:bCs/>
          <w:color w:val="000000"/>
          <w:sz w:val="24"/>
          <w:szCs w:val="24"/>
        </w:rPr>
        <w:t>31.1</w:t>
      </w:r>
      <w:r>
        <w:rPr>
          <w:rFonts w:hint="eastAsia" w:ascii="宋体" w:hAnsi="宋体" w:cs="宋体"/>
          <w:sz w:val="24"/>
          <w:szCs w:val="24"/>
        </w:rPr>
        <w:t>本项目不收取履约保证金。</w:t>
      </w:r>
    </w:p>
    <w:p w14:paraId="051DB208">
      <w:pPr>
        <w:pStyle w:val="28"/>
        <w:spacing w:line="360" w:lineRule="auto"/>
        <w:rPr>
          <w:rFonts w:hint="eastAsia" w:ascii="宋体" w:hAnsi="宋体" w:cs="宋体"/>
          <w:sz w:val="24"/>
          <w:szCs w:val="24"/>
        </w:rPr>
      </w:pPr>
      <w:r>
        <w:rPr>
          <w:rFonts w:hint="eastAsia" w:ascii="宋体" w:hAnsi="宋体" w:cs="宋体"/>
          <w:sz w:val="24"/>
          <w:szCs w:val="24"/>
        </w:rPr>
        <w:t>八、其他</w:t>
      </w:r>
    </w:p>
    <w:p w14:paraId="5F439819">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32、</w:t>
      </w:r>
      <w:r>
        <w:rPr>
          <w:rFonts w:hint="eastAsia" w:ascii="宋体" w:hAnsi="宋体" w:cs="宋体"/>
          <w:color w:val="000000"/>
          <w:sz w:val="24"/>
          <w:szCs w:val="24"/>
        </w:rPr>
        <w:t>未尽事宜按国家有关规定执行。</w:t>
      </w:r>
    </w:p>
    <w:p w14:paraId="3F2EE3F4">
      <w:pPr>
        <w:shd w:val="clear" w:color="auto" w:fill="FFFFFF"/>
        <w:snapToGrid w:val="0"/>
        <w:spacing w:line="360" w:lineRule="auto"/>
        <w:ind w:firstLine="241" w:firstLineChars="100"/>
        <w:rPr>
          <w:rFonts w:hint="eastAsia" w:ascii="宋体" w:hAnsi="宋体" w:cs="宋体"/>
          <w:color w:val="000000"/>
          <w:sz w:val="24"/>
          <w:szCs w:val="24"/>
        </w:rPr>
      </w:pPr>
      <w:r>
        <w:rPr>
          <w:rFonts w:hint="eastAsia" w:ascii="宋体" w:hAnsi="宋体" w:cs="宋体"/>
          <w:b/>
          <w:bCs/>
          <w:color w:val="000000"/>
          <w:sz w:val="24"/>
          <w:szCs w:val="24"/>
        </w:rPr>
        <w:t>33、</w:t>
      </w:r>
      <w:r>
        <w:rPr>
          <w:rFonts w:hint="eastAsia" w:ascii="宋体" w:hAnsi="宋体" w:cs="宋体"/>
          <w:color w:val="000000"/>
          <w:sz w:val="24"/>
          <w:szCs w:val="24"/>
        </w:rPr>
        <w:t>本招标文件最终解释权归采购人。</w:t>
      </w:r>
    </w:p>
    <w:p w14:paraId="04EBDE90">
      <w:pPr>
        <w:pStyle w:val="2"/>
        <w:keepNext w:val="0"/>
        <w:keepLines w:val="0"/>
        <w:pageBreakBefore/>
        <w:spacing w:before="120" w:after="120" w:line="400" w:lineRule="exact"/>
        <w:jc w:val="center"/>
        <w:rPr>
          <w:rFonts w:hint="eastAsia" w:ascii="宋体" w:hAnsi="宋体" w:cs="宋体"/>
          <w:b w:val="0"/>
          <w:bCs w:val="0"/>
          <w:kern w:val="0"/>
          <w:sz w:val="24"/>
          <w:szCs w:val="24"/>
        </w:rPr>
      </w:pPr>
      <w:bookmarkStart w:id="32" w:name="_Toc18952"/>
      <w:bookmarkStart w:id="33" w:name="_Toc5200"/>
      <w:r>
        <w:rPr>
          <w:rFonts w:hint="eastAsia" w:ascii="宋体" w:hAnsi="宋体" w:cs="宋体"/>
          <w:sz w:val="36"/>
          <w:szCs w:val="36"/>
        </w:rPr>
        <w:t>第三章 评标办法</w:t>
      </w:r>
      <w:bookmarkEnd w:id="32"/>
      <w:bookmarkEnd w:id="33"/>
    </w:p>
    <w:p w14:paraId="67C5E266">
      <w:pPr>
        <w:pStyle w:val="27"/>
        <w:keepNext w:val="0"/>
        <w:keepLines w:val="0"/>
        <w:tabs>
          <w:tab w:val="left" w:pos="540"/>
        </w:tabs>
        <w:spacing w:before="0" w:line="360" w:lineRule="auto"/>
        <w:jc w:val="left"/>
        <w:rPr>
          <w:rFonts w:hint="eastAsia" w:ascii="宋体" w:hAnsi="宋体" w:eastAsia="宋体"/>
          <w:sz w:val="24"/>
          <w:szCs w:val="24"/>
        </w:rPr>
      </w:pPr>
      <w:bookmarkStart w:id="34" w:name="_Toc28251232"/>
      <w:bookmarkStart w:id="35" w:name="_Toc11528"/>
      <w:bookmarkStart w:id="36" w:name="_Toc38013557"/>
      <w:bookmarkStart w:id="37" w:name="_Toc13844"/>
      <w:r>
        <w:rPr>
          <w:rFonts w:hint="eastAsia" w:ascii="宋体" w:hAnsi="宋体" w:eastAsia="宋体"/>
          <w:sz w:val="24"/>
          <w:szCs w:val="24"/>
        </w:rPr>
        <w:t>1.评标方法</w:t>
      </w:r>
      <w:bookmarkEnd w:id="34"/>
      <w:bookmarkEnd w:id="35"/>
      <w:bookmarkEnd w:id="36"/>
      <w:bookmarkEnd w:id="37"/>
    </w:p>
    <w:p w14:paraId="2D8B43B7">
      <w:pPr>
        <w:spacing w:line="360" w:lineRule="auto"/>
        <w:ind w:firstLine="480" w:firstLineChars="200"/>
        <w:rPr>
          <w:rFonts w:hint="eastAsia" w:ascii="宋体" w:hAnsi="宋体" w:cs="宋体"/>
          <w:sz w:val="24"/>
          <w:szCs w:val="24"/>
        </w:rPr>
      </w:pPr>
      <w:r>
        <w:rPr>
          <w:rFonts w:hint="eastAsia" w:ascii="宋体" w:hAnsi="宋体" w:cs="宋体"/>
          <w:sz w:val="24"/>
          <w:szCs w:val="24"/>
        </w:rPr>
        <w:t>本次评标采用综合评分法。评标委员会对满足招标文件实质性要求的投标文件，按本章节规定的评分标准进行综合评分，并按得分由高到低顺序推荐3名中标候选人。综合评分相等时，由招标人根据相关规定自行确定。</w:t>
      </w:r>
    </w:p>
    <w:p w14:paraId="52B18318">
      <w:pPr>
        <w:pStyle w:val="27"/>
        <w:keepNext w:val="0"/>
        <w:keepLines w:val="0"/>
        <w:tabs>
          <w:tab w:val="left" w:pos="540"/>
        </w:tabs>
        <w:spacing w:before="0" w:line="360" w:lineRule="auto"/>
        <w:jc w:val="left"/>
        <w:rPr>
          <w:rFonts w:hint="eastAsia" w:ascii="宋体" w:hAnsi="宋体" w:eastAsia="宋体"/>
          <w:sz w:val="24"/>
          <w:szCs w:val="24"/>
        </w:rPr>
      </w:pPr>
      <w:bookmarkStart w:id="38" w:name="_Toc28030"/>
      <w:bookmarkEnd w:id="38"/>
      <w:bookmarkStart w:id="39" w:name="_Toc179632619"/>
      <w:bookmarkEnd w:id="39"/>
      <w:bookmarkStart w:id="40" w:name="_Toc19618"/>
      <w:bookmarkEnd w:id="40"/>
      <w:bookmarkStart w:id="41" w:name="_Toc22883"/>
      <w:bookmarkStart w:id="42" w:name="_Toc29880"/>
      <w:bookmarkStart w:id="43" w:name="_Toc3105"/>
      <w:bookmarkStart w:id="44" w:name="_Toc28251233"/>
      <w:bookmarkStart w:id="45" w:name="_Toc38013558"/>
      <w:r>
        <w:rPr>
          <w:rFonts w:hint="eastAsia" w:ascii="宋体" w:hAnsi="宋体" w:eastAsia="宋体"/>
          <w:sz w:val="24"/>
          <w:szCs w:val="24"/>
        </w:rPr>
        <w:t>2. 评审标准</w:t>
      </w:r>
      <w:bookmarkEnd w:id="41"/>
      <w:bookmarkEnd w:id="42"/>
      <w:bookmarkEnd w:id="43"/>
      <w:bookmarkEnd w:id="44"/>
      <w:bookmarkEnd w:id="45"/>
    </w:p>
    <w:p w14:paraId="7EFF11B9">
      <w:pPr>
        <w:pStyle w:val="29"/>
        <w:keepNext w:val="0"/>
        <w:keepLines w:val="0"/>
        <w:spacing w:line="360" w:lineRule="auto"/>
        <w:jc w:val="left"/>
        <w:rPr>
          <w:rFonts w:hint="eastAsia" w:ascii="宋体" w:hAnsi="宋体" w:eastAsia="宋体"/>
        </w:rPr>
      </w:pPr>
      <w:bookmarkStart w:id="46" w:name="_Toc12931"/>
      <w:bookmarkEnd w:id="46"/>
      <w:bookmarkStart w:id="47" w:name="_Toc23196"/>
      <w:bookmarkEnd w:id="47"/>
      <w:bookmarkStart w:id="48" w:name="_Toc179632620"/>
      <w:bookmarkEnd w:id="48"/>
      <w:bookmarkStart w:id="49" w:name="_Toc31847"/>
      <w:bookmarkEnd w:id="49"/>
      <w:bookmarkStart w:id="50" w:name="_Toc28251234"/>
      <w:bookmarkStart w:id="51" w:name="_Toc38013559"/>
      <w:bookmarkStart w:id="52" w:name="_Toc16690667"/>
      <w:bookmarkStart w:id="53" w:name="_Toc8346"/>
      <w:bookmarkStart w:id="54" w:name="_Toc8794"/>
      <w:r>
        <w:rPr>
          <w:rFonts w:hint="eastAsia" w:ascii="宋体" w:hAnsi="宋体" w:eastAsia="宋体"/>
        </w:rPr>
        <w:t>2.1初步评审标准</w:t>
      </w:r>
      <w:bookmarkEnd w:id="50"/>
      <w:bookmarkEnd w:id="51"/>
      <w:bookmarkEnd w:id="52"/>
      <w:bookmarkEnd w:id="53"/>
      <w:bookmarkEnd w:id="54"/>
    </w:p>
    <w:p w14:paraId="1A57D687">
      <w:pPr>
        <w:spacing w:line="360" w:lineRule="auto"/>
        <w:ind w:firstLine="480" w:firstLineChars="200"/>
        <w:rPr>
          <w:rFonts w:hint="eastAsia" w:ascii="宋体" w:hAnsi="宋体" w:cs="宋体"/>
          <w:sz w:val="24"/>
          <w:szCs w:val="24"/>
        </w:rPr>
      </w:pPr>
      <w:r>
        <w:rPr>
          <w:rFonts w:hint="eastAsia" w:ascii="宋体" w:hAnsi="宋体" w:cs="宋体"/>
          <w:sz w:val="24"/>
          <w:szCs w:val="24"/>
        </w:rPr>
        <w:t>2.1.1 形式评审标准：见评标办法前附表。</w:t>
      </w:r>
    </w:p>
    <w:p w14:paraId="36CDB74F">
      <w:pPr>
        <w:spacing w:line="360" w:lineRule="auto"/>
        <w:ind w:firstLine="480" w:firstLineChars="200"/>
        <w:rPr>
          <w:rFonts w:hint="eastAsia" w:ascii="宋体" w:hAnsi="宋体" w:cs="宋体"/>
          <w:sz w:val="24"/>
          <w:szCs w:val="24"/>
        </w:rPr>
      </w:pPr>
      <w:r>
        <w:rPr>
          <w:rFonts w:hint="eastAsia" w:ascii="宋体" w:hAnsi="宋体" w:cs="宋体"/>
          <w:sz w:val="24"/>
          <w:szCs w:val="24"/>
        </w:rPr>
        <w:t>2.1.2 资格评审标准：见评标办法前附表。</w:t>
      </w:r>
    </w:p>
    <w:p w14:paraId="0CFE295E">
      <w:pPr>
        <w:spacing w:line="360" w:lineRule="auto"/>
        <w:ind w:firstLine="480" w:firstLineChars="200"/>
        <w:rPr>
          <w:rFonts w:hint="eastAsia" w:ascii="宋体" w:hAnsi="宋体" w:cs="宋体"/>
          <w:sz w:val="24"/>
          <w:szCs w:val="24"/>
        </w:rPr>
      </w:pPr>
      <w:r>
        <w:rPr>
          <w:rFonts w:hint="eastAsia" w:ascii="宋体" w:hAnsi="宋体" w:cs="宋体"/>
          <w:sz w:val="24"/>
          <w:szCs w:val="24"/>
        </w:rPr>
        <w:t>2.1.3 响应性评审标准：见评标办法前附表。</w:t>
      </w:r>
    </w:p>
    <w:p w14:paraId="0D85C28F">
      <w:pPr>
        <w:pStyle w:val="29"/>
        <w:keepNext w:val="0"/>
        <w:keepLines w:val="0"/>
        <w:spacing w:line="360" w:lineRule="auto"/>
        <w:jc w:val="left"/>
        <w:rPr>
          <w:rFonts w:hint="eastAsia" w:ascii="宋体" w:hAnsi="宋体" w:eastAsia="宋体"/>
        </w:rPr>
      </w:pPr>
      <w:bookmarkStart w:id="55" w:name="_Toc607"/>
      <w:bookmarkEnd w:id="55"/>
      <w:bookmarkStart w:id="56" w:name="_Toc16603"/>
      <w:bookmarkEnd w:id="56"/>
      <w:bookmarkStart w:id="57" w:name="_Toc11804"/>
      <w:bookmarkEnd w:id="57"/>
      <w:bookmarkStart w:id="58" w:name="_Toc179632621"/>
      <w:bookmarkEnd w:id="58"/>
      <w:bookmarkStart w:id="59" w:name="_Toc38013560"/>
      <w:bookmarkStart w:id="60" w:name="_Toc17361"/>
      <w:bookmarkStart w:id="61" w:name="_Toc1342"/>
      <w:bookmarkStart w:id="62" w:name="_Toc28251235"/>
      <w:bookmarkStart w:id="63" w:name="_Toc16690668"/>
      <w:r>
        <w:rPr>
          <w:rFonts w:hint="eastAsia" w:ascii="宋体" w:hAnsi="宋体" w:eastAsia="宋体"/>
        </w:rPr>
        <w:t>2.2 分值构成与评分标准</w:t>
      </w:r>
      <w:bookmarkEnd w:id="59"/>
      <w:bookmarkEnd w:id="60"/>
      <w:bookmarkEnd w:id="61"/>
      <w:bookmarkEnd w:id="62"/>
      <w:bookmarkEnd w:id="63"/>
    </w:p>
    <w:p w14:paraId="5F859F65">
      <w:pPr>
        <w:spacing w:line="360" w:lineRule="auto"/>
        <w:ind w:firstLine="480" w:firstLineChars="200"/>
        <w:rPr>
          <w:rFonts w:hint="eastAsia" w:ascii="宋体" w:hAnsi="宋体" w:cs="宋体"/>
          <w:sz w:val="24"/>
          <w:szCs w:val="24"/>
        </w:rPr>
      </w:pPr>
      <w:r>
        <w:rPr>
          <w:rFonts w:hint="eastAsia" w:ascii="宋体" w:hAnsi="宋体" w:cs="宋体"/>
          <w:sz w:val="24"/>
          <w:szCs w:val="24"/>
        </w:rPr>
        <w:t>2.2.1 分值构成：见详细评审表。</w:t>
      </w:r>
    </w:p>
    <w:p w14:paraId="2440CF6B">
      <w:pPr>
        <w:spacing w:line="360" w:lineRule="auto"/>
        <w:ind w:firstLine="480" w:firstLineChars="200"/>
        <w:rPr>
          <w:rFonts w:hint="eastAsia" w:ascii="宋体" w:hAnsi="宋体" w:cs="宋体"/>
          <w:sz w:val="24"/>
          <w:szCs w:val="24"/>
        </w:rPr>
      </w:pPr>
      <w:r>
        <w:rPr>
          <w:rFonts w:hint="eastAsia" w:ascii="宋体" w:hAnsi="宋体" w:cs="宋体"/>
          <w:sz w:val="24"/>
          <w:szCs w:val="24"/>
        </w:rPr>
        <w:t>2.2.2 评分标准：见详细评审表。</w:t>
      </w:r>
    </w:p>
    <w:p w14:paraId="6561FAA9">
      <w:pPr>
        <w:pStyle w:val="27"/>
        <w:keepNext w:val="0"/>
        <w:keepLines w:val="0"/>
        <w:tabs>
          <w:tab w:val="left" w:pos="540"/>
        </w:tabs>
        <w:spacing w:before="0" w:line="360" w:lineRule="auto"/>
        <w:jc w:val="left"/>
        <w:rPr>
          <w:rFonts w:hint="eastAsia" w:ascii="宋体" w:hAnsi="宋体" w:eastAsia="宋体"/>
          <w:sz w:val="24"/>
          <w:szCs w:val="24"/>
        </w:rPr>
      </w:pPr>
      <w:bookmarkStart w:id="64" w:name="_Toc152045604"/>
      <w:bookmarkEnd w:id="64"/>
      <w:bookmarkStart w:id="65" w:name="_Toc144974571"/>
      <w:bookmarkEnd w:id="65"/>
      <w:bookmarkStart w:id="66" w:name="_Toc11715"/>
      <w:bookmarkEnd w:id="66"/>
      <w:bookmarkStart w:id="67" w:name="_Toc13158"/>
      <w:bookmarkEnd w:id="67"/>
      <w:bookmarkStart w:id="68" w:name="_Toc179632622"/>
      <w:bookmarkEnd w:id="68"/>
      <w:bookmarkStart w:id="69" w:name="_Toc25534"/>
      <w:bookmarkEnd w:id="69"/>
      <w:bookmarkStart w:id="70" w:name="_Toc28251236"/>
      <w:bookmarkStart w:id="71" w:name="_Toc152042381"/>
      <w:bookmarkStart w:id="72" w:name="_Toc38013561"/>
      <w:bookmarkStart w:id="73" w:name="_Toc30473"/>
      <w:bookmarkStart w:id="74" w:name="_Toc32601"/>
      <w:r>
        <w:rPr>
          <w:rFonts w:hint="eastAsia" w:ascii="宋体" w:hAnsi="宋体" w:eastAsia="宋体"/>
          <w:sz w:val="24"/>
          <w:szCs w:val="24"/>
        </w:rPr>
        <w:t>3. 评标程序</w:t>
      </w:r>
      <w:bookmarkEnd w:id="70"/>
      <w:bookmarkEnd w:id="71"/>
      <w:bookmarkEnd w:id="72"/>
      <w:bookmarkEnd w:id="73"/>
      <w:bookmarkEnd w:id="74"/>
    </w:p>
    <w:p w14:paraId="7ADA0779">
      <w:pPr>
        <w:pStyle w:val="29"/>
        <w:keepNext w:val="0"/>
        <w:keepLines w:val="0"/>
        <w:spacing w:line="360" w:lineRule="auto"/>
        <w:jc w:val="left"/>
        <w:rPr>
          <w:rFonts w:hint="eastAsia" w:ascii="宋体" w:hAnsi="宋体" w:eastAsia="宋体"/>
          <w:b/>
        </w:rPr>
      </w:pPr>
      <w:bookmarkStart w:id="75" w:name="_Toc8644"/>
      <w:bookmarkEnd w:id="75"/>
      <w:bookmarkStart w:id="76" w:name="_Toc152045605"/>
      <w:bookmarkEnd w:id="76"/>
      <w:bookmarkStart w:id="77" w:name="_Toc152042382"/>
      <w:bookmarkEnd w:id="77"/>
      <w:bookmarkStart w:id="78" w:name="_Toc31010"/>
      <w:bookmarkEnd w:id="78"/>
      <w:bookmarkStart w:id="79" w:name="_Toc30372"/>
      <w:bookmarkEnd w:id="79"/>
      <w:bookmarkStart w:id="80" w:name="_Toc144974572"/>
      <w:bookmarkEnd w:id="80"/>
      <w:bookmarkStart w:id="81" w:name="_Toc12409"/>
      <w:bookmarkStart w:id="82" w:name="_Toc11875"/>
      <w:bookmarkStart w:id="83" w:name="_Toc179632623"/>
      <w:bookmarkStart w:id="84" w:name="_Toc38013562"/>
      <w:bookmarkStart w:id="85" w:name="_Toc28251237"/>
      <w:bookmarkStart w:id="86" w:name="_Toc16690670"/>
      <w:r>
        <w:rPr>
          <w:rFonts w:hint="eastAsia" w:ascii="宋体" w:hAnsi="宋体" w:eastAsia="宋体"/>
        </w:rPr>
        <w:t>3.1 初步评审</w:t>
      </w:r>
      <w:bookmarkEnd w:id="81"/>
      <w:bookmarkEnd w:id="82"/>
      <w:bookmarkEnd w:id="83"/>
      <w:bookmarkEnd w:id="84"/>
      <w:bookmarkEnd w:id="85"/>
      <w:bookmarkEnd w:id="86"/>
    </w:p>
    <w:p w14:paraId="195DA43F">
      <w:pPr>
        <w:spacing w:line="360" w:lineRule="auto"/>
        <w:ind w:firstLine="480" w:firstLineChars="200"/>
        <w:rPr>
          <w:rFonts w:hint="eastAsia" w:ascii="宋体" w:hAnsi="宋体" w:cs="宋体"/>
          <w:sz w:val="24"/>
          <w:szCs w:val="24"/>
        </w:rPr>
      </w:pPr>
      <w:r>
        <w:rPr>
          <w:rFonts w:hint="eastAsia" w:ascii="宋体" w:hAnsi="宋体" w:cs="宋体"/>
          <w:sz w:val="24"/>
          <w:szCs w:val="24"/>
        </w:rPr>
        <w:t>3.1.1招标人根据本章规定得资格评审办法对投标人进行资格审查，资格审查资料以投标人投标文件中所附资料为准，进行核验。</w:t>
      </w:r>
      <w:r>
        <w:rPr>
          <w:rFonts w:hint="eastAsia" w:ascii="宋体" w:hAnsi="宋体" w:cs="宋体"/>
          <w:bCs/>
          <w:sz w:val="24"/>
          <w:szCs w:val="24"/>
        </w:rPr>
        <w:t>通过资格审查的投标人由</w:t>
      </w:r>
      <w:r>
        <w:rPr>
          <w:rFonts w:hint="eastAsia" w:ascii="宋体" w:hAnsi="宋体" w:cs="宋体"/>
          <w:sz w:val="24"/>
          <w:szCs w:val="24"/>
        </w:rPr>
        <w:t>评标小组依据本章第2.1款规定的标准对投标文件进行</w:t>
      </w:r>
      <w:r>
        <w:rPr>
          <w:rFonts w:hint="eastAsia" w:ascii="宋体" w:hAnsi="宋体" w:cs="宋体"/>
          <w:bCs/>
          <w:sz w:val="24"/>
          <w:szCs w:val="24"/>
        </w:rPr>
        <w:t>形式评审、响应性评审</w:t>
      </w:r>
      <w:r>
        <w:rPr>
          <w:rFonts w:hint="eastAsia" w:ascii="宋体" w:hAnsi="宋体" w:cs="宋体"/>
          <w:sz w:val="24"/>
          <w:szCs w:val="24"/>
        </w:rPr>
        <w:t>。有一项不符合评审标准的，其投标将被否决。</w:t>
      </w:r>
    </w:p>
    <w:p w14:paraId="3872BEF5">
      <w:pPr>
        <w:spacing w:line="360" w:lineRule="auto"/>
        <w:ind w:firstLine="480" w:firstLineChars="200"/>
        <w:rPr>
          <w:rFonts w:hint="eastAsia" w:ascii="宋体" w:hAnsi="宋体" w:cs="宋体"/>
          <w:sz w:val="24"/>
          <w:szCs w:val="24"/>
        </w:rPr>
      </w:pPr>
      <w:r>
        <w:rPr>
          <w:rFonts w:hint="eastAsia" w:ascii="宋体" w:hAnsi="宋体" w:cs="宋体"/>
          <w:sz w:val="24"/>
          <w:szCs w:val="24"/>
        </w:rPr>
        <w:t>3.1.2供应商有以下情形之一的，其投标作无效标处理：</w:t>
      </w:r>
    </w:p>
    <w:p w14:paraId="25148E14">
      <w:pPr>
        <w:spacing w:line="360" w:lineRule="auto"/>
        <w:ind w:firstLine="480" w:firstLineChars="200"/>
        <w:rPr>
          <w:rFonts w:hint="eastAsia" w:ascii="宋体" w:hAnsi="宋体" w:cs="宋体"/>
          <w:sz w:val="24"/>
          <w:szCs w:val="24"/>
        </w:rPr>
      </w:pPr>
      <w:r>
        <w:rPr>
          <w:rFonts w:hint="eastAsia" w:ascii="宋体" w:hAnsi="宋体" w:cs="宋体"/>
          <w:sz w:val="24"/>
          <w:szCs w:val="24"/>
        </w:rPr>
        <w:t>（1）串通投标或弄虚作假或有其他违法行为的；</w:t>
      </w:r>
    </w:p>
    <w:p w14:paraId="209B5D46">
      <w:pPr>
        <w:spacing w:line="360" w:lineRule="auto"/>
        <w:ind w:firstLine="480" w:firstLineChars="200"/>
        <w:rPr>
          <w:rFonts w:hint="eastAsia" w:ascii="宋体" w:hAnsi="宋体" w:cs="宋体"/>
          <w:sz w:val="24"/>
          <w:szCs w:val="24"/>
        </w:rPr>
      </w:pPr>
      <w:r>
        <w:rPr>
          <w:rFonts w:hint="eastAsia" w:ascii="宋体" w:hAnsi="宋体" w:cs="宋体"/>
          <w:sz w:val="24"/>
          <w:szCs w:val="24"/>
        </w:rPr>
        <w:t>（2）不按评标小组要求澄清、说明或补正的。</w:t>
      </w:r>
    </w:p>
    <w:p w14:paraId="03560F44">
      <w:pPr>
        <w:spacing w:line="360" w:lineRule="auto"/>
        <w:ind w:firstLine="480" w:firstLineChars="200"/>
        <w:rPr>
          <w:rFonts w:hint="eastAsia" w:ascii="宋体" w:hAnsi="宋体" w:cs="宋体"/>
          <w:sz w:val="24"/>
          <w:szCs w:val="24"/>
        </w:rPr>
      </w:pPr>
      <w:r>
        <w:rPr>
          <w:rFonts w:hint="eastAsia" w:ascii="宋体" w:hAnsi="宋体" w:cs="宋体"/>
          <w:sz w:val="24"/>
          <w:szCs w:val="24"/>
        </w:rPr>
        <w:t>3.1.3投标报价有算术错误的，评标小组按以下原则对投标报价进行修正，修正的价格经供应商书面确认后具有约束力。供应商不接受修正价格的，其投标将被否决。</w:t>
      </w:r>
    </w:p>
    <w:p w14:paraId="17944619">
      <w:pPr>
        <w:spacing w:line="360" w:lineRule="auto"/>
        <w:ind w:firstLine="480" w:firstLineChars="200"/>
        <w:rPr>
          <w:rFonts w:hint="eastAsia" w:ascii="宋体" w:hAnsi="宋体" w:cs="宋体"/>
          <w:sz w:val="24"/>
          <w:szCs w:val="24"/>
        </w:rPr>
      </w:pPr>
      <w:bookmarkStart w:id="87" w:name="_Toc152042383"/>
      <w:bookmarkEnd w:id="87"/>
      <w:r>
        <w:rPr>
          <w:rFonts w:hint="eastAsia" w:ascii="宋体" w:hAnsi="宋体" w:cs="宋体"/>
          <w:sz w:val="24"/>
          <w:szCs w:val="24"/>
        </w:rPr>
        <w:t>（1）投标文件中的大写金额与小写金额不一致的，以大写金额为准；</w:t>
      </w:r>
    </w:p>
    <w:p w14:paraId="2E51EEDF">
      <w:pPr>
        <w:spacing w:line="360" w:lineRule="auto"/>
        <w:ind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1845A6EC">
      <w:pPr>
        <w:pStyle w:val="29"/>
        <w:keepNext w:val="0"/>
        <w:keepLines w:val="0"/>
        <w:spacing w:line="360" w:lineRule="auto"/>
        <w:jc w:val="left"/>
        <w:rPr>
          <w:rFonts w:hint="eastAsia" w:ascii="宋体" w:hAnsi="宋体" w:eastAsia="宋体"/>
          <w:b/>
        </w:rPr>
      </w:pPr>
      <w:bookmarkStart w:id="88" w:name="_Toc152042384"/>
      <w:bookmarkEnd w:id="88"/>
      <w:bookmarkStart w:id="89" w:name="_Toc144974573"/>
      <w:bookmarkEnd w:id="89"/>
      <w:bookmarkStart w:id="90" w:name="_Toc179632624"/>
      <w:bookmarkEnd w:id="90"/>
      <w:bookmarkStart w:id="91" w:name="_Toc28251238"/>
      <w:bookmarkStart w:id="92" w:name="_Toc18657"/>
      <w:bookmarkStart w:id="93" w:name="_Toc32019"/>
      <w:bookmarkStart w:id="94" w:name="_Toc16690671"/>
      <w:bookmarkStart w:id="95" w:name="_Toc38013563"/>
      <w:bookmarkStart w:id="96" w:name="_Toc152045606"/>
      <w:r>
        <w:rPr>
          <w:rFonts w:hint="eastAsia" w:ascii="宋体" w:hAnsi="宋体" w:eastAsia="宋体"/>
        </w:rPr>
        <w:t>3.2详细评审</w:t>
      </w:r>
      <w:bookmarkEnd w:id="91"/>
      <w:bookmarkEnd w:id="92"/>
      <w:bookmarkEnd w:id="93"/>
      <w:bookmarkEnd w:id="94"/>
      <w:bookmarkEnd w:id="95"/>
      <w:bookmarkEnd w:id="96"/>
    </w:p>
    <w:p w14:paraId="43217145">
      <w:pPr>
        <w:spacing w:line="360" w:lineRule="auto"/>
        <w:ind w:firstLine="480" w:firstLineChars="200"/>
        <w:rPr>
          <w:rFonts w:hint="eastAsia" w:ascii="宋体" w:hAnsi="宋体" w:cs="宋体"/>
          <w:sz w:val="24"/>
          <w:szCs w:val="24"/>
        </w:rPr>
      </w:pPr>
      <w:r>
        <w:rPr>
          <w:rFonts w:hint="eastAsia" w:ascii="宋体" w:hAnsi="宋体" w:cs="宋体"/>
          <w:sz w:val="24"/>
          <w:szCs w:val="24"/>
        </w:rPr>
        <w:t>3.2.1评标小组按本章第2.2款规定的量化因素和分值进行打分，并计算出综合评估得分。</w:t>
      </w:r>
    </w:p>
    <w:p w14:paraId="75032D1E">
      <w:pPr>
        <w:spacing w:line="360" w:lineRule="auto"/>
        <w:ind w:firstLine="480" w:firstLineChars="200"/>
        <w:rPr>
          <w:rFonts w:hint="eastAsia" w:ascii="宋体" w:hAnsi="宋体" w:cs="宋体"/>
          <w:sz w:val="24"/>
          <w:szCs w:val="24"/>
        </w:rPr>
      </w:pPr>
      <w:r>
        <w:rPr>
          <w:rFonts w:hint="eastAsia" w:ascii="宋体" w:hAnsi="宋体" w:cs="宋体"/>
          <w:sz w:val="24"/>
          <w:szCs w:val="24"/>
        </w:rPr>
        <w:t>3.2.2评标小组发现供应商最终提交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小组认定该供应商以低于成本报价投标，其投标作无效标处理。</w:t>
      </w:r>
    </w:p>
    <w:p w14:paraId="15E6DBED">
      <w:pPr>
        <w:pStyle w:val="29"/>
        <w:keepNext w:val="0"/>
        <w:keepLines w:val="0"/>
        <w:spacing w:line="360" w:lineRule="auto"/>
        <w:jc w:val="left"/>
        <w:rPr>
          <w:rFonts w:hint="eastAsia" w:ascii="宋体" w:hAnsi="宋体" w:eastAsia="宋体"/>
        </w:rPr>
      </w:pPr>
      <w:bookmarkStart w:id="97" w:name="_Toc421805017"/>
      <w:bookmarkEnd w:id="97"/>
      <w:bookmarkStart w:id="98" w:name="_Toc418605429"/>
      <w:bookmarkEnd w:id="98"/>
      <w:bookmarkStart w:id="99" w:name="_Toc466566711"/>
      <w:bookmarkEnd w:id="99"/>
      <w:bookmarkStart w:id="100" w:name="_Toc401512224"/>
      <w:bookmarkEnd w:id="100"/>
      <w:bookmarkStart w:id="101" w:name="_Toc179632625"/>
      <w:bookmarkEnd w:id="101"/>
      <w:bookmarkStart w:id="102" w:name="_Toc387498748"/>
      <w:bookmarkEnd w:id="102"/>
      <w:bookmarkStart w:id="103" w:name="_Toc421698384"/>
      <w:bookmarkEnd w:id="103"/>
      <w:bookmarkStart w:id="104" w:name="_Toc152042385"/>
      <w:bookmarkEnd w:id="104"/>
      <w:bookmarkStart w:id="105" w:name="_Toc144974575"/>
      <w:bookmarkEnd w:id="105"/>
      <w:bookmarkStart w:id="106" w:name="_Toc418608950"/>
      <w:bookmarkEnd w:id="106"/>
      <w:bookmarkStart w:id="107" w:name="_Toc423358132"/>
      <w:bookmarkEnd w:id="107"/>
      <w:bookmarkStart w:id="108" w:name="_Toc401926485"/>
      <w:bookmarkEnd w:id="108"/>
      <w:bookmarkStart w:id="109" w:name="_Toc389384087"/>
      <w:bookmarkEnd w:id="109"/>
      <w:bookmarkStart w:id="110" w:name="_Toc466566800"/>
      <w:bookmarkEnd w:id="110"/>
      <w:bookmarkStart w:id="111" w:name="_Toc152045607"/>
      <w:bookmarkStart w:id="112" w:name="_Toc17285"/>
      <w:bookmarkStart w:id="113" w:name="_Toc38013564"/>
      <w:bookmarkStart w:id="114" w:name="_Toc5619"/>
      <w:bookmarkStart w:id="115" w:name="_Toc16690672"/>
      <w:bookmarkStart w:id="116" w:name="_Toc28251239"/>
      <w:r>
        <w:rPr>
          <w:rFonts w:hint="eastAsia" w:ascii="宋体" w:hAnsi="宋体" w:eastAsia="宋体"/>
        </w:rPr>
        <w:t xml:space="preserve">3.3 </w:t>
      </w:r>
      <w:bookmarkEnd w:id="111"/>
      <w:r>
        <w:rPr>
          <w:rFonts w:hint="eastAsia" w:ascii="宋体" w:hAnsi="宋体" w:eastAsia="宋体"/>
        </w:rPr>
        <w:t>投标文件的澄清和补正</w:t>
      </w:r>
      <w:bookmarkEnd w:id="112"/>
      <w:bookmarkEnd w:id="113"/>
      <w:bookmarkEnd w:id="114"/>
      <w:bookmarkEnd w:id="115"/>
      <w:bookmarkEnd w:id="116"/>
    </w:p>
    <w:p w14:paraId="548FC8AC">
      <w:pPr>
        <w:spacing w:line="360" w:lineRule="auto"/>
        <w:ind w:firstLine="480" w:firstLineChars="200"/>
        <w:rPr>
          <w:rFonts w:hint="eastAsia" w:ascii="宋体" w:hAnsi="宋体" w:cs="宋体"/>
          <w:sz w:val="24"/>
          <w:szCs w:val="24"/>
        </w:rPr>
      </w:pPr>
      <w:r>
        <w:rPr>
          <w:rFonts w:hint="eastAsia" w:ascii="宋体" w:hAnsi="宋体" w:cs="宋体"/>
          <w:sz w:val="24"/>
          <w:szCs w:val="24"/>
        </w:rPr>
        <w:t>3.3.1</w:t>
      </w:r>
      <w:r>
        <w:rPr>
          <w:rFonts w:hint="eastAsia" w:ascii="宋体" w:hAnsi="宋体" w:cs="宋体"/>
          <w:color w:val="000000"/>
          <w:sz w:val="24"/>
          <w:szCs w:val="24"/>
        </w:rPr>
        <w:t>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hint="eastAsia" w:ascii="宋体" w:hAnsi="宋体" w:cs="宋体"/>
          <w:sz w:val="24"/>
          <w:szCs w:val="24"/>
        </w:rPr>
        <w:t>评标小组不接受供应商主动提出的澄清、说明或补正。</w:t>
      </w:r>
    </w:p>
    <w:p w14:paraId="2B124374">
      <w:pPr>
        <w:spacing w:line="360" w:lineRule="auto"/>
        <w:ind w:firstLine="480" w:firstLineChars="200"/>
        <w:rPr>
          <w:rFonts w:hint="eastAsia" w:ascii="宋体" w:hAnsi="宋体" w:cs="宋体"/>
          <w:sz w:val="24"/>
          <w:szCs w:val="24"/>
        </w:rPr>
      </w:pPr>
      <w:r>
        <w:rPr>
          <w:rFonts w:hint="eastAsia" w:ascii="宋体" w:hAnsi="宋体" w:cs="宋体"/>
          <w:sz w:val="24"/>
          <w:szCs w:val="24"/>
        </w:rPr>
        <w:t>3.3.2 澄清、说明和补正不得改变投标文件的实质性内容（算术性错误修正的除外）。供应商的书面澄清、说明和补正属于投标文件的组成部分。</w:t>
      </w:r>
    </w:p>
    <w:p w14:paraId="76B2923A">
      <w:pPr>
        <w:spacing w:line="360" w:lineRule="auto"/>
        <w:ind w:firstLine="480" w:firstLineChars="200"/>
        <w:rPr>
          <w:rFonts w:hint="eastAsia" w:ascii="宋体" w:hAnsi="宋体" w:cs="宋体"/>
          <w:sz w:val="24"/>
          <w:szCs w:val="24"/>
        </w:rPr>
      </w:pPr>
      <w:r>
        <w:rPr>
          <w:rFonts w:hint="eastAsia" w:ascii="宋体" w:hAnsi="宋体" w:cs="宋体"/>
          <w:sz w:val="24"/>
          <w:szCs w:val="24"/>
        </w:rPr>
        <w:t>3.3.3 评标小组对供应商提交的澄清、说明或补正有疑问的，可以要求供应商进一步澄清、说明或补正，直至满足评标小组的要求。</w:t>
      </w:r>
    </w:p>
    <w:p w14:paraId="3BA0BA26">
      <w:pPr>
        <w:pStyle w:val="29"/>
        <w:keepNext w:val="0"/>
        <w:keepLines w:val="0"/>
        <w:spacing w:line="360" w:lineRule="auto"/>
        <w:jc w:val="left"/>
        <w:rPr>
          <w:rFonts w:hint="eastAsia" w:ascii="宋体" w:hAnsi="宋体" w:eastAsia="宋体"/>
          <w:b/>
        </w:rPr>
      </w:pPr>
      <w:bookmarkStart w:id="117" w:name="_Toc421805018"/>
      <w:bookmarkEnd w:id="117"/>
      <w:bookmarkStart w:id="118" w:name="_Toc421698385"/>
      <w:bookmarkEnd w:id="118"/>
      <w:bookmarkStart w:id="119" w:name="_Toc152045608"/>
      <w:bookmarkEnd w:id="119"/>
      <w:bookmarkStart w:id="120" w:name="_Toc144974576"/>
      <w:bookmarkEnd w:id="120"/>
      <w:bookmarkStart w:id="121" w:name="_Toc466566712"/>
      <w:bookmarkEnd w:id="121"/>
      <w:bookmarkStart w:id="122" w:name="_Toc466566801"/>
      <w:bookmarkEnd w:id="122"/>
      <w:bookmarkStart w:id="123" w:name="_Toc389384088"/>
      <w:bookmarkEnd w:id="123"/>
      <w:bookmarkStart w:id="124" w:name="_Toc418605430"/>
      <w:bookmarkEnd w:id="124"/>
      <w:bookmarkStart w:id="125" w:name="_Toc179632626"/>
      <w:bookmarkEnd w:id="125"/>
      <w:bookmarkStart w:id="126" w:name="_Toc152042386"/>
      <w:bookmarkEnd w:id="126"/>
      <w:bookmarkStart w:id="127" w:name="_Toc401512225"/>
      <w:bookmarkEnd w:id="127"/>
      <w:bookmarkStart w:id="128" w:name="_Toc418608951"/>
      <w:bookmarkEnd w:id="128"/>
      <w:bookmarkStart w:id="129" w:name="_Toc401926486"/>
      <w:bookmarkEnd w:id="129"/>
      <w:bookmarkStart w:id="130" w:name="_Toc423358133"/>
      <w:bookmarkEnd w:id="130"/>
      <w:bookmarkStart w:id="131" w:name="_Toc387498749"/>
      <w:bookmarkStart w:id="132" w:name="_Toc28251240"/>
      <w:bookmarkStart w:id="133" w:name="_Toc16690673"/>
      <w:bookmarkStart w:id="134" w:name="_Toc21242"/>
      <w:bookmarkStart w:id="135" w:name="_Toc29297"/>
      <w:bookmarkStart w:id="136" w:name="_Toc38013565"/>
      <w:r>
        <w:rPr>
          <w:rFonts w:hint="eastAsia" w:ascii="宋体" w:hAnsi="宋体" w:eastAsia="宋体"/>
        </w:rPr>
        <w:t>3.4供应商的总得分</w:t>
      </w:r>
      <w:bookmarkEnd w:id="131"/>
      <w:bookmarkEnd w:id="132"/>
      <w:bookmarkEnd w:id="133"/>
      <w:bookmarkEnd w:id="134"/>
      <w:bookmarkEnd w:id="135"/>
      <w:bookmarkEnd w:id="136"/>
    </w:p>
    <w:p w14:paraId="2012200B">
      <w:pPr>
        <w:spacing w:line="360" w:lineRule="auto"/>
        <w:ind w:firstLine="480" w:firstLineChars="200"/>
        <w:rPr>
          <w:rFonts w:hint="eastAsia" w:ascii="宋体" w:hAnsi="宋体" w:cs="宋体"/>
          <w:sz w:val="24"/>
          <w:szCs w:val="24"/>
        </w:rPr>
      </w:pPr>
      <w:r>
        <w:rPr>
          <w:rFonts w:hint="eastAsia" w:ascii="宋体" w:hAnsi="宋体" w:cs="宋体"/>
          <w:sz w:val="24"/>
          <w:szCs w:val="24"/>
        </w:rPr>
        <w:t>（1）评标小组完成对技术标、投标报价和商务标得分的汇总后，取平均值作为该供应商的最终得分。</w:t>
      </w:r>
    </w:p>
    <w:p w14:paraId="72641079">
      <w:pPr>
        <w:spacing w:line="360" w:lineRule="auto"/>
        <w:ind w:firstLine="480" w:firstLineChars="200"/>
        <w:rPr>
          <w:rFonts w:hint="eastAsia" w:ascii="宋体" w:hAnsi="宋体" w:cs="宋体"/>
          <w:sz w:val="24"/>
          <w:szCs w:val="24"/>
        </w:rPr>
      </w:pPr>
      <w:r>
        <w:rPr>
          <w:rFonts w:hint="eastAsia" w:ascii="宋体" w:hAnsi="宋体" w:cs="宋体"/>
          <w:sz w:val="24"/>
          <w:szCs w:val="24"/>
        </w:rPr>
        <w:t>（2）计算分值均保留两位小数。</w:t>
      </w:r>
    </w:p>
    <w:p w14:paraId="03D8E0EE">
      <w:pPr>
        <w:pStyle w:val="29"/>
        <w:keepNext w:val="0"/>
        <w:keepLines w:val="0"/>
        <w:spacing w:line="360" w:lineRule="auto"/>
        <w:jc w:val="left"/>
        <w:rPr>
          <w:rFonts w:hint="eastAsia" w:ascii="宋体" w:hAnsi="宋体" w:eastAsia="宋体"/>
          <w:b/>
        </w:rPr>
      </w:pPr>
      <w:bookmarkStart w:id="137" w:name="_Toc38013566"/>
      <w:bookmarkStart w:id="138" w:name="_Toc16690674"/>
      <w:bookmarkStart w:id="139" w:name="_Toc28251241"/>
      <w:bookmarkStart w:id="140" w:name="_Toc14812"/>
      <w:bookmarkStart w:id="141" w:name="_Toc20886"/>
      <w:r>
        <w:rPr>
          <w:rFonts w:hint="eastAsia" w:ascii="宋体" w:hAnsi="宋体" w:eastAsia="宋体"/>
        </w:rPr>
        <w:t>3.5评标结果</w:t>
      </w:r>
      <w:bookmarkEnd w:id="137"/>
      <w:bookmarkEnd w:id="138"/>
      <w:bookmarkEnd w:id="139"/>
      <w:bookmarkEnd w:id="140"/>
      <w:bookmarkEnd w:id="141"/>
    </w:p>
    <w:p w14:paraId="3239BE63">
      <w:pPr>
        <w:spacing w:line="360" w:lineRule="auto"/>
        <w:ind w:firstLine="480" w:firstLineChars="200"/>
        <w:rPr>
          <w:rFonts w:hint="eastAsia" w:ascii="宋体" w:hAnsi="宋体" w:cs="宋体"/>
          <w:sz w:val="24"/>
          <w:szCs w:val="24"/>
        </w:rPr>
      </w:pPr>
      <w:r>
        <w:rPr>
          <w:rFonts w:hint="eastAsia" w:ascii="宋体" w:hAnsi="宋体" w:cs="宋体"/>
          <w:sz w:val="24"/>
          <w:szCs w:val="24"/>
        </w:rPr>
        <w:t>3.5.1评标小组按照得分由高到低的顺序推荐3名中标候选人。</w:t>
      </w:r>
    </w:p>
    <w:p w14:paraId="6C49B115">
      <w:pPr>
        <w:spacing w:line="360" w:lineRule="auto"/>
        <w:ind w:firstLine="480" w:firstLineChars="200"/>
        <w:rPr>
          <w:rFonts w:hint="eastAsia" w:ascii="宋体" w:hAnsi="宋体" w:cs="宋体"/>
          <w:sz w:val="24"/>
          <w:szCs w:val="24"/>
        </w:rPr>
      </w:pPr>
      <w:r>
        <w:rPr>
          <w:rFonts w:hint="eastAsia" w:ascii="宋体" w:hAnsi="宋体" w:cs="宋体"/>
          <w:sz w:val="24"/>
          <w:szCs w:val="24"/>
        </w:rPr>
        <w:t>3.5.2评标小组完成评标后，应当向招标人提交书面评标报告。</w:t>
      </w:r>
    </w:p>
    <w:p w14:paraId="621B59A7">
      <w:pPr>
        <w:rPr>
          <w:rFonts w:hint="eastAsia" w:ascii="宋体" w:hAnsi="宋体" w:cs="宋体"/>
          <w:b/>
          <w:bCs/>
          <w:sz w:val="28"/>
          <w:szCs w:val="28"/>
          <w:highlight w:val="yellow"/>
        </w:rPr>
      </w:pPr>
      <w:bookmarkStart w:id="142" w:name="_Toc12961085"/>
      <w:bookmarkStart w:id="143" w:name="_Toc12959920"/>
      <w:r>
        <w:rPr>
          <w:rFonts w:hint="eastAsia" w:ascii="宋体" w:hAnsi="宋体" w:cs="宋体"/>
          <w:b/>
          <w:bCs/>
          <w:sz w:val="28"/>
          <w:szCs w:val="28"/>
          <w:highlight w:val="yellow"/>
        </w:rPr>
        <w:br w:type="page"/>
      </w:r>
    </w:p>
    <w:p w14:paraId="4E4B5294">
      <w:pPr>
        <w:spacing w:line="276" w:lineRule="auto"/>
        <w:jc w:val="center"/>
        <w:rPr>
          <w:rFonts w:hint="eastAsia" w:ascii="宋体" w:hAnsi="宋体" w:cs="宋体"/>
          <w:b/>
          <w:sz w:val="28"/>
          <w:szCs w:val="28"/>
        </w:rPr>
      </w:pPr>
      <w:r>
        <w:rPr>
          <w:rFonts w:hint="eastAsia" w:ascii="宋体" w:hAnsi="宋体" w:cs="宋体"/>
          <w:b/>
          <w:bCs/>
          <w:sz w:val="28"/>
          <w:szCs w:val="28"/>
        </w:rPr>
        <w:t>初步评审表</w:t>
      </w:r>
    </w:p>
    <w:tbl>
      <w:tblPr>
        <w:tblStyle w:val="22"/>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45"/>
        <w:gridCol w:w="1982"/>
        <w:gridCol w:w="5430"/>
      </w:tblGrid>
      <w:tr w14:paraId="7B48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14:paraId="3AABDBB8">
            <w:pPr>
              <w:spacing w:line="360" w:lineRule="auto"/>
              <w:jc w:val="center"/>
              <w:rPr>
                <w:rFonts w:hint="eastAsia" w:ascii="宋体" w:hAnsi="宋体" w:cs="宋体"/>
                <w:b/>
                <w:bCs/>
              </w:rPr>
            </w:pPr>
            <w:r>
              <w:rPr>
                <w:rFonts w:hint="eastAsia" w:ascii="宋体" w:hAnsi="宋体" w:cs="宋体"/>
                <w:b/>
                <w:bCs/>
              </w:rPr>
              <w:t>条款号</w:t>
            </w:r>
          </w:p>
        </w:tc>
        <w:tc>
          <w:tcPr>
            <w:tcW w:w="1982" w:type="dxa"/>
            <w:tcBorders>
              <w:top w:val="single" w:color="auto" w:sz="4" w:space="0"/>
              <w:left w:val="nil"/>
              <w:bottom w:val="single" w:color="auto" w:sz="4" w:space="0"/>
              <w:right w:val="single" w:color="auto" w:sz="4" w:space="0"/>
            </w:tcBorders>
            <w:vAlign w:val="center"/>
          </w:tcPr>
          <w:p w14:paraId="6E190785">
            <w:pPr>
              <w:spacing w:line="360" w:lineRule="auto"/>
              <w:jc w:val="center"/>
              <w:rPr>
                <w:rFonts w:hint="eastAsia" w:ascii="宋体" w:hAnsi="宋体" w:cs="宋体"/>
                <w:b/>
                <w:bCs/>
              </w:rPr>
            </w:pPr>
            <w:r>
              <w:rPr>
                <w:rFonts w:hint="eastAsia" w:ascii="宋体" w:hAnsi="宋体" w:cs="宋体"/>
                <w:b/>
                <w:bCs/>
              </w:rPr>
              <w:t>评审因素</w:t>
            </w:r>
          </w:p>
        </w:tc>
        <w:tc>
          <w:tcPr>
            <w:tcW w:w="5430" w:type="dxa"/>
            <w:tcBorders>
              <w:top w:val="single" w:color="auto" w:sz="4" w:space="0"/>
              <w:left w:val="nil"/>
              <w:bottom w:val="single" w:color="auto" w:sz="4" w:space="0"/>
              <w:right w:val="single" w:color="auto" w:sz="4" w:space="0"/>
            </w:tcBorders>
            <w:vAlign w:val="center"/>
          </w:tcPr>
          <w:p w14:paraId="514265D0">
            <w:pPr>
              <w:spacing w:line="360" w:lineRule="auto"/>
              <w:jc w:val="center"/>
              <w:rPr>
                <w:rFonts w:hint="eastAsia" w:ascii="宋体" w:hAnsi="宋体" w:cs="宋体"/>
                <w:b/>
                <w:bCs/>
              </w:rPr>
            </w:pPr>
            <w:r>
              <w:rPr>
                <w:rFonts w:hint="eastAsia" w:ascii="宋体" w:hAnsi="宋体" w:cs="宋体"/>
                <w:b/>
                <w:bCs/>
              </w:rPr>
              <w:t>评审标准</w:t>
            </w:r>
          </w:p>
        </w:tc>
      </w:tr>
      <w:tr w14:paraId="506D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1" w:type="dxa"/>
            <w:vMerge w:val="restart"/>
            <w:tcBorders>
              <w:top w:val="nil"/>
              <w:left w:val="single" w:color="auto" w:sz="4" w:space="0"/>
              <w:bottom w:val="single" w:color="auto" w:sz="4" w:space="0"/>
              <w:right w:val="single" w:color="auto" w:sz="4" w:space="0"/>
            </w:tcBorders>
            <w:vAlign w:val="center"/>
          </w:tcPr>
          <w:p w14:paraId="2FA15E0E">
            <w:pPr>
              <w:spacing w:line="360" w:lineRule="auto"/>
              <w:jc w:val="center"/>
              <w:rPr>
                <w:rFonts w:hint="eastAsia" w:ascii="宋体" w:hAnsi="宋体" w:cs="宋体"/>
              </w:rPr>
            </w:pPr>
            <w:r>
              <w:rPr>
                <w:rFonts w:hint="eastAsia" w:ascii="宋体" w:hAnsi="宋体" w:cs="宋体"/>
              </w:rPr>
              <w:t>2.1.1</w:t>
            </w:r>
          </w:p>
        </w:tc>
        <w:tc>
          <w:tcPr>
            <w:tcW w:w="745" w:type="dxa"/>
            <w:vMerge w:val="restart"/>
            <w:tcBorders>
              <w:top w:val="nil"/>
              <w:left w:val="nil"/>
              <w:bottom w:val="single" w:color="auto" w:sz="4" w:space="0"/>
              <w:right w:val="single" w:color="auto" w:sz="4" w:space="0"/>
            </w:tcBorders>
            <w:vAlign w:val="center"/>
          </w:tcPr>
          <w:p w14:paraId="5CA21E05">
            <w:pPr>
              <w:spacing w:line="360" w:lineRule="auto"/>
              <w:jc w:val="center"/>
              <w:rPr>
                <w:rFonts w:hint="eastAsia" w:ascii="宋体" w:hAnsi="宋体" w:cs="宋体"/>
              </w:rPr>
            </w:pPr>
            <w:r>
              <w:rPr>
                <w:rFonts w:hint="eastAsia" w:ascii="宋体" w:hAnsi="宋体" w:cs="宋体"/>
              </w:rPr>
              <w:t>形式 评审 标准</w:t>
            </w:r>
          </w:p>
        </w:tc>
        <w:tc>
          <w:tcPr>
            <w:tcW w:w="1982" w:type="dxa"/>
            <w:tcBorders>
              <w:top w:val="single" w:color="auto" w:sz="4" w:space="0"/>
              <w:left w:val="nil"/>
              <w:bottom w:val="single" w:color="auto" w:sz="4" w:space="0"/>
              <w:right w:val="single" w:color="auto" w:sz="4" w:space="0"/>
            </w:tcBorders>
            <w:vAlign w:val="center"/>
          </w:tcPr>
          <w:p w14:paraId="526684F9">
            <w:pPr>
              <w:spacing w:line="360" w:lineRule="auto"/>
              <w:jc w:val="center"/>
              <w:rPr>
                <w:rFonts w:hint="eastAsia" w:ascii="宋体" w:hAnsi="宋体" w:cs="宋体"/>
              </w:rPr>
            </w:pPr>
            <w:r>
              <w:rPr>
                <w:rFonts w:hint="eastAsia" w:ascii="宋体" w:hAnsi="宋体" w:cs="宋体"/>
              </w:rPr>
              <w:t>供应商名称</w:t>
            </w:r>
          </w:p>
        </w:tc>
        <w:tc>
          <w:tcPr>
            <w:tcW w:w="5430" w:type="dxa"/>
            <w:tcBorders>
              <w:top w:val="single" w:color="auto" w:sz="4" w:space="0"/>
              <w:left w:val="nil"/>
              <w:bottom w:val="single" w:color="auto" w:sz="4" w:space="0"/>
              <w:right w:val="single" w:color="auto" w:sz="4" w:space="0"/>
            </w:tcBorders>
            <w:vAlign w:val="center"/>
          </w:tcPr>
          <w:p w14:paraId="42083885">
            <w:pPr>
              <w:spacing w:line="360" w:lineRule="auto"/>
              <w:jc w:val="left"/>
              <w:rPr>
                <w:rFonts w:hint="eastAsia" w:ascii="宋体" w:hAnsi="宋体" w:cs="宋体"/>
              </w:rPr>
            </w:pPr>
            <w:r>
              <w:rPr>
                <w:rFonts w:hint="eastAsia" w:ascii="宋体" w:hAnsi="宋体" w:cs="宋体"/>
              </w:rPr>
              <w:t>与营业执照或其他组织机构证书一致</w:t>
            </w:r>
          </w:p>
        </w:tc>
      </w:tr>
      <w:tr w14:paraId="4B16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1" w:type="dxa"/>
            <w:vMerge w:val="continue"/>
            <w:tcBorders>
              <w:top w:val="nil"/>
              <w:left w:val="single" w:color="auto" w:sz="4" w:space="0"/>
              <w:bottom w:val="single" w:color="auto" w:sz="4" w:space="0"/>
              <w:right w:val="single" w:color="auto" w:sz="4" w:space="0"/>
            </w:tcBorders>
            <w:vAlign w:val="center"/>
          </w:tcPr>
          <w:p w14:paraId="078B3848">
            <w:pPr>
              <w:widowControl/>
              <w:spacing w:line="360" w:lineRule="auto"/>
              <w:jc w:val="left"/>
              <w:rPr>
                <w:rFonts w:hint="eastAsia" w:ascii="宋体" w:hAnsi="宋体" w:cs="宋体"/>
              </w:rPr>
            </w:pPr>
          </w:p>
        </w:tc>
        <w:tc>
          <w:tcPr>
            <w:tcW w:w="745" w:type="dxa"/>
            <w:vMerge w:val="continue"/>
            <w:tcBorders>
              <w:top w:val="nil"/>
              <w:left w:val="nil"/>
              <w:bottom w:val="single" w:color="auto" w:sz="4" w:space="0"/>
              <w:right w:val="single" w:color="auto" w:sz="4" w:space="0"/>
            </w:tcBorders>
            <w:vAlign w:val="center"/>
          </w:tcPr>
          <w:p w14:paraId="02FADA0F">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6C8C11E4">
            <w:pPr>
              <w:spacing w:line="360" w:lineRule="auto"/>
              <w:jc w:val="center"/>
              <w:rPr>
                <w:rFonts w:hint="eastAsia" w:ascii="宋体" w:hAnsi="宋体" w:cs="宋体"/>
              </w:rPr>
            </w:pPr>
            <w:r>
              <w:rPr>
                <w:rFonts w:hint="eastAsia" w:ascii="宋体" w:hAnsi="宋体" w:cs="宋体"/>
              </w:rPr>
              <w:t>投标文件签字盖章</w:t>
            </w:r>
          </w:p>
        </w:tc>
        <w:tc>
          <w:tcPr>
            <w:tcW w:w="5430" w:type="dxa"/>
            <w:tcBorders>
              <w:top w:val="single" w:color="auto" w:sz="4" w:space="0"/>
              <w:left w:val="nil"/>
              <w:bottom w:val="single" w:color="auto" w:sz="4" w:space="0"/>
              <w:right w:val="single" w:color="auto" w:sz="4" w:space="0"/>
            </w:tcBorders>
            <w:vAlign w:val="center"/>
          </w:tcPr>
          <w:p w14:paraId="54974A9F">
            <w:pPr>
              <w:spacing w:line="360" w:lineRule="auto"/>
              <w:jc w:val="left"/>
              <w:rPr>
                <w:rFonts w:hint="eastAsia" w:ascii="宋体" w:hAnsi="宋体" w:cs="宋体"/>
              </w:rPr>
            </w:pPr>
            <w:r>
              <w:rPr>
                <w:rFonts w:hint="eastAsia" w:ascii="宋体" w:hAnsi="宋体" w:cs="宋体"/>
                <w:color w:val="000000" w:themeColor="text1"/>
                <w14:textFill>
                  <w14:solidFill>
                    <w14:schemeClr w14:val="tx1"/>
                  </w14:solidFill>
                </w14:textFill>
              </w:rPr>
              <w:t>符合招标文件要求</w:t>
            </w:r>
          </w:p>
        </w:tc>
      </w:tr>
      <w:tr w14:paraId="0DCF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41" w:type="dxa"/>
            <w:vMerge w:val="continue"/>
            <w:tcBorders>
              <w:top w:val="nil"/>
              <w:left w:val="single" w:color="auto" w:sz="4" w:space="0"/>
              <w:bottom w:val="single" w:color="auto" w:sz="4" w:space="0"/>
              <w:right w:val="single" w:color="auto" w:sz="4" w:space="0"/>
            </w:tcBorders>
            <w:vAlign w:val="center"/>
          </w:tcPr>
          <w:p w14:paraId="3AD7E0E5">
            <w:pPr>
              <w:widowControl/>
              <w:spacing w:line="360" w:lineRule="auto"/>
              <w:jc w:val="left"/>
              <w:rPr>
                <w:rFonts w:hint="eastAsia" w:ascii="宋体" w:hAnsi="宋体" w:cs="宋体"/>
              </w:rPr>
            </w:pPr>
          </w:p>
        </w:tc>
        <w:tc>
          <w:tcPr>
            <w:tcW w:w="745" w:type="dxa"/>
            <w:vMerge w:val="continue"/>
            <w:tcBorders>
              <w:top w:val="nil"/>
              <w:left w:val="nil"/>
              <w:bottom w:val="single" w:color="auto" w:sz="4" w:space="0"/>
              <w:right w:val="single" w:color="auto" w:sz="4" w:space="0"/>
            </w:tcBorders>
            <w:vAlign w:val="center"/>
          </w:tcPr>
          <w:p w14:paraId="06DB85CA">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2EA84CA2">
            <w:pPr>
              <w:spacing w:line="360" w:lineRule="auto"/>
              <w:jc w:val="center"/>
              <w:rPr>
                <w:rFonts w:hint="eastAsia" w:ascii="宋体" w:hAnsi="宋体" w:cs="宋体"/>
              </w:rPr>
            </w:pPr>
            <w:r>
              <w:rPr>
                <w:rFonts w:hint="eastAsia" w:ascii="宋体" w:hAnsi="宋体" w:cs="宋体"/>
              </w:rPr>
              <w:t>报价唯一</w:t>
            </w:r>
          </w:p>
        </w:tc>
        <w:tc>
          <w:tcPr>
            <w:tcW w:w="5430" w:type="dxa"/>
            <w:tcBorders>
              <w:top w:val="single" w:color="auto" w:sz="4" w:space="0"/>
              <w:left w:val="nil"/>
              <w:bottom w:val="single" w:color="auto" w:sz="4" w:space="0"/>
              <w:right w:val="single" w:color="auto" w:sz="4" w:space="0"/>
            </w:tcBorders>
            <w:vAlign w:val="center"/>
          </w:tcPr>
          <w:p w14:paraId="0990A9D0">
            <w:pPr>
              <w:spacing w:line="360" w:lineRule="auto"/>
              <w:jc w:val="left"/>
              <w:rPr>
                <w:rFonts w:hint="eastAsia" w:ascii="宋体" w:hAnsi="宋体" w:eastAsia="宋体" w:cs="宋体"/>
                <w:lang w:eastAsia="zh-CN"/>
              </w:rPr>
            </w:pPr>
            <w:r>
              <w:rPr>
                <w:rFonts w:hint="eastAsia" w:ascii="宋体" w:hAnsi="宋体" w:cs="宋体"/>
              </w:rPr>
              <w:t>只能有一个有效投标报价，且不超过</w:t>
            </w:r>
            <w:r>
              <w:rPr>
                <w:rFonts w:hint="eastAsia" w:ascii="宋体" w:hAnsi="宋体" w:cs="宋体"/>
                <w:lang w:eastAsia="zh-CN"/>
              </w:rPr>
              <w:t>最高限价</w:t>
            </w:r>
          </w:p>
        </w:tc>
      </w:tr>
      <w:tr w14:paraId="1B1C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restart"/>
            <w:tcBorders>
              <w:top w:val="nil"/>
              <w:left w:val="single" w:color="auto" w:sz="4" w:space="0"/>
              <w:right w:val="single" w:color="auto" w:sz="4" w:space="0"/>
            </w:tcBorders>
            <w:vAlign w:val="center"/>
          </w:tcPr>
          <w:p w14:paraId="63862466">
            <w:pPr>
              <w:spacing w:line="360" w:lineRule="auto"/>
              <w:jc w:val="center"/>
              <w:rPr>
                <w:rFonts w:hint="eastAsia" w:ascii="宋体" w:hAnsi="宋体" w:cs="宋体"/>
              </w:rPr>
            </w:pPr>
            <w:r>
              <w:rPr>
                <w:rFonts w:hint="eastAsia" w:ascii="宋体" w:hAnsi="宋体" w:cs="宋体"/>
              </w:rPr>
              <w:t>2.1.2</w:t>
            </w:r>
          </w:p>
        </w:tc>
        <w:tc>
          <w:tcPr>
            <w:tcW w:w="745" w:type="dxa"/>
            <w:vMerge w:val="restart"/>
            <w:tcBorders>
              <w:top w:val="nil"/>
              <w:left w:val="nil"/>
              <w:right w:val="single" w:color="auto" w:sz="4" w:space="0"/>
            </w:tcBorders>
            <w:vAlign w:val="center"/>
          </w:tcPr>
          <w:p w14:paraId="2C2F3FF6">
            <w:pPr>
              <w:spacing w:line="360" w:lineRule="auto"/>
              <w:jc w:val="center"/>
              <w:rPr>
                <w:rFonts w:hint="eastAsia" w:ascii="宋体" w:hAnsi="宋体" w:cs="宋体"/>
              </w:rPr>
            </w:pPr>
            <w:r>
              <w:rPr>
                <w:rFonts w:hint="eastAsia" w:ascii="宋体" w:hAnsi="宋体" w:cs="宋体"/>
              </w:rPr>
              <w:t>资格 评审</w:t>
            </w:r>
          </w:p>
          <w:p w14:paraId="2BB59137">
            <w:pPr>
              <w:spacing w:line="360" w:lineRule="auto"/>
              <w:jc w:val="center"/>
              <w:rPr>
                <w:rFonts w:hint="eastAsia" w:ascii="宋体" w:hAnsi="宋体" w:cs="宋体"/>
              </w:rPr>
            </w:pPr>
            <w:r>
              <w:rPr>
                <w:rFonts w:hint="eastAsia" w:ascii="宋体" w:hAnsi="宋体" w:cs="宋体"/>
              </w:rPr>
              <w:t>标准</w:t>
            </w:r>
          </w:p>
        </w:tc>
        <w:tc>
          <w:tcPr>
            <w:tcW w:w="1982" w:type="dxa"/>
            <w:tcBorders>
              <w:top w:val="single" w:color="auto" w:sz="4" w:space="0"/>
              <w:left w:val="nil"/>
              <w:bottom w:val="single" w:color="auto" w:sz="4" w:space="0"/>
              <w:right w:val="single" w:color="auto" w:sz="4" w:space="0"/>
            </w:tcBorders>
            <w:vAlign w:val="center"/>
          </w:tcPr>
          <w:p w14:paraId="6F90C471">
            <w:pPr>
              <w:spacing w:line="360" w:lineRule="auto"/>
              <w:jc w:val="center"/>
              <w:rPr>
                <w:rFonts w:hint="eastAsia" w:ascii="宋体" w:hAnsi="宋体" w:cs="宋体"/>
              </w:rPr>
            </w:pPr>
            <w:r>
              <w:rPr>
                <w:rFonts w:hint="eastAsia" w:ascii="宋体" w:hAnsi="宋体" w:cs="宋体"/>
              </w:rPr>
              <w:t>满足《中华人民共和国政府采购法》第二十二条规定</w:t>
            </w:r>
          </w:p>
        </w:tc>
        <w:tc>
          <w:tcPr>
            <w:tcW w:w="5430" w:type="dxa"/>
            <w:tcBorders>
              <w:top w:val="single" w:color="auto" w:sz="4" w:space="0"/>
              <w:left w:val="nil"/>
              <w:bottom w:val="single" w:color="auto" w:sz="4" w:space="0"/>
              <w:right w:val="single" w:color="auto" w:sz="4" w:space="0"/>
            </w:tcBorders>
            <w:vAlign w:val="center"/>
          </w:tcPr>
          <w:p w14:paraId="1FCD1E9C">
            <w:pPr>
              <w:pStyle w:val="26"/>
              <w:spacing w:line="360" w:lineRule="auto"/>
              <w:rPr>
                <w:rFonts w:hint="eastAsia" w:ascii="宋体" w:hAnsi="宋体" w:cs="宋体"/>
                <w:sz w:val="21"/>
              </w:rPr>
            </w:pPr>
            <w:r>
              <w:rPr>
                <w:rFonts w:hint="eastAsia" w:ascii="宋体" w:hAnsi="宋体" w:cs="宋体"/>
                <w:sz w:val="21"/>
              </w:rPr>
              <w:t>供应商满足《中华人民共和国政府采购法》第二十二条规定条件（提供承诺书）</w:t>
            </w:r>
          </w:p>
        </w:tc>
      </w:tr>
      <w:tr w14:paraId="6FF6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14:paraId="2F32EDCF">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747F54C0">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707B84AA">
            <w:pPr>
              <w:spacing w:line="360" w:lineRule="auto"/>
              <w:jc w:val="center"/>
              <w:rPr>
                <w:rFonts w:hint="eastAsia" w:ascii="宋体" w:hAnsi="宋体" w:cs="宋体"/>
              </w:rPr>
            </w:pPr>
            <w:r>
              <w:rPr>
                <w:rFonts w:hint="eastAsia" w:ascii="宋体" w:hAnsi="宋体" w:cs="宋体"/>
              </w:rPr>
              <w:t>营业执照</w:t>
            </w:r>
          </w:p>
        </w:tc>
        <w:tc>
          <w:tcPr>
            <w:tcW w:w="5430" w:type="dxa"/>
            <w:tcBorders>
              <w:top w:val="single" w:color="auto" w:sz="4" w:space="0"/>
              <w:left w:val="nil"/>
              <w:bottom w:val="single" w:color="auto" w:sz="4" w:space="0"/>
              <w:right w:val="single" w:color="auto" w:sz="4" w:space="0"/>
            </w:tcBorders>
            <w:vAlign w:val="center"/>
          </w:tcPr>
          <w:p w14:paraId="79A44549">
            <w:pPr>
              <w:spacing w:line="360" w:lineRule="auto"/>
              <w:jc w:val="both"/>
              <w:rPr>
                <w:rFonts w:hint="eastAsia" w:ascii="宋体" w:hAnsi="宋体" w:cs="宋体"/>
              </w:rPr>
            </w:pPr>
            <w:r>
              <w:rPr>
                <w:rFonts w:hint="eastAsia" w:ascii="宋体" w:hAnsi="宋体" w:cs="宋体"/>
              </w:rPr>
              <w:t>供应商须具有合法有效的营业执照</w:t>
            </w:r>
          </w:p>
        </w:tc>
      </w:tr>
      <w:tr w14:paraId="09AA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1" w:type="dxa"/>
            <w:vMerge w:val="continue"/>
            <w:tcBorders>
              <w:left w:val="single" w:color="auto" w:sz="4" w:space="0"/>
              <w:right w:val="single" w:color="auto" w:sz="4" w:space="0"/>
            </w:tcBorders>
            <w:vAlign w:val="center"/>
          </w:tcPr>
          <w:p w14:paraId="0D006278">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7517B130">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28F56517">
            <w:pPr>
              <w:spacing w:line="360" w:lineRule="auto"/>
              <w:jc w:val="center"/>
              <w:rPr>
                <w:rFonts w:hint="eastAsia" w:ascii="宋体" w:hAnsi="宋体" w:cs="宋体"/>
              </w:rPr>
            </w:pPr>
            <w:r>
              <w:rPr>
                <w:rFonts w:hint="eastAsia" w:ascii="宋体" w:hAnsi="宋体" w:cs="宋体"/>
              </w:rPr>
              <w:t>无商业贿赂和不正当竞争行为承诺书</w:t>
            </w:r>
          </w:p>
        </w:tc>
        <w:tc>
          <w:tcPr>
            <w:tcW w:w="5430" w:type="dxa"/>
            <w:tcBorders>
              <w:top w:val="single" w:color="auto" w:sz="4" w:space="0"/>
              <w:left w:val="nil"/>
              <w:bottom w:val="single" w:color="auto" w:sz="4" w:space="0"/>
              <w:right w:val="single" w:color="auto" w:sz="4" w:space="0"/>
            </w:tcBorders>
            <w:vAlign w:val="center"/>
          </w:tcPr>
          <w:p w14:paraId="6933F77F">
            <w:pPr>
              <w:snapToGrid w:val="0"/>
              <w:spacing w:line="360" w:lineRule="auto"/>
              <w:textAlignment w:val="baseline"/>
              <w:rPr>
                <w:rFonts w:hint="eastAsia" w:ascii="宋体" w:hAnsi="宋体" w:eastAsia="宋体" w:cs="宋体"/>
                <w:lang w:val="en-US" w:eastAsia="zh-CN" w:bidi="en-US"/>
              </w:rPr>
            </w:pPr>
            <w:r>
              <w:rPr>
                <w:rFonts w:hint="eastAsia" w:ascii="宋体" w:hAnsi="宋体" w:cs="宋体"/>
                <w:lang w:eastAsia="zh-CN"/>
              </w:rPr>
              <w:t>供应商</w:t>
            </w:r>
            <w:r>
              <w:rPr>
                <w:rFonts w:hint="eastAsia" w:ascii="宋体" w:hAnsi="宋体" w:cs="宋体"/>
              </w:rPr>
              <w:t>须出具本企业无商业贿赂和不正当竞争行为承诺</w:t>
            </w:r>
            <w:r>
              <w:rPr>
                <w:rFonts w:hint="eastAsia" w:ascii="宋体" w:hAnsi="宋体" w:cs="宋体"/>
                <w:lang w:eastAsia="zh-CN"/>
              </w:rPr>
              <w:t>书</w:t>
            </w:r>
          </w:p>
        </w:tc>
      </w:tr>
      <w:tr w14:paraId="0870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1" w:type="dxa"/>
            <w:vMerge w:val="continue"/>
            <w:tcBorders>
              <w:left w:val="single" w:color="auto" w:sz="4" w:space="0"/>
              <w:right w:val="single" w:color="auto" w:sz="4" w:space="0"/>
            </w:tcBorders>
            <w:vAlign w:val="center"/>
          </w:tcPr>
          <w:p w14:paraId="76FAD370">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0F8E6E2B">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66253279">
            <w:pPr>
              <w:spacing w:line="360" w:lineRule="auto"/>
              <w:jc w:val="center"/>
              <w:rPr>
                <w:rFonts w:hint="eastAsia" w:ascii="宋体" w:hAnsi="宋体" w:cs="宋体"/>
              </w:rPr>
            </w:pPr>
            <w:r>
              <w:rPr>
                <w:rFonts w:hint="eastAsia" w:ascii="宋体" w:hAnsi="宋体" w:cs="宋体"/>
              </w:rPr>
              <w:t>信用查询</w:t>
            </w:r>
          </w:p>
        </w:tc>
        <w:tc>
          <w:tcPr>
            <w:tcW w:w="5430" w:type="dxa"/>
            <w:tcBorders>
              <w:top w:val="single" w:color="auto" w:sz="4" w:space="0"/>
              <w:left w:val="nil"/>
              <w:bottom w:val="single" w:color="auto" w:sz="4" w:space="0"/>
              <w:right w:val="single" w:color="auto" w:sz="4" w:space="0"/>
            </w:tcBorders>
            <w:vAlign w:val="center"/>
          </w:tcPr>
          <w:p w14:paraId="3C0E3768">
            <w:pPr>
              <w:snapToGrid w:val="0"/>
              <w:spacing w:line="360" w:lineRule="auto"/>
              <w:textAlignment w:val="baseline"/>
              <w:rPr>
                <w:rFonts w:hint="eastAsia" w:ascii="宋体" w:hAnsi="宋体" w:cs="宋体"/>
                <w:lang w:bidi="en-US"/>
              </w:rPr>
            </w:pPr>
            <w:r>
              <w:rPr>
                <w:rFonts w:hint="eastAsia" w:ascii="宋体" w:hAnsi="宋体" w:cs="宋体"/>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s://zxgk.court.gov.cn/）关于“失信被执行人”查询截图；信用中国(www.creditchina.gov.cn）关于“重大税收违法失信主体”查询截图；中国政府采购网（www.ccgp.gov.cn）关于“政府采购严重违法失信行为记录名单”查询截图。</w:t>
            </w:r>
            <w:r>
              <w:rPr>
                <w:rFonts w:hint="eastAsia" w:ascii="宋体" w:hAnsi="宋体" w:cs="宋体"/>
                <w:lang w:val="zh-TW" w:bidi="en-US"/>
              </w:rPr>
              <w:t>提供的网站查询结果截图要显示查询时间，查询时间自本公告发布之日起</w:t>
            </w:r>
          </w:p>
        </w:tc>
      </w:tr>
      <w:tr w14:paraId="36F2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14:paraId="58AF0A5A">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4E2CF83C">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2E3BF1F6">
            <w:pPr>
              <w:spacing w:line="360" w:lineRule="auto"/>
              <w:jc w:val="center"/>
              <w:rPr>
                <w:rFonts w:hint="eastAsia" w:ascii="宋体" w:hAnsi="宋体" w:cs="宋体"/>
              </w:rPr>
            </w:pPr>
            <w:r>
              <w:rPr>
                <w:rFonts w:hint="eastAsia" w:ascii="宋体" w:hAnsi="宋体" w:cs="宋体"/>
                <w:lang w:val="zh-TW"/>
              </w:rPr>
              <w:t>供应商的单位负责人为同一人或者存在控股、管理关系的不同单位，不得参加同一项目投标</w:t>
            </w:r>
          </w:p>
        </w:tc>
        <w:tc>
          <w:tcPr>
            <w:tcW w:w="5430" w:type="dxa"/>
            <w:tcBorders>
              <w:top w:val="single" w:color="auto" w:sz="4" w:space="0"/>
              <w:left w:val="nil"/>
              <w:bottom w:val="single" w:color="auto" w:sz="4" w:space="0"/>
              <w:right w:val="single" w:color="auto" w:sz="4" w:space="0"/>
            </w:tcBorders>
            <w:vAlign w:val="center"/>
          </w:tcPr>
          <w:p w14:paraId="4CBE2DE1">
            <w:pPr>
              <w:spacing w:line="360" w:lineRule="auto"/>
              <w:rPr>
                <w:rFonts w:hint="eastAsia" w:ascii="宋体" w:hAnsi="宋体" w:cs="宋体"/>
              </w:rPr>
            </w:pPr>
            <w:r>
              <w:rPr>
                <w:rFonts w:hint="eastAsia" w:ascii="宋体" w:hAnsi="宋体" w:cs="宋体"/>
                <w:lang w:val="zh-TW"/>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14:paraId="2734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1" w:type="dxa"/>
            <w:vMerge w:val="continue"/>
            <w:tcBorders>
              <w:left w:val="single" w:color="auto" w:sz="4" w:space="0"/>
              <w:right w:val="single" w:color="auto" w:sz="4" w:space="0"/>
            </w:tcBorders>
            <w:vAlign w:val="center"/>
          </w:tcPr>
          <w:p w14:paraId="1E26F812">
            <w:pPr>
              <w:spacing w:line="360" w:lineRule="auto"/>
              <w:jc w:val="center"/>
              <w:rPr>
                <w:rFonts w:hint="eastAsia" w:ascii="宋体" w:hAnsi="宋体" w:cs="宋体"/>
              </w:rPr>
            </w:pPr>
          </w:p>
        </w:tc>
        <w:tc>
          <w:tcPr>
            <w:tcW w:w="745" w:type="dxa"/>
            <w:vMerge w:val="continue"/>
            <w:tcBorders>
              <w:left w:val="nil"/>
              <w:right w:val="single" w:color="auto" w:sz="4" w:space="0"/>
            </w:tcBorders>
            <w:vAlign w:val="center"/>
          </w:tcPr>
          <w:p w14:paraId="58079C36">
            <w:pPr>
              <w:spacing w:line="360" w:lineRule="auto"/>
              <w:jc w:val="center"/>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37009D02">
            <w:pPr>
              <w:spacing w:line="360" w:lineRule="auto"/>
              <w:jc w:val="center"/>
              <w:rPr>
                <w:rFonts w:hint="eastAsia" w:ascii="宋体" w:hAnsi="宋体" w:cs="宋体"/>
              </w:rPr>
            </w:pPr>
            <w:r>
              <w:rPr>
                <w:rFonts w:hint="eastAsia" w:ascii="宋体" w:hAnsi="宋体" w:cs="宋体"/>
              </w:rPr>
              <w:t>资质要求</w:t>
            </w:r>
          </w:p>
        </w:tc>
        <w:tc>
          <w:tcPr>
            <w:tcW w:w="5430" w:type="dxa"/>
            <w:tcBorders>
              <w:top w:val="single" w:color="auto" w:sz="4" w:space="0"/>
              <w:left w:val="nil"/>
              <w:bottom w:val="single" w:color="auto" w:sz="4" w:space="0"/>
              <w:right w:val="single" w:color="auto" w:sz="4" w:space="0"/>
            </w:tcBorders>
            <w:vAlign w:val="center"/>
          </w:tcPr>
          <w:p w14:paraId="2D9423F4">
            <w:pPr>
              <w:spacing w:line="360" w:lineRule="auto"/>
              <w:rPr>
                <w:rFonts w:hint="eastAsia" w:ascii="宋体" w:hAnsi="宋体" w:cs="宋体"/>
                <w:lang w:val="zh-TW"/>
              </w:rPr>
            </w:pPr>
            <w:r>
              <w:rPr>
                <w:rFonts w:hint="eastAsia" w:ascii="宋体" w:hAnsi="宋体" w:cs="宋体"/>
                <w:lang w:val="zh-TW"/>
              </w:rPr>
              <w:t>符合招标文件资质要求</w:t>
            </w:r>
          </w:p>
        </w:tc>
      </w:tr>
      <w:tr w14:paraId="56B3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941" w:type="dxa"/>
            <w:vMerge w:val="restart"/>
            <w:tcBorders>
              <w:top w:val="nil"/>
              <w:left w:val="single" w:color="auto" w:sz="4" w:space="0"/>
              <w:bottom w:val="single" w:color="auto" w:sz="4" w:space="0"/>
              <w:right w:val="single" w:color="auto" w:sz="4" w:space="0"/>
            </w:tcBorders>
            <w:vAlign w:val="center"/>
          </w:tcPr>
          <w:p w14:paraId="13D8D5AC">
            <w:pPr>
              <w:spacing w:line="360" w:lineRule="auto"/>
              <w:rPr>
                <w:rFonts w:hint="eastAsia" w:ascii="宋体" w:hAnsi="宋体" w:cs="宋体"/>
              </w:rPr>
            </w:pPr>
            <w:r>
              <w:rPr>
                <w:rFonts w:hint="eastAsia" w:ascii="宋体" w:hAnsi="宋体" w:cs="宋体"/>
              </w:rPr>
              <w:t>2.1.3</w:t>
            </w:r>
          </w:p>
        </w:tc>
        <w:tc>
          <w:tcPr>
            <w:tcW w:w="745" w:type="dxa"/>
            <w:vMerge w:val="restart"/>
            <w:tcBorders>
              <w:top w:val="single" w:color="auto" w:sz="4" w:space="0"/>
              <w:left w:val="nil"/>
              <w:bottom w:val="single" w:color="auto" w:sz="4" w:space="0"/>
              <w:right w:val="single" w:color="auto" w:sz="4" w:space="0"/>
            </w:tcBorders>
            <w:vAlign w:val="center"/>
          </w:tcPr>
          <w:p w14:paraId="0089E202">
            <w:pPr>
              <w:spacing w:line="360" w:lineRule="auto"/>
              <w:jc w:val="center"/>
              <w:rPr>
                <w:rFonts w:hint="eastAsia" w:ascii="宋体" w:hAnsi="宋体" w:cs="宋体"/>
              </w:rPr>
            </w:pPr>
            <w:r>
              <w:rPr>
                <w:rFonts w:hint="eastAsia" w:ascii="宋体" w:hAnsi="宋体" w:cs="宋体"/>
              </w:rPr>
              <w:t>响</w:t>
            </w:r>
          </w:p>
          <w:p w14:paraId="44B014E2">
            <w:pPr>
              <w:spacing w:line="360" w:lineRule="auto"/>
              <w:jc w:val="center"/>
              <w:rPr>
                <w:rFonts w:hint="eastAsia" w:ascii="宋体" w:hAnsi="宋体" w:cs="宋体"/>
              </w:rPr>
            </w:pPr>
            <w:r>
              <w:rPr>
                <w:rFonts w:hint="eastAsia" w:ascii="宋体" w:hAnsi="宋体" w:cs="宋体"/>
              </w:rPr>
              <w:t>应</w:t>
            </w:r>
          </w:p>
          <w:p w14:paraId="321DF7BF">
            <w:pPr>
              <w:spacing w:line="360" w:lineRule="auto"/>
              <w:jc w:val="center"/>
              <w:rPr>
                <w:rFonts w:hint="eastAsia" w:ascii="宋体" w:hAnsi="宋体" w:cs="宋体"/>
              </w:rPr>
            </w:pPr>
            <w:r>
              <w:rPr>
                <w:rFonts w:hint="eastAsia" w:ascii="宋体" w:hAnsi="宋体" w:cs="宋体"/>
              </w:rPr>
              <w:t>性</w:t>
            </w:r>
          </w:p>
          <w:p w14:paraId="42B630EE">
            <w:pPr>
              <w:spacing w:line="360" w:lineRule="auto"/>
              <w:jc w:val="center"/>
              <w:rPr>
                <w:rFonts w:hint="eastAsia" w:ascii="宋体" w:hAnsi="宋体" w:cs="宋体"/>
              </w:rPr>
            </w:pPr>
            <w:r>
              <w:rPr>
                <w:rFonts w:hint="eastAsia" w:ascii="宋体" w:hAnsi="宋体" w:cs="宋体"/>
              </w:rPr>
              <w:t>评</w:t>
            </w:r>
          </w:p>
          <w:p w14:paraId="627FEC6E">
            <w:pPr>
              <w:spacing w:line="360" w:lineRule="auto"/>
              <w:jc w:val="center"/>
              <w:rPr>
                <w:rFonts w:hint="eastAsia" w:ascii="宋体" w:hAnsi="宋体" w:cs="宋体"/>
              </w:rPr>
            </w:pPr>
            <w:r>
              <w:rPr>
                <w:rFonts w:hint="eastAsia" w:ascii="宋体" w:hAnsi="宋体" w:cs="宋体"/>
              </w:rPr>
              <w:t>审</w:t>
            </w:r>
          </w:p>
        </w:tc>
        <w:tc>
          <w:tcPr>
            <w:tcW w:w="1982" w:type="dxa"/>
            <w:tcBorders>
              <w:top w:val="single" w:color="auto" w:sz="4" w:space="0"/>
              <w:left w:val="nil"/>
              <w:bottom w:val="single" w:color="auto" w:sz="4" w:space="0"/>
              <w:right w:val="single" w:color="auto" w:sz="4" w:space="0"/>
            </w:tcBorders>
            <w:vAlign w:val="center"/>
          </w:tcPr>
          <w:p w14:paraId="609E2D39">
            <w:pPr>
              <w:widowControl/>
              <w:autoSpaceDE w:val="0"/>
              <w:autoSpaceDN w:val="0"/>
              <w:adjustRightInd w:val="0"/>
              <w:spacing w:line="360" w:lineRule="auto"/>
              <w:jc w:val="center"/>
              <w:rPr>
                <w:rFonts w:hint="eastAsia" w:ascii="宋体" w:hAnsi="宋体" w:cs="宋体"/>
              </w:rPr>
            </w:pPr>
            <w:r>
              <w:rPr>
                <w:rFonts w:hint="eastAsia" w:ascii="宋体" w:hAnsi="宋体" w:cs="宋体"/>
              </w:rPr>
              <w:t>投标有效期</w:t>
            </w:r>
          </w:p>
        </w:tc>
        <w:tc>
          <w:tcPr>
            <w:tcW w:w="5430" w:type="dxa"/>
            <w:tcBorders>
              <w:top w:val="single" w:color="auto" w:sz="4" w:space="0"/>
              <w:left w:val="nil"/>
              <w:bottom w:val="single" w:color="auto" w:sz="4" w:space="0"/>
              <w:right w:val="single" w:color="auto" w:sz="4" w:space="0"/>
            </w:tcBorders>
            <w:vAlign w:val="center"/>
          </w:tcPr>
          <w:p w14:paraId="2F39C7D0">
            <w:pPr>
              <w:widowControl/>
              <w:snapToGrid w:val="0"/>
              <w:spacing w:line="360" w:lineRule="auto"/>
              <w:jc w:val="center"/>
              <w:textAlignment w:val="baseline"/>
              <w:rPr>
                <w:rFonts w:hint="eastAsia" w:ascii="宋体" w:hAnsi="宋体" w:cs="宋体"/>
              </w:rPr>
            </w:pPr>
            <w:r>
              <w:rPr>
                <w:rFonts w:hint="eastAsia" w:ascii="宋体" w:hAnsi="宋体" w:cs="宋体"/>
              </w:rPr>
              <w:t>投标截止之日起60日历天</w:t>
            </w:r>
          </w:p>
        </w:tc>
      </w:tr>
      <w:tr w14:paraId="1A4F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41" w:type="dxa"/>
            <w:vMerge w:val="continue"/>
            <w:tcBorders>
              <w:top w:val="nil"/>
              <w:left w:val="single" w:color="auto" w:sz="4" w:space="0"/>
              <w:bottom w:val="single" w:color="auto" w:sz="4" w:space="0"/>
              <w:right w:val="single" w:color="auto" w:sz="4" w:space="0"/>
            </w:tcBorders>
            <w:vAlign w:val="center"/>
          </w:tcPr>
          <w:p w14:paraId="363D66D1">
            <w:pPr>
              <w:widowControl/>
              <w:spacing w:line="360" w:lineRule="auto"/>
              <w:jc w:val="left"/>
              <w:rPr>
                <w:rFonts w:hint="eastAsia" w:ascii="宋体" w:hAnsi="宋体" w:cs="宋体"/>
              </w:rPr>
            </w:pPr>
          </w:p>
        </w:tc>
        <w:tc>
          <w:tcPr>
            <w:tcW w:w="745" w:type="dxa"/>
            <w:vMerge w:val="continue"/>
            <w:tcBorders>
              <w:top w:val="single" w:color="auto" w:sz="4" w:space="0"/>
              <w:left w:val="nil"/>
              <w:bottom w:val="single" w:color="auto" w:sz="4" w:space="0"/>
              <w:right w:val="single" w:color="auto" w:sz="4" w:space="0"/>
            </w:tcBorders>
            <w:vAlign w:val="center"/>
          </w:tcPr>
          <w:p w14:paraId="6C9E3B1C">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0D4EA38D">
            <w:pPr>
              <w:widowControl/>
              <w:autoSpaceDE w:val="0"/>
              <w:autoSpaceDN w:val="0"/>
              <w:adjustRightInd w:val="0"/>
              <w:spacing w:line="360" w:lineRule="auto"/>
              <w:jc w:val="center"/>
              <w:rPr>
                <w:rFonts w:hint="eastAsia" w:ascii="宋体" w:hAnsi="宋体" w:cs="宋体"/>
              </w:rPr>
            </w:pPr>
            <w:r>
              <w:rPr>
                <w:rFonts w:hint="eastAsia" w:ascii="宋体" w:hAnsi="宋体" w:cs="宋体"/>
              </w:rPr>
              <w:t>服务期限</w:t>
            </w:r>
          </w:p>
        </w:tc>
        <w:tc>
          <w:tcPr>
            <w:tcW w:w="5430" w:type="dxa"/>
            <w:tcBorders>
              <w:top w:val="single" w:color="auto" w:sz="4" w:space="0"/>
              <w:left w:val="nil"/>
              <w:bottom w:val="single" w:color="auto" w:sz="4" w:space="0"/>
              <w:right w:val="single" w:color="auto" w:sz="4" w:space="0"/>
            </w:tcBorders>
            <w:vAlign w:val="center"/>
          </w:tcPr>
          <w:p w14:paraId="1CE50DCD">
            <w:pPr>
              <w:autoSpaceDE w:val="0"/>
              <w:autoSpaceDN w:val="0"/>
              <w:adjustRightInd w:val="0"/>
              <w:spacing w:line="360" w:lineRule="auto"/>
              <w:jc w:val="center"/>
              <w:rPr>
                <w:rFonts w:hint="eastAsia" w:ascii="宋体" w:hAnsi="宋体" w:cs="宋体"/>
                <w:color w:val="FF0000"/>
              </w:rPr>
            </w:pPr>
            <w:r>
              <w:rPr>
                <w:rFonts w:hint="eastAsia" w:ascii="宋体" w:hAnsi="宋体" w:cs="宋体"/>
              </w:rPr>
              <w:t>符合</w:t>
            </w:r>
            <w:r>
              <w:rPr>
                <w:rFonts w:hint="eastAsia" w:ascii="宋体" w:hAnsi="宋体" w:cs="宋体"/>
                <w:lang w:eastAsia="zh-CN"/>
              </w:rPr>
              <w:t>供应商</w:t>
            </w:r>
            <w:r>
              <w:rPr>
                <w:rFonts w:hint="eastAsia" w:ascii="宋体" w:hAnsi="宋体" w:cs="宋体"/>
              </w:rPr>
              <w:t>须知前附表规定</w:t>
            </w:r>
          </w:p>
        </w:tc>
      </w:tr>
      <w:tr w14:paraId="45F6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41" w:type="dxa"/>
            <w:vMerge w:val="continue"/>
            <w:tcBorders>
              <w:top w:val="nil"/>
              <w:left w:val="single" w:color="auto" w:sz="4" w:space="0"/>
              <w:bottom w:val="single" w:color="auto" w:sz="4" w:space="0"/>
              <w:right w:val="single" w:color="auto" w:sz="4" w:space="0"/>
            </w:tcBorders>
            <w:vAlign w:val="center"/>
          </w:tcPr>
          <w:p w14:paraId="688E785A">
            <w:pPr>
              <w:widowControl/>
              <w:spacing w:line="360" w:lineRule="auto"/>
              <w:jc w:val="left"/>
              <w:rPr>
                <w:rFonts w:hint="eastAsia" w:ascii="宋体" w:hAnsi="宋体" w:cs="宋体"/>
              </w:rPr>
            </w:pPr>
          </w:p>
        </w:tc>
        <w:tc>
          <w:tcPr>
            <w:tcW w:w="745" w:type="dxa"/>
            <w:vMerge w:val="continue"/>
            <w:tcBorders>
              <w:top w:val="single" w:color="auto" w:sz="4" w:space="0"/>
              <w:left w:val="nil"/>
              <w:bottom w:val="single" w:color="auto" w:sz="4" w:space="0"/>
              <w:right w:val="single" w:color="auto" w:sz="4" w:space="0"/>
            </w:tcBorders>
            <w:vAlign w:val="center"/>
          </w:tcPr>
          <w:p w14:paraId="3CAC13C6">
            <w:pPr>
              <w:widowControl/>
              <w:spacing w:line="360" w:lineRule="auto"/>
              <w:jc w:val="left"/>
              <w:rPr>
                <w:rFonts w:hint="eastAsia" w:ascii="宋体" w:hAnsi="宋体" w:cs="宋体"/>
              </w:rPr>
            </w:pPr>
          </w:p>
        </w:tc>
        <w:tc>
          <w:tcPr>
            <w:tcW w:w="1982" w:type="dxa"/>
            <w:tcBorders>
              <w:top w:val="single" w:color="auto" w:sz="4" w:space="0"/>
              <w:left w:val="nil"/>
              <w:bottom w:val="single" w:color="auto" w:sz="4" w:space="0"/>
              <w:right w:val="single" w:color="auto" w:sz="4" w:space="0"/>
            </w:tcBorders>
            <w:vAlign w:val="center"/>
          </w:tcPr>
          <w:p w14:paraId="307F6F2B">
            <w:pPr>
              <w:widowControl/>
              <w:autoSpaceDE w:val="0"/>
              <w:autoSpaceDN w:val="0"/>
              <w:adjustRightInd w:val="0"/>
              <w:spacing w:line="360" w:lineRule="auto"/>
              <w:jc w:val="center"/>
              <w:rPr>
                <w:rFonts w:hint="eastAsia" w:ascii="宋体" w:hAnsi="宋体" w:cs="宋体"/>
              </w:rPr>
            </w:pPr>
            <w:r>
              <w:rPr>
                <w:rFonts w:hint="eastAsia" w:ascii="宋体" w:hAnsi="宋体" w:cs="宋体"/>
              </w:rPr>
              <w:t>质量要求</w:t>
            </w:r>
          </w:p>
        </w:tc>
        <w:tc>
          <w:tcPr>
            <w:tcW w:w="5430" w:type="dxa"/>
            <w:tcBorders>
              <w:top w:val="single" w:color="auto" w:sz="4" w:space="0"/>
              <w:left w:val="nil"/>
              <w:bottom w:val="single" w:color="auto" w:sz="4" w:space="0"/>
              <w:right w:val="single" w:color="auto" w:sz="4" w:space="0"/>
            </w:tcBorders>
            <w:vAlign w:val="center"/>
          </w:tcPr>
          <w:p w14:paraId="23D88F1A">
            <w:pPr>
              <w:widowControl/>
              <w:snapToGrid w:val="0"/>
              <w:spacing w:line="360" w:lineRule="auto"/>
              <w:jc w:val="center"/>
              <w:textAlignment w:val="baseline"/>
              <w:rPr>
                <w:rFonts w:hint="eastAsia" w:ascii="宋体" w:hAnsi="宋体" w:cs="宋体"/>
              </w:rPr>
            </w:pPr>
            <w:r>
              <w:rPr>
                <w:rFonts w:hint="eastAsia" w:ascii="宋体" w:hAnsi="宋体" w:cs="宋体"/>
              </w:rPr>
              <w:t>合格，符合国家及行业标准，并满足采购人要求。</w:t>
            </w:r>
          </w:p>
        </w:tc>
      </w:tr>
    </w:tbl>
    <w:p w14:paraId="218D49F0">
      <w:pPr>
        <w:spacing w:line="320" w:lineRule="exact"/>
        <w:rPr>
          <w:rFonts w:hint="eastAsia" w:ascii="宋体" w:hAnsi="宋体" w:cs="宋体"/>
          <w:b/>
          <w:bCs/>
          <w:kern w:val="0"/>
          <w:sz w:val="24"/>
          <w:szCs w:val="24"/>
        </w:rPr>
      </w:pPr>
      <w:r>
        <w:rPr>
          <w:rFonts w:hint="eastAsia" w:ascii="宋体" w:hAnsi="宋体" w:cs="宋体"/>
          <w:b/>
          <w:bCs/>
          <w:sz w:val="28"/>
          <w:szCs w:val="28"/>
        </w:rPr>
        <w:t>注：</w:t>
      </w:r>
      <w:r>
        <w:rPr>
          <w:rFonts w:hint="eastAsia" w:ascii="宋体" w:hAnsi="宋体" w:cs="宋体"/>
          <w:b/>
          <w:bCs/>
          <w:kern w:val="0"/>
          <w:sz w:val="24"/>
          <w:szCs w:val="24"/>
        </w:rPr>
        <w:t>以上评审相关原件以投标文件中上传资料为准。开标结束后由采购人</w:t>
      </w:r>
      <w:r>
        <w:rPr>
          <w:rFonts w:hint="eastAsia" w:ascii="宋体" w:hAnsi="宋体" w:cs="宋体"/>
          <w:b/>
          <w:color w:val="000000" w:themeColor="text1"/>
          <w:sz w:val="24"/>
          <w:szCs w:val="24"/>
          <w14:textFill>
            <w14:solidFill>
              <w14:schemeClr w14:val="tx1"/>
            </w14:solidFill>
          </w14:textFill>
        </w:rPr>
        <w:t>或者采购代理机构</w:t>
      </w:r>
      <w:r>
        <w:rPr>
          <w:rFonts w:hint="eastAsia" w:ascii="宋体" w:hAnsi="宋体" w:cs="宋体"/>
          <w:b/>
          <w:bCs/>
          <w:kern w:val="0"/>
          <w:sz w:val="24"/>
          <w:szCs w:val="24"/>
        </w:rPr>
        <w:t>对投标文件中所附资格资料进行核查；</w:t>
      </w:r>
      <w:r>
        <w:rPr>
          <w:rFonts w:hint="eastAsia" w:ascii="宋体" w:hAnsi="宋体" w:cs="宋体"/>
          <w:b/>
          <w:bCs/>
          <w:kern w:val="0"/>
          <w:sz w:val="24"/>
          <w:szCs w:val="24"/>
          <w:lang w:eastAsia="zh-CN"/>
        </w:rPr>
        <w:t>供应商</w:t>
      </w:r>
      <w:r>
        <w:rPr>
          <w:rFonts w:hint="eastAsia" w:ascii="宋体" w:hAnsi="宋体" w:cs="宋体"/>
          <w:b/>
          <w:bCs/>
          <w:kern w:val="0"/>
          <w:sz w:val="24"/>
          <w:szCs w:val="24"/>
        </w:rPr>
        <w:t>未按要求上传资料的或上传的资料不符合招标文件要求的均视为资格审查不通过，资格审查不通过的</w:t>
      </w:r>
      <w:r>
        <w:rPr>
          <w:rFonts w:hint="eastAsia" w:ascii="宋体" w:hAnsi="宋体" w:cs="宋体"/>
          <w:b/>
          <w:bCs/>
          <w:kern w:val="0"/>
          <w:sz w:val="24"/>
          <w:szCs w:val="24"/>
          <w:lang w:eastAsia="zh-CN"/>
        </w:rPr>
        <w:t>供应商</w:t>
      </w:r>
      <w:r>
        <w:rPr>
          <w:rFonts w:hint="eastAsia" w:ascii="宋体" w:hAnsi="宋体" w:cs="宋体"/>
          <w:b/>
          <w:bCs/>
          <w:kern w:val="0"/>
          <w:sz w:val="24"/>
          <w:szCs w:val="24"/>
        </w:rPr>
        <w:t>按无效投标处理，不再进行下一步的评审。</w:t>
      </w:r>
    </w:p>
    <w:p w14:paraId="445A4A56">
      <w:pPr>
        <w:rPr>
          <w:rFonts w:hint="eastAsia" w:ascii="宋体" w:hAnsi="宋体" w:cs="宋体"/>
        </w:rPr>
      </w:pPr>
      <w:r>
        <w:rPr>
          <w:rFonts w:hint="eastAsia" w:ascii="宋体" w:hAnsi="宋体" w:cs="宋体"/>
        </w:rPr>
        <w:br w:type="page"/>
      </w:r>
    </w:p>
    <w:p w14:paraId="56E2B063">
      <w:pPr>
        <w:pStyle w:val="13"/>
        <w:ind w:left="0"/>
        <w:rPr>
          <w:rFonts w:hint="eastAsia" w:ascii="宋体" w:hAnsi="宋体" w:cs="宋体"/>
        </w:rPr>
      </w:pPr>
      <w:r>
        <w:rPr>
          <w:rFonts w:hint="eastAsia" w:ascii="宋体" w:hAnsi="宋体" w:cs="宋体"/>
          <w:b/>
          <w:bCs/>
          <w:sz w:val="24"/>
          <w:szCs w:val="24"/>
        </w:rPr>
        <w:t>详细评审表包1：</w:t>
      </w:r>
    </w:p>
    <w:tbl>
      <w:tblPr>
        <w:tblStyle w:val="22"/>
        <w:tblW w:w="95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2125"/>
        <w:gridCol w:w="5430"/>
        <w:gridCol w:w="6"/>
      </w:tblGrid>
      <w:tr w14:paraId="1D9BF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5195BC6D">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条款号</w:t>
            </w:r>
          </w:p>
        </w:tc>
        <w:tc>
          <w:tcPr>
            <w:tcW w:w="2125" w:type="dxa"/>
            <w:vAlign w:val="center"/>
          </w:tcPr>
          <w:p w14:paraId="786A821A">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评分因素</w:t>
            </w:r>
          </w:p>
        </w:tc>
        <w:tc>
          <w:tcPr>
            <w:tcW w:w="5430" w:type="dxa"/>
            <w:vAlign w:val="center"/>
          </w:tcPr>
          <w:p w14:paraId="290E1DDA">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评分标准</w:t>
            </w:r>
          </w:p>
        </w:tc>
      </w:tr>
      <w:tr w14:paraId="67321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038BE6B5">
            <w:pPr>
              <w:spacing w:line="360" w:lineRule="auto"/>
              <w:ind w:left="210" w:leftChars="100"/>
              <w:jc w:val="center"/>
              <w:rPr>
                <w:rFonts w:hint="eastAsia" w:ascii="宋体" w:hAnsi="宋体" w:cs="宋体"/>
                <w:b/>
                <w:bCs/>
                <w:color w:val="000000"/>
                <w:sz w:val="24"/>
                <w:szCs w:val="24"/>
              </w:rPr>
            </w:pPr>
          </w:p>
          <w:p w14:paraId="291E6EDE">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报价得分（10分）</w:t>
            </w:r>
          </w:p>
        </w:tc>
        <w:tc>
          <w:tcPr>
            <w:tcW w:w="2125" w:type="dxa"/>
            <w:vAlign w:val="center"/>
          </w:tcPr>
          <w:p w14:paraId="0F900E92">
            <w:pPr>
              <w:spacing w:line="360" w:lineRule="auto"/>
              <w:ind w:left="210" w:leftChars="100"/>
              <w:jc w:val="center"/>
              <w:rPr>
                <w:rFonts w:hint="eastAsia" w:ascii="宋体" w:hAnsi="宋体" w:cs="宋体"/>
                <w:b/>
                <w:bCs/>
                <w:color w:val="000000"/>
                <w:sz w:val="24"/>
                <w:szCs w:val="24"/>
              </w:rPr>
            </w:pPr>
          </w:p>
          <w:p w14:paraId="248BBB4D">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投标报价（10分）</w:t>
            </w:r>
          </w:p>
        </w:tc>
        <w:tc>
          <w:tcPr>
            <w:tcW w:w="5430" w:type="dxa"/>
            <w:vAlign w:val="center"/>
          </w:tcPr>
          <w:p w14:paraId="1F9D3EA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分采用低价优先法计算，即满足招标文件实质性要求且价格最低的报价为评标基准价，其价格分为满分，其他供应商的价格分统一按下列公式计算：报价得分=（评标基准价／报价）×10（小数点后保留2位小数）依据《政府采购货物和服务招标投标管理办法》财政部令第87号，评标委员会认为供应商的报价明显低于其他通过有效供应商报价，有可能影响服务质量或者不能诚信履约的，应当要求其在评标现场合理时间内提供书面说明，必要时提供相关证明材料；供应商不能证明其报价合理性的，评标委员会应当将其作为无效投标处理。</w:t>
            </w:r>
          </w:p>
          <w:p w14:paraId="6E798A0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扣除：为了促进中小企业发展对小型和微型企业的投标总价给予20%的扣除，用扣除后的价格参与评审。参加本项目的中小企业应当提供《中小企业声明函》。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在投标文件中提交了《中小企业声明函》等注明应享受价格折扣优惠政策的小微企业，应予以认定。</w:t>
            </w:r>
          </w:p>
          <w:p w14:paraId="47B0DD9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所投小微企业报价＝所投小微企业报价合计*（1－20%)所投残疾人企业报价＝所投监狱企业报价合计*（1-20%)所投监狱企业报价＝所投监狱企业报价合计*（1－20%)同一供应商，小微企业、残疾人企业、监狱企业价格扣除优惠只享受一次，不得重复享受。</w:t>
            </w:r>
          </w:p>
        </w:tc>
      </w:tr>
      <w:tr w14:paraId="49016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07144C41">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技术部分（50分）</w:t>
            </w:r>
          </w:p>
        </w:tc>
        <w:tc>
          <w:tcPr>
            <w:tcW w:w="2125" w:type="dxa"/>
            <w:vMerge w:val="restart"/>
            <w:vAlign w:val="center"/>
          </w:tcPr>
          <w:p w14:paraId="30BE11BC">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项目实施方案（20分）</w:t>
            </w:r>
          </w:p>
        </w:tc>
        <w:tc>
          <w:tcPr>
            <w:tcW w:w="5430" w:type="dxa"/>
            <w:vAlign w:val="center"/>
          </w:tcPr>
          <w:p w14:paraId="06BB350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项目组织管理措施：项目组织机构设置（包含岗位设置及岗位职责等）、人员安排、仪器设备配备、项目实施步骤、协调方案及措施，本项5分。</w:t>
            </w:r>
          </w:p>
          <w:p w14:paraId="56ED742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（1）组织管理措施详尽，描述完整、科学、针对性强，得5分；</w:t>
            </w:r>
          </w:p>
          <w:p w14:paraId="6E8DE19E">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（2）组织管理措施较详尽，描述较完整、较科学、针对性较强，得3分；</w:t>
            </w:r>
          </w:p>
          <w:p w14:paraId="5415685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（3）组织管理措施不详尽，描述不完整、不科学、针对性不强的，得1分；</w:t>
            </w:r>
          </w:p>
          <w:p w14:paraId="54512B92">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（4）组织管理措施缺失的，得0分。</w:t>
            </w:r>
          </w:p>
        </w:tc>
      </w:tr>
      <w:tr w14:paraId="1AE3A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5623A46A">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0675F8F">
            <w:pPr>
              <w:spacing w:line="360" w:lineRule="auto"/>
              <w:ind w:left="210" w:leftChars="100"/>
              <w:jc w:val="center"/>
              <w:rPr>
                <w:rFonts w:hint="eastAsia" w:ascii="宋体" w:hAnsi="宋体" w:cs="宋体"/>
                <w:color w:val="000000"/>
                <w:sz w:val="24"/>
                <w:szCs w:val="24"/>
              </w:rPr>
            </w:pPr>
          </w:p>
        </w:tc>
        <w:tc>
          <w:tcPr>
            <w:tcW w:w="5430" w:type="dxa"/>
            <w:vAlign w:val="center"/>
          </w:tcPr>
          <w:p w14:paraId="08C9BDC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质量管理及保障措施：质量管理组织机构、质量管理方案、质量控制保障措施等，本项5分。</w:t>
            </w:r>
          </w:p>
          <w:p w14:paraId="3E814F8F">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（1）内容详细，措施得当，符合实际的，得5分；</w:t>
            </w:r>
          </w:p>
          <w:p w14:paraId="01D5EE8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（2）内容较为详细，措施较为得当，较为符合实际的，得3分；</w:t>
            </w:r>
          </w:p>
          <w:p w14:paraId="072B7E4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（3）内容不详细，措施不得当，不符合实际的，得1分；</w:t>
            </w:r>
          </w:p>
          <w:p w14:paraId="2A97C16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（4）质量管理及保障措施缺失的，得0分；</w:t>
            </w:r>
          </w:p>
        </w:tc>
      </w:tr>
      <w:tr w14:paraId="34E9B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12" w:hRule="atLeast"/>
          <w:jc w:val="center"/>
        </w:trPr>
        <w:tc>
          <w:tcPr>
            <w:tcW w:w="1983" w:type="dxa"/>
            <w:vMerge w:val="continue"/>
            <w:vAlign w:val="center"/>
          </w:tcPr>
          <w:p w14:paraId="2A95776C">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4313288A">
            <w:pPr>
              <w:spacing w:line="360" w:lineRule="auto"/>
              <w:ind w:left="210" w:leftChars="100"/>
              <w:jc w:val="center"/>
              <w:rPr>
                <w:rFonts w:hint="eastAsia" w:ascii="宋体" w:hAnsi="宋体" w:cs="宋体"/>
                <w:color w:val="000000"/>
                <w:sz w:val="24"/>
                <w:szCs w:val="24"/>
              </w:rPr>
            </w:pPr>
          </w:p>
        </w:tc>
        <w:tc>
          <w:tcPr>
            <w:tcW w:w="5430" w:type="dxa"/>
            <w:vAlign w:val="center"/>
          </w:tcPr>
          <w:p w14:paraId="5106FE1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进度计划及保障措施：进度计划、进度保障措施等，本项5分。</w:t>
            </w:r>
          </w:p>
          <w:p w14:paraId="144F040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（1）进度计划及保障措施详细、完善、针对性强的，得5分；</w:t>
            </w:r>
          </w:p>
          <w:p w14:paraId="3659B56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（2）进度计划及保障措施较详细、较完善、针对性较强的，得3分；</w:t>
            </w:r>
          </w:p>
          <w:p w14:paraId="2A90900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（3）进度计划及保障措施不详细、不完善、针对性不强的，得1分；</w:t>
            </w:r>
          </w:p>
          <w:p w14:paraId="06F30A9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（4）进度计划及保障措施缺失的，得0分。</w:t>
            </w:r>
          </w:p>
        </w:tc>
      </w:tr>
      <w:tr w14:paraId="722F7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0439042E">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1A6219C0">
            <w:pPr>
              <w:spacing w:line="360" w:lineRule="auto"/>
              <w:ind w:left="210" w:leftChars="100"/>
              <w:jc w:val="center"/>
              <w:rPr>
                <w:rFonts w:hint="eastAsia" w:ascii="宋体" w:hAnsi="宋体" w:cs="宋体"/>
                <w:color w:val="000000"/>
                <w:sz w:val="24"/>
                <w:szCs w:val="24"/>
              </w:rPr>
            </w:pPr>
          </w:p>
        </w:tc>
        <w:tc>
          <w:tcPr>
            <w:tcW w:w="5430" w:type="dxa"/>
            <w:vAlign w:val="center"/>
          </w:tcPr>
          <w:p w14:paraId="4082A7B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生产安全及数据安全保障措施：安全生产制度、安全生产方案、数据安全保障措施、数据安全保密管理方案、安全设备场所人员配置、安全风险预案，本项5分。</w:t>
            </w:r>
          </w:p>
          <w:p w14:paraId="6F686CC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（1）生产安全及数据安全保障措施完善，安全预案科学，完全满足项目需求的，得5分；</w:t>
            </w:r>
          </w:p>
          <w:p w14:paraId="1421AD3E">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（2）生产安全及数据安全保障措施较完善，安全预案较科学，满足项目需求的，得3分；</w:t>
            </w:r>
          </w:p>
          <w:p w14:paraId="6AFFD7BF">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（3）生产安全及数据安全保障措施不完善，安全预案不科学，不满足本项目需求的，得1分；</w:t>
            </w:r>
          </w:p>
          <w:p w14:paraId="7404AB6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（4）生产安全及数据安全保障措施缺失的，得0分。</w:t>
            </w:r>
          </w:p>
        </w:tc>
      </w:tr>
      <w:tr w14:paraId="61498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730" w:hRule="atLeast"/>
          <w:jc w:val="center"/>
        </w:trPr>
        <w:tc>
          <w:tcPr>
            <w:tcW w:w="1983" w:type="dxa"/>
            <w:vMerge w:val="continue"/>
            <w:vAlign w:val="center"/>
          </w:tcPr>
          <w:p w14:paraId="231F90B4">
            <w:pPr>
              <w:spacing w:line="360" w:lineRule="auto"/>
              <w:ind w:left="210" w:leftChars="100"/>
              <w:jc w:val="center"/>
              <w:rPr>
                <w:rFonts w:hint="eastAsia" w:ascii="宋体" w:hAnsi="宋体" w:cs="宋体"/>
                <w:color w:val="000000"/>
                <w:sz w:val="24"/>
                <w:szCs w:val="24"/>
              </w:rPr>
            </w:pPr>
          </w:p>
        </w:tc>
        <w:tc>
          <w:tcPr>
            <w:tcW w:w="2125" w:type="dxa"/>
            <w:vAlign w:val="center"/>
          </w:tcPr>
          <w:p w14:paraId="0CFF1F56">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项目技术方案（25分）</w:t>
            </w:r>
          </w:p>
        </w:tc>
        <w:tc>
          <w:tcPr>
            <w:tcW w:w="5430" w:type="dxa"/>
            <w:vAlign w:val="center"/>
          </w:tcPr>
          <w:p w14:paraId="3261E6D5">
            <w:pPr>
              <w:spacing w:line="360" w:lineRule="auto"/>
              <w:rPr>
                <w:rFonts w:hint="eastAsia" w:ascii="宋体" w:hAnsi="宋体" w:cs="宋体"/>
                <w:color w:val="000000"/>
                <w:sz w:val="24"/>
                <w:szCs w:val="24"/>
              </w:rPr>
            </w:pPr>
            <w:r>
              <w:rPr>
                <w:rFonts w:hint="eastAsia" w:ascii="宋体" w:hAnsi="宋体" w:cs="宋体"/>
                <w:color w:val="000000"/>
                <w:sz w:val="24"/>
                <w:szCs w:val="24"/>
              </w:rPr>
              <w:t>项目技术方案应围绕对服务需求及现状的理解、技术路线、关键技术研究、技术实施、成果提交等方面开展编制，包括但不限于以下内容：</w:t>
            </w:r>
          </w:p>
          <w:p w14:paraId="70E142E2">
            <w:pPr>
              <w:spacing w:line="360" w:lineRule="auto"/>
              <w:rPr>
                <w:rFonts w:hint="eastAsia" w:ascii="宋体" w:hAnsi="宋体" w:cs="宋体"/>
                <w:color w:val="000000"/>
                <w:sz w:val="24"/>
                <w:szCs w:val="24"/>
              </w:rPr>
            </w:pPr>
            <w:r>
              <w:rPr>
                <w:rFonts w:hint="eastAsia" w:ascii="宋体" w:hAnsi="宋体" w:cs="宋体"/>
                <w:color w:val="000000"/>
                <w:sz w:val="24"/>
                <w:szCs w:val="24"/>
              </w:rPr>
              <w:t>1.对服务需求及现状的理解；</w:t>
            </w:r>
          </w:p>
          <w:p w14:paraId="0CCFB936">
            <w:pPr>
              <w:spacing w:line="360" w:lineRule="auto"/>
              <w:rPr>
                <w:rFonts w:hint="eastAsia" w:ascii="宋体" w:hAnsi="宋体" w:cs="宋体"/>
                <w:color w:val="000000"/>
                <w:sz w:val="24"/>
                <w:szCs w:val="24"/>
              </w:rPr>
            </w:pPr>
            <w:r>
              <w:rPr>
                <w:rFonts w:hint="eastAsia" w:ascii="宋体" w:hAnsi="宋体" w:cs="宋体"/>
                <w:color w:val="000000"/>
                <w:sz w:val="24"/>
                <w:szCs w:val="24"/>
              </w:rPr>
              <w:t>2.主要技术指标和成果规格；</w:t>
            </w:r>
          </w:p>
          <w:p w14:paraId="18010FAE">
            <w:pPr>
              <w:spacing w:line="360" w:lineRule="auto"/>
              <w:rPr>
                <w:rFonts w:hint="eastAsia" w:ascii="宋体" w:hAnsi="宋体" w:cs="宋体"/>
                <w:color w:val="000000"/>
                <w:sz w:val="24"/>
                <w:szCs w:val="24"/>
              </w:rPr>
            </w:pPr>
            <w:r>
              <w:rPr>
                <w:rFonts w:hint="eastAsia" w:ascii="宋体" w:hAnsi="宋体" w:cs="宋体"/>
                <w:color w:val="000000"/>
                <w:sz w:val="24"/>
                <w:szCs w:val="24"/>
              </w:rPr>
              <w:t>3.技术路线；</w:t>
            </w:r>
          </w:p>
          <w:p w14:paraId="7BC34F7D">
            <w:pPr>
              <w:spacing w:line="360" w:lineRule="auto"/>
              <w:rPr>
                <w:rFonts w:hint="eastAsia" w:ascii="宋体" w:hAnsi="宋体" w:cs="宋体"/>
                <w:color w:val="000000"/>
                <w:sz w:val="24"/>
                <w:szCs w:val="24"/>
              </w:rPr>
            </w:pPr>
            <w:r>
              <w:rPr>
                <w:rFonts w:hint="eastAsia" w:ascii="宋体" w:hAnsi="宋体" w:cs="宋体"/>
                <w:color w:val="000000"/>
                <w:sz w:val="24"/>
                <w:szCs w:val="24"/>
              </w:rPr>
              <w:t>4.关键技术研究；</w:t>
            </w:r>
          </w:p>
          <w:p w14:paraId="0ECD60FB">
            <w:pPr>
              <w:spacing w:line="360" w:lineRule="auto"/>
              <w:rPr>
                <w:rFonts w:hint="eastAsia" w:ascii="宋体" w:hAnsi="宋体" w:cs="宋体"/>
                <w:color w:val="000000"/>
                <w:sz w:val="24"/>
                <w:szCs w:val="24"/>
              </w:rPr>
            </w:pPr>
            <w:r>
              <w:rPr>
                <w:rFonts w:hint="eastAsia" w:ascii="宋体" w:hAnsi="宋体" w:cs="宋体"/>
                <w:color w:val="000000"/>
                <w:sz w:val="24"/>
                <w:szCs w:val="24"/>
              </w:rPr>
              <w:t>5.技术实施；</w:t>
            </w:r>
          </w:p>
          <w:p w14:paraId="780E2651">
            <w:pPr>
              <w:spacing w:line="360" w:lineRule="auto"/>
              <w:rPr>
                <w:rFonts w:hint="eastAsia" w:ascii="宋体" w:hAnsi="宋体" w:cs="宋体"/>
                <w:color w:val="000000"/>
                <w:sz w:val="24"/>
                <w:szCs w:val="24"/>
              </w:rPr>
            </w:pPr>
            <w:r>
              <w:rPr>
                <w:rFonts w:hint="eastAsia" w:ascii="宋体" w:hAnsi="宋体" w:cs="宋体"/>
                <w:color w:val="000000"/>
                <w:sz w:val="24"/>
                <w:szCs w:val="24"/>
              </w:rPr>
              <w:t>6.资料整理与成果提交；</w:t>
            </w:r>
          </w:p>
          <w:p w14:paraId="51E0E6EA">
            <w:pPr>
              <w:spacing w:line="360" w:lineRule="auto"/>
              <w:rPr>
                <w:rFonts w:hint="eastAsia" w:ascii="宋体" w:hAnsi="宋体" w:cs="宋体"/>
                <w:color w:val="000000"/>
                <w:sz w:val="24"/>
                <w:szCs w:val="24"/>
              </w:rPr>
            </w:pPr>
            <w:r>
              <w:rPr>
                <w:rFonts w:hint="eastAsia" w:ascii="宋体" w:hAnsi="宋体" w:cs="宋体"/>
                <w:color w:val="000000"/>
                <w:sz w:val="24"/>
                <w:szCs w:val="24"/>
              </w:rPr>
              <w:t>7.售后技术支持。</w:t>
            </w:r>
          </w:p>
          <w:p w14:paraId="3C0771A7">
            <w:pPr>
              <w:spacing w:line="360" w:lineRule="auto"/>
              <w:rPr>
                <w:rFonts w:hint="eastAsia" w:ascii="宋体" w:hAnsi="宋体" w:cs="宋体"/>
                <w:color w:val="000000"/>
                <w:sz w:val="24"/>
                <w:szCs w:val="24"/>
              </w:rPr>
            </w:pPr>
            <w:r>
              <w:rPr>
                <w:rFonts w:hint="eastAsia" w:ascii="宋体" w:hAnsi="宋体" w:cs="宋体"/>
                <w:color w:val="000000"/>
                <w:sz w:val="24"/>
                <w:szCs w:val="24"/>
              </w:rPr>
              <w:t>以上7项内容，第3项7分，其他项3分。</w:t>
            </w:r>
          </w:p>
          <w:p w14:paraId="049FFAEC">
            <w:pPr>
              <w:spacing w:line="360" w:lineRule="auto"/>
              <w:rPr>
                <w:rFonts w:hint="eastAsia" w:ascii="宋体" w:hAnsi="宋体" w:cs="宋体"/>
                <w:color w:val="000000"/>
                <w:sz w:val="24"/>
                <w:szCs w:val="24"/>
              </w:rPr>
            </w:pPr>
            <w:r>
              <w:rPr>
                <w:rFonts w:hint="eastAsia" w:ascii="宋体" w:hAnsi="宋体" w:cs="宋体"/>
                <w:color w:val="000000"/>
                <w:sz w:val="24"/>
                <w:szCs w:val="24"/>
              </w:rPr>
              <w:t>其中，第3项内容评分标准：</w:t>
            </w:r>
          </w:p>
          <w:p w14:paraId="0869EEC1">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（1）方案科学、技术手段先进，完全满足本项目建设需求的，得7分；</w:t>
            </w:r>
          </w:p>
          <w:p w14:paraId="62F90C5F">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（2）方案较合理、技术手段较可行，满足本项目建设需求的，得5分；</w:t>
            </w:r>
          </w:p>
          <w:p w14:paraId="075C8370">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（3）方案不合理、技术手段不可行，不满足本项目建设需求的，得2分；</w:t>
            </w:r>
          </w:p>
          <w:p w14:paraId="032B1AE3">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（4）缺失相关内容</w:t>
            </w:r>
            <w:r>
              <w:rPr>
                <w:rFonts w:hint="eastAsia" w:ascii="宋体" w:hAnsi="宋体" w:cs="宋体"/>
                <w:color w:val="000000"/>
                <w:sz w:val="24"/>
                <w:szCs w:val="24"/>
                <w:lang w:val="zh-CN"/>
              </w:rPr>
              <w:t>的</w:t>
            </w:r>
            <w:r>
              <w:rPr>
                <w:rFonts w:hint="eastAsia" w:ascii="宋体" w:hAnsi="宋体" w:cs="宋体"/>
                <w:color w:val="000000"/>
                <w:sz w:val="24"/>
                <w:szCs w:val="24"/>
              </w:rPr>
              <w:t>，得0分。</w:t>
            </w:r>
          </w:p>
          <w:p w14:paraId="27B3169C">
            <w:pPr>
              <w:tabs>
                <w:tab w:val="left" w:pos="1212"/>
                <w:tab w:val="left" w:pos="3888"/>
              </w:tabs>
              <w:rPr>
                <w:rFonts w:hint="eastAsia" w:ascii="宋体" w:hAnsi="宋体" w:cs="宋体"/>
                <w:color w:val="000000"/>
                <w:sz w:val="24"/>
                <w:szCs w:val="24"/>
              </w:rPr>
            </w:pPr>
            <w:r>
              <w:rPr>
                <w:rFonts w:hint="eastAsia" w:ascii="宋体" w:hAnsi="宋体" w:cs="宋体"/>
                <w:color w:val="000000"/>
                <w:sz w:val="24"/>
                <w:szCs w:val="24"/>
              </w:rPr>
              <w:t>第1-2、4-7项内容评分标准：</w:t>
            </w:r>
          </w:p>
          <w:p w14:paraId="1C773598">
            <w:pPr>
              <w:pStyle w:val="34"/>
              <w:spacing w:line="360" w:lineRule="auto"/>
              <w:jc w:val="both"/>
              <w:rPr>
                <w:rFonts w:hint="eastAsia" w:cs="宋体"/>
                <w:color w:val="000000"/>
                <w:sz w:val="24"/>
                <w:szCs w:val="24"/>
                <w:lang w:val="zh-CN"/>
              </w:rPr>
            </w:pPr>
            <w:r>
              <w:rPr>
                <w:rFonts w:hint="eastAsia" w:cs="宋体"/>
                <w:color w:val="000000"/>
                <w:sz w:val="24"/>
                <w:szCs w:val="24"/>
              </w:rPr>
              <w:t>（1）理解充分</w:t>
            </w:r>
            <w:r>
              <w:rPr>
                <w:rFonts w:hint="eastAsia" w:cs="宋体"/>
                <w:color w:val="000000"/>
                <w:sz w:val="24"/>
                <w:szCs w:val="24"/>
                <w:lang w:val="zh-CN"/>
              </w:rPr>
              <w:t>、指标分析全面、</w:t>
            </w:r>
            <w:r>
              <w:rPr>
                <w:rFonts w:hint="eastAsia" w:cs="宋体"/>
                <w:color w:val="000000"/>
                <w:sz w:val="24"/>
                <w:szCs w:val="24"/>
              </w:rPr>
              <w:t>措施得当</w:t>
            </w:r>
            <w:r>
              <w:rPr>
                <w:rFonts w:hint="eastAsia" w:cs="宋体"/>
                <w:color w:val="000000"/>
                <w:sz w:val="24"/>
                <w:szCs w:val="24"/>
                <w:lang w:val="zh-CN"/>
              </w:rPr>
              <w:t>，完全满足本项目建设需求的，得</w:t>
            </w:r>
            <w:r>
              <w:rPr>
                <w:rFonts w:hint="eastAsia" w:cs="宋体"/>
                <w:color w:val="000000"/>
                <w:sz w:val="24"/>
                <w:szCs w:val="24"/>
              </w:rPr>
              <w:t>3</w:t>
            </w:r>
            <w:r>
              <w:rPr>
                <w:rFonts w:hint="eastAsia" w:cs="宋体"/>
                <w:color w:val="000000"/>
                <w:sz w:val="24"/>
                <w:szCs w:val="24"/>
                <w:lang w:val="zh-CN"/>
              </w:rPr>
              <w:t>分；</w:t>
            </w:r>
          </w:p>
          <w:p w14:paraId="244FC74F">
            <w:pPr>
              <w:pStyle w:val="34"/>
              <w:spacing w:line="360" w:lineRule="auto"/>
              <w:jc w:val="both"/>
              <w:rPr>
                <w:rFonts w:hint="eastAsia" w:cs="宋体"/>
                <w:color w:val="000000"/>
                <w:sz w:val="24"/>
                <w:szCs w:val="24"/>
                <w:lang w:val="zh-CN"/>
              </w:rPr>
            </w:pPr>
            <w:r>
              <w:rPr>
                <w:rFonts w:hint="eastAsia" w:cs="宋体"/>
                <w:color w:val="000000"/>
                <w:sz w:val="24"/>
                <w:szCs w:val="24"/>
              </w:rPr>
              <w:t>（2）理解较充分</w:t>
            </w:r>
            <w:r>
              <w:rPr>
                <w:rFonts w:hint="eastAsia" w:cs="宋体"/>
                <w:color w:val="000000"/>
                <w:sz w:val="24"/>
                <w:szCs w:val="24"/>
                <w:lang w:val="zh-CN"/>
              </w:rPr>
              <w:t>、指标分析</w:t>
            </w:r>
            <w:r>
              <w:rPr>
                <w:rFonts w:hint="eastAsia" w:cs="宋体"/>
                <w:color w:val="000000"/>
                <w:sz w:val="24"/>
                <w:szCs w:val="24"/>
              </w:rPr>
              <w:t>较</w:t>
            </w:r>
            <w:r>
              <w:rPr>
                <w:rFonts w:hint="eastAsia" w:cs="宋体"/>
                <w:color w:val="000000"/>
                <w:sz w:val="24"/>
                <w:szCs w:val="24"/>
                <w:lang w:val="zh-CN"/>
              </w:rPr>
              <w:t>完整、</w:t>
            </w:r>
            <w:r>
              <w:rPr>
                <w:rFonts w:hint="eastAsia" w:cs="宋体"/>
                <w:color w:val="000000"/>
                <w:sz w:val="24"/>
                <w:szCs w:val="24"/>
              </w:rPr>
              <w:t>措施较得当</w:t>
            </w:r>
            <w:r>
              <w:rPr>
                <w:rFonts w:hint="eastAsia" w:cs="宋体"/>
                <w:color w:val="000000"/>
                <w:sz w:val="24"/>
                <w:szCs w:val="24"/>
                <w:lang w:val="zh-CN"/>
              </w:rPr>
              <w:t>，满足本项目建设需求的，得</w:t>
            </w:r>
            <w:r>
              <w:rPr>
                <w:rFonts w:hint="eastAsia" w:cs="宋体"/>
                <w:color w:val="000000"/>
                <w:sz w:val="24"/>
                <w:szCs w:val="24"/>
              </w:rPr>
              <w:t>2</w:t>
            </w:r>
            <w:r>
              <w:rPr>
                <w:rFonts w:hint="eastAsia" w:cs="宋体"/>
                <w:color w:val="000000"/>
                <w:sz w:val="24"/>
                <w:szCs w:val="24"/>
                <w:lang w:val="zh-CN"/>
              </w:rPr>
              <w:t>分；</w:t>
            </w:r>
          </w:p>
          <w:p w14:paraId="239DF94B">
            <w:pPr>
              <w:pStyle w:val="34"/>
              <w:spacing w:line="360" w:lineRule="auto"/>
              <w:jc w:val="both"/>
              <w:rPr>
                <w:rFonts w:hint="eastAsia" w:cs="宋体"/>
                <w:color w:val="000000"/>
                <w:sz w:val="24"/>
                <w:szCs w:val="24"/>
                <w:lang w:val="zh-CN"/>
              </w:rPr>
            </w:pPr>
            <w:r>
              <w:rPr>
                <w:rFonts w:hint="eastAsia" w:cs="宋体"/>
                <w:color w:val="000000"/>
                <w:sz w:val="24"/>
                <w:szCs w:val="24"/>
              </w:rPr>
              <w:t>（3）理解不充分</w:t>
            </w:r>
            <w:r>
              <w:rPr>
                <w:rFonts w:hint="eastAsia" w:cs="宋体"/>
                <w:color w:val="000000"/>
                <w:sz w:val="24"/>
                <w:szCs w:val="24"/>
                <w:lang w:val="zh-CN"/>
              </w:rPr>
              <w:t>、指标分析</w:t>
            </w:r>
            <w:r>
              <w:rPr>
                <w:rFonts w:hint="eastAsia" w:cs="宋体"/>
                <w:color w:val="000000"/>
                <w:sz w:val="24"/>
                <w:szCs w:val="24"/>
              </w:rPr>
              <w:t>不</w:t>
            </w:r>
            <w:r>
              <w:rPr>
                <w:rFonts w:hint="eastAsia" w:cs="宋体"/>
                <w:color w:val="000000"/>
                <w:sz w:val="24"/>
                <w:szCs w:val="24"/>
                <w:lang w:val="zh-CN"/>
              </w:rPr>
              <w:t>完整、</w:t>
            </w:r>
            <w:r>
              <w:rPr>
                <w:rFonts w:hint="eastAsia" w:cs="宋体"/>
                <w:color w:val="000000"/>
                <w:sz w:val="24"/>
                <w:szCs w:val="24"/>
              </w:rPr>
              <w:t>措施不得当</w:t>
            </w:r>
            <w:r>
              <w:rPr>
                <w:rFonts w:hint="eastAsia" w:cs="宋体"/>
                <w:color w:val="000000"/>
                <w:sz w:val="24"/>
                <w:szCs w:val="24"/>
                <w:lang w:val="zh-CN"/>
              </w:rPr>
              <w:t>，</w:t>
            </w:r>
            <w:r>
              <w:rPr>
                <w:rFonts w:hint="eastAsia" w:cs="宋体"/>
                <w:color w:val="000000"/>
                <w:sz w:val="24"/>
                <w:szCs w:val="24"/>
              </w:rPr>
              <w:t>不</w:t>
            </w:r>
            <w:r>
              <w:rPr>
                <w:rFonts w:hint="eastAsia" w:cs="宋体"/>
                <w:color w:val="000000"/>
                <w:sz w:val="24"/>
                <w:szCs w:val="24"/>
                <w:lang w:val="zh-CN"/>
              </w:rPr>
              <w:t>满足本项目建设需求的，得</w:t>
            </w:r>
            <w:r>
              <w:rPr>
                <w:rFonts w:hint="eastAsia" w:cs="宋体"/>
                <w:color w:val="000000"/>
                <w:sz w:val="24"/>
                <w:szCs w:val="24"/>
              </w:rPr>
              <w:t>1</w:t>
            </w:r>
            <w:r>
              <w:rPr>
                <w:rFonts w:hint="eastAsia" w:cs="宋体"/>
                <w:color w:val="000000"/>
                <w:sz w:val="24"/>
                <w:szCs w:val="24"/>
                <w:lang w:val="zh-CN"/>
              </w:rPr>
              <w:t>分；</w:t>
            </w:r>
          </w:p>
          <w:p w14:paraId="7E7172AE">
            <w:pPr>
              <w:rPr>
                <w:rFonts w:hint="eastAsia" w:ascii="宋体" w:hAnsi="宋体" w:cs="宋体"/>
                <w:color w:val="000000"/>
                <w:sz w:val="24"/>
                <w:szCs w:val="24"/>
              </w:rPr>
            </w:pPr>
            <w:r>
              <w:rPr>
                <w:rFonts w:hint="eastAsia" w:ascii="宋体" w:hAnsi="宋体" w:cs="宋体"/>
                <w:color w:val="000000"/>
                <w:sz w:val="24"/>
                <w:szCs w:val="24"/>
              </w:rPr>
              <w:t>（4）缺失相关内容的，得0分。</w:t>
            </w:r>
          </w:p>
        </w:tc>
      </w:tr>
      <w:tr w14:paraId="212E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5C938F49">
            <w:pPr>
              <w:spacing w:line="360" w:lineRule="auto"/>
              <w:ind w:left="210" w:leftChars="100"/>
              <w:jc w:val="center"/>
              <w:rPr>
                <w:rFonts w:hint="eastAsia" w:ascii="宋体" w:hAnsi="宋体" w:cs="宋体"/>
                <w:color w:val="000000"/>
                <w:sz w:val="24"/>
                <w:szCs w:val="24"/>
              </w:rPr>
            </w:pPr>
          </w:p>
        </w:tc>
        <w:tc>
          <w:tcPr>
            <w:tcW w:w="2125" w:type="dxa"/>
            <w:vAlign w:val="center"/>
          </w:tcPr>
          <w:p w14:paraId="23ECD32A">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项目重点、难点分析以及对策措施（5分）</w:t>
            </w:r>
          </w:p>
        </w:tc>
        <w:tc>
          <w:tcPr>
            <w:tcW w:w="5430" w:type="dxa"/>
            <w:vAlign w:val="center"/>
          </w:tcPr>
          <w:p w14:paraId="4F6DBE7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对本项目的工作重点、难点进行分析，并提出针对本项目工作重点、难点的建议及对策措施。</w:t>
            </w:r>
          </w:p>
          <w:p w14:paraId="4030844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（1）对项目的工作重点、难点分析科学合理，提出的建议及对策措施操作性强的，得5分；</w:t>
            </w:r>
          </w:p>
          <w:p w14:paraId="204FF968">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（2）对项目的工作重点、难点分析较为合理，提出的建议及对策措施操作性较强的，得3分；</w:t>
            </w:r>
          </w:p>
          <w:p w14:paraId="371FBB3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（3）对项目的工作重点、难点分析不合理，提出的建议及对策措施操作性不强的，得1分。</w:t>
            </w:r>
          </w:p>
          <w:p w14:paraId="575CE0F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（4）项目的工作重点、难点分析缺失的，得0分。</w:t>
            </w:r>
          </w:p>
        </w:tc>
      </w:tr>
      <w:tr w14:paraId="4A469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179CAA94">
            <w:pPr>
              <w:jc w:val="center"/>
              <w:rPr>
                <w:rFonts w:hint="eastAsia" w:ascii="宋体" w:hAnsi="宋体" w:cs="宋体"/>
                <w:b/>
                <w:bCs/>
                <w:color w:val="000000"/>
                <w:sz w:val="24"/>
                <w:szCs w:val="24"/>
              </w:rPr>
            </w:pPr>
            <w:r>
              <w:rPr>
                <w:rFonts w:hint="eastAsia" w:ascii="宋体" w:hAnsi="宋体" w:cs="宋体"/>
                <w:b/>
                <w:bCs/>
                <w:color w:val="000000"/>
                <w:sz w:val="24"/>
                <w:szCs w:val="24"/>
              </w:rPr>
              <w:t>商务部分（40分）</w:t>
            </w:r>
          </w:p>
        </w:tc>
        <w:tc>
          <w:tcPr>
            <w:tcW w:w="2125" w:type="dxa"/>
            <w:vAlign w:val="center"/>
          </w:tcPr>
          <w:p w14:paraId="7048B273">
            <w:pPr>
              <w:jc w:val="center"/>
              <w:rPr>
                <w:rFonts w:hint="eastAsia" w:ascii="宋体" w:hAnsi="宋体" w:cs="宋体"/>
                <w:b/>
                <w:bCs/>
                <w:color w:val="000000"/>
                <w:sz w:val="24"/>
                <w:szCs w:val="24"/>
              </w:rPr>
            </w:pPr>
            <w:r>
              <w:rPr>
                <w:rFonts w:hint="eastAsia" w:ascii="宋体" w:hAnsi="宋体" w:cs="宋体"/>
                <w:b/>
                <w:bCs/>
                <w:color w:val="000000"/>
                <w:sz w:val="24"/>
                <w:szCs w:val="24"/>
              </w:rPr>
              <w:t>项目管理团队（8分）</w:t>
            </w:r>
          </w:p>
        </w:tc>
        <w:tc>
          <w:tcPr>
            <w:tcW w:w="5430" w:type="dxa"/>
            <w:vAlign w:val="center"/>
          </w:tcPr>
          <w:p w14:paraId="2FF2D8F2">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（1）拟派项目负责人：</w:t>
            </w:r>
          </w:p>
          <w:p w14:paraId="12797670">
            <w:pPr>
              <w:spacing w:line="360" w:lineRule="auto"/>
              <w:ind w:right="54"/>
              <w:rPr>
                <w:rFonts w:hint="eastAsia" w:ascii="宋体" w:hAnsi="宋体" w:cs="宋体"/>
                <w:color w:val="000000"/>
                <w:sz w:val="24"/>
                <w:szCs w:val="24"/>
                <w:highlight w:val="none"/>
              </w:rPr>
            </w:pPr>
            <w:r>
              <w:rPr>
                <w:rFonts w:hint="eastAsia" w:ascii="宋体" w:hAnsi="宋体" w:cs="宋体"/>
                <w:color w:val="000000"/>
                <w:spacing w:val="7"/>
                <w:sz w:val="24"/>
                <w:szCs w:val="24"/>
              </w:rPr>
              <w:t>同时具有注册测绘师资格证书、</w:t>
            </w:r>
            <w:r>
              <w:rPr>
                <w:rFonts w:hint="eastAsia" w:ascii="宋体" w:hAnsi="宋体" w:cs="宋体"/>
                <w:color w:val="000000"/>
                <w:spacing w:val="8"/>
                <w:sz w:val="24"/>
                <w:szCs w:val="24"/>
              </w:rPr>
              <w:t>测绘类或土地资源管理类等相关</w:t>
            </w:r>
            <w:r>
              <w:rPr>
                <w:rFonts w:hint="eastAsia" w:ascii="宋体" w:hAnsi="宋体" w:cs="宋体"/>
                <w:color w:val="000000"/>
                <w:spacing w:val="8"/>
                <w:sz w:val="24"/>
                <w:szCs w:val="24"/>
                <w:highlight w:val="none"/>
              </w:rPr>
              <w:t>专业</w:t>
            </w:r>
            <w:r>
              <w:rPr>
                <w:rFonts w:hint="eastAsia" w:ascii="宋体" w:hAnsi="宋体" w:cs="宋体"/>
                <w:color w:val="000000"/>
                <w:spacing w:val="8"/>
                <w:sz w:val="24"/>
                <w:szCs w:val="24"/>
                <w:highlight w:val="none"/>
                <w:lang w:eastAsia="zh-CN"/>
              </w:rPr>
              <w:t>正</w:t>
            </w:r>
            <w:r>
              <w:rPr>
                <w:rFonts w:hint="eastAsia" w:ascii="宋体" w:hAnsi="宋体" w:cs="宋体"/>
                <w:color w:val="000000"/>
                <w:spacing w:val="8"/>
                <w:sz w:val="24"/>
                <w:szCs w:val="24"/>
                <w:highlight w:val="none"/>
              </w:rPr>
              <w:t>高级</w:t>
            </w:r>
            <w:r>
              <w:rPr>
                <w:rFonts w:hint="eastAsia" w:ascii="宋体" w:hAnsi="宋体" w:cs="宋体"/>
                <w:color w:val="000000"/>
                <w:spacing w:val="1"/>
                <w:sz w:val="24"/>
                <w:szCs w:val="24"/>
                <w:highlight w:val="none"/>
              </w:rPr>
              <w:t>工程师及以上职称证书、地理信息安全保密培训证书的，得2分；</w:t>
            </w:r>
            <w:r>
              <w:rPr>
                <w:rFonts w:hint="eastAsia" w:ascii="宋体" w:hAnsi="宋体" w:cs="宋体"/>
                <w:color w:val="000000"/>
                <w:spacing w:val="6"/>
                <w:sz w:val="24"/>
                <w:szCs w:val="24"/>
                <w:highlight w:val="none"/>
              </w:rPr>
              <w:t>否则不得分；</w:t>
            </w:r>
          </w:p>
          <w:p w14:paraId="58C154D8">
            <w:pPr>
              <w:spacing w:line="360" w:lineRule="auto"/>
              <w:rPr>
                <w:rFonts w:hint="eastAsia" w:ascii="宋体" w:hAnsi="宋体" w:cs="宋体"/>
                <w:color w:val="000000"/>
                <w:sz w:val="24"/>
                <w:szCs w:val="24"/>
                <w:highlight w:val="none"/>
              </w:rPr>
            </w:pPr>
            <w:r>
              <w:rPr>
                <w:rFonts w:hint="eastAsia" w:ascii="宋体" w:hAnsi="宋体" w:cs="宋体"/>
                <w:color w:val="000000"/>
                <w:spacing w:val="6"/>
                <w:sz w:val="24"/>
                <w:szCs w:val="24"/>
                <w:highlight w:val="none"/>
              </w:rPr>
              <w:t>（2）拟派技术负责人：</w:t>
            </w:r>
          </w:p>
          <w:p w14:paraId="0BE0B81E">
            <w:pPr>
              <w:spacing w:line="360" w:lineRule="auto"/>
              <w:ind w:right="54"/>
              <w:rPr>
                <w:rFonts w:hint="eastAsia" w:ascii="宋体" w:hAnsi="宋体" w:cs="宋体"/>
                <w:color w:val="000000"/>
                <w:sz w:val="24"/>
                <w:szCs w:val="24"/>
              </w:rPr>
            </w:pPr>
            <w:r>
              <w:rPr>
                <w:rFonts w:hint="eastAsia" w:ascii="宋体" w:hAnsi="宋体" w:cs="宋体"/>
                <w:color w:val="000000"/>
                <w:spacing w:val="7"/>
                <w:sz w:val="24"/>
                <w:szCs w:val="24"/>
                <w:highlight w:val="none"/>
              </w:rPr>
              <w:t>同时具有注册测绘师资格证书、测绘类</w:t>
            </w:r>
            <w:r>
              <w:rPr>
                <w:rFonts w:hint="eastAsia" w:ascii="宋体" w:hAnsi="宋体" w:cs="宋体"/>
                <w:color w:val="000000"/>
                <w:spacing w:val="8"/>
                <w:sz w:val="24"/>
                <w:szCs w:val="24"/>
                <w:highlight w:val="none"/>
              </w:rPr>
              <w:t>或土地资源管理类等相关</w:t>
            </w:r>
            <w:r>
              <w:rPr>
                <w:rFonts w:hint="eastAsia" w:ascii="宋体" w:hAnsi="宋体" w:cs="宋体"/>
                <w:color w:val="000000"/>
                <w:spacing w:val="7"/>
                <w:sz w:val="24"/>
                <w:szCs w:val="24"/>
                <w:highlight w:val="none"/>
              </w:rPr>
              <w:t>专业</w:t>
            </w:r>
            <w:r>
              <w:rPr>
                <w:rFonts w:hint="eastAsia" w:ascii="宋体" w:hAnsi="宋体" w:cs="宋体"/>
                <w:color w:val="000000"/>
                <w:spacing w:val="7"/>
                <w:sz w:val="24"/>
                <w:szCs w:val="24"/>
                <w:highlight w:val="none"/>
                <w:lang w:eastAsia="zh-CN"/>
              </w:rPr>
              <w:t>正</w:t>
            </w:r>
            <w:r>
              <w:rPr>
                <w:rFonts w:hint="eastAsia" w:ascii="宋体" w:hAnsi="宋体" w:cs="宋体"/>
                <w:color w:val="000000"/>
                <w:spacing w:val="7"/>
                <w:sz w:val="24"/>
                <w:szCs w:val="24"/>
                <w:highlight w:val="none"/>
              </w:rPr>
              <w:t>高级工程师</w:t>
            </w:r>
            <w:r>
              <w:rPr>
                <w:rFonts w:hint="eastAsia" w:ascii="宋体" w:hAnsi="宋体" w:cs="宋体"/>
                <w:color w:val="000000"/>
                <w:spacing w:val="1"/>
                <w:sz w:val="24"/>
                <w:szCs w:val="24"/>
                <w:highlight w:val="none"/>
              </w:rPr>
              <w:t>及以上职称证书、地理信息安全保密培训证书的，得2分；</w:t>
            </w:r>
            <w:r>
              <w:rPr>
                <w:rFonts w:hint="eastAsia" w:ascii="宋体" w:hAnsi="宋体" w:cs="宋体"/>
                <w:color w:val="000000"/>
                <w:spacing w:val="6"/>
                <w:sz w:val="24"/>
                <w:szCs w:val="24"/>
                <w:highlight w:val="none"/>
              </w:rPr>
              <w:t>否</w:t>
            </w:r>
            <w:r>
              <w:rPr>
                <w:rFonts w:hint="eastAsia" w:ascii="宋体" w:hAnsi="宋体" w:cs="宋体"/>
                <w:color w:val="000000"/>
                <w:spacing w:val="6"/>
                <w:sz w:val="24"/>
                <w:szCs w:val="24"/>
              </w:rPr>
              <w:t>则不得分；</w:t>
            </w:r>
          </w:p>
          <w:p w14:paraId="4703FB9D">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（3）拟派质量负责人：</w:t>
            </w:r>
          </w:p>
          <w:p w14:paraId="7ED89005">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同时具有注册测绘师资格证书、测绘类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w:t>
            </w:r>
            <w:r>
              <w:rPr>
                <w:rFonts w:hint="eastAsia" w:ascii="宋体" w:hAnsi="宋体" w:cs="宋体"/>
                <w:color w:val="000000"/>
                <w:spacing w:val="6"/>
                <w:sz w:val="24"/>
                <w:szCs w:val="24"/>
              </w:rPr>
              <w:t>的，得2分；</w:t>
            </w:r>
            <w:r>
              <w:rPr>
                <w:rFonts w:hint="eastAsia" w:ascii="宋体" w:hAnsi="宋体" w:cs="宋体"/>
                <w:color w:val="000000"/>
                <w:spacing w:val="5"/>
                <w:sz w:val="24"/>
                <w:szCs w:val="24"/>
              </w:rPr>
              <w:t>否则不得分；</w:t>
            </w:r>
          </w:p>
          <w:p w14:paraId="551A15CA">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（4）拟派地理信息安全负责人：</w:t>
            </w:r>
          </w:p>
          <w:p w14:paraId="64C2B787">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同时具有测绘类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专业高级工程师及以上职称证书、地理信息安全保密培训证书的，得2分；否则不得分。</w:t>
            </w:r>
          </w:p>
          <w:p w14:paraId="1D07AB62">
            <w:pPr>
              <w:spacing w:line="360" w:lineRule="auto"/>
              <w:ind w:right="85"/>
              <w:rPr>
                <w:rFonts w:hint="eastAsia" w:ascii="宋体" w:hAnsi="宋体" w:cs="宋体"/>
                <w:color w:val="000000"/>
                <w:sz w:val="24"/>
                <w:szCs w:val="24"/>
              </w:rPr>
            </w:pPr>
            <w:r>
              <w:rPr>
                <w:rFonts w:hint="eastAsia" w:ascii="宋体" w:hAnsi="宋体" w:cs="宋体"/>
                <w:b/>
                <w:bCs/>
                <w:color w:val="000000"/>
                <w:spacing w:val="7"/>
                <w:sz w:val="24"/>
                <w:szCs w:val="24"/>
              </w:rPr>
              <w:t>【证明材料：须提供团队人员花名册、个人身份证信息、</w:t>
            </w:r>
            <w:r>
              <w:rPr>
                <w:rFonts w:hint="eastAsia" w:ascii="宋体" w:hAnsi="宋体" w:cs="宋体"/>
                <w:b/>
                <w:bCs/>
                <w:color w:val="000000"/>
                <w:spacing w:val="6"/>
                <w:sz w:val="24"/>
                <w:szCs w:val="24"/>
              </w:rPr>
              <w:t>开标前三个月任意一个月的社保证明材料及相关资格、职称证书等，证明</w:t>
            </w:r>
            <w:r>
              <w:rPr>
                <w:rFonts w:hint="eastAsia" w:ascii="宋体" w:hAnsi="宋体" w:cs="宋体"/>
                <w:b/>
                <w:bCs/>
                <w:color w:val="000000"/>
                <w:spacing w:val="5"/>
                <w:sz w:val="24"/>
                <w:szCs w:val="24"/>
              </w:rPr>
              <w:t>材料</w:t>
            </w:r>
            <w:r>
              <w:rPr>
                <w:rFonts w:hint="eastAsia" w:ascii="宋体" w:hAnsi="宋体" w:cs="宋体"/>
                <w:b/>
                <w:bCs/>
                <w:color w:val="000000"/>
                <w:spacing w:val="6"/>
                <w:sz w:val="24"/>
                <w:szCs w:val="24"/>
              </w:rPr>
              <w:t>复印件并加盖供应商公章，未提供的不得分。</w:t>
            </w:r>
            <w:r>
              <w:rPr>
                <w:rFonts w:hint="eastAsia" w:ascii="宋体" w:hAnsi="宋体" w:cs="宋体"/>
                <w:b/>
                <w:bCs/>
                <w:color w:val="000000"/>
                <w:spacing w:val="5"/>
                <w:sz w:val="24"/>
                <w:szCs w:val="24"/>
              </w:rPr>
              <w:t>以上人员不</w:t>
            </w:r>
            <w:r>
              <w:rPr>
                <w:rFonts w:hint="eastAsia" w:ascii="宋体" w:hAnsi="宋体" w:cs="宋体"/>
                <w:b/>
                <w:bCs/>
                <w:color w:val="000000"/>
                <w:spacing w:val="8"/>
                <w:sz w:val="24"/>
                <w:szCs w:val="24"/>
              </w:rPr>
              <w:t>得重复计分，如重复仅按照出现先后顺序计一次分】</w:t>
            </w:r>
          </w:p>
        </w:tc>
      </w:tr>
      <w:tr w14:paraId="27BE4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832" w:hRule="atLeast"/>
          <w:jc w:val="center"/>
        </w:trPr>
        <w:tc>
          <w:tcPr>
            <w:tcW w:w="1983" w:type="dxa"/>
            <w:vMerge w:val="continue"/>
            <w:vAlign w:val="center"/>
          </w:tcPr>
          <w:p w14:paraId="108E2D32">
            <w:pPr>
              <w:jc w:val="center"/>
              <w:rPr>
                <w:rFonts w:hint="eastAsia" w:ascii="宋体" w:hAnsi="宋体" w:cs="宋体"/>
                <w:b/>
                <w:bCs/>
                <w:color w:val="000000"/>
                <w:sz w:val="24"/>
                <w:szCs w:val="24"/>
              </w:rPr>
            </w:pPr>
          </w:p>
        </w:tc>
        <w:tc>
          <w:tcPr>
            <w:tcW w:w="2125" w:type="dxa"/>
            <w:vAlign w:val="center"/>
          </w:tcPr>
          <w:p w14:paraId="3968956E">
            <w:pPr>
              <w:jc w:val="center"/>
              <w:rPr>
                <w:rFonts w:hint="eastAsia" w:ascii="宋体" w:hAnsi="宋体" w:cs="宋体"/>
                <w:b/>
                <w:bCs/>
                <w:color w:val="000000"/>
                <w:sz w:val="24"/>
                <w:szCs w:val="24"/>
              </w:rPr>
            </w:pPr>
            <w:r>
              <w:rPr>
                <w:rFonts w:hint="eastAsia" w:ascii="宋体" w:hAnsi="宋体" w:cs="宋体"/>
                <w:b/>
                <w:bCs/>
                <w:color w:val="000000"/>
                <w:sz w:val="24"/>
                <w:szCs w:val="24"/>
              </w:rPr>
              <w:t>项目实施团队（16分）</w:t>
            </w:r>
          </w:p>
        </w:tc>
        <w:tc>
          <w:tcPr>
            <w:tcW w:w="5430" w:type="dxa"/>
            <w:vAlign w:val="center"/>
          </w:tcPr>
          <w:p w14:paraId="7C3974A0">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（1）项目实施团队大于（含）60人，得5分；团队小于60人的或证明材料不齐全，不得分；</w:t>
            </w:r>
          </w:p>
          <w:p w14:paraId="433C0BE5">
            <w:pPr>
              <w:spacing w:line="360" w:lineRule="auto"/>
              <w:ind w:right="108"/>
              <w:rPr>
                <w:rFonts w:hint="eastAsia" w:ascii="宋体" w:hAnsi="宋体" w:cs="宋体"/>
                <w:color w:val="000000"/>
                <w:spacing w:val="2"/>
                <w:sz w:val="24"/>
                <w:szCs w:val="24"/>
              </w:rPr>
            </w:pPr>
            <w:r>
              <w:rPr>
                <w:rFonts w:hint="eastAsia" w:ascii="宋体" w:hAnsi="宋体" w:cs="宋体"/>
                <w:color w:val="000000"/>
                <w:spacing w:val="8"/>
                <w:sz w:val="24"/>
                <w:szCs w:val="24"/>
              </w:rPr>
              <w:t>（2）团队成员中具有注册测绘师资格证书的，每有1人</w:t>
            </w:r>
            <w:r>
              <w:rPr>
                <w:rFonts w:hint="eastAsia" w:ascii="宋体" w:hAnsi="宋体" w:cs="宋体"/>
                <w:color w:val="000000"/>
                <w:spacing w:val="2"/>
                <w:sz w:val="24"/>
                <w:szCs w:val="24"/>
              </w:rPr>
              <w:t>得0.5分，最高得3分；</w:t>
            </w:r>
          </w:p>
          <w:p w14:paraId="71A12E13">
            <w:pPr>
              <w:spacing w:line="360" w:lineRule="auto"/>
              <w:ind w:right="114"/>
              <w:rPr>
                <w:rFonts w:hint="eastAsia" w:ascii="宋体" w:hAnsi="宋体" w:cs="宋体"/>
                <w:color w:val="000000"/>
                <w:sz w:val="24"/>
                <w:szCs w:val="24"/>
              </w:rPr>
            </w:pPr>
            <w:r>
              <w:rPr>
                <w:rFonts w:hint="eastAsia" w:ascii="宋体" w:hAnsi="宋体" w:cs="宋体"/>
                <w:color w:val="000000"/>
                <w:spacing w:val="10"/>
                <w:sz w:val="24"/>
                <w:szCs w:val="24"/>
              </w:rPr>
              <w:t>（3）团队成员中具有测绘类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高级工程师及以上职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的，每有1人得0.5分，最高得3分；</w:t>
            </w:r>
          </w:p>
          <w:p w14:paraId="4F717F98">
            <w:pPr>
              <w:spacing w:line="360" w:lineRule="auto"/>
              <w:ind w:right="114"/>
              <w:rPr>
                <w:rFonts w:hint="eastAsia" w:ascii="宋体" w:hAnsi="宋体" w:cs="宋体"/>
                <w:color w:val="000000"/>
                <w:sz w:val="24"/>
                <w:szCs w:val="24"/>
              </w:rPr>
            </w:pPr>
            <w:r>
              <w:rPr>
                <w:rFonts w:hint="eastAsia" w:ascii="宋体" w:hAnsi="宋体" w:cs="宋体"/>
                <w:color w:val="000000"/>
                <w:spacing w:val="10"/>
                <w:sz w:val="24"/>
                <w:szCs w:val="24"/>
              </w:rPr>
              <w:t>（4）团队成员中具有测绘类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助理工程师及以上职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的，每有1人得0.1分，最高得3分；</w:t>
            </w:r>
          </w:p>
          <w:p w14:paraId="5038CB40">
            <w:pPr>
              <w:spacing w:line="360" w:lineRule="auto"/>
              <w:ind w:right="109"/>
              <w:rPr>
                <w:rFonts w:hint="eastAsia" w:ascii="宋体" w:hAnsi="宋体" w:cs="宋体"/>
                <w:color w:val="000000"/>
                <w:sz w:val="24"/>
                <w:szCs w:val="24"/>
              </w:rPr>
            </w:pPr>
            <w:r>
              <w:rPr>
                <w:rFonts w:hint="eastAsia" w:ascii="宋体" w:hAnsi="宋体" w:cs="宋体"/>
                <w:color w:val="000000"/>
                <w:spacing w:val="4"/>
                <w:sz w:val="24"/>
                <w:szCs w:val="24"/>
              </w:rPr>
              <w:t>（5）2022年1月1日以来，实施团队成员或管</w:t>
            </w:r>
            <w:r>
              <w:rPr>
                <w:rFonts w:hint="eastAsia" w:ascii="宋体" w:hAnsi="宋体" w:cs="宋体"/>
                <w:color w:val="000000"/>
                <w:spacing w:val="3"/>
                <w:sz w:val="24"/>
                <w:szCs w:val="24"/>
              </w:rPr>
              <w:t>理团队成</w:t>
            </w:r>
            <w:r>
              <w:rPr>
                <w:rFonts w:hint="eastAsia" w:ascii="宋体" w:hAnsi="宋体" w:cs="宋体"/>
                <w:color w:val="000000"/>
                <w:spacing w:val="7"/>
                <w:sz w:val="24"/>
                <w:szCs w:val="24"/>
              </w:rPr>
              <w:t>员中获得国家级测绘专业技能竞赛表彰的，每有1人</w:t>
            </w:r>
            <w:r>
              <w:rPr>
                <w:rFonts w:hint="eastAsia" w:ascii="宋体" w:hAnsi="宋体" w:cs="宋体"/>
                <w:color w:val="000000"/>
                <w:spacing w:val="6"/>
                <w:sz w:val="24"/>
                <w:szCs w:val="24"/>
              </w:rPr>
              <w:t>得2</w:t>
            </w:r>
            <w:r>
              <w:rPr>
                <w:rFonts w:hint="eastAsia" w:ascii="宋体" w:hAnsi="宋体" w:cs="宋体"/>
                <w:color w:val="000000"/>
                <w:sz w:val="24"/>
                <w:szCs w:val="24"/>
              </w:rPr>
              <w:t>分；获得省级测绘专业技能竞赛一等奖的，每有1人得1</w:t>
            </w:r>
            <w:r>
              <w:rPr>
                <w:rFonts w:hint="eastAsia" w:ascii="宋体" w:hAnsi="宋体" w:cs="宋体"/>
                <w:color w:val="000000"/>
                <w:spacing w:val="4"/>
                <w:sz w:val="24"/>
                <w:szCs w:val="24"/>
              </w:rPr>
              <w:t>分；二等奖的，每有1人得0.6分；三等奖的，</w:t>
            </w:r>
            <w:r>
              <w:rPr>
                <w:rFonts w:hint="eastAsia" w:ascii="宋体" w:hAnsi="宋体" w:cs="宋体"/>
                <w:color w:val="000000"/>
                <w:spacing w:val="3"/>
                <w:sz w:val="24"/>
                <w:szCs w:val="24"/>
              </w:rPr>
              <w:t>每有1人得0.4分；最高得2分。</w:t>
            </w:r>
          </w:p>
          <w:p w14:paraId="2DDA38B5">
            <w:pPr>
              <w:spacing w:line="360" w:lineRule="auto"/>
              <w:ind w:right="108"/>
              <w:rPr>
                <w:rFonts w:hint="eastAsia" w:ascii="宋体" w:hAnsi="宋体" w:cs="宋体"/>
                <w:color w:val="000000"/>
                <w:spacing w:val="2"/>
                <w:sz w:val="24"/>
                <w:szCs w:val="24"/>
              </w:rPr>
            </w:pPr>
            <w:r>
              <w:rPr>
                <w:rFonts w:hint="eastAsia" w:ascii="宋体" w:hAnsi="宋体" w:cs="宋体"/>
                <w:b/>
                <w:bCs/>
                <w:color w:val="000000"/>
                <w:sz w:val="24"/>
                <w:szCs w:val="24"/>
              </w:rPr>
              <w:t>【证明材料：1.须提供团队人员花名册、个人身份证信息、</w:t>
            </w:r>
            <w:r>
              <w:rPr>
                <w:rFonts w:hint="eastAsia" w:ascii="宋体" w:hAnsi="宋体" w:cs="宋体"/>
                <w:b/>
                <w:bCs/>
                <w:color w:val="000000"/>
                <w:spacing w:val="4"/>
                <w:sz w:val="24"/>
                <w:szCs w:val="24"/>
              </w:rPr>
              <w:t>开标前三个月任意一个月的社保证明材料及相关资格、职称、获</w:t>
            </w:r>
            <w:r>
              <w:rPr>
                <w:rFonts w:hint="eastAsia" w:ascii="宋体" w:hAnsi="宋体" w:cs="宋体"/>
                <w:b/>
                <w:bCs/>
                <w:color w:val="000000"/>
                <w:spacing w:val="6"/>
                <w:sz w:val="24"/>
                <w:szCs w:val="24"/>
              </w:rPr>
              <w:t>奖证书等，证明材料复印件并加盖供应商公章，未提</w:t>
            </w:r>
            <w:r>
              <w:rPr>
                <w:rFonts w:hint="eastAsia" w:ascii="宋体" w:hAnsi="宋体" w:cs="宋体"/>
                <w:b/>
                <w:bCs/>
                <w:color w:val="000000"/>
                <w:spacing w:val="5"/>
                <w:sz w:val="24"/>
                <w:szCs w:val="24"/>
              </w:rPr>
              <w:t>供的不得分。2.以上实施团队成员和管理团队成员人员证书不</w:t>
            </w:r>
            <w:r>
              <w:rPr>
                <w:rFonts w:hint="eastAsia" w:ascii="宋体" w:hAnsi="宋体" w:cs="宋体"/>
                <w:b/>
                <w:bCs/>
                <w:color w:val="000000"/>
                <w:spacing w:val="6"/>
                <w:sz w:val="24"/>
                <w:szCs w:val="24"/>
              </w:rPr>
              <w:t>得重复计分。奖项类单人获奖不重复计算。管理团队</w:t>
            </w:r>
            <w:r>
              <w:rPr>
                <w:rFonts w:hint="eastAsia" w:ascii="宋体" w:hAnsi="宋体" w:cs="宋体"/>
                <w:b/>
                <w:bCs/>
                <w:color w:val="000000"/>
                <w:spacing w:val="5"/>
                <w:sz w:val="24"/>
                <w:szCs w:val="24"/>
              </w:rPr>
              <w:t>人员</w:t>
            </w:r>
            <w:r>
              <w:rPr>
                <w:rFonts w:hint="eastAsia" w:ascii="宋体" w:hAnsi="宋体" w:cs="宋体"/>
                <w:b/>
                <w:bCs/>
                <w:color w:val="000000"/>
                <w:spacing w:val="8"/>
                <w:sz w:val="24"/>
                <w:szCs w:val="24"/>
              </w:rPr>
              <w:t>与实施团队人员不得重复。3.奖项类证书</w:t>
            </w:r>
            <w:r>
              <w:rPr>
                <w:rFonts w:hint="eastAsia" w:ascii="宋体" w:hAnsi="宋体" w:cs="宋体"/>
                <w:b/>
                <w:bCs/>
                <w:color w:val="000000"/>
                <w:spacing w:val="7"/>
                <w:sz w:val="24"/>
                <w:szCs w:val="24"/>
              </w:rPr>
              <w:t>以发证时间为准。如重复仅按照出现先后顺序计一次分】</w:t>
            </w:r>
          </w:p>
        </w:tc>
      </w:tr>
      <w:tr w14:paraId="0779B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496FDB5C">
            <w:pPr>
              <w:jc w:val="center"/>
              <w:rPr>
                <w:rFonts w:hint="eastAsia" w:ascii="宋体" w:hAnsi="宋体" w:cs="宋体"/>
                <w:b/>
                <w:bCs/>
                <w:color w:val="000000"/>
                <w:sz w:val="24"/>
                <w:szCs w:val="24"/>
              </w:rPr>
            </w:pPr>
          </w:p>
        </w:tc>
        <w:tc>
          <w:tcPr>
            <w:tcW w:w="2125" w:type="dxa"/>
            <w:vAlign w:val="center"/>
          </w:tcPr>
          <w:p w14:paraId="633F2B5E">
            <w:pPr>
              <w:jc w:val="center"/>
              <w:rPr>
                <w:rFonts w:hint="eastAsia" w:ascii="宋体" w:hAnsi="宋体" w:cs="宋体"/>
                <w:b/>
                <w:bCs/>
                <w:color w:val="000000"/>
                <w:sz w:val="24"/>
                <w:szCs w:val="24"/>
              </w:rPr>
            </w:pPr>
            <w:r>
              <w:rPr>
                <w:rFonts w:hint="eastAsia" w:ascii="宋体" w:hAnsi="宋体" w:cs="宋体"/>
                <w:b/>
                <w:bCs/>
                <w:color w:val="000000"/>
                <w:sz w:val="24"/>
                <w:szCs w:val="24"/>
              </w:rPr>
              <w:t>供应商业绩（4分）</w:t>
            </w:r>
          </w:p>
        </w:tc>
        <w:tc>
          <w:tcPr>
            <w:tcW w:w="5436" w:type="dxa"/>
            <w:gridSpan w:val="2"/>
            <w:vAlign w:val="center"/>
          </w:tcPr>
          <w:p w14:paraId="096F91EA">
            <w:pPr>
              <w:spacing w:line="360" w:lineRule="auto"/>
              <w:ind w:right="111"/>
              <w:rPr>
                <w:rFonts w:hint="eastAsia" w:ascii="宋体" w:hAnsi="宋体" w:cs="宋体"/>
                <w:color w:val="000000"/>
                <w:sz w:val="24"/>
                <w:szCs w:val="24"/>
              </w:rPr>
            </w:pPr>
            <w:r>
              <w:rPr>
                <w:rFonts w:hint="eastAsia" w:ascii="宋体" w:hAnsi="宋体" w:cs="宋体"/>
                <w:color w:val="000000"/>
                <w:spacing w:val="2"/>
                <w:sz w:val="24"/>
                <w:szCs w:val="24"/>
              </w:rPr>
              <w:t>2022年1月1日以来，供应商完成类似项目的，每个得1</w:t>
            </w:r>
            <w:r>
              <w:rPr>
                <w:rFonts w:hint="eastAsia" w:ascii="宋体" w:hAnsi="宋体" w:cs="宋体"/>
                <w:color w:val="000000"/>
                <w:spacing w:val="4"/>
                <w:sz w:val="24"/>
                <w:szCs w:val="24"/>
              </w:rPr>
              <w:t>分，最高得4分。</w:t>
            </w:r>
          </w:p>
          <w:p w14:paraId="183D6C8B">
            <w:pPr>
              <w:spacing w:line="360" w:lineRule="auto"/>
              <w:rPr>
                <w:rFonts w:hint="eastAsia" w:ascii="宋体" w:hAnsi="宋体" w:cs="宋体"/>
                <w:color w:val="000000"/>
                <w:sz w:val="24"/>
                <w:szCs w:val="24"/>
              </w:rPr>
            </w:pPr>
            <w:r>
              <w:rPr>
                <w:rFonts w:hint="eastAsia" w:ascii="宋体" w:hAnsi="宋体" w:cs="宋体"/>
                <w:b/>
                <w:bCs/>
                <w:color w:val="000000"/>
                <w:spacing w:val="2"/>
                <w:sz w:val="24"/>
                <w:szCs w:val="24"/>
              </w:rPr>
              <w:t>【证明材料：1.如提供合同，供应商须提供正式合同及中</w:t>
            </w:r>
            <w:r>
              <w:rPr>
                <w:rFonts w:hint="eastAsia" w:ascii="宋体" w:hAnsi="宋体" w:cs="宋体"/>
                <w:b/>
                <w:bCs/>
                <w:color w:val="000000"/>
                <w:spacing w:val="3"/>
                <w:sz w:val="24"/>
                <w:szCs w:val="24"/>
              </w:rPr>
              <w:t>标通知书或中标结果公告查询截图；2.如不提供</w:t>
            </w:r>
            <w:r>
              <w:rPr>
                <w:rFonts w:hint="eastAsia" w:ascii="宋体" w:hAnsi="宋体" w:cs="宋体"/>
                <w:b/>
                <w:bCs/>
                <w:color w:val="000000"/>
                <w:spacing w:val="2"/>
                <w:sz w:val="24"/>
                <w:szCs w:val="24"/>
              </w:rPr>
              <w:t>合同，须</w:t>
            </w:r>
            <w:r>
              <w:rPr>
                <w:rFonts w:hint="eastAsia" w:ascii="宋体" w:hAnsi="宋体" w:cs="宋体"/>
                <w:b/>
                <w:bCs/>
                <w:color w:val="000000"/>
                <w:spacing w:val="3"/>
                <w:sz w:val="24"/>
                <w:szCs w:val="24"/>
              </w:rPr>
              <w:t>提供上级部门的任务下达文件作为有效证明文件（合同内容或上级部门下达的任务文件的主要任务须包含“实景三</w:t>
            </w:r>
            <w:r>
              <w:rPr>
                <w:rFonts w:hint="eastAsia" w:ascii="宋体" w:hAnsi="宋体" w:cs="宋体"/>
                <w:b/>
                <w:bCs/>
                <w:color w:val="000000"/>
                <w:spacing w:val="-7"/>
                <w:sz w:val="24"/>
                <w:szCs w:val="24"/>
              </w:rPr>
              <w:t>维”“基础地理实体”“三维模型”</w:t>
            </w:r>
            <w:r>
              <w:rPr>
                <w:rFonts w:hint="eastAsia" w:ascii="宋体" w:hAnsi="宋体" w:cs="宋体"/>
                <w:b/>
                <w:bCs/>
                <w:color w:val="000000"/>
                <w:spacing w:val="2"/>
                <w:sz w:val="24"/>
                <w:szCs w:val="24"/>
              </w:rPr>
              <w:t>任一字样</w:t>
            </w:r>
            <w:r>
              <w:rPr>
                <w:rFonts w:hint="eastAsia" w:ascii="宋体" w:hAnsi="宋体" w:cs="宋体"/>
                <w:b/>
                <w:bCs/>
                <w:color w:val="000000"/>
                <w:spacing w:val="-3"/>
                <w:sz w:val="24"/>
                <w:szCs w:val="24"/>
              </w:rPr>
              <w:t>）；</w:t>
            </w:r>
            <w:r>
              <w:rPr>
                <w:rFonts w:hint="eastAsia" w:ascii="宋体" w:hAnsi="宋体" w:cs="宋体"/>
                <w:b/>
                <w:bCs/>
                <w:color w:val="000000"/>
                <w:spacing w:val="2"/>
                <w:sz w:val="24"/>
                <w:szCs w:val="24"/>
              </w:rPr>
              <w:t>3.时间以合同签订时间或任务书</w:t>
            </w:r>
            <w:r>
              <w:rPr>
                <w:rFonts w:hint="eastAsia" w:ascii="宋体" w:hAnsi="宋体" w:cs="宋体"/>
                <w:b/>
                <w:bCs/>
                <w:color w:val="000000"/>
                <w:spacing w:val="3"/>
                <w:sz w:val="24"/>
                <w:szCs w:val="24"/>
              </w:rPr>
              <w:t>下达时间为准。不符合上述要求或未按要求提供有效证明</w:t>
            </w:r>
            <w:r>
              <w:rPr>
                <w:rFonts w:hint="eastAsia" w:ascii="宋体" w:hAnsi="宋体" w:cs="宋体"/>
                <w:b/>
                <w:bCs/>
                <w:color w:val="000000"/>
                <w:spacing w:val="4"/>
                <w:sz w:val="24"/>
                <w:szCs w:val="24"/>
              </w:rPr>
              <w:t>文件的业绩在评审时将不予承认】</w:t>
            </w:r>
          </w:p>
        </w:tc>
      </w:tr>
      <w:tr w14:paraId="001A5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6437E673">
            <w:pPr>
              <w:jc w:val="center"/>
              <w:rPr>
                <w:rFonts w:hint="eastAsia" w:ascii="宋体" w:hAnsi="宋体" w:cs="宋体"/>
                <w:b/>
                <w:bCs/>
                <w:color w:val="000000"/>
                <w:sz w:val="24"/>
                <w:szCs w:val="24"/>
              </w:rPr>
            </w:pPr>
          </w:p>
        </w:tc>
        <w:tc>
          <w:tcPr>
            <w:tcW w:w="2125" w:type="dxa"/>
            <w:vAlign w:val="center"/>
          </w:tcPr>
          <w:p w14:paraId="4F90A5A4">
            <w:pPr>
              <w:jc w:val="center"/>
              <w:rPr>
                <w:rFonts w:hint="eastAsia" w:ascii="宋体" w:hAnsi="宋体" w:cs="宋体"/>
                <w:b/>
                <w:bCs/>
                <w:color w:val="000000"/>
                <w:sz w:val="24"/>
                <w:szCs w:val="24"/>
              </w:rPr>
            </w:pPr>
            <w:r>
              <w:rPr>
                <w:rFonts w:hint="eastAsia" w:ascii="宋体" w:hAnsi="宋体" w:cs="宋体"/>
                <w:b/>
                <w:bCs/>
                <w:color w:val="000000"/>
                <w:sz w:val="24"/>
                <w:szCs w:val="24"/>
              </w:rPr>
              <w:t>项目评价（4分）</w:t>
            </w:r>
          </w:p>
        </w:tc>
        <w:tc>
          <w:tcPr>
            <w:tcW w:w="5436" w:type="dxa"/>
            <w:gridSpan w:val="2"/>
            <w:vAlign w:val="center"/>
          </w:tcPr>
          <w:p w14:paraId="7B2F5293">
            <w:pPr>
              <w:spacing w:line="360" w:lineRule="auto"/>
              <w:ind w:right="112"/>
              <w:rPr>
                <w:rFonts w:hint="eastAsia" w:ascii="宋体" w:hAnsi="宋体" w:cs="宋体"/>
                <w:color w:val="000000"/>
                <w:sz w:val="24"/>
                <w:szCs w:val="24"/>
              </w:rPr>
            </w:pPr>
            <w:r>
              <w:rPr>
                <w:rFonts w:hint="eastAsia" w:ascii="宋体" w:hAnsi="宋体" w:cs="宋体"/>
                <w:color w:val="000000"/>
                <w:spacing w:val="5"/>
                <w:sz w:val="24"/>
                <w:szCs w:val="24"/>
              </w:rPr>
              <w:t>提供2022年1月1日以来已完成类似项目的业主方项目</w:t>
            </w:r>
            <w:r>
              <w:rPr>
                <w:rFonts w:hint="eastAsia" w:ascii="宋体" w:hAnsi="宋体" w:cs="宋体"/>
                <w:color w:val="000000"/>
                <w:spacing w:val="3"/>
                <w:sz w:val="24"/>
                <w:szCs w:val="24"/>
              </w:rPr>
              <w:t>评价。每提供1份，得1分，最多得4分。</w:t>
            </w:r>
          </w:p>
          <w:p w14:paraId="617FD4FA">
            <w:pPr>
              <w:spacing w:line="360" w:lineRule="auto"/>
              <w:ind w:right="95"/>
              <w:rPr>
                <w:rFonts w:hint="eastAsia" w:ascii="宋体" w:hAnsi="宋体" w:cs="宋体"/>
                <w:color w:val="000000"/>
                <w:sz w:val="24"/>
                <w:szCs w:val="24"/>
              </w:rPr>
            </w:pPr>
            <w:r>
              <w:rPr>
                <w:rFonts w:hint="eastAsia" w:ascii="宋体" w:hAnsi="宋体" w:cs="宋体"/>
                <w:b/>
                <w:bCs/>
                <w:color w:val="000000"/>
                <w:spacing w:val="7"/>
                <w:sz w:val="24"/>
                <w:szCs w:val="24"/>
              </w:rPr>
              <w:t>【证明材料：项目评价包括反馈表、评价书、验</w:t>
            </w:r>
            <w:r>
              <w:rPr>
                <w:rFonts w:hint="eastAsia" w:ascii="宋体" w:hAnsi="宋体" w:cs="宋体"/>
                <w:b/>
                <w:bCs/>
                <w:color w:val="000000"/>
                <w:spacing w:val="6"/>
                <w:sz w:val="24"/>
                <w:szCs w:val="24"/>
              </w:rPr>
              <w:t>收单、回</w:t>
            </w:r>
            <w:r>
              <w:rPr>
                <w:rFonts w:hint="eastAsia" w:ascii="宋体" w:hAnsi="宋体" w:cs="宋体"/>
                <w:b/>
                <w:bCs/>
                <w:color w:val="000000"/>
                <w:spacing w:val="7"/>
                <w:sz w:val="24"/>
                <w:szCs w:val="24"/>
              </w:rPr>
              <w:t>访单等均可。同一业主不重复计算。评价意</w:t>
            </w:r>
            <w:r>
              <w:rPr>
                <w:rFonts w:hint="eastAsia" w:ascii="宋体" w:hAnsi="宋体" w:cs="宋体"/>
                <w:b/>
                <w:bCs/>
                <w:color w:val="000000"/>
                <w:spacing w:val="6"/>
                <w:sz w:val="24"/>
                <w:szCs w:val="24"/>
              </w:rPr>
              <w:t>见为良好、合格、满意、优秀等均可；评价意见为不合格、不满意、差</w:t>
            </w:r>
            <w:r>
              <w:rPr>
                <w:rFonts w:hint="eastAsia" w:ascii="宋体" w:hAnsi="宋体" w:cs="宋体"/>
                <w:b/>
                <w:bCs/>
                <w:color w:val="000000"/>
                <w:spacing w:val="10"/>
                <w:sz w:val="24"/>
                <w:szCs w:val="24"/>
              </w:rPr>
              <w:t>等不作为加分。】</w:t>
            </w:r>
          </w:p>
        </w:tc>
      </w:tr>
      <w:tr w14:paraId="53F69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0CF52BA8">
            <w:pPr>
              <w:jc w:val="center"/>
              <w:rPr>
                <w:rFonts w:hint="eastAsia" w:ascii="宋体" w:hAnsi="宋体" w:cs="宋体"/>
                <w:b/>
                <w:bCs/>
                <w:color w:val="000000"/>
                <w:sz w:val="24"/>
                <w:szCs w:val="24"/>
              </w:rPr>
            </w:pPr>
          </w:p>
        </w:tc>
        <w:tc>
          <w:tcPr>
            <w:tcW w:w="2125" w:type="dxa"/>
            <w:vAlign w:val="center"/>
          </w:tcPr>
          <w:p w14:paraId="349884C1">
            <w:pPr>
              <w:jc w:val="center"/>
              <w:rPr>
                <w:rFonts w:hint="eastAsia" w:ascii="宋体" w:hAnsi="宋体" w:cs="宋体"/>
                <w:b/>
                <w:bCs/>
                <w:color w:val="000000"/>
                <w:sz w:val="24"/>
                <w:szCs w:val="24"/>
              </w:rPr>
            </w:pPr>
            <w:r>
              <w:rPr>
                <w:rFonts w:hint="eastAsia" w:ascii="宋体" w:hAnsi="宋体" w:cs="宋体"/>
                <w:b/>
                <w:bCs/>
                <w:color w:val="000000"/>
                <w:sz w:val="24"/>
                <w:szCs w:val="24"/>
              </w:rPr>
              <w:t>综合实力（8分）</w:t>
            </w:r>
          </w:p>
        </w:tc>
        <w:tc>
          <w:tcPr>
            <w:tcW w:w="5430" w:type="dxa"/>
            <w:vAlign w:val="center"/>
          </w:tcPr>
          <w:p w14:paraId="5A29B539">
            <w:pPr>
              <w:spacing w:line="360" w:lineRule="auto"/>
              <w:ind w:right="106"/>
              <w:rPr>
                <w:rFonts w:hint="eastAsia" w:ascii="宋体" w:hAnsi="宋体" w:cs="宋体"/>
                <w:color w:val="000000"/>
                <w:sz w:val="24"/>
                <w:szCs w:val="24"/>
              </w:rPr>
            </w:pPr>
            <w:r>
              <w:rPr>
                <w:rFonts w:hint="eastAsia" w:ascii="宋体" w:hAnsi="宋体" w:cs="宋体"/>
                <w:color w:val="000000"/>
                <w:spacing w:val="4"/>
                <w:sz w:val="24"/>
                <w:szCs w:val="24"/>
              </w:rPr>
              <w:t>（1）2022年1月1日以来，供应商获得测绘地</w:t>
            </w:r>
            <w:r>
              <w:rPr>
                <w:rFonts w:hint="eastAsia" w:ascii="宋体" w:hAnsi="宋体" w:cs="宋体"/>
                <w:color w:val="000000"/>
                <w:spacing w:val="3"/>
                <w:sz w:val="24"/>
                <w:szCs w:val="24"/>
              </w:rPr>
              <w:t>理信息类</w:t>
            </w:r>
            <w:r>
              <w:rPr>
                <w:rFonts w:hint="eastAsia" w:ascii="宋体" w:hAnsi="宋体" w:cs="宋体"/>
                <w:color w:val="000000"/>
                <w:sz w:val="24"/>
                <w:szCs w:val="24"/>
              </w:rPr>
              <w:t>优质（优秀）测绘工程奖、测绘地理信息类科技进步奖（科</w:t>
            </w:r>
            <w:r>
              <w:rPr>
                <w:rFonts w:hint="eastAsia" w:ascii="宋体" w:hAnsi="宋体" w:cs="宋体"/>
                <w:color w:val="000000"/>
                <w:spacing w:val="6"/>
                <w:sz w:val="24"/>
                <w:szCs w:val="24"/>
              </w:rPr>
              <w:t>学技术奖）获奖证书的，每提供1个省部级及以上的，得</w:t>
            </w:r>
            <w:r>
              <w:rPr>
                <w:rFonts w:hint="eastAsia" w:ascii="宋体" w:hAnsi="宋体" w:cs="宋体"/>
                <w:color w:val="000000"/>
                <w:spacing w:val="1"/>
                <w:sz w:val="24"/>
                <w:szCs w:val="24"/>
              </w:rPr>
              <w:t>1分；每提供1个地厅级的，得0.5分。本项最高得4分；</w:t>
            </w:r>
          </w:p>
          <w:p w14:paraId="0D1A237D">
            <w:pPr>
              <w:spacing w:line="360" w:lineRule="auto"/>
              <w:ind w:right="108"/>
              <w:rPr>
                <w:rFonts w:hint="eastAsia" w:ascii="宋体" w:hAnsi="宋体" w:cs="宋体"/>
                <w:color w:val="000000"/>
                <w:sz w:val="24"/>
                <w:szCs w:val="24"/>
              </w:rPr>
            </w:pPr>
            <w:r>
              <w:rPr>
                <w:rFonts w:hint="eastAsia" w:ascii="宋体" w:hAnsi="宋体" w:cs="宋体"/>
                <w:color w:val="000000"/>
                <w:spacing w:val="11"/>
                <w:sz w:val="24"/>
                <w:szCs w:val="24"/>
              </w:rPr>
              <w:t>（2）供应商具有数据安全系统、保密检查、安全防护等</w:t>
            </w:r>
            <w:r>
              <w:rPr>
                <w:rFonts w:hint="eastAsia" w:ascii="宋体" w:hAnsi="宋体" w:cs="宋体"/>
                <w:color w:val="000000"/>
                <w:spacing w:val="6"/>
                <w:sz w:val="24"/>
                <w:szCs w:val="24"/>
              </w:rPr>
              <w:t>任一种相关产品的，得2分，本项最高得2分；</w:t>
            </w:r>
          </w:p>
          <w:p w14:paraId="3ED0310D">
            <w:pPr>
              <w:spacing w:line="360" w:lineRule="auto"/>
              <w:ind w:right="89"/>
              <w:rPr>
                <w:rFonts w:hint="eastAsia" w:ascii="宋体" w:hAnsi="宋体" w:cs="宋体"/>
                <w:color w:val="000000"/>
                <w:sz w:val="24"/>
                <w:szCs w:val="24"/>
              </w:rPr>
            </w:pPr>
            <w:r>
              <w:rPr>
                <w:rFonts w:hint="eastAsia" w:ascii="宋体" w:hAnsi="宋体" w:cs="宋体"/>
                <w:color w:val="000000"/>
                <w:spacing w:val="11"/>
                <w:sz w:val="24"/>
                <w:szCs w:val="24"/>
              </w:rPr>
              <w:t>（3）供应商同时具有质量管理体系、环境管理体系、职业健康安全管理体系认证证书的，得2分，否则不得分。</w:t>
            </w:r>
            <w:r>
              <w:rPr>
                <w:rFonts w:hint="eastAsia" w:ascii="宋体" w:hAnsi="宋体" w:cs="宋体"/>
                <w:b/>
                <w:bCs/>
                <w:color w:val="000000"/>
                <w:spacing w:val="7"/>
                <w:sz w:val="24"/>
                <w:szCs w:val="24"/>
              </w:rPr>
              <w:t>【证明材料：奖项类证书以发证时间为准。须提供获</w:t>
            </w:r>
            <w:r>
              <w:rPr>
                <w:rFonts w:hint="eastAsia" w:ascii="宋体" w:hAnsi="宋体" w:cs="宋体"/>
                <w:b/>
                <w:bCs/>
                <w:color w:val="000000"/>
                <w:spacing w:val="6"/>
                <w:sz w:val="24"/>
                <w:szCs w:val="24"/>
              </w:rPr>
              <w:t>奖证书或获奖证明文件、采购合同和设备购置发票、管理体系认证证书并加盖公章，不提供或无法提供有效证明材料不</w:t>
            </w:r>
            <w:r>
              <w:rPr>
                <w:rFonts w:hint="eastAsia" w:ascii="宋体" w:hAnsi="宋体" w:cs="宋体"/>
                <w:b/>
                <w:bCs/>
                <w:color w:val="000000"/>
                <w:spacing w:val="3"/>
                <w:sz w:val="24"/>
                <w:szCs w:val="24"/>
              </w:rPr>
              <w:t>得分】</w:t>
            </w:r>
          </w:p>
        </w:tc>
      </w:tr>
    </w:tbl>
    <w:p w14:paraId="359384D0">
      <w:pPr>
        <w:rPr>
          <w:rFonts w:hint="eastAsia" w:ascii="宋体" w:hAnsi="宋体" w:cs="宋体"/>
        </w:rPr>
      </w:pPr>
    </w:p>
    <w:p w14:paraId="775AFF3E">
      <w:pPr>
        <w:rPr>
          <w:rFonts w:hint="eastAsia" w:ascii="宋体" w:hAnsi="宋体" w:cs="宋体"/>
        </w:rPr>
      </w:pPr>
      <w:r>
        <w:rPr>
          <w:rFonts w:hint="eastAsia" w:ascii="宋体" w:hAnsi="宋体" w:cs="宋体"/>
        </w:rPr>
        <w:br w:type="page"/>
      </w:r>
    </w:p>
    <w:p w14:paraId="78FEEC00">
      <w:pPr>
        <w:rPr>
          <w:rFonts w:hint="eastAsia" w:ascii="宋体" w:hAnsi="宋体" w:cs="宋体"/>
        </w:rPr>
      </w:pPr>
      <w:r>
        <w:rPr>
          <w:rFonts w:hint="eastAsia" w:ascii="宋体" w:hAnsi="宋体" w:cs="宋体"/>
          <w:b/>
          <w:bCs/>
          <w:sz w:val="24"/>
          <w:szCs w:val="24"/>
        </w:rPr>
        <w:t>详细评审表包2：</w:t>
      </w:r>
    </w:p>
    <w:tbl>
      <w:tblPr>
        <w:tblStyle w:val="22"/>
        <w:tblW w:w="95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2125"/>
        <w:gridCol w:w="5430"/>
        <w:gridCol w:w="6"/>
      </w:tblGrid>
      <w:tr w14:paraId="542D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66B0AD37">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条款号</w:t>
            </w:r>
          </w:p>
        </w:tc>
        <w:tc>
          <w:tcPr>
            <w:tcW w:w="2125" w:type="dxa"/>
            <w:vAlign w:val="center"/>
          </w:tcPr>
          <w:p w14:paraId="22F20281">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评分因素</w:t>
            </w:r>
          </w:p>
        </w:tc>
        <w:tc>
          <w:tcPr>
            <w:tcW w:w="5430" w:type="dxa"/>
            <w:vAlign w:val="center"/>
          </w:tcPr>
          <w:p w14:paraId="3956DB71">
            <w:pPr>
              <w:spacing w:line="360" w:lineRule="auto"/>
              <w:ind w:left="210" w:leftChars="100"/>
              <w:jc w:val="center"/>
              <w:rPr>
                <w:rFonts w:hint="eastAsia" w:ascii="宋体" w:hAnsi="宋体" w:cs="宋体"/>
                <w:b/>
                <w:bCs/>
                <w:color w:val="000000"/>
                <w:sz w:val="24"/>
                <w:szCs w:val="24"/>
              </w:rPr>
            </w:pPr>
            <w:r>
              <w:rPr>
                <w:rFonts w:hint="eastAsia" w:ascii="宋体" w:hAnsi="宋体" w:cs="宋体"/>
                <w:b/>
                <w:bCs/>
                <w:color w:val="000000"/>
                <w:sz w:val="24"/>
                <w:szCs w:val="24"/>
              </w:rPr>
              <w:t>评分标准</w:t>
            </w:r>
          </w:p>
        </w:tc>
      </w:tr>
      <w:tr w14:paraId="177C7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Align w:val="center"/>
          </w:tcPr>
          <w:p w14:paraId="687AEF8D">
            <w:pPr>
              <w:spacing w:line="360" w:lineRule="auto"/>
              <w:ind w:left="210" w:leftChars="100"/>
              <w:jc w:val="center"/>
              <w:rPr>
                <w:rFonts w:hint="eastAsia" w:ascii="宋体" w:hAnsi="宋体" w:cs="宋体"/>
                <w:b/>
                <w:bCs/>
                <w:color w:val="000000"/>
                <w:sz w:val="24"/>
                <w:szCs w:val="24"/>
              </w:rPr>
            </w:pPr>
          </w:p>
          <w:p w14:paraId="4F44F33A">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报价得分（10分）</w:t>
            </w:r>
          </w:p>
        </w:tc>
        <w:tc>
          <w:tcPr>
            <w:tcW w:w="2125" w:type="dxa"/>
            <w:vMerge w:val="restart"/>
            <w:vAlign w:val="center"/>
          </w:tcPr>
          <w:p w14:paraId="2333CD57">
            <w:pPr>
              <w:spacing w:line="360" w:lineRule="auto"/>
              <w:ind w:left="210" w:leftChars="100"/>
              <w:jc w:val="center"/>
              <w:rPr>
                <w:rFonts w:hint="eastAsia" w:ascii="宋体" w:hAnsi="宋体" w:cs="宋体"/>
                <w:b/>
                <w:bCs/>
                <w:color w:val="000000"/>
                <w:sz w:val="24"/>
                <w:szCs w:val="24"/>
              </w:rPr>
            </w:pPr>
          </w:p>
          <w:p w14:paraId="15595135">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投标报价（10分）</w:t>
            </w:r>
          </w:p>
        </w:tc>
        <w:tc>
          <w:tcPr>
            <w:tcW w:w="5430" w:type="dxa"/>
            <w:vAlign w:val="center"/>
          </w:tcPr>
          <w:p w14:paraId="1E8D267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分采用低价优先法计算，即满足招标文件实质性要求且价格最低的报价为评标基准价，其价格分为满分，其他供应商的价格分统一按下列公式计算：报价得分=（评标基准价／报价）×10（小数点后保留2位小数）依据《政府采购货物和服务招标投标管理办法》财政部令第87号，评标委员会认为供应商的报价明显低于其他通过有效供应商报价，有可能影响服务质量或者不能诚信履约的，应当要求其在评标现场合理时间内提供书面说明，必要时提供相关证明材料；供应商不能证明其报价合理性的，评标委员会应当将其作为无效投标处理。</w:t>
            </w:r>
          </w:p>
          <w:p w14:paraId="280A40C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价格扣除：为了促进中小企业发展对小型和微型企业的投标总价给予20%的扣除，用扣除后的价格参与评审。参加本项目的中小企业应当提供《中小企业声明函》。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在投标文件中提交了《中小企业声明函》等注明应享受价格折扣优惠政策的小微企业，应予以认定。</w:t>
            </w:r>
          </w:p>
          <w:p w14:paraId="2C641B6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所投小微企业报价＝所投小微企业报价合计*（1－20%)所投残疾人企业报价＝所投监狱企业报价合计*（1-20%)所投监狱企业报价＝所投监狱企业报价合计*（1－20%)同一供应商，小微企业、残疾人企业、监狱企业价格扣除优惠只享受一次，不得重复享受。</w:t>
            </w:r>
          </w:p>
        </w:tc>
      </w:tr>
      <w:tr w14:paraId="62D7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1C8B0E94">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技术部分（50分）</w:t>
            </w:r>
          </w:p>
        </w:tc>
        <w:tc>
          <w:tcPr>
            <w:tcW w:w="2125" w:type="dxa"/>
            <w:vMerge w:val="restart"/>
            <w:vAlign w:val="center"/>
          </w:tcPr>
          <w:p w14:paraId="1DBB1836">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项目实施方案（20分）</w:t>
            </w:r>
          </w:p>
        </w:tc>
        <w:tc>
          <w:tcPr>
            <w:tcW w:w="5430" w:type="dxa"/>
            <w:vAlign w:val="center"/>
          </w:tcPr>
          <w:p w14:paraId="2D9C9E4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项目组织管理措施：项目组织机构设置（包含岗位设置及岗位职责等）、人员安排、项目实施步骤、协调方案及措施，本项5分。</w:t>
            </w:r>
          </w:p>
          <w:p w14:paraId="6C71727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（1）组织管理措施详尽，描述完整、科学、针对性强，得5分；</w:t>
            </w:r>
          </w:p>
          <w:p w14:paraId="5740590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（2）组织管理措施较详尽，描述较完整、较科学、针对性较强，得3分；</w:t>
            </w:r>
          </w:p>
          <w:p w14:paraId="5AA444A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（3）组织管理措施不详尽，描述不完整、不科学、针对性不强的，得1分；</w:t>
            </w:r>
          </w:p>
          <w:p w14:paraId="6AEB603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（4）组织管理措施缺失的，得0分。</w:t>
            </w:r>
          </w:p>
        </w:tc>
      </w:tr>
      <w:tr w14:paraId="067C7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0C83CDBC">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7786955">
            <w:pPr>
              <w:spacing w:line="360" w:lineRule="auto"/>
              <w:ind w:left="210" w:leftChars="100"/>
              <w:jc w:val="center"/>
              <w:rPr>
                <w:rFonts w:hint="eastAsia" w:ascii="宋体" w:hAnsi="宋体" w:cs="宋体"/>
                <w:color w:val="000000"/>
                <w:sz w:val="24"/>
                <w:szCs w:val="24"/>
              </w:rPr>
            </w:pPr>
          </w:p>
        </w:tc>
        <w:tc>
          <w:tcPr>
            <w:tcW w:w="5430" w:type="dxa"/>
            <w:vAlign w:val="center"/>
          </w:tcPr>
          <w:p w14:paraId="216DB90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质量管理及保障措施：质量管理组织机构、质量管理方案、质量控制保障措施等，本项5分。</w:t>
            </w:r>
          </w:p>
          <w:p w14:paraId="095FD82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（1）内容详细，措施得当，符合实际的，得5分；</w:t>
            </w:r>
          </w:p>
          <w:p w14:paraId="3CF4E44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（2）内容较为详细，措施较为得当，较为符合实际的，得3分；</w:t>
            </w:r>
          </w:p>
          <w:p w14:paraId="19E65EE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（3）内容不详细，措施不得当，不符合实际的，得1分；</w:t>
            </w:r>
          </w:p>
          <w:p w14:paraId="35D34EA2">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（4）质量管理及保障措施缺失的，得0分；</w:t>
            </w:r>
          </w:p>
        </w:tc>
      </w:tr>
      <w:tr w14:paraId="6A8E8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312" w:hRule="atLeast"/>
          <w:jc w:val="center"/>
        </w:trPr>
        <w:tc>
          <w:tcPr>
            <w:tcW w:w="1983" w:type="dxa"/>
            <w:vMerge w:val="continue"/>
            <w:vAlign w:val="center"/>
          </w:tcPr>
          <w:p w14:paraId="6FBCD7A7">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AAA0A45">
            <w:pPr>
              <w:spacing w:line="360" w:lineRule="auto"/>
              <w:ind w:left="210" w:leftChars="100"/>
              <w:jc w:val="center"/>
              <w:rPr>
                <w:rFonts w:hint="eastAsia" w:ascii="宋体" w:hAnsi="宋体" w:cs="宋体"/>
                <w:color w:val="000000"/>
                <w:sz w:val="24"/>
                <w:szCs w:val="24"/>
              </w:rPr>
            </w:pPr>
          </w:p>
        </w:tc>
        <w:tc>
          <w:tcPr>
            <w:tcW w:w="5430" w:type="dxa"/>
            <w:vAlign w:val="center"/>
          </w:tcPr>
          <w:p w14:paraId="2858C26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进度计划及保障措施：进度计划、进度保障措施等，本项5分。</w:t>
            </w:r>
          </w:p>
          <w:p w14:paraId="70277C6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（1）进度计划及保障措施详细、完善、针对性强的，得5分；</w:t>
            </w:r>
          </w:p>
          <w:p w14:paraId="35DC6D1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（2）进度计划及保障措施较详细、较完善、针对性较强的，得3分；</w:t>
            </w:r>
          </w:p>
          <w:p w14:paraId="6451AD9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（3）进度计划及保障措施不详细、不完善、针对性不强的，得1分；</w:t>
            </w:r>
          </w:p>
          <w:p w14:paraId="2C7DA0C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（4）进度计划及保障措施缺失的，得0分。</w:t>
            </w:r>
          </w:p>
        </w:tc>
      </w:tr>
      <w:tr w14:paraId="7A7C0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77DB4F1F">
            <w:pPr>
              <w:spacing w:line="360" w:lineRule="auto"/>
              <w:ind w:left="210" w:leftChars="100"/>
              <w:jc w:val="center"/>
              <w:rPr>
                <w:rFonts w:hint="eastAsia" w:ascii="宋体" w:hAnsi="宋体" w:cs="宋体"/>
                <w:color w:val="000000"/>
                <w:sz w:val="24"/>
                <w:szCs w:val="24"/>
              </w:rPr>
            </w:pPr>
          </w:p>
        </w:tc>
        <w:tc>
          <w:tcPr>
            <w:tcW w:w="2125" w:type="dxa"/>
            <w:vMerge w:val="continue"/>
            <w:vAlign w:val="center"/>
          </w:tcPr>
          <w:p w14:paraId="33774EB9">
            <w:pPr>
              <w:spacing w:line="360" w:lineRule="auto"/>
              <w:ind w:left="210" w:leftChars="100"/>
              <w:jc w:val="center"/>
              <w:rPr>
                <w:rFonts w:hint="eastAsia" w:ascii="宋体" w:hAnsi="宋体" w:cs="宋体"/>
                <w:color w:val="000000"/>
                <w:sz w:val="24"/>
                <w:szCs w:val="24"/>
              </w:rPr>
            </w:pPr>
          </w:p>
        </w:tc>
        <w:tc>
          <w:tcPr>
            <w:tcW w:w="5430" w:type="dxa"/>
            <w:vAlign w:val="center"/>
          </w:tcPr>
          <w:p w14:paraId="0313EFC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生产安全及数据安全保障措施：安全生产制度、安全生产方案、数据安全保障措施、数据安全保密管理方案、安全设备场所人员配置、安全风险预案，本项5分。</w:t>
            </w:r>
          </w:p>
          <w:p w14:paraId="2EE2F76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（1）生产安全及数据安全保障措施完善，安全预案科学，完全满足项目需求的，得5分；</w:t>
            </w:r>
          </w:p>
          <w:p w14:paraId="54399D7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（2）生产安全及数据安全保障措施较完善，安全预案较科学，满足项目需求的，得3分；</w:t>
            </w:r>
          </w:p>
          <w:p w14:paraId="415A7216">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（3）生产安全及数据安全保障措施不完善，安全预案不科学，不满足本项目需求的，得1分；</w:t>
            </w:r>
          </w:p>
          <w:p w14:paraId="45D7950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（4）生产安全及数据安全保障措施缺失的，得0分。</w:t>
            </w:r>
          </w:p>
        </w:tc>
      </w:tr>
      <w:tr w14:paraId="0844E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215" w:hRule="atLeast"/>
          <w:jc w:val="center"/>
        </w:trPr>
        <w:tc>
          <w:tcPr>
            <w:tcW w:w="1983" w:type="dxa"/>
            <w:vMerge w:val="continue"/>
            <w:vAlign w:val="center"/>
          </w:tcPr>
          <w:p w14:paraId="032A4692">
            <w:pPr>
              <w:spacing w:line="360" w:lineRule="auto"/>
              <w:ind w:left="210" w:leftChars="100"/>
              <w:jc w:val="center"/>
              <w:rPr>
                <w:rFonts w:hint="eastAsia" w:ascii="宋体" w:hAnsi="宋体" w:cs="宋体"/>
                <w:color w:val="000000"/>
                <w:sz w:val="24"/>
                <w:szCs w:val="24"/>
              </w:rPr>
            </w:pPr>
          </w:p>
        </w:tc>
        <w:tc>
          <w:tcPr>
            <w:tcW w:w="2125" w:type="dxa"/>
            <w:vAlign w:val="center"/>
          </w:tcPr>
          <w:p w14:paraId="07E210E8">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项目技术方案（24分）</w:t>
            </w:r>
          </w:p>
        </w:tc>
        <w:tc>
          <w:tcPr>
            <w:tcW w:w="5430" w:type="dxa"/>
            <w:vAlign w:val="center"/>
          </w:tcPr>
          <w:p w14:paraId="06AF3AC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根据本项目特点制定实景三维平台及示范应用建设技术方案，包含但不限于以下内容：</w:t>
            </w:r>
          </w:p>
          <w:p w14:paraId="0B6F7C8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1.项目建设的认识与理解；</w:t>
            </w:r>
          </w:p>
          <w:p w14:paraId="4F08AB6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2.任务区概况和已有资料分析；</w:t>
            </w:r>
          </w:p>
          <w:p w14:paraId="1AA52E8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3.主要技术指标和成果规格；</w:t>
            </w:r>
          </w:p>
          <w:p w14:paraId="4DF60B71">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4.工作任务安排；</w:t>
            </w:r>
          </w:p>
          <w:p w14:paraId="7321BC33">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5.技术方案（包括实景三维平台、示范应用建设）；</w:t>
            </w:r>
          </w:p>
          <w:p w14:paraId="703DDBA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6.售后技术支持。</w:t>
            </w:r>
          </w:p>
          <w:p w14:paraId="10214C1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lang w:val="zh-CN"/>
              </w:rPr>
              <w:t>以上</w:t>
            </w:r>
            <w:r>
              <w:rPr>
                <w:rFonts w:hint="eastAsia" w:ascii="宋体" w:hAnsi="宋体" w:cs="宋体"/>
                <w:color w:val="000000"/>
                <w:sz w:val="24"/>
                <w:szCs w:val="24"/>
              </w:rPr>
              <w:t>6</w:t>
            </w:r>
            <w:r>
              <w:rPr>
                <w:rFonts w:hint="eastAsia" w:ascii="宋体" w:hAnsi="宋体" w:cs="宋体"/>
                <w:color w:val="000000"/>
                <w:sz w:val="24"/>
                <w:szCs w:val="24"/>
                <w:lang w:val="zh-CN"/>
              </w:rPr>
              <w:t>项内容，</w:t>
            </w:r>
            <w:r>
              <w:rPr>
                <w:rFonts w:hint="eastAsia" w:ascii="宋体" w:hAnsi="宋体" w:cs="宋体"/>
                <w:color w:val="000000"/>
                <w:sz w:val="24"/>
                <w:szCs w:val="24"/>
              </w:rPr>
              <w:t>每项内容评分要求：</w:t>
            </w:r>
          </w:p>
          <w:p w14:paraId="6871233C">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（1）方案符合实际、措施得当、内容详细，完全满足本项目建设需求的，得4分；</w:t>
            </w:r>
          </w:p>
          <w:p w14:paraId="5761B1E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（2）方案较符合实际、措施较得当、内容较详细，满足本项目建设需求的，得2分；</w:t>
            </w:r>
          </w:p>
          <w:p w14:paraId="59F3B7F9">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（3）方案不符合实际、措施不得当、内容不详细，不满足本项目建设需求的，得1分；</w:t>
            </w:r>
          </w:p>
          <w:p w14:paraId="75E5B45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（4）技术方案缺失的，得0分。</w:t>
            </w:r>
          </w:p>
        </w:tc>
      </w:tr>
      <w:tr w14:paraId="11ED3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572995A5">
            <w:pPr>
              <w:spacing w:line="360" w:lineRule="auto"/>
              <w:ind w:left="210" w:leftChars="100"/>
              <w:jc w:val="center"/>
              <w:rPr>
                <w:rFonts w:hint="eastAsia" w:ascii="宋体" w:hAnsi="宋体" w:cs="宋体"/>
                <w:color w:val="000000"/>
                <w:sz w:val="24"/>
                <w:szCs w:val="24"/>
              </w:rPr>
            </w:pPr>
          </w:p>
        </w:tc>
        <w:tc>
          <w:tcPr>
            <w:tcW w:w="2125" w:type="dxa"/>
            <w:vAlign w:val="center"/>
          </w:tcPr>
          <w:p w14:paraId="715EAEB5">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项目重点、难点分析以及对策措施（6分）</w:t>
            </w:r>
          </w:p>
        </w:tc>
        <w:tc>
          <w:tcPr>
            <w:tcW w:w="5430" w:type="dxa"/>
            <w:vAlign w:val="center"/>
          </w:tcPr>
          <w:p w14:paraId="586158CD">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对本项目的工作重点、难点进行分析，并提出针对本项目工作重点、难点的建议及对策措施。</w:t>
            </w:r>
          </w:p>
          <w:p w14:paraId="2998A4D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（1）对项目的工作重点、难点分析科学合理，提出的建议及对策措施操作性强的，得6分；</w:t>
            </w:r>
          </w:p>
          <w:p w14:paraId="5FF882F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（2）对项目的工作重点、难点分析较为合理，提出的建议及对策措施操作性较强的，得3分；</w:t>
            </w:r>
          </w:p>
          <w:p w14:paraId="5BC4A2FB">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（3）对项目的工作重点、难点分析不合理，提出的建议及对策措施操作性不强的，得1分。</w:t>
            </w:r>
          </w:p>
          <w:p w14:paraId="21AD56F2">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z w:val="24"/>
                <w:szCs w:val="24"/>
              </w:rPr>
              <w:t>（4）项目的工作重点、难点分析缺失的，得0分。</w:t>
            </w:r>
          </w:p>
        </w:tc>
      </w:tr>
      <w:tr w14:paraId="43DFE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restart"/>
            <w:vAlign w:val="center"/>
          </w:tcPr>
          <w:p w14:paraId="54EF45F2">
            <w:pPr>
              <w:jc w:val="center"/>
              <w:rPr>
                <w:rFonts w:hint="eastAsia" w:ascii="宋体" w:hAnsi="宋体" w:cs="宋体"/>
                <w:b/>
                <w:bCs/>
                <w:color w:val="000000"/>
                <w:sz w:val="24"/>
                <w:szCs w:val="24"/>
              </w:rPr>
            </w:pPr>
            <w:r>
              <w:rPr>
                <w:rFonts w:hint="eastAsia" w:ascii="宋体" w:hAnsi="宋体" w:cs="宋体"/>
                <w:b/>
                <w:bCs/>
                <w:color w:val="000000"/>
                <w:sz w:val="24"/>
                <w:szCs w:val="24"/>
              </w:rPr>
              <w:t>商务部分（40分）</w:t>
            </w:r>
          </w:p>
        </w:tc>
        <w:tc>
          <w:tcPr>
            <w:tcW w:w="2125" w:type="dxa"/>
            <w:vAlign w:val="center"/>
          </w:tcPr>
          <w:p w14:paraId="7A5B40BC">
            <w:pPr>
              <w:jc w:val="center"/>
              <w:rPr>
                <w:rFonts w:hint="eastAsia" w:ascii="宋体" w:hAnsi="宋体" w:cs="宋体"/>
                <w:b/>
                <w:bCs/>
                <w:color w:val="000000"/>
                <w:sz w:val="24"/>
                <w:szCs w:val="24"/>
              </w:rPr>
            </w:pPr>
            <w:r>
              <w:rPr>
                <w:rFonts w:hint="eastAsia" w:ascii="宋体" w:hAnsi="宋体" w:cs="宋体"/>
                <w:b/>
                <w:bCs/>
                <w:color w:val="000000"/>
                <w:sz w:val="24"/>
                <w:szCs w:val="24"/>
              </w:rPr>
              <w:t>项目管理团队（8分）</w:t>
            </w:r>
          </w:p>
        </w:tc>
        <w:tc>
          <w:tcPr>
            <w:tcW w:w="5430" w:type="dxa"/>
            <w:vAlign w:val="center"/>
          </w:tcPr>
          <w:p w14:paraId="19CF54C0">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（1）拟派项目负责人：</w:t>
            </w:r>
          </w:p>
          <w:p w14:paraId="41F30551">
            <w:pPr>
              <w:spacing w:line="360" w:lineRule="auto"/>
              <w:ind w:right="54"/>
              <w:rPr>
                <w:rFonts w:hint="eastAsia" w:ascii="宋体" w:hAnsi="宋体" w:cs="宋体"/>
                <w:color w:val="000000"/>
                <w:sz w:val="24"/>
                <w:szCs w:val="24"/>
              </w:rPr>
            </w:pPr>
            <w:r>
              <w:rPr>
                <w:rFonts w:hint="eastAsia" w:ascii="宋体" w:hAnsi="宋体" w:cs="宋体"/>
                <w:color w:val="000000"/>
                <w:spacing w:val="7"/>
                <w:sz w:val="24"/>
                <w:szCs w:val="24"/>
              </w:rPr>
              <w:t>同时</w:t>
            </w:r>
            <w:r>
              <w:rPr>
                <w:rFonts w:hint="eastAsia" w:ascii="宋体" w:hAnsi="宋体" w:cs="宋体"/>
                <w:color w:val="000000"/>
                <w:spacing w:val="8"/>
                <w:sz w:val="24"/>
                <w:szCs w:val="24"/>
              </w:rPr>
              <w:t>具有测绘类或土地资源管理类等相关专业高级</w:t>
            </w:r>
            <w:r>
              <w:rPr>
                <w:rFonts w:hint="eastAsia" w:ascii="宋体" w:hAnsi="宋体" w:cs="宋体"/>
                <w:color w:val="000000"/>
                <w:spacing w:val="1"/>
                <w:sz w:val="24"/>
                <w:szCs w:val="24"/>
              </w:rPr>
              <w:t>工程师及以上职称证书、地理信息安全保密培训证书的，得2分；</w:t>
            </w:r>
            <w:r>
              <w:rPr>
                <w:rFonts w:hint="eastAsia" w:ascii="宋体" w:hAnsi="宋体" w:cs="宋体"/>
                <w:color w:val="000000"/>
                <w:spacing w:val="6"/>
                <w:sz w:val="24"/>
                <w:szCs w:val="24"/>
              </w:rPr>
              <w:t>否则不得分；</w:t>
            </w:r>
          </w:p>
          <w:p w14:paraId="231FDDC7">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（2）拟派技术负责人：</w:t>
            </w:r>
          </w:p>
          <w:p w14:paraId="188BDD9B">
            <w:pPr>
              <w:spacing w:line="360" w:lineRule="auto"/>
              <w:ind w:right="54"/>
              <w:rPr>
                <w:rFonts w:hint="eastAsia" w:ascii="宋体" w:hAnsi="宋体" w:cs="宋体"/>
                <w:color w:val="000000"/>
                <w:sz w:val="24"/>
                <w:szCs w:val="24"/>
              </w:rPr>
            </w:pPr>
            <w:r>
              <w:rPr>
                <w:rFonts w:hint="eastAsia" w:ascii="宋体" w:hAnsi="宋体" w:cs="宋体"/>
                <w:color w:val="000000"/>
                <w:spacing w:val="7"/>
                <w:sz w:val="24"/>
                <w:szCs w:val="24"/>
              </w:rPr>
              <w:t>同时具有测绘类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w:t>
            </w:r>
            <w:r>
              <w:rPr>
                <w:rFonts w:hint="eastAsia" w:ascii="宋体" w:hAnsi="宋体" w:cs="宋体"/>
                <w:color w:val="000000"/>
                <w:spacing w:val="1"/>
                <w:sz w:val="24"/>
                <w:szCs w:val="24"/>
              </w:rPr>
              <w:t>及以上职称证书、地理信息安全保密培训证书的，得2分；</w:t>
            </w:r>
            <w:r>
              <w:rPr>
                <w:rFonts w:hint="eastAsia" w:ascii="宋体" w:hAnsi="宋体" w:cs="宋体"/>
                <w:color w:val="000000"/>
                <w:spacing w:val="6"/>
                <w:sz w:val="24"/>
                <w:szCs w:val="24"/>
              </w:rPr>
              <w:t>否则不得分；</w:t>
            </w:r>
          </w:p>
          <w:p w14:paraId="48C153A2">
            <w:pPr>
              <w:spacing w:line="360" w:lineRule="auto"/>
              <w:rPr>
                <w:rFonts w:hint="eastAsia" w:ascii="宋体" w:hAnsi="宋体" w:cs="宋体"/>
                <w:color w:val="000000"/>
                <w:sz w:val="24"/>
                <w:szCs w:val="24"/>
              </w:rPr>
            </w:pPr>
            <w:r>
              <w:rPr>
                <w:rFonts w:hint="eastAsia" w:ascii="宋体" w:hAnsi="宋体" w:cs="宋体"/>
                <w:color w:val="000000"/>
                <w:spacing w:val="6"/>
                <w:sz w:val="24"/>
                <w:szCs w:val="24"/>
              </w:rPr>
              <w:t>（3）拟派质量负责人：</w:t>
            </w:r>
          </w:p>
          <w:p w14:paraId="3BB23CE7">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w:t>
            </w:r>
            <w:r>
              <w:rPr>
                <w:rFonts w:hint="eastAsia" w:ascii="宋体" w:hAnsi="宋体" w:cs="宋体"/>
                <w:color w:val="000000"/>
                <w:spacing w:val="6"/>
                <w:sz w:val="24"/>
                <w:szCs w:val="24"/>
              </w:rPr>
              <w:t>的，得2分；</w:t>
            </w:r>
            <w:r>
              <w:rPr>
                <w:rFonts w:hint="eastAsia" w:ascii="宋体" w:hAnsi="宋体" w:cs="宋体"/>
                <w:color w:val="000000"/>
                <w:spacing w:val="5"/>
                <w:sz w:val="24"/>
                <w:szCs w:val="24"/>
              </w:rPr>
              <w:t>否则不得分；</w:t>
            </w:r>
          </w:p>
          <w:p w14:paraId="3FD73599">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（4）拟派地理信息安全负责人：</w:t>
            </w:r>
          </w:p>
          <w:p w14:paraId="3E2FF397">
            <w:pPr>
              <w:spacing w:line="360" w:lineRule="auto"/>
              <w:ind w:right="108"/>
              <w:rPr>
                <w:rFonts w:hint="eastAsia" w:ascii="宋体" w:hAnsi="宋体" w:cs="宋体"/>
                <w:color w:val="000000"/>
                <w:sz w:val="24"/>
                <w:szCs w:val="24"/>
              </w:rPr>
            </w:pPr>
            <w:r>
              <w:rPr>
                <w:rFonts w:hint="eastAsia" w:ascii="宋体" w:hAnsi="宋体" w:cs="宋体"/>
                <w:color w:val="000000"/>
                <w:spacing w:val="7"/>
                <w:sz w:val="24"/>
                <w:szCs w:val="24"/>
              </w:rPr>
              <w:t>同时具有测绘类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7"/>
                <w:sz w:val="24"/>
                <w:szCs w:val="24"/>
              </w:rPr>
              <w:t>专业高级工程师及以上职称证书、地理信息安全保密培训证书的，得2分；否则不得分。</w:t>
            </w:r>
          </w:p>
          <w:p w14:paraId="50A0CCDC">
            <w:pPr>
              <w:spacing w:line="360" w:lineRule="auto"/>
              <w:ind w:right="85"/>
              <w:rPr>
                <w:rFonts w:hint="eastAsia" w:ascii="宋体" w:hAnsi="宋体" w:cs="宋体"/>
                <w:color w:val="000000"/>
                <w:sz w:val="24"/>
                <w:szCs w:val="24"/>
              </w:rPr>
            </w:pPr>
            <w:r>
              <w:rPr>
                <w:rFonts w:hint="eastAsia" w:ascii="宋体" w:hAnsi="宋体" w:cs="宋体"/>
                <w:b/>
                <w:bCs/>
                <w:color w:val="000000"/>
                <w:spacing w:val="7"/>
                <w:sz w:val="24"/>
                <w:szCs w:val="24"/>
              </w:rPr>
              <w:t>【证明材料：须提供团队人员花名册、个人身份证信息、</w:t>
            </w:r>
            <w:r>
              <w:rPr>
                <w:rFonts w:hint="eastAsia" w:ascii="宋体" w:hAnsi="宋体" w:cs="宋体"/>
                <w:b/>
                <w:bCs/>
                <w:color w:val="000000"/>
                <w:spacing w:val="6"/>
                <w:sz w:val="24"/>
                <w:szCs w:val="24"/>
              </w:rPr>
              <w:t>开标前三个月任意一个月的社保证明材料及相关资格、职称证书等，证明</w:t>
            </w:r>
            <w:r>
              <w:rPr>
                <w:rFonts w:hint="eastAsia" w:ascii="宋体" w:hAnsi="宋体" w:cs="宋体"/>
                <w:b/>
                <w:bCs/>
                <w:color w:val="000000"/>
                <w:spacing w:val="5"/>
                <w:sz w:val="24"/>
                <w:szCs w:val="24"/>
              </w:rPr>
              <w:t>材料</w:t>
            </w:r>
            <w:r>
              <w:rPr>
                <w:rFonts w:hint="eastAsia" w:ascii="宋体" w:hAnsi="宋体" w:cs="宋体"/>
                <w:b/>
                <w:bCs/>
                <w:color w:val="000000"/>
                <w:spacing w:val="6"/>
                <w:sz w:val="24"/>
                <w:szCs w:val="24"/>
              </w:rPr>
              <w:t>复印件并加盖供应商公章，未提供的不得分。</w:t>
            </w:r>
            <w:r>
              <w:rPr>
                <w:rFonts w:hint="eastAsia" w:ascii="宋体" w:hAnsi="宋体" w:cs="宋体"/>
                <w:b/>
                <w:bCs/>
                <w:color w:val="000000"/>
                <w:spacing w:val="5"/>
                <w:sz w:val="24"/>
                <w:szCs w:val="24"/>
              </w:rPr>
              <w:t>以上人员不</w:t>
            </w:r>
            <w:r>
              <w:rPr>
                <w:rFonts w:hint="eastAsia" w:ascii="宋体" w:hAnsi="宋体" w:cs="宋体"/>
                <w:b/>
                <w:bCs/>
                <w:color w:val="000000"/>
                <w:spacing w:val="8"/>
                <w:sz w:val="24"/>
                <w:szCs w:val="24"/>
              </w:rPr>
              <w:t>得重复计分，如重复仅按照出现先后顺序计一次分】</w:t>
            </w:r>
          </w:p>
        </w:tc>
      </w:tr>
      <w:tr w14:paraId="6118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1832" w:hRule="atLeast"/>
          <w:jc w:val="center"/>
        </w:trPr>
        <w:tc>
          <w:tcPr>
            <w:tcW w:w="1983" w:type="dxa"/>
            <w:vMerge w:val="continue"/>
            <w:vAlign w:val="center"/>
          </w:tcPr>
          <w:p w14:paraId="7FD6AD56">
            <w:pPr>
              <w:jc w:val="center"/>
              <w:rPr>
                <w:rFonts w:hint="eastAsia" w:ascii="宋体" w:hAnsi="宋体" w:cs="宋体"/>
                <w:b/>
                <w:bCs/>
                <w:color w:val="000000"/>
                <w:sz w:val="24"/>
                <w:szCs w:val="24"/>
              </w:rPr>
            </w:pPr>
          </w:p>
        </w:tc>
        <w:tc>
          <w:tcPr>
            <w:tcW w:w="2125" w:type="dxa"/>
            <w:vAlign w:val="center"/>
          </w:tcPr>
          <w:p w14:paraId="69C4C249">
            <w:pPr>
              <w:jc w:val="center"/>
              <w:rPr>
                <w:rFonts w:hint="eastAsia" w:ascii="宋体" w:hAnsi="宋体" w:cs="宋体"/>
                <w:b/>
                <w:bCs/>
                <w:color w:val="000000"/>
                <w:sz w:val="24"/>
                <w:szCs w:val="24"/>
              </w:rPr>
            </w:pPr>
            <w:r>
              <w:rPr>
                <w:rFonts w:hint="eastAsia" w:ascii="宋体" w:hAnsi="宋体" w:cs="宋体"/>
                <w:b/>
                <w:bCs/>
                <w:color w:val="000000"/>
                <w:sz w:val="24"/>
                <w:szCs w:val="24"/>
              </w:rPr>
              <w:t>项目实施团队（16分）</w:t>
            </w:r>
          </w:p>
        </w:tc>
        <w:tc>
          <w:tcPr>
            <w:tcW w:w="5430" w:type="dxa"/>
            <w:vAlign w:val="center"/>
          </w:tcPr>
          <w:p w14:paraId="3C5E6913">
            <w:pPr>
              <w:spacing w:line="360" w:lineRule="auto"/>
              <w:rPr>
                <w:rFonts w:hint="eastAsia" w:ascii="宋体" w:hAnsi="宋体" w:cs="宋体"/>
                <w:color w:val="000000"/>
                <w:sz w:val="24"/>
                <w:szCs w:val="24"/>
              </w:rPr>
            </w:pPr>
            <w:r>
              <w:rPr>
                <w:rFonts w:hint="eastAsia" w:ascii="宋体" w:hAnsi="宋体" w:cs="宋体"/>
                <w:color w:val="000000"/>
                <w:spacing w:val="7"/>
                <w:sz w:val="24"/>
                <w:szCs w:val="24"/>
              </w:rPr>
              <w:t>（1）项目实施团队大于（含）60人，得5分；团队小于60人的或证明材料不齐全，不得分；</w:t>
            </w:r>
          </w:p>
          <w:p w14:paraId="0CF1CFBA">
            <w:pPr>
              <w:spacing w:line="360" w:lineRule="auto"/>
              <w:ind w:right="114"/>
              <w:rPr>
                <w:rFonts w:hint="eastAsia" w:ascii="宋体" w:hAnsi="宋体" w:cs="宋体"/>
                <w:color w:val="000000"/>
                <w:sz w:val="24"/>
                <w:szCs w:val="24"/>
              </w:rPr>
            </w:pPr>
            <w:r>
              <w:rPr>
                <w:rFonts w:hint="eastAsia" w:ascii="宋体" w:hAnsi="宋体" w:cs="宋体"/>
                <w:color w:val="000000"/>
                <w:spacing w:val="10"/>
                <w:sz w:val="24"/>
                <w:szCs w:val="24"/>
              </w:rPr>
              <w:t>（2）团队成员中具有测绘类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高级工程师及以上职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的，每有1人得1分，最高得5分；</w:t>
            </w:r>
          </w:p>
          <w:p w14:paraId="33BAD389">
            <w:pPr>
              <w:spacing w:line="360" w:lineRule="auto"/>
              <w:ind w:right="109"/>
              <w:rPr>
                <w:rFonts w:hint="eastAsia" w:ascii="宋体" w:hAnsi="宋体" w:cs="宋体"/>
                <w:color w:val="000000"/>
                <w:spacing w:val="2"/>
                <w:sz w:val="24"/>
                <w:szCs w:val="24"/>
              </w:rPr>
            </w:pPr>
            <w:r>
              <w:rPr>
                <w:rFonts w:hint="eastAsia" w:ascii="宋体" w:hAnsi="宋体" w:cs="宋体"/>
                <w:color w:val="000000"/>
                <w:spacing w:val="4"/>
                <w:sz w:val="24"/>
                <w:szCs w:val="24"/>
              </w:rPr>
              <w:t>（3）</w:t>
            </w:r>
            <w:r>
              <w:rPr>
                <w:rFonts w:hint="eastAsia" w:ascii="宋体" w:hAnsi="宋体" w:cs="宋体"/>
                <w:color w:val="000000"/>
                <w:spacing w:val="10"/>
                <w:sz w:val="24"/>
                <w:szCs w:val="24"/>
              </w:rPr>
              <w:t>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10"/>
                <w:sz w:val="24"/>
                <w:szCs w:val="24"/>
              </w:rPr>
              <w:t>助理工程师及以上职</w:t>
            </w:r>
            <w:r>
              <w:rPr>
                <w:rFonts w:hint="eastAsia" w:ascii="宋体" w:hAnsi="宋体" w:cs="宋体"/>
                <w:color w:val="000000"/>
                <w:spacing w:val="9"/>
                <w:sz w:val="24"/>
                <w:szCs w:val="24"/>
              </w:rPr>
              <w:t>称证书</w:t>
            </w:r>
            <w:r>
              <w:rPr>
                <w:rFonts w:hint="eastAsia" w:ascii="宋体" w:hAnsi="宋体" w:cs="宋体"/>
                <w:color w:val="000000"/>
                <w:spacing w:val="2"/>
                <w:sz w:val="24"/>
                <w:szCs w:val="24"/>
              </w:rPr>
              <w:t>的，每有1人得0.5分，最高得3分；</w:t>
            </w:r>
          </w:p>
          <w:p w14:paraId="2151F4C1">
            <w:pPr>
              <w:spacing w:line="360" w:lineRule="auto"/>
              <w:ind w:right="114"/>
              <w:rPr>
                <w:rFonts w:hint="eastAsia" w:ascii="宋体" w:hAnsi="宋体" w:cs="宋体"/>
                <w:color w:val="000000"/>
                <w:spacing w:val="2"/>
                <w:sz w:val="24"/>
                <w:szCs w:val="24"/>
              </w:rPr>
            </w:pPr>
            <w:r>
              <w:rPr>
                <w:rFonts w:hint="eastAsia" w:ascii="宋体" w:hAnsi="宋体" w:cs="宋体"/>
                <w:color w:val="000000"/>
                <w:spacing w:val="10"/>
                <w:sz w:val="24"/>
                <w:szCs w:val="24"/>
              </w:rPr>
              <w:t>（4）团队成员中具有</w:t>
            </w:r>
            <w:r>
              <w:rPr>
                <w:rFonts w:hint="eastAsia" w:ascii="宋体" w:hAnsi="宋体" w:cs="宋体"/>
                <w:color w:val="000000"/>
                <w:spacing w:val="7"/>
                <w:sz w:val="24"/>
                <w:szCs w:val="24"/>
              </w:rPr>
              <w:t>地理信息安全保密培训证书</w:t>
            </w:r>
            <w:r>
              <w:rPr>
                <w:rFonts w:hint="eastAsia" w:ascii="宋体" w:hAnsi="宋体" w:cs="宋体"/>
                <w:color w:val="000000"/>
                <w:spacing w:val="2"/>
                <w:sz w:val="24"/>
                <w:szCs w:val="24"/>
              </w:rPr>
              <w:t>的，每有1人得0.5分，最高得3分；</w:t>
            </w:r>
          </w:p>
          <w:p w14:paraId="60275C9D">
            <w:pPr>
              <w:spacing w:line="360" w:lineRule="auto"/>
              <w:ind w:right="108"/>
              <w:rPr>
                <w:rFonts w:hint="eastAsia" w:ascii="宋体" w:hAnsi="宋体" w:cs="宋体"/>
                <w:color w:val="000000"/>
                <w:spacing w:val="2"/>
                <w:sz w:val="24"/>
                <w:szCs w:val="24"/>
              </w:rPr>
            </w:pPr>
            <w:r>
              <w:rPr>
                <w:rFonts w:hint="eastAsia" w:ascii="宋体" w:hAnsi="宋体" w:cs="宋体"/>
                <w:b/>
                <w:bCs/>
                <w:color w:val="000000"/>
                <w:sz w:val="24"/>
                <w:szCs w:val="24"/>
              </w:rPr>
              <w:t>【证明材料：1.须提供团队人员花名册、个人身份证信息、</w:t>
            </w:r>
            <w:r>
              <w:rPr>
                <w:rFonts w:hint="eastAsia" w:ascii="宋体" w:hAnsi="宋体" w:cs="宋体"/>
                <w:b/>
                <w:bCs/>
                <w:color w:val="000000"/>
                <w:spacing w:val="4"/>
                <w:sz w:val="24"/>
                <w:szCs w:val="24"/>
              </w:rPr>
              <w:t>开标前三个月任意一个月的社保证明材料及相关资格、职称</w:t>
            </w:r>
            <w:r>
              <w:rPr>
                <w:rFonts w:hint="eastAsia" w:ascii="宋体" w:hAnsi="宋体" w:cs="宋体"/>
                <w:b/>
                <w:bCs/>
                <w:color w:val="000000"/>
                <w:spacing w:val="6"/>
                <w:sz w:val="24"/>
                <w:szCs w:val="24"/>
              </w:rPr>
              <w:t>证书等，证明材料复印件并加盖供应商公章，未提</w:t>
            </w:r>
            <w:r>
              <w:rPr>
                <w:rFonts w:hint="eastAsia" w:ascii="宋体" w:hAnsi="宋体" w:cs="宋体"/>
                <w:b/>
                <w:bCs/>
                <w:color w:val="000000"/>
                <w:spacing w:val="5"/>
                <w:sz w:val="24"/>
                <w:szCs w:val="24"/>
              </w:rPr>
              <w:t>供的不得分。2.以上实施团队成员和管理团队成员人员证书不</w:t>
            </w:r>
            <w:r>
              <w:rPr>
                <w:rFonts w:hint="eastAsia" w:ascii="宋体" w:hAnsi="宋体" w:cs="宋体"/>
                <w:b/>
                <w:bCs/>
                <w:color w:val="000000"/>
                <w:spacing w:val="6"/>
                <w:sz w:val="24"/>
                <w:szCs w:val="24"/>
              </w:rPr>
              <w:t>得重复计分。管理团队</w:t>
            </w:r>
            <w:r>
              <w:rPr>
                <w:rFonts w:hint="eastAsia" w:ascii="宋体" w:hAnsi="宋体" w:cs="宋体"/>
                <w:b/>
                <w:bCs/>
                <w:color w:val="000000"/>
                <w:spacing w:val="5"/>
                <w:sz w:val="24"/>
                <w:szCs w:val="24"/>
              </w:rPr>
              <w:t>人员</w:t>
            </w:r>
            <w:r>
              <w:rPr>
                <w:rFonts w:hint="eastAsia" w:ascii="宋体" w:hAnsi="宋体" w:cs="宋体"/>
                <w:b/>
                <w:bCs/>
                <w:color w:val="000000"/>
                <w:spacing w:val="8"/>
                <w:sz w:val="24"/>
                <w:szCs w:val="24"/>
              </w:rPr>
              <w:t>与实施团队人员不得重复。</w:t>
            </w:r>
            <w:r>
              <w:rPr>
                <w:rFonts w:hint="eastAsia" w:ascii="宋体" w:hAnsi="宋体" w:cs="宋体"/>
                <w:b/>
                <w:bCs/>
                <w:color w:val="000000"/>
                <w:spacing w:val="7"/>
                <w:sz w:val="24"/>
                <w:szCs w:val="24"/>
              </w:rPr>
              <w:t>如重复仅按照出现先后顺序计一次分】</w:t>
            </w:r>
          </w:p>
        </w:tc>
      </w:tr>
      <w:tr w14:paraId="7D1BE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121640EB">
            <w:pPr>
              <w:jc w:val="center"/>
              <w:rPr>
                <w:rFonts w:hint="eastAsia" w:ascii="宋体" w:hAnsi="宋体" w:cs="宋体"/>
                <w:b/>
                <w:bCs/>
                <w:color w:val="000000"/>
                <w:sz w:val="24"/>
                <w:szCs w:val="24"/>
              </w:rPr>
            </w:pPr>
          </w:p>
        </w:tc>
        <w:tc>
          <w:tcPr>
            <w:tcW w:w="2125" w:type="dxa"/>
            <w:vAlign w:val="center"/>
          </w:tcPr>
          <w:p w14:paraId="7AC52945">
            <w:pPr>
              <w:jc w:val="center"/>
              <w:rPr>
                <w:rFonts w:hint="eastAsia" w:ascii="宋体" w:hAnsi="宋体" w:cs="宋体"/>
                <w:b/>
                <w:bCs/>
                <w:color w:val="000000"/>
                <w:sz w:val="24"/>
                <w:szCs w:val="24"/>
              </w:rPr>
            </w:pPr>
            <w:r>
              <w:rPr>
                <w:rFonts w:hint="eastAsia" w:ascii="宋体" w:hAnsi="宋体" w:cs="宋体"/>
                <w:b/>
                <w:bCs/>
                <w:color w:val="000000"/>
                <w:sz w:val="24"/>
                <w:szCs w:val="24"/>
              </w:rPr>
              <w:t>供应商业绩（4分）</w:t>
            </w:r>
          </w:p>
        </w:tc>
        <w:tc>
          <w:tcPr>
            <w:tcW w:w="5436" w:type="dxa"/>
            <w:gridSpan w:val="2"/>
            <w:vAlign w:val="center"/>
          </w:tcPr>
          <w:p w14:paraId="78CD3B37">
            <w:pPr>
              <w:spacing w:line="360" w:lineRule="auto"/>
              <w:ind w:right="111"/>
              <w:rPr>
                <w:rFonts w:hint="eastAsia" w:ascii="宋体" w:hAnsi="宋体" w:cs="宋体"/>
                <w:color w:val="000000"/>
                <w:sz w:val="24"/>
                <w:szCs w:val="24"/>
              </w:rPr>
            </w:pPr>
            <w:r>
              <w:rPr>
                <w:rFonts w:hint="eastAsia" w:ascii="宋体" w:hAnsi="宋体" w:cs="宋体"/>
                <w:color w:val="000000"/>
                <w:spacing w:val="2"/>
                <w:sz w:val="24"/>
                <w:szCs w:val="24"/>
              </w:rPr>
              <w:t>2022年1月1日以来，供应商完成实景三维类或自然资源业务管理类相关项目业绩的，每个得1</w:t>
            </w:r>
            <w:r>
              <w:rPr>
                <w:rFonts w:hint="eastAsia" w:ascii="宋体" w:hAnsi="宋体" w:cs="宋体"/>
                <w:color w:val="000000"/>
                <w:spacing w:val="4"/>
                <w:sz w:val="24"/>
                <w:szCs w:val="24"/>
              </w:rPr>
              <w:t>分，最高得4分。</w:t>
            </w:r>
          </w:p>
          <w:p w14:paraId="7465B69F">
            <w:pPr>
              <w:spacing w:line="360" w:lineRule="auto"/>
              <w:rPr>
                <w:rFonts w:hint="eastAsia" w:ascii="宋体" w:hAnsi="宋体" w:cs="宋体"/>
                <w:color w:val="000000"/>
                <w:sz w:val="24"/>
                <w:szCs w:val="24"/>
              </w:rPr>
            </w:pPr>
            <w:r>
              <w:rPr>
                <w:rFonts w:hint="eastAsia" w:ascii="宋体" w:hAnsi="宋体" w:cs="宋体"/>
                <w:b/>
                <w:bCs/>
                <w:color w:val="000000"/>
                <w:spacing w:val="2"/>
                <w:sz w:val="24"/>
                <w:szCs w:val="24"/>
              </w:rPr>
              <w:t>【证明材料：1.如提供合同，供应商须提供正式合同及中</w:t>
            </w:r>
            <w:r>
              <w:rPr>
                <w:rFonts w:hint="eastAsia" w:ascii="宋体" w:hAnsi="宋体" w:cs="宋体"/>
                <w:b/>
                <w:bCs/>
                <w:color w:val="000000"/>
                <w:spacing w:val="3"/>
                <w:sz w:val="24"/>
                <w:szCs w:val="24"/>
              </w:rPr>
              <w:t>标通知书或中标结果公告查询截图；2.如不提供</w:t>
            </w:r>
            <w:r>
              <w:rPr>
                <w:rFonts w:hint="eastAsia" w:ascii="宋体" w:hAnsi="宋体" w:cs="宋体"/>
                <w:b/>
                <w:bCs/>
                <w:color w:val="000000"/>
                <w:spacing w:val="2"/>
                <w:sz w:val="24"/>
                <w:szCs w:val="24"/>
              </w:rPr>
              <w:t>合同，须</w:t>
            </w:r>
            <w:r>
              <w:rPr>
                <w:rFonts w:hint="eastAsia" w:ascii="宋体" w:hAnsi="宋体" w:cs="宋体"/>
                <w:b/>
                <w:bCs/>
                <w:color w:val="000000"/>
                <w:spacing w:val="3"/>
                <w:sz w:val="24"/>
                <w:szCs w:val="24"/>
              </w:rPr>
              <w:t>提供上级部门的任务下达文件作为有效证明文件</w:t>
            </w:r>
            <w:r>
              <w:rPr>
                <w:rFonts w:hint="eastAsia" w:ascii="宋体" w:hAnsi="宋体" w:cs="宋体"/>
                <w:b/>
                <w:bCs/>
                <w:color w:val="000000"/>
                <w:spacing w:val="-3"/>
                <w:sz w:val="24"/>
                <w:szCs w:val="24"/>
              </w:rPr>
              <w:t>；</w:t>
            </w:r>
            <w:r>
              <w:rPr>
                <w:rFonts w:hint="eastAsia" w:ascii="宋体" w:hAnsi="宋体" w:cs="宋体"/>
                <w:b/>
                <w:bCs/>
                <w:color w:val="000000"/>
                <w:spacing w:val="2"/>
                <w:sz w:val="24"/>
                <w:szCs w:val="24"/>
              </w:rPr>
              <w:t>3.时间以合同签订时间或任务书</w:t>
            </w:r>
            <w:r>
              <w:rPr>
                <w:rFonts w:hint="eastAsia" w:ascii="宋体" w:hAnsi="宋体" w:cs="宋体"/>
                <w:b/>
                <w:bCs/>
                <w:color w:val="000000"/>
                <w:spacing w:val="3"/>
                <w:sz w:val="24"/>
                <w:szCs w:val="24"/>
              </w:rPr>
              <w:t>下达时间为准。不符合上述要求或未按要求提供有效证明</w:t>
            </w:r>
            <w:r>
              <w:rPr>
                <w:rFonts w:hint="eastAsia" w:ascii="宋体" w:hAnsi="宋体" w:cs="宋体"/>
                <w:b/>
                <w:bCs/>
                <w:color w:val="000000"/>
                <w:spacing w:val="4"/>
                <w:sz w:val="24"/>
                <w:szCs w:val="24"/>
              </w:rPr>
              <w:t>文件的业绩在评审时将不予承认】</w:t>
            </w:r>
          </w:p>
        </w:tc>
      </w:tr>
      <w:tr w14:paraId="7A6C1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324137F2">
            <w:pPr>
              <w:jc w:val="center"/>
              <w:rPr>
                <w:rFonts w:hint="eastAsia" w:ascii="宋体" w:hAnsi="宋体" w:cs="宋体"/>
                <w:b/>
                <w:bCs/>
                <w:color w:val="000000"/>
                <w:sz w:val="24"/>
                <w:szCs w:val="24"/>
              </w:rPr>
            </w:pPr>
          </w:p>
        </w:tc>
        <w:tc>
          <w:tcPr>
            <w:tcW w:w="2125" w:type="dxa"/>
            <w:vAlign w:val="center"/>
          </w:tcPr>
          <w:p w14:paraId="0B0C18E8">
            <w:pPr>
              <w:jc w:val="center"/>
              <w:rPr>
                <w:rFonts w:hint="eastAsia" w:ascii="宋体" w:hAnsi="宋体" w:cs="宋体"/>
                <w:b/>
                <w:bCs/>
                <w:color w:val="000000"/>
                <w:sz w:val="24"/>
                <w:szCs w:val="24"/>
              </w:rPr>
            </w:pPr>
            <w:r>
              <w:rPr>
                <w:rFonts w:hint="eastAsia" w:ascii="宋体" w:hAnsi="宋体" w:cs="宋体"/>
                <w:b/>
                <w:bCs/>
                <w:color w:val="000000"/>
                <w:sz w:val="24"/>
                <w:szCs w:val="24"/>
              </w:rPr>
              <w:t>项目评价（4分）</w:t>
            </w:r>
          </w:p>
        </w:tc>
        <w:tc>
          <w:tcPr>
            <w:tcW w:w="5436" w:type="dxa"/>
            <w:gridSpan w:val="2"/>
            <w:vAlign w:val="center"/>
          </w:tcPr>
          <w:p w14:paraId="6A243586">
            <w:pPr>
              <w:spacing w:line="360" w:lineRule="auto"/>
              <w:ind w:right="112"/>
              <w:rPr>
                <w:rFonts w:hint="eastAsia" w:ascii="宋体" w:hAnsi="宋体" w:cs="宋体"/>
                <w:color w:val="000000"/>
                <w:sz w:val="24"/>
                <w:szCs w:val="24"/>
              </w:rPr>
            </w:pPr>
            <w:r>
              <w:rPr>
                <w:rFonts w:hint="eastAsia" w:ascii="宋体" w:hAnsi="宋体" w:cs="宋体"/>
                <w:color w:val="000000"/>
                <w:spacing w:val="5"/>
                <w:sz w:val="24"/>
                <w:szCs w:val="24"/>
              </w:rPr>
              <w:t>提供2022年1月1日以来已完成类似项目的业主方项目</w:t>
            </w:r>
            <w:r>
              <w:rPr>
                <w:rFonts w:hint="eastAsia" w:ascii="宋体" w:hAnsi="宋体" w:cs="宋体"/>
                <w:color w:val="000000"/>
                <w:spacing w:val="3"/>
                <w:sz w:val="24"/>
                <w:szCs w:val="24"/>
              </w:rPr>
              <w:t>评价。每提供1份，得1分，最多得4分。</w:t>
            </w:r>
          </w:p>
          <w:p w14:paraId="0A264D32">
            <w:pPr>
              <w:spacing w:line="360" w:lineRule="auto"/>
              <w:ind w:right="95"/>
              <w:rPr>
                <w:rFonts w:hint="eastAsia" w:ascii="宋体" w:hAnsi="宋体" w:cs="宋体"/>
                <w:color w:val="000000"/>
                <w:sz w:val="24"/>
                <w:szCs w:val="24"/>
              </w:rPr>
            </w:pPr>
            <w:r>
              <w:rPr>
                <w:rFonts w:hint="eastAsia" w:ascii="宋体" w:hAnsi="宋体" w:cs="宋体"/>
                <w:b/>
                <w:bCs/>
                <w:color w:val="000000"/>
                <w:spacing w:val="7"/>
                <w:sz w:val="24"/>
                <w:szCs w:val="24"/>
              </w:rPr>
              <w:t>【证明材料：项目评价包括反馈表、评价书、验</w:t>
            </w:r>
            <w:r>
              <w:rPr>
                <w:rFonts w:hint="eastAsia" w:ascii="宋体" w:hAnsi="宋体" w:cs="宋体"/>
                <w:b/>
                <w:bCs/>
                <w:color w:val="000000"/>
                <w:spacing w:val="6"/>
                <w:sz w:val="24"/>
                <w:szCs w:val="24"/>
              </w:rPr>
              <w:t>收单、回</w:t>
            </w:r>
            <w:r>
              <w:rPr>
                <w:rFonts w:hint="eastAsia" w:ascii="宋体" w:hAnsi="宋体" w:cs="宋体"/>
                <w:b/>
                <w:bCs/>
                <w:color w:val="000000"/>
                <w:spacing w:val="7"/>
                <w:sz w:val="24"/>
                <w:szCs w:val="24"/>
              </w:rPr>
              <w:t>访单等均可。同一业主不重复计算。评价意</w:t>
            </w:r>
            <w:r>
              <w:rPr>
                <w:rFonts w:hint="eastAsia" w:ascii="宋体" w:hAnsi="宋体" w:cs="宋体"/>
                <w:b/>
                <w:bCs/>
                <w:color w:val="000000"/>
                <w:spacing w:val="6"/>
                <w:sz w:val="24"/>
                <w:szCs w:val="24"/>
              </w:rPr>
              <w:t>见为良好、合格、满意、优秀等均可；评价意见为不合格、不满意、差</w:t>
            </w:r>
            <w:r>
              <w:rPr>
                <w:rFonts w:hint="eastAsia" w:ascii="宋体" w:hAnsi="宋体" w:cs="宋体"/>
                <w:b/>
                <w:bCs/>
                <w:color w:val="000000"/>
                <w:spacing w:val="10"/>
                <w:sz w:val="24"/>
                <w:szCs w:val="24"/>
              </w:rPr>
              <w:t>等不作为加分。】</w:t>
            </w:r>
          </w:p>
        </w:tc>
      </w:tr>
      <w:tr w14:paraId="207D9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3" w:hRule="atLeast"/>
          <w:jc w:val="center"/>
        </w:trPr>
        <w:tc>
          <w:tcPr>
            <w:tcW w:w="1983" w:type="dxa"/>
            <w:vMerge w:val="continue"/>
            <w:vAlign w:val="center"/>
          </w:tcPr>
          <w:p w14:paraId="210BDA01">
            <w:pPr>
              <w:jc w:val="center"/>
              <w:rPr>
                <w:rFonts w:hint="eastAsia" w:ascii="宋体" w:hAnsi="宋体" w:cs="宋体"/>
                <w:b/>
                <w:bCs/>
                <w:color w:val="000000"/>
                <w:sz w:val="24"/>
                <w:szCs w:val="24"/>
              </w:rPr>
            </w:pPr>
          </w:p>
        </w:tc>
        <w:tc>
          <w:tcPr>
            <w:tcW w:w="2125" w:type="dxa"/>
            <w:vAlign w:val="center"/>
          </w:tcPr>
          <w:p w14:paraId="5EB72191">
            <w:pPr>
              <w:jc w:val="center"/>
              <w:rPr>
                <w:rFonts w:hint="eastAsia" w:ascii="宋体" w:hAnsi="宋体" w:cs="宋体"/>
                <w:b/>
                <w:bCs/>
                <w:color w:val="000000"/>
                <w:sz w:val="24"/>
                <w:szCs w:val="24"/>
              </w:rPr>
            </w:pPr>
            <w:r>
              <w:rPr>
                <w:rFonts w:hint="eastAsia" w:ascii="宋体" w:hAnsi="宋体" w:cs="宋体"/>
                <w:b/>
                <w:bCs/>
                <w:color w:val="000000"/>
                <w:sz w:val="24"/>
                <w:szCs w:val="24"/>
              </w:rPr>
              <w:t>综合实力（8分）</w:t>
            </w:r>
          </w:p>
        </w:tc>
        <w:tc>
          <w:tcPr>
            <w:tcW w:w="5430" w:type="dxa"/>
            <w:vAlign w:val="center"/>
          </w:tcPr>
          <w:p w14:paraId="328FA346">
            <w:pPr>
              <w:spacing w:line="360" w:lineRule="auto"/>
              <w:ind w:right="106"/>
              <w:rPr>
                <w:rFonts w:hint="eastAsia" w:ascii="宋体" w:hAnsi="宋体" w:cs="宋体"/>
                <w:color w:val="000000"/>
                <w:sz w:val="24"/>
                <w:szCs w:val="24"/>
              </w:rPr>
            </w:pPr>
            <w:r>
              <w:rPr>
                <w:rFonts w:hint="eastAsia" w:ascii="宋体" w:hAnsi="宋体" w:cs="宋体"/>
                <w:color w:val="000000"/>
                <w:spacing w:val="4"/>
                <w:sz w:val="24"/>
                <w:szCs w:val="24"/>
              </w:rPr>
              <w:t>（1）2022年1月1日以来，供应商获得省级及以上自然资源主管部门颁发的奖项证书（荣誉证书），每有一项得2分，最多得4分（以证书颁发时间为准）；</w:t>
            </w:r>
          </w:p>
          <w:p w14:paraId="4B7787F9">
            <w:pPr>
              <w:spacing w:line="360" w:lineRule="auto"/>
              <w:ind w:right="108"/>
              <w:rPr>
                <w:rFonts w:hint="eastAsia" w:ascii="宋体" w:hAnsi="宋体" w:cs="宋体"/>
                <w:color w:val="000000"/>
                <w:sz w:val="24"/>
                <w:szCs w:val="24"/>
              </w:rPr>
            </w:pPr>
            <w:r>
              <w:rPr>
                <w:rFonts w:hint="eastAsia" w:ascii="宋体" w:hAnsi="宋体" w:cs="宋体"/>
                <w:color w:val="000000"/>
                <w:spacing w:val="11"/>
                <w:sz w:val="24"/>
                <w:szCs w:val="24"/>
              </w:rPr>
              <w:t>（2）供应商具有数据安全系统、保密检查、安全防护等</w:t>
            </w:r>
            <w:r>
              <w:rPr>
                <w:rFonts w:hint="eastAsia" w:ascii="宋体" w:hAnsi="宋体" w:cs="宋体"/>
                <w:color w:val="000000"/>
                <w:spacing w:val="6"/>
                <w:sz w:val="24"/>
                <w:szCs w:val="24"/>
              </w:rPr>
              <w:t>任一种相关产品的，得2分，本项最高得2分；</w:t>
            </w:r>
          </w:p>
          <w:p w14:paraId="43A8499A">
            <w:pPr>
              <w:spacing w:line="360" w:lineRule="auto"/>
              <w:ind w:right="108"/>
              <w:rPr>
                <w:rFonts w:hint="eastAsia" w:ascii="宋体" w:hAnsi="宋体" w:cs="宋体"/>
                <w:color w:val="000000"/>
                <w:spacing w:val="11"/>
                <w:sz w:val="24"/>
                <w:szCs w:val="24"/>
                <w:highlight w:val="yellow"/>
              </w:rPr>
            </w:pPr>
            <w:r>
              <w:rPr>
                <w:rFonts w:hint="eastAsia" w:ascii="宋体" w:hAnsi="宋体" w:cs="宋体"/>
                <w:color w:val="000000"/>
                <w:spacing w:val="11"/>
                <w:sz w:val="24"/>
                <w:szCs w:val="24"/>
              </w:rPr>
              <w:t>（3）供应商同时具有质量管理体系、环境管理体系、职业健康安全管理体系认证证书的，得2分，否则不得分；</w:t>
            </w:r>
          </w:p>
          <w:p w14:paraId="2A1C733C">
            <w:pPr>
              <w:spacing w:line="360" w:lineRule="auto"/>
              <w:ind w:right="89"/>
              <w:rPr>
                <w:rFonts w:hint="eastAsia" w:ascii="宋体" w:hAnsi="宋体" w:cs="宋体"/>
                <w:color w:val="000000"/>
                <w:sz w:val="24"/>
                <w:szCs w:val="24"/>
              </w:rPr>
            </w:pPr>
            <w:r>
              <w:rPr>
                <w:rFonts w:hint="eastAsia" w:ascii="宋体" w:hAnsi="宋体" w:cs="宋体"/>
                <w:b/>
                <w:bCs/>
                <w:color w:val="000000"/>
                <w:spacing w:val="7"/>
                <w:sz w:val="24"/>
                <w:szCs w:val="24"/>
              </w:rPr>
              <w:t>【证明材料：奖项类证书以发证时间为准。须提供获</w:t>
            </w:r>
            <w:r>
              <w:rPr>
                <w:rFonts w:hint="eastAsia" w:ascii="宋体" w:hAnsi="宋体" w:cs="宋体"/>
                <w:b/>
                <w:bCs/>
                <w:color w:val="000000"/>
                <w:spacing w:val="6"/>
                <w:sz w:val="24"/>
                <w:szCs w:val="24"/>
              </w:rPr>
              <w:t>奖证书或获奖证明文件、采购合同和设备购置发票、管理体系认证证书并加盖公章，不提供或无法提供有效证明材料不</w:t>
            </w:r>
            <w:r>
              <w:rPr>
                <w:rFonts w:hint="eastAsia" w:ascii="宋体" w:hAnsi="宋体" w:cs="宋体"/>
                <w:b/>
                <w:bCs/>
                <w:color w:val="000000"/>
                <w:spacing w:val="3"/>
                <w:sz w:val="24"/>
                <w:szCs w:val="24"/>
              </w:rPr>
              <w:t>得分】</w:t>
            </w:r>
          </w:p>
        </w:tc>
      </w:tr>
    </w:tbl>
    <w:p w14:paraId="0D868D0A">
      <w:pPr>
        <w:rPr>
          <w:rFonts w:hint="eastAsia" w:ascii="宋体" w:hAnsi="宋体" w:cs="宋体"/>
        </w:rPr>
      </w:pPr>
    </w:p>
    <w:p w14:paraId="7DDD62BD">
      <w:pPr>
        <w:rPr>
          <w:rFonts w:hint="eastAsia" w:ascii="宋体" w:hAnsi="宋体" w:cs="宋体"/>
        </w:rPr>
      </w:pPr>
      <w:r>
        <w:rPr>
          <w:rFonts w:hint="eastAsia" w:ascii="宋体" w:hAnsi="宋体" w:cs="宋体"/>
        </w:rPr>
        <w:br w:type="page"/>
      </w:r>
    </w:p>
    <w:p w14:paraId="3121F003">
      <w:pPr>
        <w:rPr>
          <w:rFonts w:hint="eastAsia" w:ascii="宋体" w:hAnsi="宋体" w:cs="宋体"/>
        </w:rPr>
      </w:pPr>
      <w:r>
        <w:rPr>
          <w:rFonts w:hint="eastAsia" w:ascii="宋体" w:hAnsi="宋体" w:cs="宋体"/>
          <w:b/>
          <w:bCs/>
          <w:sz w:val="24"/>
          <w:szCs w:val="24"/>
        </w:rPr>
        <w:t>详细评审表包3：</w:t>
      </w:r>
    </w:p>
    <w:tbl>
      <w:tblPr>
        <w:tblStyle w:val="22"/>
        <w:tblW w:w="9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1852"/>
        <w:gridCol w:w="5703"/>
      </w:tblGrid>
      <w:tr w14:paraId="3F233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Align w:val="center"/>
          </w:tcPr>
          <w:p w14:paraId="7E016699">
            <w:pPr>
              <w:spacing w:line="360" w:lineRule="auto"/>
              <w:ind w:left="210" w:leftChars="100"/>
              <w:rPr>
                <w:rFonts w:hint="eastAsia" w:ascii="宋体" w:hAnsi="宋体" w:cs="宋体"/>
                <w:b/>
                <w:bCs/>
                <w:color w:val="000000"/>
                <w:sz w:val="24"/>
                <w:szCs w:val="24"/>
              </w:rPr>
            </w:pPr>
            <w:r>
              <w:rPr>
                <w:rFonts w:hint="eastAsia" w:ascii="宋体" w:hAnsi="宋体" w:cs="宋体"/>
                <w:b/>
                <w:bCs/>
                <w:color w:val="000000"/>
                <w:spacing w:val="6"/>
                <w:sz w:val="24"/>
                <w:szCs w:val="24"/>
              </w:rPr>
              <w:t>条款号</w:t>
            </w:r>
          </w:p>
        </w:tc>
        <w:tc>
          <w:tcPr>
            <w:tcW w:w="1852" w:type="dxa"/>
            <w:vAlign w:val="center"/>
          </w:tcPr>
          <w:p w14:paraId="16C9EEAD">
            <w:pPr>
              <w:spacing w:line="360" w:lineRule="auto"/>
              <w:ind w:left="210" w:leftChars="100"/>
              <w:rPr>
                <w:rFonts w:hint="eastAsia" w:ascii="宋体" w:hAnsi="宋体" w:cs="宋体"/>
                <w:b/>
                <w:bCs/>
                <w:color w:val="000000"/>
                <w:sz w:val="24"/>
                <w:szCs w:val="24"/>
              </w:rPr>
            </w:pPr>
            <w:r>
              <w:rPr>
                <w:rFonts w:hint="eastAsia" w:ascii="宋体" w:hAnsi="宋体" w:cs="宋体"/>
                <w:b/>
                <w:bCs/>
                <w:color w:val="000000"/>
                <w:spacing w:val="7"/>
                <w:sz w:val="24"/>
                <w:szCs w:val="24"/>
              </w:rPr>
              <w:t>评分因素</w:t>
            </w:r>
          </w:p>
        </w:tc>
        <w:tc>
          <w:tcPr>
            <w:tcW w:w="5703" w:type="dxa"/>
            <w:vAlign w:val="center"/>
          </w:tcPr>
          <w:p w14:paraId="5BD61652">
            <w:pPr>
              <w:spacing w:line="360" w:lineRule="auto"/>
              <w:ind w:left="210" w:leftChars="100"/>
              <w:rPr>
                <w:rFonts w:hint="eastAsia" w:ascii="宋体" w:hAnsi="宋体" w:cs="宋体"/>
                <w:b/>
                <w:bCs/>
                <w:color w:val="000000"/>
                <w:sz w:val="24"/>
                <w:szCs w:val="24"/>
              </w:rPr>
            </w:pPr>
            <w:r>
              <w:rPr>
                <w:rFonts w:hint="eastAsia" w:ascii="宋体" w:hAnsi="宋体" w:cs="宋体"/>
                <w:b/>
                <w:bCs/>
                <w:color w:val="000000"/>
                <w:spacing w:val="7"/>
                <w:sz w:val="24"/>
                <w:szCs w:val="24"/>
              </w:rPr>
              <w:t>评分标准</w:t>
            </w:r>
          </w:p>
        </w:tc>
      </w:tr>
      <w:tr w14:paraId="5852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restart"/>
            <w:vAlign w:val="center"/>
          </w:tcPr>
          <w:p w14:paraId="46545B0B">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报价得分（10）</w:t>
            </w:r>
          </w:p>
        </w:tc>
        <w:tc>
          <w:tcPr>
            <w:tcW w:w="1852" w:type="dxa"/>
            <w:vMerge w:val="restart"/>
            <w:vAlign w:val="center"/>
          </w:tcPr>
          <w:p w14:paraId="2D358339">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投标报价（10分）</w:t>
            </w:r>
          </w:p>
        </w:tc>
        <w:tc>
          <w:tcPr>
            <w:tcW w:w="5703" w:type="dxa"/>
            <w:vAlign w:val="center"/>
          </w:tcPr>
          <w:p w14:paraId="78F7ED75">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价格分采用低价优先法计算，即满足招标文件实质性要求且价格最低的报价为评标基准价，其价格分为满分，其他供应</w:t>
            </w:r>
            <w:r>
              <w:rPr>
                <w:rFonts w:hint="eastAsia" w:ascii="宋体" w:hAnsi="宋体" w:cs="宋体"/>
                <w:color w:val="000000"/>
                <w:spacing w:val="5"/>
                <w:sz w:val="24"/>
                <w:szCs w:val="24"/>
              </w:rPr>
              <w:t>商的价格分统一按下列公式计算：报价得分=（评标基准价/</w:t>
            </w:r>
            <w:r>
              <w:rPr>
                <w:rFonts w:hint="eastAsia" w:ascii="宋体" w:hAnsi="宋体" w:cs="宋体"/>
                <w:color w:val="000000"/>
                <w:spacing w:val="3"/>
                <w:sz w:val="24"/>
                <w:szCs w:val="24"/>
              </w:rPr>
              <w:t>投标报价）×10（小数点后保留2位小数）</w:t>
            </w:r>
          </w:p>
          <w:p w14:paraId="5A5D93D8">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依据《政府采购货物和服务招标投标管理办法》财政部令第</w:t>
            </w:r>
            <w:r>
              <w:rPr>
                <w:rFonts w:hint="eastAsia" w:ascii="宋体" w:hAnsi="宋体" w:cs="宋体"/>
                <w:color w:val="000000"/>
                <w:spacing w:val="8"/>
                <w:sz w:val="24"/>
                <w:szCs w:val="24"/>
              </w:rPr>
              <w:t>87号，评标委员会认为供应商的报价明显低于其</w:t>
            </w:r>
            <w:r>
              <w:rPr>
                <w:rFonts w:hint="eastAsia" w:ascii="宋体" w:hAnsi="宋体" w:cs="宋体"/>
                <w:color w:val="000000"/>
                <w:spacing w:val="7"/>
                <w:sz w:val="24"/>
                <w:szCs w:val="24"/>
              </w:rPr>
              <w:t>他通过有效</w:t>
            </w:r>
            <w:r>
              <w:rPr>
                <w:rFonts w:hint="eastAsia" w:ascii="宋体" w:hAnsi="宋体" w:cs="宋体"/>
                <w:color w:val="000000"/>
                <w:spacing w:val="9"/>
                <w:sz w:val="24"/>
                <w:szCs w:val="24"/>
              </w:rPr>
              <w:t>供应商报价，有可能影响服务质量或者不能诚信履约的，应当要求其在评标现场合理时间内提供书面说明，必要时提供相关证明材料；供应商不能证明其报价合理性的，评标委员</w:t>
            </w:r>
            <w:r>
              <w:rPr>
                <w:rFonts w:hint="eastAsia" w:ascii="宋体" w:hAnsi="宋体" w:cs="宋体"/>
                <w:color w:val="000000"/>
                <w:spacing w:val="8"/>
                <w:sz w:val="24"/>
                <w:szCs w:val="24"/>
              </w:rPr>
              <w:t>会应当将其作为无效投标处理。</w:t>
            </w:r>
          </w:p>
          <w:p w14:paraId="52FDA680">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价格扣除：为了促进中小企业发展对小型和微型企业的投标</w:t>
            </w:r>
            <w:r>
              <w:rPr>
                <w:rFonts w:hint="eastAsia" w:ascii="宋体" w:hAnsi="宋体" w:cs="宋体"/>
                <w:color w:val="000000"/>
                <w:spacing w:val="8"/>
                <w:sz w:val="24"/>
                <w:szCs w:val="24"/>
              </w:rPr>
              <w:t>总价给予20%的扣除，用扣除后的价格参与评审。参加本项目的中小企业应当提供《中小企业声明函》。根据《政府采</w:t>
            </w:r>
            <w:r>
              <w:rPr>
                <w:rFonts w:hint="eastAsia" w:ascii="宋体" w:hAnsi="宋体" w:cs="宋体"/>
                <w:color w:val="000000"/>
                <w:sz w:val="24"/>
                <w:szCs w:val="24"/>
              </w:rPr>
              <w:t>购促进中小企业发展管理办法》（财库〔2020〕46号）、《关</w:t>
            </w:r>
            <w:r>
              <w:rPr>
                <w:rFonts w:hint="eastAsia" w:ascii="宋体" w:hAnsi="宋体" w:cs="宋体"/>
                <w:color w:val="000000"/>
                <w:spacing w:val="9"/>
                <w:sz w:val="24"/>
                <w:szCs w:val="24"/>
              </w:rPr>
              <w:t>于进一步加大政府采购支持中小企业力度的通知》（财库</w:t>
            </w:r>
            <w:r>
              <w:rPr>
                <w:rFonts w:hint="eastAsia" w:ascii="宋体" w:hAnsi="宋体" w:cs="宋体"/>
                <w:color w:val="000000"/>
                <w:spacing w:val="6"/>
                <w:sz w:val="24"/>
                <w:szCs w:val="24"/>
              </w:rPr>
              <w:t>〔2022〕19号）、《财政部司法部关于政府采购支持监狱企</w:t>
            </w:r>
            <w:r>
              <w:rPr>
                <w:rFonts w:hint="eastAsia" w:ascii="宋体" w:hAnsi="宋体" w:cs="宋体"/>
                <w:color w:val="000000"/>
                <w:spacing w:val="7"/>
                <w:sz w:val="24"/>
                <w:szCs w:val="24"/>
              </w:rPr>
              <w:t>业发展有关问题的通知》（财库〔2014〕68号）和《三部门</w:t>
            </w:r>
            <w:r>
              <w:rPr>
                <w:rFonts w:hint="eastAsia" w:ascii="宋体" w:hAnsi="宋体" w:cs="宋体"/>
                <w:color w:val="000000"/>
                <w:spacing w:val="9"/>
                <w:sz w:val="24"/>
                <w:szCs w:val="24"/>
              </w:rPr>
              <w:t>联合发布关于促进残疾人就业政府采购政策的通知》（财库</w:t>
            </w:r>
            <w:r>
              <w:rPr>
                <w:rFonts w:hint="eastAsia" w:ascii="宋体" w:hAnsi="宋体" w:cs="宋体"/>
                <w:color w:val="000000"/>
                <w:spacing w:val="7"/>
                <w:sz w:val="24"/>
                <w:szCs w:val="24"/>
              </w:rPr>
              <w:t>〔2017〕141号）的规定，对在投标文件中提交了《中小企</w:t>
            </w:r>
            <w:r>
              <w:rPr>
                <w:rFonts w:hint="eastAsia" w:ascii="宋体" w:hAnsi="宋体" w:cs="宋体"/>
                <w:color w:val="000000"/>
                <w:spacing w:val="9"/>
                <w:sz w:val="24"/>
                <w:szCs w:val="24"/>
              </w:rPr>
              <w:t>业声明函》等注明应享受价格折扣优惠政策的小微企业，应</w:t>
            </w:r>
            <w:r>
              <w:rPr>
                <w:rFonts w:hint="eastAsia" w:ascii="宋体" w:hAnsi="宋体" w:cs="宋体"/>
                <w:color w:val="000000"/>
                <w:spacing w:val="6"/>
                <w:sz w:val="24"/>
                <w:szCs w:val="24"/>
              </w:rPr>
              <w:t>予以认定。</w:t>
            </w:r>
          </w:p>
          <w:p w14:paraId="67E95EF4">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12"/>
                <w:sz w:val="24"/>
                <w:szCs w:val="24"/>
              </w:rPr>
              <w:t>所投小微企业报价＝所投小微企业报价合计*（1－2</w:t>
            </w:r>
            <w:r>
              <w:rPr>
                <w:rFonts w:hint="eastAsia" w:ascii="宋体" w:hAnsi="宋体" w:cs="宋体"/>
                <w:color w:val="000000"/>
                <w:spacing w:val="11"/>
                <w:sz w:val="24"/>
                <w:szCs w:val="24"/>
              </w:rPr>
              <w:t>0%)</w:t>
            </w:r>
          </w:p>
          <w:p w14:paraId="7EECAA6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12"/>
                <w:sz w:val="24"/>
                <w:szCs w:val="24"/>
              </w:rPr>
              <w:t>所投残疾人企业报价＝所投监狱企业报价合计*（</w:t>
            </w:r>
            <w:r>
              <w:rPr>
                <w:rFonts w:hint="eastAsia" w:ascii="宋体" w:hAnsi="宋体" w:cs="宋体"/>
                <w:color w:val="000000"/>
                <w:spacing w:val="11"/>
                <w:sz w:val="24"/>
                <w:szCs w:val="24"/>
              </w:rPr>
              <w:t>1－20%)</w:t>
            </w:r>
            <w:r>
              <w:rPr>
                <w:rFonts w:hint="eastAsia" w:ascii="宋体" w:hAnsi="宋体" w:cs="宋体"/>
                <w:color w:val="000000"/>
                <w:spacing w:val="12"/>
                <w:sz w:val="24"/>
                <w:szCs w:val="24"/>
              </w:rPr>
              <w:t>所投监狱企业报价＝所投监狱企业报价合计*（1－2</w:t>
            </w:r>
            <w:r>
              <w:rPr>
                <w:rFonts w:hint="eastAsia" w:ascii="宋体" w:hAnsi="宋体" w:cs="宋体"/>
                <w:color w:val="000000"/>
                <w:spacing w:val="11"/>
                <w:sz w:val="24"/>
                <w:szCs w:val="24"/>
              </w:rPr>
              <w:t>0%)</w:t>
            </w:r>
            <w:r>
              <w:rPr>
                <w:rFonts w:hint="eastAsia" w:ascii="宋体" w:hAnsi="宋体" w:cs="宋体"/>
                <w:color w:val="000000"/>
                <w:spacing w:val="9"/>
                <w:sz w:val="24"/>
                <w:szCs w:val="24"/>
              </w:rPr>
              <w:t>同一供应商，小微企业、残疾人企业、监狱</w:t>
            </w:r>
            <w:r>
              <w:rPr>
                <w:rFonts w:hint="eastAsia" w:ascii="宋体" w:hAnsi="宋体" w:cs="宋体"/>
                <w:color w:val="000000"/>
                <w:spacing w:val="8"/>
                <w:sz w:val="24"/>
                <w:szCs w:val="24"/>
              </w:rPr>
              <w:t>企业价格扣除优</w:t>
            </w:r>
            <w:r>
              <w:rPr>
                <w:rFonts w:hint="eastAsia" w:ascii="宋体" w:hAnsi="宋体" w:cs="宋体"/>
                <w:color w:val="000000"/>
                <w:spacing w:val="7"/>
                <w:sz w:val="24"/>
                <w:szCs w:val="24"/>
              </w:rPr>
              <w:t>惠只享受一次，不得重复享受。</w:t>
            </w:r>
          </w:p>
        </w:tc>
      </w:tr>
      <w:tr w14:paraId="0FA61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restart"/>
            <w:vAlign w:val="center"/>
          </w:tcPr>
          <w:p w14:paraId="622CEA9E">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技术部分（44分）</w:t>
            </w:r>
          </w:p>
        </w:tc>
        <w:tc>
          <w:tcPr>
            <w:tcW w:w="1852" w:type="dxa"/>
            <w:vMerge w:val="restart"/>
            <w:vAlign w:val="center"/>
          </w:tcPr>
          <w:p w14:paraId="70318C28">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监理实施方案（34分）</w:t>
            </w:r>
          </w:p>
        </w:tc>
        <w:tc>
          <w:tcPr>
            <w:tcW w:w="5703" w:type="dxa"/>
            <w:vAlign w:val="center"/>
          </w:tcPr>
          <w:p w14:paraId="37DAD5CA">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项目管理措施：项目组织机构设置（包含岗位设置及岗位职责等）、人员安排、仪器设备配备、项目实施步骤，本项6分</w:t>
            </w:r>
          </w:p>
          <w:p w14:paraId="61487894">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（1）项目管理措施详尽，描述完整、科学、针对性强，得6分；</w:t>
            </w:r>
          </w:p>
          <w:p w14:paraId="3446A99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（2）项目管理措施较详尽，描述较完整、较科学、针对性较强，得4分；</w:t>
            </w:r>
          </w:p>
          <w:p w14:paraId="15E41DC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（3）项目管理措施不详尽，描述不完整、不科学、针对性不强的，得2分；</w:t>
            </w:r>
          </w:p>
          <w:p w14:paraId="6B575007">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（4）管理措施缺失的，得0分。</w:t>
            </w:r>
          </w:p>
        </w:tc>
      </w:tr>
      <w:tr w14:paraId="2E198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72A3DD64">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13712DEE">
            <w:pPr>
              <w:spacing w:line="360" w:lineRule="auto"/>
              <w:ind w:left="210" w:leftChars="100"/>
              <w:jc w:val="center"/>
              <w:rPr>
                <w:rFonts w:hint="eastAsia" w:ascii="宋体" w:hAnsi="宋体" w:cs="宋体"/>
                <w:b/>
                <w:bCs/>
                <w:color w:val="000000"/>
                <w:sz w:val="24"/>
                <w:szCs w:val="24"/>
              </w:rPr>
            </w:pPr>
          </w:p>
        </w:tc>
        <w:tc>
          <w:tcPr>
            <w:tcW w:w="5703" w:type="dxa"/>
            <w:vAlign w:val="center"/>
          </w:tcPr>
          <w:p w14:paraId="77FBCCD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质量控制措施：各生产流程的质量控制措施，质量管理、质量事故处理制度等，本项7分</w:t>
            </w:r>
          </w:p>
          <w:p w14:paraId="11ED411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（1）内容详细，措施得当，符合实际的，得7分；</w:t>
            </w:r>
          </w:p>
          <w:p w14:paraId="55E7278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（2）内容较为详细，措施较为得当，较为符合实际的，得4分；</w:t>
            </w:r>
          </w:p>
          <w:p w14:paraId="1FE4893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（3）内容不详细，措施不得当，不符合实际的，得2分；</w:t>
            </w:r>
          </w:p>
          <w:p w14:paraId="1D71B42A">
            <w:pPr>
              <w:widowControl/>
              <w:kinsoku w:val="0"/>
              <w:autoSpaceDE w:val="0"/>
              <w:autoSpaceDN w:val="0"/>
              <w:adjustRightInd w:val="0"/>
              <w:snapToGrid w:val="0"/>
              <w:spacing w:line="360" w:lineRule="auto"/>
              <w:textAlignment w:val="baseline"/>
              <w:rPr>
                <w:rFonts w:hint="eastAsia" w:ascii="宋体" w:hAnsi="宋体" w:cs="宋体"/>
                <w:color w:val="000000"/>
                <w:sz w:val="24"/>
                <w:szCs w:val="24"/>
              </w:rPr>
            </w:pPr>
            <w:r>
              <w:rPr>
                <w:rFonts w:hint="eastAsia" w:ascii="宋体" w:hAnsi="宋体" w:cs="宋体"/>
                <w:color w:val="000000"/>
                <w:spacing w:val="9"/>
                <w:sz w:val="24"/>
                <w:szCs w:val="24"/>
              </w:rPr>
              <w:t>（4）质量控制措施缺失的，得0分。</w:t>
            </w:r>
          </w:p>
        </w:tc>
      </w:tr>
      <w:tr w14:paraId="06133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23A7C186">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75B80273">
            <w:pPr>
              <w:spacing w:line="360" w:lineRule="auto"/>
              <w:ind w:left="210" w:leftChars="100"/>
              <w:jc w:val="center"/>
              <w:rPr>
                <w:rFonts w:hint="eastAsia" w:ascii="宋体" w:hAnsi="宋体" w:cs="宋体"/>
                <w:b/>
                <w:bCs/>
                <w:color w:val="000000"/>
                <w:sz w:val="24"/>
                <w:szCs w:val="24"/>
              </w:rPr>
            </w:pPr>
          </w:p>
        </w:tc>
        <w:tc>
          <w:tcPr>
            <w:tcW w:w="5703" w:type="dxa"/>
            <w:vAlign w:val="center"/>
          </w:tcPr>
          <w:p w14:paraId="2F42EEA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进度控制措施：进度控制目标、进度控制措施、进度控制工具、责任分工及风险应对等，本项6分</w:t>
            </w:r>
          </w:p>
          <w:p w14:paraId="35C9BC9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（1）进度控制措施详细、完善、针对性强的，得6分；</w:t>
            </w:r>
          </w:p>
          <w:p w14:paraId="1755548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（2）进度控制措施较详细、较完善、针对性较强的，得4分；</w:t>
            </w:r>
          </w:p>
          <w:p w14:paraId="3F98D786">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（3）进度控制措施不详细、不完善、针对性不强的，得2分；</w:t>
            </w:r>
          </w:p>
          <w:p w14:paraId="6590FBA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（4）进度控制措施缺失的，得0分。</w:t>
            </w:r>
          </w:p>
        </w:tc>
      </w:tr>
      <w:tr w14:paraId="233A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2B14B187">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53EB5DAF">
            <w:pPr>
              <w:spacing w:line="360" w:lineRule="auto"/>
              <w:ind w:left="210" w:leftChars="100"/>
              <w:jc w:val="center"/>
              <w:rPr>
                <w:rFonts w:hint="eastAsia" w:ascii="宋体" w:hAnsi="宋体" w:cs="宋体"/>
                <w:b/>
                <w:bCs/>
                <w:color w:val="000000"/>
                <w:sz w:val="24"/>
                <w:szCs w:val="24"/>
              </w:rPr>
            </w:pPr>
          </w:p>
        </w:tc>
        <w:tc>
          <w:tcPr>
            <w:tcW w:w="5703" w:type="dxa"/>
            <w:vAlign w:val="center"/>
          </w:tcPr>
          <w:p w14:paraId="0775F405">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变更控制措施：变更控制流程、控制原则、控制措施、责任分工、风险应对等，本项5分</w:t>
            </w:r>
          </w:p>
          <w:p w14:paraId="531F1771">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（1）控制措施内容全面、具体、合理、针对性强的，得5分；</w:t>
            </w:r>
          </w:p>
          <w:p w14:paraId="6AD329A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（2）控制措施内容全面、具体、合理、针对性较强的，得3分；</w:t>
            </w:r>
          </w:p>
          <w:p w14:paraId="41F2098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（3）控制措施内容全面、具体、合理、针对性不强的，得1分；</w:t>
            </w:r>
          </w:p>
          <w:p w14:paraId="7D64E88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（4）变更控制措施缺失的，得0分。</w:t>
            </w:r>
          </w:p>
        </w:tc>
      </w:tr>
      <w:tr w14:paraId="5E92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054C894C">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643BCED2">
            <w:pPr>
              <w:spacing w:line="360" w:lineRule="auto"/>
              <w:ind w:left="210" w:leftChars="100"/>
              <w:jc w:val="center"/>
              <w:rPr>
                <w:rFonts w:hint="eastAsia" w:ascii="宋体" w:hAnsi="宋体" w:cs="宋体"/>
                <w:b/>
                <w:bCs/>
                <w:color w:val="000000"/>
                <w:sz w:val="24"/>
                <w:szCs w:val="24"/>
              </w:rPr>
            </w:pPr>
          </w:p>
        </w:tc>
        <w:tc>
          <w:tcPr>
            <w:tcW w:w="5703" w:type="dxa"/>
            <w:vAlign w:val="center"/>
          </w:tcPr>
          <w:p w14:paraId="657A408E">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档案管理措施：档案管理目标、档案分类、档案管理流程、档案管理工具、责任分工、风险控制、考核机制等，本项得5分</w:t>
            </w:r>
          </w:p>
          <w:p w14:paraId="1E0B6181">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（1）项目全过程记录完整、准确、可追溯的，得5分；</w:t>
            </w:r>
          </w:p>
          <w:p w14:paraId="35A84424">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（2）项目全过程记录较为完整、较为准确，具备一定的可追溯性的，得3分；</w:t>
            </w:r>
          </w:p>
          <w:p w14:paraId="134AEE5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（3）项目全过程记录不完整、不准确，不可追溯的，得1分；</w:t>
            </w:r>
          </w:p>
          <w:p w14:paraId="3CA69AEF">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（4）档案管理措施缺失的，得0分。</w:t>
            </w:r>
          </w:p>
        </w:tc>
      </w:tr>
      <w:tr w14:paraId="4C41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36ED75D2">
            <w:pPr>
              <w:spacing w:line="360" w:lineRule="auto"/>
              <w:ind w:left="210" w:leftChars="100"/>
              <w:jc w:val="center"/>
              <w:rPr>
                <w:rFonts w:hint="eastAsia" w:ascii="宋体" w:hAnsi="宋体" w:cs="宋体"/>
                <w:b/>
                <w:bCs/>
                <w:color w:val="000000"/>
                <w:sz w:val="24"/>
                <w:szCs w:val="24"/>
              </w:rPr>
            </w:pPr>
          </w:p>
        </w:tc>
        <w:tc>
          <w:tcPr>
            <w:tcW w:w="1852" w:type="dxa"/>
            <w:vMerge w:val="continue"/>
            <w:vAlign w:val="center"/>
          </w:tcPr>
          <w:p w14:paraId="4ECDDC0B">
            <w:pPr>
              <w:spacing w:line="360" w:lineRule="auto"/>
              <w:ind w:left="210" w:leftChars="100"/>
              <w:jc w:val="center"/>
              <w:rPr>
                <w:rFonts w:hint="eastAsia" w:ascii="宋体" w:hAnsi="宋体" w:cs="宋体"/>
                <w:b/>
                <w:bCs/>
                <w:color w:val="000000"/>
                <w:sz w:val="24"/>
                <w:szCs w:val="24"/>
              </w:rPr>
            </w:pPr>
          </w:p>
        </w:tc>
        <w:tc>
          <w:tcPr>
            <w:tcW w:w="5703" w:type="dxa"/>
            <w:vAlign w:val="center"/>
          </w:tcPr>
          <w:p w14:paraId="4A7F7B45">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组织协调措施：组织协调目标和原则、组织架构和沟通机制、信息管理和问题解决机制、资源协调和风险管理、责任分工和考核机制等，本项5分</w:t>
            </w:r>
          </w:p>
          <w:p w14:paraId="17A8E7C7">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（1）组织协调措施合理、科学、可行的，完全能够满足项目推进需求的，得5分；</w:t>
            </w:r>
          </w:p>
          <w:p w14:paraId="45D06B6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（2）组织协调措施较合理、较科学、较可行的，基本满足项目推进需求的，得3分；</w:t>
            </w:r>
          </w:p>
          <w:p w14:paraId="67B4108C">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（3）组织协调措施不合理、不科学、不可行的，不满足项目推进需求的，得1分；</w:t>
            </w:r>
          </w:p>
          <w:p w14:paraId="01EBC06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（4）组织协调措施缺失的，得0分。</w:t>
            </w:r>
          </w:p>
        </w:tc>
      </w:tr>
      <w:tr w14:paraId="4705D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12C30FF8">
            <w:pPr>
              <w:spacing w:line="360" w:lineRule="auto"/>
              <w:ind w:left="210" w:leftChars="100"/>
              <w:jc w:val="center"/>
              <w:rPr>
                <w:rFonts w:hint="eastAsia" w:ascii="宋体" w:hAnsi="宋体" w:cs="宋体"/>
                <w:b/>
                <w:bCs/>
                <w:color w:val="000000"/>
                <w:sz w:val="24"/>
                <w:szCs w:val="24"/>
              </w:rPr>
            </w:pPr>
          </w:p>
        </w:tc>
        <w:tc>
          <w:tcPr>
            <w:tcW w:w="1852" w:type="dxa"/>
            <w:vAlign w:val="center"/>
          </w:tcPr>
          <w:p w14:paraId="60484D1F">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项目重点、难点分析以及对策措施（5分）</w:t>
            </w:r>
          </w:p>
        </w:tc>
        <w:tc>
          <w:tcPr>
            <w:tcW w:w="5703" w:type="dxa"/>
            <w:vAlign w:val="center"/>
          </w:tcPr>
          <w:p w14:paraId="50C388A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对本项目的工作重点、难点进行分析，并提出针对本项目工作重点、难点的建议及对策措施。</w:t>
            </w:r>
          </w:p>
          <w:p w14:paraId="785E928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（1）对项目的工作重点、难点分析科学合理，提出的建议及对策措施操作性强，得5分；</w:t>
            </w:r>
          </w:p>
          <w:p w14:paraId="5F28751F">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（2）对项目的工作重点、难点分析较为合理，提出的建议及对策措施操作性较强，得3分；</w:t>
            </w:r>
          </w:p>
          <w:p w14:paraId="2E22211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（3）对项目的工作重点、难点分析不合理，提出的建议及对策措施操作性不强，得1分。</w:t>
            </w:r>
          </w:p>
          <w:p w14:paraId="6E5B7E36">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（4）项目的工作重点、难点分析缺失的，得0分。</w:t>
            </w:r>
          </w:p>
        </w:tc>
      </w:tr>
      <w:tr w14:paraId="789DF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45836566">
            <w:pPr>
              <w:spacing w:line="360" w:lineRule="auto"/>
              <w:ind w:left="210" w:leftChars="100"/>
              <w:jc w:val="center"/>
              <w:rPr>
                <w:rFonts w:hint="eastAsia" w:ascii="宋体" w:hAnsi="宋体" w:cs="宋体"/>
                <w:b/>
                <w:bCs/>
                <w:color w:val="000000"/>
                <w:sz w:val="24"/>
                <w:szCs w:val="24"/>
              </w:rPr>
            </w:pPr>
          </w:p>
        </w:tc>
        <w:tc>
          <w:tcPr>
            <w:tcW w:w="1852" w:type="dxa"/>
            <w:vAlign w:val="center"/>
          </w:tcPr>
          <w:p w14:paraId="5CD5E427">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项目完成（服务期满）后的服务承诺（5分）</w:t>
            </w:r>
          </w:p>
        </w:tc>
        <w:tc>
          <w:tcPr>
            <w:tcW w:w="5703" w:type="dxa"/>
            <w:vAlign w:val="center"/>
          </w:tcPr>
          <w:p w14:paraId="149E8DC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项目完成后的服务承诺包含：承诺与采购人保持密切沟通、随时跟进项目后续的服务需求、为项目验收后相关工作提供必要的解释咨询等服务工作、项目完成后做好保密事项。</w:t>
            </w:r>
          </w:p>
          <w:p w14:paraId="21B2BEF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lang w:eastAsia="zh-CN"/>
              </w:rPr>
              <w:t>供应商</w:t>
            </w:r>
            <w:r>
              <w:rPr>
                <w:rFonts w:hint="eastAsia" w:ascii="宋体" w:hAnsi="宋体" w:cs="宋体"/>
                <w:color w:val="000000"/>
                <w:spacing w:val="9"/>
                <w:sz w:val="24"/>
                <w:szCs w:val="24"/>
              </w:rPr>
              <w:t>有以上承诺的，得5分；缺失的，不得分。</w:t>
            </w:r>
          </w:p>
          <w:p w14:paraId="6154431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【证明材料：要求提供承诺（格式自定）作为得分依据，未提供承诺或承诺内容不满足要求不得分】</w:t>
            </w:r>
          </w:p>
        </w:tc>
      </w:tr>
      <w:tr w14:paraId="6BF6D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restart"/>
            <w:vAlign w:val="center"/>
          </w:tcPr>
          <w:p w14:paraId="604202B4">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综合部分（46分）</w:t>
            </w:r>
          </w:p>
        </w:tc>
        <w:tc>
          <w:tcPr>
            <w:tcW w:w="1852" w:type="dxa"/>
            <w:vAlign w:val="center"/>
          </w:tcPr>
          <w:p w14:paraId="5F6EAB33">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监理团队（20分）</w:t>
            </w:r>
          </w:p>
        </w:tc>
        <w:tc>
          <w:tcPr>
            <w:tcW w:w="5703" w:type="dxa"/>
            <w:vAlign w:val="center"/>
          </w:tcPr>
          <w:p w14:paraId="33AAAE6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（1）拟派总监理工程师：</w:t>
            </w:r>
          </w:p>
          <w:p w14:paraId="35F07377">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同时具有注册测绘师资格证书、测绘类</w:t>
            </w:r>
            <w:r>
              <w:rPr>
                <w:rFonts w:hint="eastAsia" w:ascii="宋体" w:hAnsi="宋体" w:cs="宋体"/>
                <w:color w:val="000000"/>
                <w:spacing w:val="8"/>
                <w:sz w:val="24"/>
                <w:szCs w:val="24"/>
              </w:rPr>
              <w:t>或土地资源管理类</w:t>
            </w:r>
            <w:r>
              <w:rPr>
                <w:rFonts w:hint="eastAsia" w:ascii="宋体" w:hAnsi="宋体" w:cs="宋体"/>
                <w:color w:val="000000"/>
                <w:spacing w:val="9"/>
                <w:sz w:val="24"/>
                <w:szCs w:val="24"/>
              </w:rPr>
              <w:t>等相关专业专业高级工程师职称证书、地理信息安全保密培训证书的，得3分；否则不得分；</w:t>
            </w:r>
          </w:p>
          <w:p w14:paraId="648A66D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（2）拟派质量负责人：</w:t>
            </w:r>
          </w:p>
          <w:p w14:paraId="2C98DC77">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同时具有注册测绘师资格证书、测绘类</w:t>
            </w:r>
            <w:r>
              <w:rPr>
                <w:rFonts w:hint="eastAsia" w:ascii="宋体" w:hAnsi="宋体" w:cs="宋体"/>
                <w:color w:val="000000"/>
                <w:spacing w:val="8"/>
                <w:sz w:val="24"/>
                <w:szCs w:val="24"/>
              </w:rPr>
              <w:t>或土地资源管理类等相关</w:t>
            </w:r>
            <w:r>
              <w:rPr>
                <w:rFonts w:hint="eastAsia" w:ascii="宋体" w:hAnsi="宋体" w:cs="宋体"/>
                <w:color w:val="000000"/>
                <w:spacing w:val="9"/>
                <w:sz w:val="24"/>
                <w:szCs w:val="24"/>
              </w:rPr>
              <w:t>专业高级工程师及以上职称证书的，得3分；否则不得分；</w:t>
            </w:r>
          </w:p>
          <w:p w14:paraId="7F4E933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（3）拟派驻场监理人员：</w:t>
            </w:r>
          </w:p>
          <w:p w14:paraId="047200C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1)拟派驻场监理人员大于（含）10人的，得4分；团队小于10人或证明材料不齐全的，不得分；</w:t>
            </w:r>
          </w:p>
          <w:p w14:paraId="2495299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2)团队成员中具有注册测绘师资格证书的，每有1人得1分，最高得4分；</w:t>
            </w:r>
          </w:p>
          <w:p w14:paraId="09684D8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3)团队成员中具有测绘类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9"/>
                <w:sz w:val="24"/>
                <w:szCs w:val="24"/>
              </w:rPr>
              <w:t>高级工程师及以上职称证书的，每有1人得1分，最高得4分；</w:t>
            </w:r>
          </w:p>
          <w:p w14:paraId="01733A8B">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4)团队成员中具有测绘类</w:t>
            </w:r>
            <w:r>
              <w:rPr>
                <w:rFonts w:hint="eastAsia" w:ascii="宋体" w:hAnsi="宋体" w:cs="宋体"/>
                <w:color w:val="000000"/>
                <w:spacing w:val="8"/>
                <w:sz w:val="24"/>
                <w:szCs w:val="24"/>
              </w:rPr>
              <w:t>或土地资源管理类等相关专业</w:t>
            </w:r>
            <w:r>
              <w:rPr>
                <w:rFonts w:hint="eastAsia" w:ascii="宋体" w:hAnsi="宋体" w:cs="宋体"/>
                <w:color w:val="000000"/>
                <w:spacing w:val="9"/>
                <w:sz w:val="24"/>
                <w:szCs w:val="24"/>
              </w:rPr>
              <w:t>工程师及以上职称证书的，每有1人得1分，最高得2分。</w:t>
            </w:r>
          </w:p>
          <w:p w14:paraId="3C999BB2">
            <w:pPr>
              <w:spacing w:line="360" w:lineRule="auto"/>
              <w:ind w:right="89"/>
              <w:rPr>
                <w:rFonts w:hint="eastAsia" w:ascii="宋体" w:hAnsi="宋体" w:cs="宋体"/>
                <w:color w:val="000000"/>
                <w:sz w:val="24"/>
                <w:szCs w:val="24"/>
              </w:rPr>
            </w:pPr>
            <w:r>
              <w:rPr>
                <w:rFonts w:hint="eastAsia" w:ascii="宋体" w:hAnsi="宋体" w:cs="宋体"/>
                <w:b/>
                <w:bCs/>
                <w:color w:val="000000"/>
                <w:spacing w:val="9"/>
                <w:sz w:val="24"/>
                <w:szCs w:val="24"/>
              </w:rPr>
              <w:t>【证明材料：须提供团队人员花名册、个人身份证信息、开标前三个月任意一个月的社保</w:t>
            </w:r>
            <w:r>
              <w:rPr>
                <w:rFonts w:hint="eastAsia" w:ascii="宋体" w:hAnsi="宋体" w:cs="宋体"/>
                <w:b/>
                <w:bCs/>
                <w:color w:val="000000"/>
                <w:spacing w:val="7"/>
                <w:sz w:val="24"/>
                <w:szCs w:val="24"/>
              </w:rPr>
              <w:t>证明材料及相关资格、职称证书</w:t>
            </w:r>
            <w:r>
              <w:rPr>
                <w:rFonts w:hint="eastAsia" w:ascii="宋体" w:hAnsi="宋体" w:cs="宋体"/>
                <w:b/>
                <w:bCs/>
                <w:color w:val="000000"/>
                <w:spacing w:val="9"/>
                <w:sz w:val="24"/>
                <w:szCs w:val="24"/>
              </w:rPr>
              <w:t>等，证明材料复印件并</w:t>
            </w:r>
            <w:r>
              <w:rPr>
                <w:rFonts w:hint="eastAsia" w:ascii="宋体" w:hAnsi="宋体" w:cs="宋体"/>
                <w:b/>
                <w:bCs/>
                <w:color w:val="000000"/>
                <w:spacing w:val="3"/>
                <w:sz w:val="24"/>
                <w:szCs w:val="24"/>
              </w:rPr>
              <w:t>加盖供应商公章，未提供的不得分。以上人员不得重复计分，</w:t>
            </w:r>
            <w:r>
              <w:rPr>
                <w:rFonts w:hint="eastAsia" w:ascii="宋体" w:hAnsi="宋体" w:cs="宋体"/>
                <w:b/>
                <w:bCs/>
                <w:color w:val="000000"/>
                <w:spacing w:val="7"/>
                <w:sz w:val="24"/>
                <w:szCs w:val="24"/>
              </w:rPr>
              <w:t>如重复仅按照出现先后顺序计一次分】</w:t>
            </w:r>
          </w:p>
        </w:tc>
      </w:tr>
      <w:tr w14:paraId="44DB1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7735D553">
            <w:pPr>
              <w:spacing w:line="360" w:lineRule="auto"/>
              <w:ind w:left="210" w:leftChars="100"/>
              <w:jc w:val="center"/>
              <w:rPr>
                <w:rFonts w:hint="eastAsia" w:ascii="宋体" w:hAnsi="宋体" w:cs="宋体"/>
                <w:b/>
                <w:bCs/>
                <w:color w:val="000000"/>
                <w:sz w:val="24"/>
                <w:szCs w:val="24"/>
              </w:rPr>
            </w:pPr>
          </w:p>
        </w:tc>
        <w:tc>
          <w:tcPr>
            <w:tcW w:w="1852" w:type="dxa"/>
            <w:vAlign w:val="center"/>
          </w:tcPr>
          <w:p w14:paraId="6745C66A">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供应商业绩（9分）</w:t>
            </w:r>
          </w:p>
        </w:tc>
        <w:tc>
          <w:tcPr>
            <w:tcW w:w="5703" w:type="dxa"/>
            <w:vAlign w:val="center"/>
          </w:tcPr>
          <w:p w14:paraId="7AD9B4AF">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2022年1月1日以来，供应商承担过测绘项目相关监理任务的，每有一个得3分，最高9分。</w:t>
            </w:r>
          </w:p>
          <w:p w14:paraId="0CF5982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1.如提供合同，供应商须提供正式合同及中标通知书或中标结果公告查询截图；2.如不提供合同，须提供上级部门的任务下达文件作为有效证明文件；3.监理项目合同名称须包含“监理”字样，且监理内容为测绘项目；4.时间以合同签订时间或任务书下达时间为准。证明材料复印件并加盖供应商公章，未提供的不得分。不符合上述要求或未按要求提供有效证明文件的业绩在评审时将不予承认。</w:t>
            </w:r>
            <w:r>
              <w:rPr>
                <w:rFonts w:hint="eastAsia" w:ascii="宋体" w:hAnsi="宋体" w:cs="宋体"/>
                <w:color w:val="000000"/>
                <w:spacing w:val="9"/>
                <w:sz w:val="24"/>
                <w:szCs w:val="24"/>
              </w:rPr>
              <w:t>】</w:t>
            </w:r>
          </w:p>
        </w:tc>
      </w:tr>
      <w:tr w14:paraId="7D4FD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24015352">
            <w:pPr>
              <w:spacing w:line="360" w:lineRule="auto"/>
              <w:ind w:left="210" w:leftChars="100"/>
              <w:jc w:val="center"/>
              <w:rPr>
                <w:rFonts w:hint="eastAsia" w:ascii="宋体" w:hAnsi="宋体" w:cs="宋体"/>
                <w:b/>
                <w:bCs/>
                <w:color w:val="000000"/>
                <w:sz w:val="24"/>
                <w:szCs w:val="24"/>
              </w:rPr>
            </w:pPr>
          </w:p>
        </w:tc>
        <w:tc>
          <w:tcPr>
            <w:tcW w:w="1852" w:type="dxa"/>
            <w:vAlign w:val="center"/>
          </w:tcPr>
          <w:p w14:paraId="61E64947">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项目评价（6分）</w:t>
            </w:r>
          </w:p>
        </w:tc>
        <w:tc>
          <w:tcPr>
            <w:tcW w:w="5703" w:type="dxa"/>
            <w:vAlign w:val="center"/>
          </w:tcPr>
          <w:p w14:paraId="5A96167D">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提供2022年1月1日以来已完成测绘项目相关监理的业主方项目评价。每提供1份，得2分，最多得6分。</w:t>
            </w:r>
          </w:p>
          <w:p w14:paraId="4AE99040">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【证明材料：项目评价包括反馈表、评价书、验收单、回访单等均可。同一业主不重复计算。评价意见为良好、合格、满意、优秀等均可；评价意见为不合格、不满意、差等不作为加分。】</w:t>
            </w:r>
          </w:p>
        </w:tc>
      </w:tr>
      <w:tr w14:paraId="10F1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7AAEDE7E">
            <w:pPr>
              <w:spacing w:line="360" w:lineRule="auto"/>
              <w:ind w:left="210" w:leftChars="100"/>
              <w:jc w:val="center"/>
              <w:rPr>
                <w:rFonts w:hint="eastAsia" w:ascii="宋体" w:hAnsi="宋体" w:cs="宋体"/>
                <w:b/>
                <w:bCs/>
                <w:color w:val="000000"/>
                <w:sz w:val="24"/>
                <w:szCs w:val="24"/>
              </w:rPr>
            </w:pPr>
          </w:p>
        </w:tc>
        <w:tc>
          <w:tcPr>
            <w:tcW w:w="1852" w:type="dxa"/>
            <w:vAlign w:val="center"/>
          </w:tcPr>
          <w:p w14:paraId="219A93D1">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拟为本项目配备的设备（4分）</w:t>
            </w:r>
          </w:p>
        </w:tc>
        <w:tc>
          <w:tcPr>
            <w:tcW w:w="5703" w:type="dxa"/>
            <w:vAlign w:val="center"/>
          </w:tcPr>
          <w:p w14:paraId="42257F2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为本项目配备必要的设施设备，至少包含：办公、交通、GNSS接收机相关设备。</w:t>
            </w:r>
          </w:p>
          <w:p w14:paraId="338B1CC2">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设备配备齐全、能满足项目需求的，得4分；设备配备不齐全的，得2分；</w:t>
            </w:r>
          </w:p>
          <w:p w14:paraId="7ADB1D68">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未提供的，得0分。</w:t>
            </w:r>
          </w:p>
          <w:p w14:paraId="4304244E">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【证明材料：提供设备采购发票复印件、GNSS接收机须提供省级测绘产品质量检验机构出具的检定证书复印件并加盖供应商公章。未提供的不得分】</w:t>
            </w:r>
          </w:p>
        </w:tc>
      </w:tr>
      <w:tr w14:paraId="4058F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983" w:type="dxa"/>
            <w:vMerge w:val="continue"/>
            <w:vAlign w:val="center"/>
          </w:tcPr>
          <w:p w14:paraId="1E820AB7">
            <w:pPr>
              <w:spacing w:line="360" w:lineRule="auto"/>
              <w:ind w:left="210" w:leftChars="100"/>
              <w:jc w:val="center"/>
              <w:rPr>
                <w:rFonts w:hint="eastAsia" w:ascii="宋体" w:hAnsi="宋体" w:cs="宋体"/>
                <w:b/>
                <w:bCs/>
                <w:color w:val="000000"/>
                <w:sz w:val="24"/>
                <w:szCs w:val="24"/>
              </w:rPr>
            </w:pPr>
          </w:p>
        </w:tc>
        <w:tc>
          <w:tcPr>
            <w:tcW w:w="1852" w:type="dxa"/>
            <w:vAlign w:val="center"/>
          </w:tcPr>
          <w:p w14:paraId="7DE1C8B2">
            <w:pPr>
              <w:spacing w:line="360" w:lineRule="auto"/>
              <w:jc w:val="center"/>
              <w:rPr>
                <w:rFonts w:hint="eastAsia" w:ascii="宋体" w:hAnsi="宋体" w:cs="宋体"/>
                <w:b/>
                <w:bCs/>
                <w:color w:val="000000"/>
                <w:sz w:val="24"/>
                <w:szCs w:val="24"/>
              </w:rPr>
            </w:pPr>
            <w:r>
              <w:rPr>
                <w:rFonts w:hint="eastAsia" w:ascii="宋体" w:hAnsi="宋体" w:cs="宋体"/>
                <w:b/>
                <w:bCs/>
                <w:color w:val="000000"/>
                <w:sz w:val="24"/>
                <w:szCs w:val="24"/>
              </w:rPr>
              <w:t>综合实力（7分）</w:t>
            </w:r>
          </w:p>
        </w:tc>
        <w:tc>
          <w:tcPr>
            <w:tcW w:w="5703" w:type="dxa"/>
            <w:vAlign w:val="center"/>
          </w:tcPr>
          <w:p w14:paraId="59DD5A09">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1）2022年1月1日以来，供应商获得测绘地理信息类优质（优秀）测绘工程奖、测绘地理信息类科技进步奖（科学技术奖）获奖证书的，每提供1个省部级及以上的，得1分；每提供1个地厅级的，得0.5分。本项最高得4分。</w:t>
            </w:r>
          </w:p>
          <w:p w14:paraId="1BD3F166">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color w:val="000000"/>
                <w:spacing w:val="9"/>
                <w:sz w:val="24"/>
                <w:szCs w:val="24"/>
              </w:rPr>
              <w:t>（2）</w:t>
            </w:r>
            <w:r>
              <w:rPr>
                <w:rFonts w:hint="eastAsia" w:ascii="宋体" w:hAnsi="宋体" w:cs="宋体"/>
                <w:color w:val="000000"/>
                <w:spacing w:val="11"/>
                <w:sz w:val="24"/>
                <w:szCs w:val="24"/>
              </w:rPr>
              <w:t>供应商同时具有质量管理体系、环境管理体系、职业健康安全管理体系认证证书的，得3分，否则不得分.</w:t>
            </w:r>
          </w:p>
          <w:p w14:paraId="2CE09FA3">
            <w:pPr>
              <w:widowControl/>
              <w:kinsoku w:val="0"/>
              <w:autoSpaceDE w:val="0"/>
              <w:autoSpaceDN w:val="0"/>
              <w:adjustRightInd w:val="0"/>
              <w:snapToGrid w:val="0"/>
              <w:spacing w:line="360" w:lineRule="auto"/>
              <w:textAlignment w:val="baseline"/>
              <w:rPr>
                <w:rFonts w:hint="eastAsia" w:ascii="宋体" w:hAnsi="宋体" w:cs="宋体"/>
                <w:color w:val="000000"/>
                <w:spacing w:val="9"/>
                <w:sz w:val="24"/>
                <w:szCs w:val="24"/>
              </w:rPr>
            </w:pPr>
            <w:r>
              <w:rPr>
                <w:rFonts w:hint="eastAsia" w:ascii="宋体" w:hAnsi="宋体" w:cs="宋体"/>
                <w:b/>
                <w:bCs/>
                <w:color w:val="000000"/>
                <w:spacing w:val="9"/>
                <w:sz w:val="24"/>
                <w:szCs w:val="24"/>
              </w:rPr>
              <w:t>【证明材料：奖项类证书以发证时间为准。须提供相关证明文件并加盖公章，不提供或无法提供有效证明材料不得分】</w:t>
            </w:r>
          </w:p>
        </w:tc>
      </w:tr>
    </w:tbl>
    <w:p w14:paraId="2F45F667">
      <w:pPr>
        <w:rPr>
          <w:rFonts w:hint="eastAsia" w:ascii="宋体" w:hAnsi="宋体" w:cs="宋体"/>
        </w:rPr>
      </w:pPr>
    </w:p>
    <w:p w14:paraId="2A0A9713">
      <w:pPr>
        <w:rPr>
          <w:rStyle w:val="30"/>
          <w:rFonts w:hint="eastAsia" w:ascii="宋体" w:hAnsi="宋体" w:cs="宋体"/>
          <w:bCs w:val="0"/>
          <w:kern w:val="0"/>
          <w:sz w:val="32"/>
          <w:szCs w:val="24"/>
        </w:rPr>
      </w:pPr>
      <w:r>
        <w:rPr>
          <w:rFonts w:hint="eastAsia" w:ascii="宋体" w:hAnsi="宋体" w:cs="宋体"/>
          <w:b/>
          <w:bCs/>
          <w:color w:val="000000" w:themeColor="text1"/>
          <w:sz w:val="28"/>
          <w:szCs w:val="28"/>
          <w:highlight w:val="yellow"/>
          <w14:textFill>
            <w14:solidFill>
              <w14:schemeClr w14:val="tx1"/>
            </w14:solidFill>
          </w14:textFill>
        </w:rPr>
        <w:br w:type="page"/>
      </w:r>
      <w:bookmarkEnd w:id="142"/>
      <w:bookmarkEnd w:id="143"/>
    </w:p>
    <w:p w14:paraId="73527C94">
      <w:pPr>
        <w:pStyle w:val="28"/>
        <w:rPr>
          <w:rStyle w:val="30"/>
          <w:rFonts w:hint="eastAsia" w:ascii="宋体" w:hAnsi="宋体" w:cs="宋体"/>
          <w:b/>
          <w:bCs w:val="0"/>
          <w:kern w:val="0"/>
          <w:sz w:val="32"/>
          <w:szCs w:val="24"/>
        </w:rPr>
      </w:pPr>
      <w:bookmarkStart w:id="144" w:name="_Toc18036"/>
      <w:bookmarkStart w:id="145" w:name="_Toc22297"/>
      <w:r>
        <w:rPr>
          <w:rStyle w:val="30"/>
          <w:rFonts w:hint="eastAsia" w:ascii="宋体" w:hAnsi="宋体" w:cs="宋体"/>
          <w:b/>
          <w:bCs w:val="0"/>
          <w:kern w:val="0"/>
          <w:sz w:val="32"/>
          <w:szCs w:val="24"/>
        </w:rPr>
        <w:t>第四章  合同条款及格式</w:t>
      </w:r>
    </w:p>
    <w:bookmarkEnd w:id="144"/>
    <w:bookmarkEnd w:id="145"/>
    <w:p w14:paraId="3E824150">
      <w:pPr>
        <w:pStyle w:val="28"/>
        <w:rPr>
          <w:rFonts w:hint="eastAsia" w:ascii="宋体" w:hAnsi="宋体" w:cs="宋体"/>
        </w:rPr>
      </w:pPr>
    </w:p>
    <w:p w14:paraId="2610642B">
      <w:pPr>
        <w:pStyle w:val="7"/>
        <w:ind w:firstLine="472"/>
        <w:rPr>
          <w:rFonts w:hint="eastAsia" w:ascii="宋体" w:hAnsi="宋体" w:eastAsia="宋体" w:cs="宋体"/>
          <w:b w:val="0"/>
        </w:rPr>
      </w:pPr>
      <w:r>
        <w:rPr>
          <w:rFonts w:hint="eastAsia" w:ascii="宋体" w:hAnsi="宋体" w:eastAsia="宋体" w:cs="宋体"/>
          <w:b w:val="0"/>
        </w:rPr>
        <w:t>双方应根据招标文件、中标通知书、中标单位投标文件（包括澄清说明），以及与本项目相关的资料签订合同。所签订的合同不得背离招标文件的实质性内容要求和投标文件的承诺。</w:t>
      </w:r>
    </w:p>
    <w:p w14:paraId="5DDF91BF">
      <w:pPr>
        <w:pStyle w:val="7"/>
        <w:ind w:firstLine="472"/>
        <w:rPr>
          <w:rFonts w:hint="eastAsia" w:ascii="宋体" w:hAnsi="宋体" w:eastAsia="宋体" w:cs="宋体"/>
          <w:b w:val="0"/>
        </w:rPr>
      </w:pPr>
      <w:r>
        <w:rPr>
          <w:rFonts w:hint="eastAsia" w:ascii="宋体" w:hAnsi="宋体" w:eastAsia="宋体" w:cs="宋体"/>
          <w:b w:val="0"/>
        </w:rPr>
        <w:t>按《三门峡市财政局关于市本级政府采购合同备案管理工作的通知》（三财购[2021]9号）文要求，自中标通知书发出之日起2个工作日内与中标（成交）供应商按照采购文件确定的事项与供应商签订政府采购合同。</w:t>
      </w:r>
    </w:p>
    <w:p w14:paraId="64E73B34">
      <w:pPr>
        <w:pStyle w:val="7"/>
        <w:rPr>
          <w:rFonts w:hint="eastAsia" w:ascii="宋体" w:hAnsi="宋体" w:eastAsia="宋体" w:cs="宋体"/>
        </w:rPr>
      </w:pPr>
    </w:p>
    <w:p w14:paraId="15D72C89">
      <w:pPr>
        <w:pStyle w:val="7"/>
        <w:rPr>
          <w:rFonts w:hint="eastAsia" w:ascii="宋体" w:hAnsi="宋体" w:eastAsia="宋体" w:cs="宋体"/>
        </w:rPr>
      </w:pPr>
    </w:p>
    <w:p w14:paraId="7AD433CC">
      <w:pPr>
        <w:pStyle w:val="7"/>
        <w:rPr>
          <w:rFonts w:hint="eastAsia" w:ascii="宋体" w:hAnsi="宋体" w:eastAsia="宋体" w:cs="宋体"/>
        </w:rPr>
      </w:pPr>
    </w:p>
    <w:p w14:paraId="39D40382">
      <w:pPr>
        <w:pStyle w:val="7"/>
        <w:rPr>
          <w:rFonts w:hint="eastAsia" w:ascii="宋体" w:hAnsi="宋体" w:eastAsia="宋体" w:cs="宋体"/>
        </w:rPr>
      </w:pPr>
    </w:p>
    <w:p w14:paraId="1597695F">
      <w:pPr>
        <w:pStyle w:val="7"/>
        <w:rPr>
          <w:rFonts w:hint="eastAsia" w:ascii="宋体" w:hAnsi="宋体" w:eastAsia="宋体" w:cs="宋体"/>
        </w:rPr>
      </w:pPr>
    </w:p>
    <w:p w14:paraId="6CB21E80">
      <w:pPr>
        <w:pStyle w:val="7"/>
        <w:rPr>
          <w:rFonts w:hint="eastAsia" w:ascii="宋体" w:hAnsi="宋体" w:eastAsia="宋体" w:cs="宋体"/>
        </w:rPr>
      </w:pPr>
    </w:p>
    <w:p w14:paraId="08490F29">
      <w:pPr>
        <w:pStyle w:val="7"/>
        <w:rPr>
          <w:rFonts w:hint="eastAsia" w:ascii="宋体" w:hAnsi="宋体" w:eastAsia="宋体" w:cs="宋体"/>
        </w:rPr>
      </w:pPr>
    </w:p>
    <w:p w14:paraId="75D758B4">
      <w:pPr>
        <w:pStyle w:val="7"/>
        <w:rPr>
          <w:rFonts w:hint="eastAsia" w:ascii="宋体" w:hAnsi="宋体" w:eastAsia="宋体" w:cs="宋体"/>
        </w:rPr>
      </w:pPr>
    </w:p>
    <w:p w14:paraId="6172F629">
      <w:pPr>
        <w:pStyle w:val="7"/>
        <w:rPr>
          <w:rFonts w:hint="eastAsia" w:ascii="宋体" w:hAnsi="宋体" w:eastAsia="宋体" w:cs="宋体"/>
        </w:rPr>
      </w:pPr>
    </w:p>
    <w:p w14:paraId="125A7E01">
      <w:pPr>
        <w:pStyle w:val="7"/>
        <w:rPr>
          <w:rFonts w:hint="eastAsia" w:ascii="宋体" w:hAnsi="宋体" w:eastAsia="宋体" w:cs="宋体"/>
        </w:rPr>
      </w:pPr>
    </w:p>
    <w:p w14:paraId="34A0B08D">
      <w:pPr>
        <w:pStyle w:val="7"/>
        <w:rPr>
          <w:rFonts w:hint="eastAsia" w:ascii="宋体" w:hAnsi="宋体" w:eastAsia="宋体" w:cs="宋体"/>
        </w:rPr>
      </w:pPr>
    </w:p>
    <w:p w14:paraId="13A1CFF1">
      <w:pPr>
        <w:pStyle w:val="7"/>
        <w:rPr>
          <w:rFonts w:hint="eastAsia" w:ascii="宋体" w:hAnsi="宋体" w:eastAsia="宋体" w:cs="宋体"/>
        </w:rPr>
      </w:pPr>
    </w:p>
    <w:p w14:paraId="41B3054D">
      <w:pPr>
        <w:pStyle w:val="7"/>
        <w:rPr>
          <w:rFonts w:hint="eastAsia" w:ascii="宋体" w:hAnsi="宋体" w:eastAsia="宋体" w:cs="宋体"/>
        </w:rPr>
      </w:pPr>
    </w:p>
    <w:p w14:paraId="0BDF3005">
      <w:pPr>
        <w:pStyle w:val="7"/>
        <w:rPr>
          <w:rFonts w:hint="eastAsia" w:ascii="宋体" w:hAnsi="宋体" w:eastAsia="宋体" w:cs="宋体"/>
        </w:rPr>
      </w:pPr>
    </w:p>
    <w:p w14:paraId="0C41E984">
      <w:pPr>
        <w:pStyle w:val="7"/>
        <w:rPr>
          <w:rFonts w:hint="eastAsia" w:ascii="宋体" w:hAnsi="宋体" w:eastAsia="宋体" w:cs="宋体"/>
        </w:rPr>
      </w:pPr>
    </w:p>
    <w:p w14:paraId="57A81B2F">
      <w:pPr>
        <w:pStyle w:val="7"/>
        <w:rPr>
          <w:rFonts w:hint="eastAsia" w:ascii="宋体" w:hAnsi="宋体" w:eastAsia="宋体" w:cs="宋体"/>
        </w:rPr>
      </w:pPr>
    </w:p>
    <w:p w14:paraId="6727B6AF">
      <w:pPr>
        <w:pStyle w:val="7"/>
        <w:rPr>
          <w:rFonts w:hint="eastAsia" w:ascii="宋体" w:hAnsi="宋体" w:eastAsia="宋体" w:cs="宋体"/>
        </w:rPr>
      </w:pPr>
    </w:p>
    <w:p w14:paraId="799844E4">
      <w:pPr>
        <w:pStyle w:val="7"/>
        <w:rPr>
          <w:rFonts w:hint="eastAsia" w:ascii="宋体" w:hAnsi="宋体" w:eastAsia="宋体" w:cs="宋体"/>
        </w:rPr>
      </w:pPr>
    </w:p>
    <w:p w14:paraId="6197DF8E">
      <w:pPr>
        <w:pStyle w:val="7"/>
        <w:rPr>
          <w:rFonts w:hint="eastAsia" w:ascii="宋体" w:hAnsi="宋体" w:eastAsia="宋体" w:cs="宋体"/>
        </w:rPr>
      </w:pPr>
    </w:p>
    <w:p w14:paraId="1A6826D3">
      <w:pPr>
        <w:pStyle w:val="7"/>
        <w:rPr>
          <w:rFonts w:hint="eastAsia" w:ascii="宋体" w:hAnsi="宋体" w:eastAsia="宋体" w:cs="宋体"/>
        </w:rPr>
      </w:pPr>
    </w:p>
    <w:p w14:paraId="28A63722">
      <w:pPr>
        <w:pStyle w:val="7"/>
        <w:rPr>
          <w:rFonts w:hint="eastAsia" w:ascii="宋体" w:hAnsi="宋体" w:eastAsia="宋体" w:cs="宋体"/>
        </w:rPr>
      </w:pPr>
    </w:p>
    <w:p w14:paraId="0B9DDBF6">
      <w:pPr>
        <w:pStyle w:val="7"/>
        <w:rPr>
          <w:rFonts w:hint="eastAsia" w:ascii="宋体" w:hAnsi="宋体" w:eastAsia="宋体" w:cs="宋体"/>
        </w:rPr>
      </w:pPr>
    </w:p>
    <w:p w14:paraId="420C2038">
      <w:pPr>
        <w:pStyle w:val="7"/>
        <w:rPr>
          <w:rFonts w:hint="eastAsia" w:ascii="宋体" w:hAnsi="宋体" w:eastAsia="宋体" w:cs="宋体"/>
        </w:rPr>
      </w:pPr>
    </w:p>
    <w:p w14:paraId="663CD27E">
      <w:pPr>
        <w:pStyle w:val="7"/>
        <w:rPr>
          <w:rFonts w:hint="eastAsia" w:ascii="宋体" w:hAnsi="宋体" w:eastAsia="宋体" w:cs="宋体"/>
        </w:rPr>
      </w:pPr>
    </w:p>
    <w:p w14:paraId="466416EC">
      <w:pPr>
        <w:pStyle w:val="7"/>
        <w:rPr>
          <w:rFonts w:hint="eastAsia" w:ascii="宋体" w:hAnsi="宋体" w:eastAsia="宋体" w:cs="宋体"/>
        </w:rPr>
      </w:pPr>
    </w:p>
    <w:p w14:paraId="08D02BD6">
      <w:pPr>
        <w:pStyle w:val="7"/>
        <w:rPr>
          <w:rFonts w:hint="eastAsia" w:ascii="宋体" w:hAnsi="宋体" w:eastAsia="宋体" w:cs="宋体"/>
        </w:rPr>
      </w:pPr>
    </w:p>
    <w:p w14:paraId="352E6AE3">
      <w:pPr>
        <w:pStyle w:val="7"/>
        <w:rPr>
          <w:rFonts w:hint="eastAsia" w:ascii="宋体" w:hAnsi="宋体" w:eastAsia="宋体" w:cs="宋体"/>
        </w:rPr>
      </w:pPr>
      <w:r>
        <w:rPr>
          <w:rFonts w:hint="eastAsia" w:ascii="宋体" w:hAnsi="宋体" w:eastAsia="宋体" w:cs="宋体"/>
        </w:rPr>
        <w:t>（本合同为政府采购合同范本，合同内容及条款仅供参考，具体合同以双方签订合同为准）</w:t>
      </w:r>
    </w:p>
    <w:p w14:paraId="50C75E81">
      <w:pPr>
        <w:spacing w:line="276" w:lineRule="auto"/>
        <w:rPr>
          <w:rFonts w:hint="eastAsia" w:ascii="宋体" w:hAnsi="宋体" w:cs="宋体"/>
          <w:bCs/>
          <w:spacing w:val="7"/>
          <w:sz w:val="24"/>
          <w:szCs w:val="24"/>
        </w:rPr>
      </w:pPr>
      <w:bookmarkStart w:id="146" w:name="_Toc514226064"/>
      <w:bookmarkStart w:id="147" w:name="_Toc12464209"/>
      <w:bookmarkStart w:id="148" w:name="_Toc512673808"/>
      <w:bookmarkStart w:id="149" w:name="_Toc632"/>
      <w:bookmarkStart w:id="150" w:name="_Toc377025612"/>
      <w:r>
        <w:rPr>
          <w:rFonts w:hint="eastAsia" w:ascii="宋体" w:hAnsi="宋体" w:cs="宋体"/>
          <w:bCs/>
          <w:spacing w:val="7"/>
          <w:sz w:val="24"/>
          <w:szCs w:val="24"/>
        </w:rPr>
        <w:t xml:space="preserve">甲  方：           </w:t>
      </w:r>
    </w:p>
    <w:p w14:paraId="0B81651D">
      <w:pPr>
        <w:spacing w:line="276" w:lineRule="auto"/>
        <w:rPr>
          <w:rFonts w:hint="eastAsia" w:ascii="宋体" w:hAnsi="宋体" w:cs="宋体"/>
          <w:bCs/>
          <w:spacing w:val="7"/>
          <w:sz w:val="24"/>
          <w:szCs w:val="24"/>
        </w:rPr>
      </w:pPr>
      <w:r>
        <w:rPr>
          <w:rFonts w:hint="eastAsia" w:ascii="宋体" w:hAnsi="宋体" w:cs="宋体"/>
          <w:bCs/>
          <w:spacing w:val="7"/>
          <w:sz w:val="24"/>
          <w:szCs w:val="24"/>
        </w:rPr>
        <w:t xml:space="preserve">乙  方： </w:t>
      </w:r>
    </w:p>
    <w:p w14:paraId="7E10D2BD">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甲方名称根据的批复，组织对***项目进行公开招标，招标编号（），于年月日通过公开招标，确定乙方为***项目中标人。为了保护供需各方合法权益,根据《中华人民共和国政府采购法》</w:t>
      </w:r>
      <w:r>
        <w:rPr>
          <w:rFonts w:hint="eastAsia" w:ascii="宋体" w:hAnsi="宋体" w:cs="宋体"/>
          <w:bCs/>
          <w:spacing w:val="7"/>
          <w:sz w:val="24"/>
          <w:szCs w:val="24"/>
          <w:highlight w:val="none"/>
        </w:rPr>
        <w:t>、《</w:t>
      </w:r>
      <w:r>
        <w:rPr>
          <w:rFonts w:hint="eastAsia" w:ascii="宋体" w:hAnsi="宋体" w:cs="宋体"/>
          <w:bCs/>
          <w:spacing w:val="7"/>
          <w:sz w:val="24"/>
          <w:szCs w:val="24"/>
          <w:highlight w:val="none"/>
          <w:lang w:eastAsia="zh-CN"/>
        </w:rPr>
        <w:t>中华人民共和国民法典</w:t>
      </w:r>
      <w:r>
        <w:rPr>
          <w:rFonts w:hint="eastAsia" w:ascii="宋体" w:hAnsi="宋体" w:cs="宋体"/>
          <w:bCs/>
          <w:spacing w:val="7"/>
          <w:sz w:val="24"/>
          <w:szCs w:val="24"/>
          <w:highlight w:val="none"/>
        </w:rPr>
        <w:t>》等相</w:t>
      </w:r>
      <w:r>
        <w:rPr>
          <w:rFonts w:hint="eastAsia" w:ascii="宋体" w:hAnsi="宋体" w:cs="宋体"/>
          <w:bCs/>
          <w:spacing w:val="7"/>
          <w:sz w:val="24"/>
          <w:szCs w:val="24"/>
        </w:rPr>
        <w:t xml:space="preserve">关法律、法规的规定，并严格遵循政府采购项目招标文件的相关规定，经甲乙双方协商一致，订立本合同。 </w:t>
      </w:r>
    </w:p>
    <w:p w14:paraId="66718841">
      <w:pPr>
        <w:spacing w:line="276" w:lineRule="auto"/>
        <w:rPr>
          <w:rFonts w:hint="eastAsia" w:ascii="宋体" w:hAnsi="宋体" w:cs="宋体"/>
          <w:bCs/>
          <w:spacing w:val="7"/>
          <w:sz w:val="24"/>
          <w:szCs w:val="24"/>
        </w:rPr>
      </w:pPr>
      <w:r>
        <w:rPr>
          <w:rFonts w:hint="eastAsia" w:ascii="宋体" w:hAnsi="宋体" w:cs="宋体"/>
          <w:bCs/>
          <w:spacing w:val="7"/>
          <w:sz w:val="24"/>
          <w:szCs w:val="24"/>
        </w:rPr>
        <w:t>一、项目概况、合同金额（详见报价表，附后）</w:t>
      </w:r>
    </w:p>
    <w:p w14:paraId="2C851F86">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1.项目编号：。</w:t>
      </w:r>
    </w:p>
    <w:p w14:paraId="0A171F77">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2.项目名称：。</w:t>
      </w:r>
    </w:p>
    <w:p w14:paraId="341ECC28">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3.具体内容：（详见乙方报价表）</w:t>
      </w:r>
    </w:p>
    <w:p w14:paraId="1C8AEFA7">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4.合同金额：人民币元（大写：），以上价格以人民币结算。</w:t>
      </w:r>
    </w:p>
    <w:p w14:paraId="19189A55">
      <w:pPr>
        <w:spacing w:line="276" w:lineRule="auto"/>
        <w:rPr>
          <w:rFonts w:hint="eastAsia" w:ascii="宋体" w:hAnsi="宋体" w:cs="宋体"/>
          <w:bCs/>
          <w:spacing w:val="7"/>
          <w:sz w:val="24"/>
          <w:szCs w:val="24"/>
        </w:rPr>
      </w:pPr>
      <w:r>
        <w:rPr>
          <w:rFonts w:hint="eastAsia" w:ascii="宋体" w:hAnsi="宋体" w:cs="宋体"/>
          <w:bCs/>
          <w:spacing w:val="7"/>
          <w:sz w:val="24"/>
          <w:szCs w:val="24"/>
        </w:rPr>
        <w:t>二、付款方式</w:t>
      </w:r>
    </w:p>
    <w:p w14:paraId="5FE57F5A">
      <w:pPr>
        <w:spacing w:line="276" w:lineRule="auto"/>
        <w:rPr>
          <w:rFonts w:hint="eastAsia" w:ascii="宋体" w:hAnsi="宋体" w:cs="宋体"/>
          <w:bCs/>
          <w:spacing w:val="7"/>
          <w:sz w:val="24"/>
          <w:szCs w:val="24"/>
        </w:rPr>
      </w:pPr>
      <w:r>
        <w:rPr>
          <w:rFonts w:hint="eastAsia" w:ascii="宋体" w:hAnsi="宋体" w:cs="宋体"/>
          <w:bCs/>
          <w:spacing w:val="7"/>
          <w:sz w:val="24"/>
          <w:szCs w:val="24"/>
        </w:rPr>
        <w:t>三、交货时间、交货地点</w:t>
      </w:r>
    </w:p>
    <w:p w14:paraId="02537CAF">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1.交货时间：     年   月   日。</w:t>
      </w:r>
    </w:p>
    <w:p w14:paraId="57E30902">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2.交货地点：采购人指定地点</w:t>
      </w:r>
    </w:p>
    <w:p w14:paraId="3BDD7DDA">
      <w:pPr>
        <w:spacing w:line="276" w:lineRule="auto"/>
        <w:rPr>
          <w:rFonts w:hint="eastAsia" w:ascii="宋体" w:hAnsi="宋体" w:cs="宋体"/>
          <w:bCs/>
          <w:spacing w:val="7"/>
          <w:sz w:val="24"/>
          <w:szCs w:val="24"/>
        </w:rPr>
      </w:pPr>
      <w:r>
        <w:rPr>
          <w:rFonts w:hint="eastAsia" w:ascii="宋体" w:hAnsi="宋体" w:cs="宋体"/>
          <w:bCs/>
          <w:spacing w:val="7"/>
          <w:sz w:val="24"/>
          <w:szCs w:val="24"/>
        </w:rPr>
        <w:t>四、履约验收</w:t>
      </w:r>
    </w:p>
    <w:p w14:paraId="3B31E2CC">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1.乙方提供的产品为原装正品，各项指标符合出产国检测标准和出厂标准，各项技术参数符合招标文件要求和乙方响应文件承诺。</w:t>
      </w:r>
    </w:p>
    <w:p w14:paraId="03D67458">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2.乙方所交产品不符合规定或质量不合格的，由乙方负责包换，并承担换货而支付的一切费用。乙方不能调换的，按不能交货处理。</w:t>
      </w:r>
    </w:p>
    <w:p w14:paraId="553A0B57">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14:paraId="2ED1EB5D">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4.甲方按国家相关标准和本招标文件的相关要求自行组织有关专业人员验收。</w:t>
      </w:r>
    </w:p>
    <w:p w14:paraId="463F11B2">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5.验收内容：所采购的数量、参数标准、规格和质量。</w:t>
      </w:r>
    </w:p>
    <w:p w14:paraId="7C96BB5E">
      <w:pPr>
        <w:spacing w:line="276" w:lineRule="auto"/>
        <w:rPr>
          <w:rFonts w:hint="eastAsia" w:ascii="宋体" w:hAnsi="宋体" w:cs="宋体"/>
          <w:bCs/>
          <w:spacing w:val="7"/>
          <w:sz w:val="24"/>
          <w:szCs w:val="24"/>
        </w:rPr>
      </w:pPr>
      <w:r>
        <w:rPr>
          <w:rFonts w:hint="eastAsia" w:ascii="宋体" w:hAnsi="宋体" w:cs="宋体"/>
          <w:bCs/>
          <w:spacing w:val="7"/>
          <w:sz w:val="24"/>
          <w:szCs w:val="24"/>
        </w:rPr>
        <w:t>五、相关权利及义务</w:t>
      </w:r>
    </w:p>
    <w:p w14:paraId="3D9EFFF5">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1.甲方在验收时对不符合招标文件要求的产品有权拒绝接收和追究违约责任。</w:t>
      </w:r>
    </w:p>
    <w:p w14:paraId="17CE28C2">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2.甲方有权监督乙方的售后服务，并对乙方的售后服务不符合响应文件承诺内容时加以指出乃至追究合同责任。</w:t>
      </w:r>
    </w:p>
    <w:p w14:paraId="5AFE4A48">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3.甲方在合同规定期限内协助履行付款责任。</w:t>
      </w:r>
    </w:p>
    <w:p w14:paraId="687481A6">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4.甲方对乙方的技术及商业机密予以保密。</w:t>
      </w:r>
    </w:p>
    <w:p w14:paraId="589EA0CF">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5.乙方有权按照合同要求及时支付相应合同款项。</w:t>
      </w:r>
    </w:p>
    <w:p w14:paraId="588C076E">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rPr>
        <w:t>6.乙方有义务按投标文件中的售后服务承诺提供良好的服务。</w:t>
      </w:r>
    </w:p>
    <w:p w14:paraId="0F05E5D3">
      <w:pPr>
        <w:spacing w:line="276" w:lineRule="auto"/>
        <w:rPr>
          <w:rFonts w:hint="eastAsia" w:ascii="宋体" w:hAnsi="宋体" w:cs="宋体"/>
          <w:bCs/>
          <w:spacing w:val="7"/>
          <w:sz w:val="24"/>
          <w:szCs w:val="24"/>
        </w:rPr>
      </w:pPr>
      <w:r>
        <w:rPr>
          <w:rFonts w:hint="eastAsia" w:ascii="宋体" w:hAnsi="宋体" w:cs="宋体"/>
          <w:bCs/>
          <w:spacing w:val="7"/>
          <w:sz w:val="24"/>
          <w:szCs w:val="24"/>
        </w:rPr>
        <w:t>七、违约责任</w:t>
      </w:r>
    </w:p>
    <w:p w14:paraId="704E817A">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w:t>
      </w:r>
      <w:r>
        <w:rPr>
          <w:rFonts w:hint="eastAsia" w:ascii="宋体" w:hAnsi="宋体" w:cs="宋体"/>
          <w:bCs/>
          <w:spacing w:val="7"/>
          <w:sz w:val="24"/>
          <w:szCs w:val="24"/>
          <w:highlight w:val="none"/>
        </w:rPr>
        <w:t>府采购监管部门将其列入不良行为记录。因不可抗力所导致的交货及付款延迟等按照《</w:t>
      </w:r>
      <w:r>
        <w:rPr>
          <w:rFonts w:hint="eastAsia" w:ascii="宋体" w:hAnsi="宋体" w:cs="宋体"/>
          <w:bCs/>
          <w:spacing w:val="7"/>
          <w:sz w:val="24"/>
          <w:szCs w:val="24"/>
          <w:highlight w:val="none"/>
          <w:lang w:eastAsia="zh-CN"/>
        </w:rPr>
        <w:t>中华人民共和国民法典</w:t>
      </w:r>
      <w:r>
        <w:rPr>
          <w:rFonts w:hint="eastAsia" w:ascii="宋体" w:hAnsi="宋体" w:cs="宋体"/>
          <w:bCs/>
          <w:spacing w:val="7"/>
          <w:sz w:val="24"/>
          <w:szCs w:val="24"/>
          <w:highlight w:val="none"/>
        </w:rPr>
        <w:t>》有关条文及本合同第八条处理。</w:t>
      </w:r>
    </w:p>
    <w:p w14:paraId="0ECA1D82">
      <w:pPr>
        <w:spacing w:line="276" w:lineRule="auto"/>
        <w:rPr>
          <w:rFonts w:hint="eastAsia" w:ascii="宋体" w:hAnsi="宋体" w:cs="宋体"/>
          <w:bCs/>
          <w:spacing w:val="7"/>
          <w:sz w:val="24"/>
          <w:szCs w:val="24"/>
          <w:highlight w:val="none"/>
        </w:rPr>
      </w:pPr>
      <w:r>
        <w:rPr>
          <w:rFonts w:hint="eastAsia" w:ascii="宋体" w:hAnsi="宋体" w:cs="宋体"/>
          <w:bCs/>
          <w:spacing w:val="7"/>
          <w:sz w:val="24"/>
          <w:szCs w:val="24"/>
          <w:highlight w:val="none"/>
        </w:rPr>
        <w:t>八、不可抗力</w:t>
      </w:r>
    </w:p>
    <w:p w14:paraId="7ADAC530">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35CBAEC9">
      <w:pPr>
        <w:spacing w:line="276" w:lineRule="auto"/>
        <w:rPr>
          <w:rFonts w:hint="eastAsia" w:ascii="宋体" w:hAnsi="宋体" w:cs="宋体"/>
          <w:bCs/>
          <w:spacing w:val="7"/>
          <w:sz w:val="24"/>
          <w:szCs w:val="24"/>
          <w:highlight w:val="none"/>
        </w:rPr>
      </w:pPr>
      <w:r>
        <w:rPr>
          <w:rFonts w:hint="eastAsia" w:ascii="宋体" w:hAnsi="宋体" w:cs="宋体"/>
          <w:bCs/>
          <w:spacing w:val="7"/>
          <w:sz w:val="24"/>
          <w:szCs w:val="24"/>
          <w:highlight w:val="none"/>
        </w:rPr>
        <w:t>九、争议</w:t>
      </w:r>
    </w:p>
    <w:p w14:paraId="61FD21AB">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双方本着友好合作的态度，对合同履行过程中发生的违约行为进行及时的协商解决，如不能协商解决可向甲方所在地人民法院提起诉讼。</w:t>
      </w:r>
    </w:p>
    <w:p w14:paraId="4701965B">
      <w:pPr>
        <w:spacing w:line="276" w:lineRule="auto"/>
        <w:rPr>
          <w:rFonts w:hint="eastAsia" w:ascii="宋体" w:hAnsi="宋体" w:cs="宋体"/>
          <w:bCs/>
          <w:spacing w:val="7"/>
          <w:sz w:val="24"/>
          <w:szCs w:val="24"/>
          <w:highlight w:val="none"/>
        </w:rPr>
      </w:pPr>
      <w:r>
        <w:rPr>
          <w:rFonts w:hint="eastAsia" w:ascii="宋体" w:hAnsi="宋体" w:cs="宋体"/>
          <w:bCs/>
          <w:spacing w:val="7"/>
          <w:sz w:val="24"/>
          <w:szCs w:val="24"/>
          <w:highlight w:val="none"/>
        </w:rPr>
        <w:t>十、其它</w:t>
      </w:r>
    </w:p>
    <w:p w14:paraId="22F1F6DB">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1.本合同一式陆份，甲方叁份，乙方叁份。</w:t>
      </w:r>
    </w:p>
    <w:p w14:paraId="3797E236">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2.本合同自双方签订之日起生效。</w:t>
      </w:r>
    </w:p>
    <w:p w14:paraId="58CE035D">
      <w:pPr>
        <w:spacing w:line="276" w:lineRule="auto"/>
        <w:ind w:firstLine="508" w:firstLineChars="200"/>
        <w:rPr>
          <w:rFonts w:hint="eastAsia" w:ascii="宋体" w:hAnsi="宋体" w:cs="宋体"/>
          <w:bCs/>
          <w:spacing w:val="7"/>
          <w:sz w:val="24"/>
          <w:szCs w:val="24"/>
          <w:highlight w:val="none"/>
        </w:rPr>
      </w:pPr>
      <w:r>
        <w:rPr>
          <w:rFonts w:hint="eastAsia" w:ascii="宋体" w:hAnsi="宋体" w:cs="宋体"/>
          <w:bCs/>
          <w:spacing w:val="7"/>
          <w:sz w:val="24"/>
          <w:szCs w:val="24"/>
          <w:highlight w:val="none"/>
        </w:rPr>
        <w:t>3.本项目招标文件、投标文件等是本合同的附件，与合同具有同等的法律效力。</w:t>
      </w:r>
    </w:p>
    <w:p w14:paraId="7263E724">
      <w:pPr>
        <w:spacing w:line="276" w:lineRule="auto"/>
        <w:ind w:firstLine="508" w:firstLineChars="200"/>
        <w:rPr>
          <w:rFonts w:hint="eastAsia" w:ascii="宋体" w:hAnsi="宋体" w:cs="宋体"/>
          <w:bCs/>
          <w:spacing w:val="7"/>
          <w:sz w:val="24"/>
          <w:szCs w:val="24"/>
        </w:rPr>
      </w:pPr>
      <w:r>
        <w:rPr>
          <w:rFonts w:hint="eastAsia" w:ascii="宋体" w:hAnsi="宋体" w:cs="宋体"/>
          <w:bCs/>
          <w:spacing w:val="7"/>
          <w:sz w:val="24"/>
          <w:szCs w:val="24"/>
          <w:highlight w:val="none"/>
        </w:rPr>
        <w:t>4.其它未尽事宜，由甲乙双方友好协商解决，并参照《</w:t>
      </w:r>
      <w:r>
        <w:rPr>
          <w:rFonts w:hint="eastAsia" w:ascii="宋体" w:hAnsi="宋体" w:cs="宋体"/>
          <w:bCs/>
          <w:spacing w:val="7"/>
          <w:sz w:val="24"/>
          <w:szCs w:val="24"/>
          <w:highlight w:val="none"/>
          <w:lang w:eastAsia="zh-CN"/>
        </w:rPr>
        <w:t>中华人民共和国民法典</w:t>
      </w:r>
      <w:r>
        <w:rPr>
          <w:rFonts w:hint="eastAsia" w:ascii="宋体" w:hAnsi="宋体" w:cs="宋体"/>
          <w:bCs/>
          <w:spacing w:val="7"/>
          <w:sz w:val="24"/>
          <w:szCs w:val="24"/>
          <w:highlight w:val="none"/>
        </w:rPr>
        <w:t>》</w:t>
      </w:r>
      <w:r>
        <w:rPr>
          <w:rFonts w:hint="eastAsia" w:ascii="宋体" w:hAnsi="宋体" w:cs="宋体"/>
          <w:bCs/>
          <w:spacing w:val="7"/>
          <w:sz w:val="24"/>
          <w:szCs w:val="24"/>
        </w:rPr>
        <w:t>有关条款执行。</w:t>
      </w:r>
    </w:p>
    <w:p w14:paraId="7DA7408B">
      <w:pPr>
        <w:spacing w:line="276" w:lineRule="auto"/>
        <w:rPr>
          <w:rFonts w:hint="eastAsia" w:ascii="宋体" w:hAnsi="宋体" w:cs="宋体"/>
          <w:bCs/>
          <w:spacing w:val="7"/>
          <w:sz w:val="24"/>
          <w:szCs w:val="24"/>
        </w:rPr>
      </w:pPr>
      <w:r>
        <w:rPr>
          <w:rFonts w:hint="eastAsia" w:ascii="宋体" w:hAnsi="宋体" w:cs="宋体"/>
          <w:bCs/>
          <w:spacing w:val="7"/>
          <w:sz w:val="24"/>
          <w:szCs w:val="24"/>
        </w:rPr>
        <w:t>委托人（盖章）：                     受托人（盖章）：</w:t>
      </w:r>
    </w:p>
    <w:p w14:paraId="14640710">
      <w:pPr>
        <w:spacing w:line="276" w:lineRule="auto"/>
        <w:rPr>
          <w:rFonts w:hint="eastAsia" w:ascii="宋体" w:hAnsi="宋体" w:cs="宋体"/>
          <w:bCs/>
          <w:spacing w:val="7"/>
          <w:sz w:val="24"/>
          <w:szCs w:val="24"/>
        </w:rPr>
      </w:pPr>
      <w:r>
        <w:rPr>
          <w:rFonts w:hint="eastAsia" w:ascii="宋体" w:hAnsi="宋体" w:cs="宋体"/>
          <w:bCs/>
          <w:spacing w:val="7"/>
          <w:sz w:val="24"/>
          <w:szCs w:val="24"/>
        </w:rPr>
        <w:t>法定代表人（签字或盖章）：           法定代表人（签字或盖章）：</w:t>
      </w:r>
    </w:p>
    <w:p w14:paraId="5C6FC04F">
      <w:pPr>
        <w:spacing w:line="276" w:lineRule="auto"/>
        <w:rPr>
          <w:rFonts w:hint="eastAsia" w:ascii="宋体" w:hAnsi="宋体" w:cs="宋体"/>
          <w:bCs/>
          <w:spacing w:val="7"/>
          <w:sz w:val="24"/>
          <w:szCs w:val="24"/>
        </w:rPr>
      </w:pPr>
      <w:r>
        <w:rPr>
          <w:rFonts w:hint="eastAsia" w:ascii="宋体" w:hAnsi="宋体" w:cs="宋体"/>
          <w:bCs/>
          <w:spacing w:val="7"/>
          <w:sz w:val="24"/>
          <w:szCs w:val="24"/>
        </w:rPr>
        <w:t>或授权委托人（签字或盖章）：         或授权委托人（签字或盖章）：</w:t>
      </w:r>
    </w:p>
    <w:p w14:paraId="46318C30">
      <w:pPr>
        <w:spacing w:line="276" w:lineRule="auto"/>
        <w:rPr>
          <w:rFonts w:hint="eastAsia" w:ascii="宋体" w:hAnsi="宋体" w:cs="宋体"/>
          <w:bCs/>
          <w:spacing w:val="7"/>
          <w:sz w:val="24"/>
          <w:szCs w:val="24"/>
        </w:rPr>
      </w:pPr>
      <w:r>
        <w:rPr>
          <w:rFonts w:hint="eastAsia" w:ascii="宋体" w:hAnsi="宋体" w:cs="宋体"/>
          <w:bCs/>
          <w:spacing w:val="7"/>
          <w:sz w:val="24"/>
          <w:szCs w:val="24"/>
        </w:rPr>
        <w:t>单位地址：                          单位地址：</w:t>
      </w:r>
    </w:p>
    <w:p w14:paraId="75DBE015">
      <w:pPr>
        <w:spacing w:line="276" w:lineRule="auto"/>
        <w:rPr>
          <w:rFonts w:hint="eastAsia" w:ascii="宋体" w:hAnsi="宋体" w:cs="宋体"/>
          <w:bCs/>
          <w:spacing w:val="7"/>
          <w:sz w:val="24"/>
          <w:szCs w:val="24"/>
        </w:rPr>
      </w:pPr>
      <w:r>
        <w:rPr>
          <w:rFonts w:hint="eastAsia" w:ascii="宋体" w:hAnsi="宋体" w:cs="宋体"/>
          <w:bCs/>
          <w:spacing w:val="7"/>
          <w:sz w:val="24"/>
          <w:szCs w:val="24"/>
        </w:rPr>
        <w:t>邮政编码：                          邮政编码：</w:t>
      </w:r>
    </w:p>
    <w:p w14:paraId="0F306CE2">
      <w:pPr>
        <w:spacing w:line="276" w:lineRule="auto"/>
        <w:rPr>
          <w:rFonts w:hint="eastAsia" w:ascii="宋体" w:hAnsi="宋体" w:cs="宋体"/>
          <w:bCs/>
          <w:spacing w:val="7"/>
          <w:sz w:val="24"/>
          <w:szCs w:val="24"/>
        </w:rPr>
      </w:pPr>
      <w:r>
        <w:rPr>
          <w:rFonts w:hint="eastAsia" w:ascii="宋体" w:hAnsi="宋体" w:cs="宋体"/>
          <w:bCs/>
          <w:spacing w:val="7"/>
          <w:sz w:val="24"/>
          <w:szCs w:val="24"/>
        </w:rPr>
        <w:t>联系电话：                          联系电话：</w:t>
      </w:r>
    </w:p>
    <w:p w14:paraId="4FCDD944">
      <w:pPr>
        <w:spacing w:line="276" w:lineRule="auto"/>
        <w:rPr>
          <w:rFonts w:hint="eastAsia" w:ascii="宋体" w:hAnsi="宋体" w:cs="宋体"/>
          <w:bCs/>
          <w:spacing w:val="7"/>
          <w:sz w:val="24"/>
          <w:szCs w:val="24"/>
        </w:rPr>
      </w:pPr>
      <w:r>
        <w:rPr>
          <w:rFonts w:hint="eastAsia" w:ascii="宋体" w:hAnsi="宋体" w:cs="宋体"/>
          <w:bCs/>
          <w:spacing w:val="7"/>
          <w:sz w:val="24"/>
          <w:szCs w:val="24"/>
        </w:rPr>
        <w:t>传    真：                          传    真：</w:t>
      </w:r>
    </w:p>
    <w:p w14:paraId="2714E444">
      <w:pPr>
        <w:spacing w:line="276" w:lineRule="auto"/>
        <w:rPr>
          <w:rFonts w:hint="eastAsia" w:ascii="宋体" w:hAnsi="宋体" w:cs="宋体"/>
          <w:bCs/>
          <w:spacing w:val="7"/>
          <w:sz w:val="24"/>
          <w:szCs w:val="24"/>
        </w:rPr>
      </w:pPr>
      <w:r>
        <w:rPr>
          <w:rFonts w:hint="eastAsia" w:ascii="宋体" w:hAnsi="宋体" w:cs="宋体"/>
          <w:bCs/>
          <w:spacing w:val="7"/>
          <w:sz w:val="24"/>
          <w:szCs w:val="24"/>
        </w:rPr>
        <w:t>电子信箱：                          电子信箱：</w:t>
      </w:r>
    </w:p>
    <w:p w14:paraId="6785C105">
      <w:pPr>
        <w:spacing w:line="276" w:lineRule="auto"/>
        <w:rPr>
          <w:rFonts w:hint="eastAsia" w:ascii="宋体" w:hAnsi="宋体" w:cs="宋体"/>
          <w:bCs/>
          <w:spacing w:val="7"/>
          <w:sz w:val="24"/>
          <w:szCs w:val="24"/>
        </w:rPr>
      </w:pPr>
      <w:r>
        <w:rPr>
          <w:rFonts w:hint="eastAsia" w:ascii="宋体" w:hAnsi="宋体" w:cs="宋体"/>
          <w:bCs/>
          <w:spacing w:val="7"/>
          <w:sz w:val="24"/>
          <w:szCs w:val="24"/>
        </w:rPr>
        <w:t>开户银行：                          开户银行：</w:t>
      </w:r>
    </w:p>
    <w:p w14:paraId="114ABF20">
      <w:pPr>
        <w:spacing w:line="276" w:lineRule="auto"/>
        <w:rPr>
          <w:rFonts w:hint="eastAsia" w:ascii="宋体" w:hAnsi="宋体" w:cs="宋体"/>
          <w:bCs/>
          <w:spacing w:val="7"/>
          <w:sz w:val="24"/>
          <w:szCs w:val="24"/>
        </w:rPr>
      </w:pPr>
      <w:r>
        <w:rPr>
          <w:rFonts w:hint="eastAsia" w:ascii="宋体" w:hAnsi="宋体" w:cs="宋体"/>
          <w:bCs/>
          <w:spacing w:val="7"/>
          <w:sz w:val="24"/>
          <w:szCs w:val="24"/>
        </w:rPr>
        <w:t>账    号：                          账    号：</w:t>
      </w:r>
    </w:p>
    <w:p w14:paraId="7B92EE16">
      <w:pPr>
        <w:pStyle w:val="28"/>
        <w:spacing w:line="276" w:lineRule="auto"/>
        <w:rPr>
          <w:rStyle w:val="30"/>
          <w:rFonts w:hint="eastAsia" w:ascii="宋体" w:hAnsi="宋体" w:cs="宋体"/>
          <w:b/>
          <w:bCs w:val="0"/>
          <w:kern w:val="0"/>
          <w:sz w:val="32"/>
          <w:szCs w:val="36"/>
        </w:rPr>
      </w:pPr>
    </w:p>
    <w:p w14:paraId="4EC4BC6D">
      <w:pPr>
        <w:pStyle w:val="28"/>
        <w:spacing w:line="276" w:lineRule="auto"/>
        <w:rPr>
          <w:rStyle w:val="30"/>
          <w:rFonts w:hint="eastAsia" w:ascii="宋体" w:hAnsi="宋体" w:cs="宋体"/>
          <w:b/>
          <w:bCs w:val="0"/>
          <w:kern w:val="0"/>
          <w:sz w:val="32"/>
          <w:szCs w:val="36"/>
        </w:rPr>
      </w:pPr>
    </w:p>
    <w:p w14:paraId="6C7D73F1">
      <w:pPr>
        <w:pStyle w:val="28"/>
        <w:spacing w:line="276" w:lineRule="auto"/>
        <w:outlineLvl w:val="0"/>
        <w:rPr>
          <w:rStyle w:val="30"/>
          <w:rFonts w:hint="eastAsia" w:ascii="宋体" w:hAnsi="宋体" w:cs="宋体"/>
          <w:b/>
          <w:bCs w:val="0"/>
          <w:kern w:val="0"/>
          <w:sz w:val="32"/>
          <w:szCs w:val="36"/>
        </w:rPr>
      </w:pPr>
      <w:bookmarkStart w:id="151" w:name="_Toc11525"/>
      <w:bookmarkStart w:id="152" w:name="_Toc27051"/>
      <w:r>
        <w:rPr>
          <w:rStyle w:val="30"/>
          <w:rFonts w:hint="eastAsia" w:ascii="宋体" w:hAnsi="宋体" w:cs="宋体"/>
          <w:b/>
          <w:bCs w:val="0"/>
          <w:kern w:val="0"/>
          <w:sz w:val="32"/>
          <w:szCs w:val="36"/>
        </w:rPr>
        <w:t>第五章采购内容及要求</w:t>
      </w:r>
      <w:bookmarkEnd w:id="151"/>
    </w:p>
    <w:bookmarkEnd w:id="146"/>
    <w:bookmarkEnd w:id="147"/>
    <w:bookmarkEnd w:id="152"/>
    <w:p w14:paraId="23D5D64B">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153" w:name="_Toc18032"/>
      <w:bookmarkStart w:id="154" w:name="_Toc25817"/>
      <w:bookmarkStart w:id="155" w:name="_Toc5123"/>
      <w:bookmarkStart w:id="156" w:name="_Toc161674182"/>
      <w:bookmarkStart w:id="157" w:name="_Toc147655515"/>
      <w:bookmarkStart w:id="158" w:name="_Toc161674300"/>
      <w:r>
        <w:rPr>
          <w:rFonts w:hint="eastAsia" w:ascii="宋体" w:hAnsi="宋体" w:cs="宋体"/>
          <w:sz w:val="24"/>
          <w:szCs w:val="24"/>
        </w:rPr>
        <w:t>包1：</w:t>
      </w:r>
      <w:bookmarkEnd w:id="153"/>
      <w:bookmarkEnd w:id="154"/>
      <w:bookmarkEnd w:id="155"/>
    </w:p>
    <w:p w14:paraId="5D8ACAE5">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159" w:name="_Toc17937"/>
      <w:bookmarkStart w:id="160" w:name="_Toc16163"/>
      <w:bookmarkStart w:id="161" w:name="_Toc17517"/>
      <w:r>
        <w:rPr>
          <w:rFonts w:hint="eastAsia" w:ascii="宋体" w:hAnsi="宋体" w:cs="宋体"/>
          <w:sz w:val="24"/>
          <w:szCs w:val="24"/>
        </w:rPr>
        <w:t>一、项目</w:t>
      </w:r>
      <w:bookmarkEnd w:id="156"/>
      <w:bookmarkEnd w:id="157"/>
      <w:bookmarkEnd w:id="158"/>
      <w:r>
        <w:rPr>
          <w:rFonts w:hint="eastAsia" w:ascii="宋体" w:hAnsi="宋体" w:cs="宋体"/>
          <w:sz w:val="24"/>
          <w:szCs w:val="24"/>
        </w:rPr>
        <w:t>目标</w:t>
      </w:r>
      <w:bookmarkEnd w:id="159"/>
      <w:bookmarkEnd w:id="160"/>
      <w:bookmarkEnd w:id="161"/>
    </w:p>
    <w:p w14:paraId="30969041">
      <w:pPr>
        <w:adjustRightInd w:val="0"/>
        <w:snapToGrid w:val="0"/>
        <w:spacing w:line="360" w:lineRule="auto"/>
        <w:ind w:firstLine="480" w:firstLineChars="200"/>
        <w:rPr>
          <w:rFonts w:hint="eastAsia" w:ascii="宋体" w:hAnsi="宋体" w:cs="宋体"/>
          <w:sz w:val="24"/>
          <w:szCs w:val="24"/>
        </w:rPr>
      </w:pPr>
      <w:bookmarkStart w:id="162" w:name="OLE_LINK68"/>
      <w:r>
        <w:rPr>
          <w:rFonts w:hint="eastAsia" w:ascii="宋体" w:hAnsi="宋体" w:cs="宋体"/>
          <w:sz w:val="24"/>
          <w:szCs w:val="24"/>
        </w:rPr>
        <w:t>实景三维三门峡是实景三维河南建设的重要组成部分，按照实景三维河南建设总体要求，结合三门峡市实际需求，按照“急用先行、集约节约、突出特色，统一规划、总体推进”的原则，为保障实景三维三门峡建设的顺利实施，按照《实景三维河南建设总体实施方案（2023—2025年）》《关于进一步推进实景三维河南建设工作的意见》《实景三维三门峡建设实施方案（2023—2025年）》等文件精神，2025年底前完成实景三维三门峡的建设工作，为数字三门峡、数字政府和数字经济提供统一的三维空间定位框架和分析基础。</w:t>
      </w:r>
    </w:p>
    <w:bookmarkEnd w:id="162"/>
    <w:p w14:paraId="1B28D805">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163" w:name="_Toc25843"/>
      <w:bookmarkStart w:id="164" w:name="_Toc10191"/>
      <w:bookmarkStart w:id="165" w:name="_Toc8881"/>
      <w:bookmarkStart w:id="166" w:name="OLE_LINK70"/>
      <w:r>
        <w:rPr>
          <w:rFonts w:hint="eastAsia" w:ascii="宋体" w:hAnsi="宋体" w:cs="宋体"/>
          <w:sz w:val="24"/>
          <w:szCs w:val="24"/>
        </w:rPr>
        <w:t>二、项目建设主要内容</w:t>
      </w:r>
      <w:bookmarkEnd w:id="163"/>
      <w:bookmarkEnd w:id="164"/>
      <w:bookmarkEnd w:id="165"/>
    </w:p>
    <w:bookmarkEnd w:id="166"/>
    <w:p w14:paraId="08F3F975">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rPr>
        <w:t>本项目建设内容包括城市级实景三维、数据融合</w:t>
      </w:r>
      <w:r>
        <w:rPr>
          <w:rFonts w:hint="eastAsia" w:ascii="宋体" w:hAnsi="宋体" w:cs="宋体"/>
          <w:sz w:val="24"/>
          <w:szCs w:val="24"/>
          <w:highlight w:val="none"/>
        </w:rPr>
        <w:t>、支撑环境建设三部分内容。</w:t>
      </w:r>
    </w:p>
    <w:p w14:paraId="12B5B57A">
      <w:pPr>
        <w:pStyle w:val="3"/>
        <w:keepNext w:val="0"/>
        <w:keepLines w:val="0"/>
        <w:adjustRightInd w:val="0"/>
        <w:snapToGrid w:val="0"/>
        <w:spacing w:before="0" w:after="0" w:line="360" w:lineRule="auto"/>
        <w:ind w:firstLine="482" w:firstLineChars="200"/>
        <w:rPr>
          <w:rFonts w:hint="eastAsia" w:hAnsi="宋体"/>
          <w:sz w:val="24"/>
          <w:szCs w:val="24"/>
        </w:rPr>
      </w:pPr>
      <w:bookmarkStart w:id="167" w:name="_Toc826"/>
      <w:bookmarkStart w:id="168" w:name="_Toc14678"/>
      <w:bookmarkStart w:id="169" w:name="_Toc195866756"/>
      <w:r>
        <w:rPr>
          <w:rFonts w:hint="eastAsia" w:hAnsi="宋体"/>
          <w:sz w:val="24"/>
          <w:szCs w:val="24"/>
        </w:rPr>
        <w:t>（一）城市级实景三维建设</w:t>
      </w:r>
      <w:bookmarkEnd w:id="167"/>
      <w:bookmarkEnd w:id="168"/>
      <w:bookmarkEnd w:id="169"/>
    </w:p>
    <w:p w14:paraId="5FFFD71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城市级实景三维建设主要包括地理场景和地理实体两部分。</w:t>
      </w:r>
    </w:p>
    <w:p w14:paraId="74EBA263">
      <w:pPr>
        <w:adjustRightInd w:val="0"/>
        <w:snapToGrid w:val="0"/>
        <w:spacing w:line="360" w:lineRule="auto"/>
        <w:ind w:firstLine="482" w:firstLineChars="200"/>
        <w:rPr>
          <w:rFonts w:hint="eastAsia" w:ascii="宋体" w:hAnsi="宋体" w:cs="宋体"/>
          <w:b/>
          <w:sz w:val="24"/>
          <w:szCs w:val="24"/>
        </w:rPr>
      </w:pPr>
      <w:bookmarkStart w:id="170" w:name="_Toc195866757"/>
      <w:r>
        <w:rPr>
          <w:rFonts w:hint="eastAsia" w:ascii="宋体" w:hAnsi="宋体" w:cs="宋体"/>
          <w:b/>
          <w:sz w:val="24"/>
          <w:szCs w:val="24"/>
        </w:rPr>
        <w:t>1.地理场景</w:t>
      </w:r>
      <w:bookmarkEnd w:id="170"/>
    </w:p>
    <w:p w14:paraId="0EC194A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获取0.03米分辨率的倾斜摄影影像、激光点云等数据，制作市本级城镇开发边界范围内0.03米分辨率的倾斜摄影三维模型和TDOM以及优于0.5米格网间距DEM、DSM，覆盖城镇开发边界范围；并对三门峡市主城区和城市主干道两侧的倾斜摄影三维模型进行精细修饰，对重点建（构）筑物进行0.02米倾斜模型制作和单体化，数据整体现势性应优于2023年。</w:t>
      </w:r>
    </w:p>
    <w:p w14:paraId="337142C2">
      <w:pPr>
        <w:adjustRightInd w:val="0"/>
        <w:snapToGrid w:val="0"/>
        <w:spacing w:line="360" w:lineRule="auto"/>
        <w:ind w:firstLine="482" w:firstLineChars="200"/>
        <w:rPr>
          <w:rFonts w:hint="eastAsia" w:ascii="宋体" w:hAnsi="宋体" w:cs="宋体"/>
          <w:b/>
          <w:sz w:val="24"/>
          <w:szCs w:val="24"/>
        </w:rPr>
      </w:pPr>
      <w:bookmarkStart w:id="171" w:name="_Toc195866758"/>
      <w:r>
        <w:rPr>
          <w:rFonts w:hint="eastAsia" w:ascii="宋体" w:hAnsi="宋体" w:cs="宋体"/>
          <w:b/>
          <w:sz w:val="24"/>
          <w:szCs w:val="24"/>
        </w:rPr>
        <w:t>2.基础地理实体</w:t>
      </w:r>
      <w:bookmarkEnd w:id="171"/>
    </w:p>
    <w:p w14:paraId="1B1ACFC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基于原有大比例基础地理信息要素数据转换生产城市级基础地理实体数据，整体现势性优于2023年，覆盖三门峡城镇开发边界范围，并开展该范围内建（构）筑物城市三维模型（LOD1.3级）快速构建。</w:t>
      </w:r>
      <w:bookmarkStart w:id="172" w:name="_Toc195866759"/>
      <w:bookmarkStart w:id="173" w:name="_Toc19260"/>
    </w:p>
    <w:p w14:paraId="6EA14A06">
      <w:pPr>
        <w:pStyle w:val="3"/>
        <w:keepNext w:val="0"/>
        <w:keepLines w:val="0"/>
        <w:adjustRightInd w:val="0"/>
        <w:snapToGrid w:val="0"/>
        <w:spacing w:before="0" w:after="0" w:line="360" w:lineRule="auto"/>
        <w:ind w:firstLine="482" w:firstLineChars="200"/>
        <w:rPr>
          <w:rFonts w:hint="eastAsia" w:hAnsi="宋体"/>
          <w:sz w:val="24"/>
          <w:szCs w:val="24"/>
        </w:rPr>
      </w:pPr>
      <w:bookmarkStart w:id="174" w:name="_Toc31478"/>
      <w:bookmarkStart w:id="175" w:name="_Toc19372"/>
      <w:r>
        <w:rPr>
          <w:rFonts w:hint="eastAsia" w:hAnsi="宋体"/>
          <w:sz w:val="24"/>
          <w:szCs w:val="24"/>
        </w:rPr>
        <w:t>（二）数据融合</w:t>
      </w:r>
      <w:bookmarkEnd w:id="172"/>
      <w:bookmarkEnd w:id="174"/>
      <w:bookmarkEnd w:id="175"/>
    </w:p>
    <w:p w14:paraId="3CA1AE62">
      <w:pPr>
        <w:adjustRightInd w:val="0"/>
        <w:snapToGrid w:val="0"/>
        <w:spacing w:line="360" w:lineRule="auto"/>
        <w:ind w:firstLine="482" w:firstLineChars="200"/>
        <w:rPr>
          <w:rFonts w:hint="eastAsia" w:ascii="宋体" w:hAnsi="宋体" w:cs="宋体"/>
          <w:b/>
          <w:sz w:val="24"/>
          <w:szCs w:val="24"/>
        </w:rPr>
      </w:pPr>
      <w:bookmarkStart w:id="176" w:name="_Toc195866760"/>
      <w:r>
        <w:rPr>
          <w:rFonts w:hint="eastAsia" w:ascii="宋体" w:hAnsi="宋体" w:cs="宋体"/>
          <w:b/>
          <w:sz w:val="24"/>
          <w:szCs w:val="24"/>
        </w:rPr>
        <w:t>1.三维模型轻量化</w:t>
      </w:r>
      <w:bookmarkEnd w:id="176"/>
    </w:p>
    <w:p w14:paraId="21ABB62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由于三维模型数据量较大，直接调用速率较低，不能达到应用需求。通过模型化简方法对三维模型数据进行多细节层级处理，提高大规模数据渲染效果与性能，满足多终端、多场景的可视化与统计分析应用需求。</w:t>
      </w:r>
    </w:p>
    <w:p w14:paraId="5377B3C2">
      <w:pPr>
        <w:adjustRightInd w:val="0"/>
        <w:snapToGrid w:val="0"/>
        <w:spacing w:line="360" w:lineRule="auto"/>
        <w:ind w:firstLine="482" w:firstLineChars="200"/>
        <w:rPr>
          <w:rFonts w:hint="eastAsia" w:ascii="宋体" w:hAnsi="宋体" w:cs="宋体"/>
          <w:b/>
          <w:sz w:val="24"/>
          <w:szCs w:val="24"/>
        </w:rPr>
      </w:pPr>
      <w:bookmarkStart w:id="177" w:name="_Toc195866761"/>
      <w:r>
        <w:rPr>
          <w:rFonts w:hint="eastAsia" w:ascii="宋体" w:hAnsi="宋体" w:cs="宋体"/>
          <w:b/>
          <w:sz w:val="24"/>
          <w:szCs w:val="24"/>
        </w:rPr>
        <w:t>2.地形级三维模型与城市级三维模型融合</w:t>
      </w:r>
      <w:bookmarkEnd w:id="177"/>
      <w:r>
        <w:rPr>
          <w:rFonts w:hint="eastAsia" w:ascii="宋体" w:hAnsi="宋体" w:cs="宋体"/>
          <w:b/>
          <w:sz w:val="24"/>
          <w:szCs w:val="24"/>
        </w:rPr>
        <w:t xml:space="preserve"> </w:t>
      </w:r>
    </w:p>
    <w:p w14:paraId="3237FF2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为满足实际应用需求，实景三维三门峡相关数据建设完成后，需要完成三门峡范围内地形级三维模型与城市级三维模型融合以及相邻区域城市级地理实体数据接边，满足省级数据、市级数据的对接应用需求，构建三门峡实景三维一张图。</w:t>
      </w:r>
    </w:p>
    <w:p w14:paraId="294467AA">
      <w:pPr>
        <w:adjustRightInd w:val="0"/>
        <w:snapToGrid w:val="0"/>
        <w:spacing w:line="360" w:lineRule="auto"/>
        <w:ind w:firstLine="482" w:firstLineChars="200"/>
        <w:rPr>
          <w:rFonts w:hint="eastAsia" w:ascii="宋体" w:hAnsi="宋体" w:cs="宋体"/>
          <w:b/>
          <w:sz w:val="24"/>
          <w:szCs w:val="24"/>
        </w:rPr>
      </w:pPr>
      <w:bookmarkStart w:id="178" w:name="_Toc195866762"/>
      <w:r>
        <w:rPr>
          <w:rFonts w:hint="eastAsia" w:ascii="宋体" w:hAnsi="宋体" w:cs="宋体"/>
          <w:b/>
          <w:sz w:val="24"/>
          <w:szCs w:val="24"/>
        </w:rPr>
        <w:t>3.物联感知数据接入与融合</w:t>
      </w:r>
      <w:bookmarkEnd w:id="173"/>
      <w:bookmarkEnd w:id="178"/>
    </w:p>
    <w:p w14:paraId="4049BF3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在基础地理实体与地理场景的基础上，将地理实体与地形场景相融合，真正做到立体化、实体化和真实化。同时可实时接入自然资源、农业农村等相关部门的视频监控及传感器数据。</w:t>
      </w:r>
    </w:p>
    <w:p w14:paraId="6838C438">
      <w:pPr>
        <w:adjustRightInd w:val="0"/>
        <w:snapToGrid w:val="0"/>
        <w:spacing w:line="360" w:lineRule="auto"/>
        <w:ind w:firstLine="482" w:firstLineChars="200"/>
        <w:rPr>
          <w:rFonts w:hint="eastAsia" w:ascii="宋体" w:hAnsi="宋体" w:cs="宋体"/>
          <w:b/>
          <w:sz w:val="24"/>
          <w:szCs w:val="24"/>
        </w:rPr>
      </w:pPr>
      <w:bookmarkStart w:id="179" w:name="_Toc195866764"/>
      <w:r>
        <w:rPr>
          <w:rFonts w:hint="eastAsia" w:ascii="宋体" w:hAnsi="宋体" w:cs="宋体"/>
          <w:b/>
          <w:sz w:val="24"/>
          <w:szCs w:val="24"/>
        </w:rPr>
        <w:t>4.数据库建设</w:t>
      </w:r>
      <w:bookmarkEnd w:id="179"/>
    </w:p>
    <w:p w14:paraId="64CC772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按照分级建设模式，采用自底向上，逐级汇聚，建设地理场景数据库、基础地理实体数据库以及元数据库，实景三维数据库主要包括：</w:t>
      </w:r>
    </w:p>
    <w:p w14:paraId="1302FE3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（1）优于0.5米格网间距DEM、DSM数据库；</w:t>
      </w:r>
    </w:p>
    <w:p w14:paraId="74DF338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（2）0.03米分辨率倾斜摄影三维模型数据库；</w:t>
      </w:r>
    </w:p>
    <w:p w14:paraId="31C9DBE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（3）0.03米分辨率TDOM数据库；</w:t>
      </w:r>
    </w:p>
    <w:p w14:paraId="2805F69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（4）城市级基础地理实体数据库；</w:t>
      </w:r>
    </w:p>
    <w:p w14:paraId="07D12E1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（5）城市三维模型（LOD1.3级）数据库；</w:t>
      </w:r>
    </w:p>
    <w:p w14:paraId="7EE1BCC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（6）各类数据成果的元数据库。</w:t>
      </w:r>
    </w:p>
    <w:p w14:paraId="35154198">
      <w:pPr>
        <w:adjustRightInd w:val="0"/>
        <w:snapToGrid w:val="0"/>
        <w:spacing w:line="360" w:lineRule="auto"/>
        <w:ind w:firstLine="482" w:firstLineChars="200"/>
        <w:rPr>
          <w:rFonts w:hint="eastAsia" w:ascii="宋体" w:hAnsi="宋体" w:cs="宋体"/>
          <w:b/>
          <w:sz w:val="24"/>
          <w:szCs w:val="24"/>
        </w:rPr>
      </w:pPr>
      <w:bookmarkStart w:id="180" w:name="_Toc195866765"/>
      <w:r>
        <w:rPr>
          <w:rFonts w:hint="eastAsia" w:ascii="宋体" w:hAnsi="宋体" w:cs="宋体"/>
          <w:b/>
          <w:sz w:val="24"/>
          <w:szCs w:val="24"/>
        </w:rPr>
        <w:t>5.电子地图制作</w:t>
      </w:r>
      <w:bookmarkEnd w:id="180"/>
    </w:p>
    <w:p w14:paraId="0B82296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利用已有的大比例尺DLG数据与DOM数据、实景三维模型数据进行叠加，根据电子地图制作规范，在不同比例尺显示不同内容的标注信息，并对电子地图成果进行切片缓存，提升展示和浏览效果。</w:t>
      </w:r>
    </w:p>
    <w:p w14:paraId="1B7A3AD1">
      <w:pPr>
        <w:spacing w:line="360" w:lineRule="auto"/>
        <w:ind w:firstLine="482" w:firstLineChars="200"/>
        <w:outlineLvl w:val="1"/>
        <w:rPr>
          <w:rFonts w:hint="eastAsia" w:ascii="宋体" w:hAnsi="宋体" w:cs="宋体"/>
          <w:b/>
          <w:sz w:val="24"/>
          <w:szCs w:val="24"/>
          <w:highlight w:val="none"/>
        </w:rPr>
      </w:pPr>
      <w:bookmarkStart w:id="181" w:name="_Toc195866768"/>
      <w:bookmarkStart w:id="182" w:name="_Toc15957"/>
      <w:bookmarkStart w:id="183" w:name="_Toc6732"/>
      <w:bookmarkStart w:id="184" w:name="_Toc22267"/>
      <w:bookmarkStart w:id="185" w:name="OLE_LINK73"/>
      <w:bookmarkStart w:id="186" w:name="OLE_LINK72"/>
      <w:r>
        <w:rPr>
          <w:rFonts w:hint="eastAsia" w:ascii="宋体" w:hAnsi="宋体" w:cs="宋体"/>
          <w:b/>
          <w:sz w:val="24"/>
          <w:szCs w:val="24"/>
          <w:highlight w:val="none"/>
        </w:rPr>
        <w:t>（三）支撑环境建设</w:t>
      </w:r>
      <w:bookmarkEnd w:id="181"/>
    </w:p>
    <w:p w14:paraId="3B2F2FD4">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支撑环境建设主要内容包括涉密基础地理信息数据存储、管理、分发和应用等方面的软件系统，以及支撑上述软件运行的硬件及网络基础设施等。按照自主可控的要求，鼓励采用国产软件，开展支撑环境建设。</w:t>
      </w:r>
    </w:p>
    <w:p w14:paraId="1C4AB1EF">
      <w:pPr>
        <w:pStyle w:val="2"/>
        <w:keepNext w:val="0"/>
        <w:keepLines w:val="0"/>
        <w:adjustRightInd w:val="0"/>
        <w:snapToGrid w:val="0"/>
        <w:spacing w:before="0" w:after="0" w:line="360" w:lineRule="auto"/>
        <w:ind w:firstLine="482" w:firstLineChars="200"/>
        <w:rPr>
          <w:rFonts w:hint="eastAsia" w:ascii="宋体" w:hAnsi="宋体" w:cs="宋体"/>
          <w:sz w:val="24"/>
          <w:szCs w:val="24"/>
        </w:rPr>
      </w:pPr>
      <w:r>
        <w:rPr>
          <w:rFonts w:hint="eastAsia" w:ascii="宋体" w:hAnsi="宋体" w:cs="宋体"/>
          <w:sz w:val="24"/>
          <w:szCs w:val="24"/>
        </w:rPr>
        <w:t>三、技术要求</w:t>
      </w:r>
      <w:bookmarkEnd w:id="182"/>
      <w:bookmarkEnd w:id="183"/>
      <w:bookmarkEnd w:id="184"/>
    </w:p>
    <w:bookmarkEnd w:id="185"/>
    <w:bookmarkEnd w:id="186"/>
    <w:p w14:paraId="7898D019">
      <w:pPr>
        <w:adjustRightInd w:val="0"/>
        <w:snapToGrid w:val="0"/>
        <w:spacing w:line="360" w:lineRule="auto"/>
        <w:ind w:firstLine="482" w:firstLineChars="200"/>
        <w:rPr>
          <w:rFonts w:hint="eastAsia" w:ascii="宋体" w:hAnsi="宋体" w:cs="宋体"/>
          <w:b/>
          <w:sz w:val="24"/>
          <w:szCs w:val="24"/>
        </w:rPr>
      </w:pPr>
      <w:bookmarkStart w:id="187" w:name="_Toc11791"/>
      <w:bookmarkStart w:id="188" w:name="_Toc2159"/>
      <w:bookmarkStart w:id="189" w:name="_Toc28744"/>
      <w:bookmarkStart w:id="190" w:name="_Toc12404"/>
      <w:bookmarkStart w:id="191" w:name="_Toc6521"/>
      <w:r>
        <w:rPr>
          <w:rFonts w:hint="eastAsia" w:ascii="宋体" w:hAnsi="宋体" w:cs="宋体"/>
          <w:b/>
          <w:sz w:val="24"/>
          <w:szCs w:val="24"/>
        </w:rPr>
        <w:t>（一）总体技术指标</w:t>
      </w:r>
      <w:bookmarkEnd w:id="187"/>
      <w:bookmarkEnd w:id="188"/>
    </w:p>
    <w:p w14:paraId="19744AB7">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1.技术依据</w:t>
      </w:r>
    </w:p>
    <w:p w14:paraId="1D631D3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项目建设应符合《新型基础测绘与实景三维中国建设技术文件》系列技术规程、《实景三维中国建设技术大纲（2024版）》《实景三维河南建设总体实施方案（2023—2025）》《实景三维三门峡建设总体实施方案（2023—2025年）》及相关文件要求。</w:t>
      </w:r>
    </w:p>
    <w:p w14:paraId="7E653699">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2.数据要求</w:t>
      </w:r>
    </w:p>
    <w:p w14:paraId="0BEC877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（1）坐标系统：采用2000国家大地坐标系（China Geodetic Coordinate System 2000，CGCS2000）。</w:t>
      </w:r>
    </w:p>
    <w:p w14:paraId="0C14B74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（2）高程基准：采用1985国家高程基准，高程系统为正常高；高程值单位为“米”。</w:t>
      </w:r>
    </w:p>
    <w:p w14:paraId="11C794E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（3）投影方式：高斯-克吕格投影，3度分带。</w:t>
      </w:r>
    </w:p>
    <w:p w14:paraId="30A83CA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（4）时间基准：采用公元纪年和北京时间（UTC+8:00）。</w:t>
      </w:r>
    </w:p>
    <w:p w14:paraId="412BD199">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（5）现势性要求：本次新生产数据现势性优于2024年。</w:t>
      </w:r>
    </w:p>
    <w:p w14:paraId="4914A8E2">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3.数据格式</w:t>
      </w:r>
    </w:p>
    <w:p w14:paraId="389FB8D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（1）0.03米倾斜摄影单片影像数据采用TIF格式。</w:t>
      </w:r>
    </w:p>
    <w:p w14:paraId="62823E8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（2）0.03米倾斜模型、0.02米单体化模型采用OSGB、OBJ、S3MB等通用格式。</w:t>
      </w:r>
    </w:p>
    <w:p w14:paraId="39A4E27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（3）激光点云数据采用LAS格式。</w:t>
      </w:r>
    </w:p>
    <w:p w14:paraId="0591800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（4）DEM、DSM、TDOM数据采用TIFF、Image等通用格式。</w:t>
      </w:r>
    </w:p>
    <w:p w14:paraId="39EA0D6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（5）二维基础地理实体数据采用GDB格式。</w:t>
      </w:r>
    </w:p>
    <w:p w14:paraId="6310CF0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（6）LOD1.3级城市三维模型数据格式采用OBJ，属性数据格式采用SHP。</w:t>
      </w:r>
    </w:p>
    <w:p w14:paraId="16E2481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（7）电子地图数据集在线服务格式采用 WMTS、WFS、3DTiles、S3M、I3S等。</w:t>
      </w:r>
    </w:p>
    <w:p w14:paraId="01F51F7C">
      <w:pPr>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（8）城市三维模型（LOD1.3 级）元数据格式为XLS，其他数据元数据格式为MDB。</w:t>
      </w:r>
    </w:p>
    <w:p w14:paraId="33C58C33">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4.成果内容</w:t>
      </w:r>
    </w:p>
    <w:p w14:paraId="3CA0443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本项目成果以电子、纸质文档形式交付。成果目录组织按照河南省自然资源厅实景三维成果汇交要求执行。</w:t>
      </w:r>
    </w:p>
    <w:p w14:paraId="6B64D71A">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（1）数据成果</w:t>
      </w:r>
    </w:p>
    <w:p w14:paraId="169CEF5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1）城镇开发边界内无图区范围160平方千米0.03米分辨率倾斜航摄影像数据；</w:t>
      </w:r>
    </w:p>
    <w:p w14:paraId="1D96AFD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2）城镇开发边界范围内160平方千米LIDAR激光点云数据；</w:t>
      </w:r>
    </w:p>
    <w:p w14:paraId="38E5107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3）城镇开发边界范围内160平方千米0.03米分辨率倾三维模型成果；</w:t>
      </w:r>
    </w:p>
    <w:p w14:paraId="46B5900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4）城镇开发边界范围内160平方千米0.5米格网DEM、DSM成果；</w:t>
      </w:r>
    </w:p>
    <w:p w14:paraId="3E6249F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5）城镇开发边界范围内160平方千米0.05米分辨率TDOM 成果；</w:t>
      </w:r>
    </w:p>
    <w:p w14:paraId="5BBD174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6）城镇开发边界范围内160平方千米1:1000 DLG成果；</w:t>
      </w:r>
    </w:p>
    <w:p w14:paraId="003394C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7）城镇开发边界范围内160平方千米基础地理实体数据；</w:t>
      </w:r>
    </w:p>
    <w:p w14:paraId="55DF6BC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w:t>
      </w:r>
      <w:bookmarkStart w:id="192" w:name="OLE_LINK25"/>
      <w:r>
        <w:rPr>
          <w:rFonts w:hint="eastAsia" w:ascii="宋体" w:hAnsi="宋体" w:cs="宋体"/>
          <w:sz w:val="24"/>
          <w:szCs w:val="24"/>
        </w:rPr>
        <w:t>城镇开发边界范围160平方千米城市三维模型（LOD1.3级）成果；</w:t>
      </w:r>
      <w:bookmarkEnd w:id="192"/>
    </w:p>
    <w:p w14:paraId="7736E18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9）重点区域50KM²、重点道路两侧154KM模型精修成果；</w:t>
      </w:r>
    </w:p>
    <w:p w14:paraId="0F76C24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10）分辨率优于0.02分辨率单体化模型；</w:t>
      </w:r>
    </w:p>
    <w:p w14:paraId="5A08B7B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11）城镇开发边界范围160</w:t>
      </w:r>
      <w:bookmarkStart w:id="193" w:name="OLE_LINK28"/>
      <w:bookmarkStart w:id="194" w:name="OLE_LINK27"/>
      <w:r>
        <w:rPr>
          <w:rFonts w:hint="eastAsia" w:ascii="宋体" w:hAnsi="宋体" w:cs="宋体"/>
          <w:sz w:val="24"/>
          <w:szCs w:val="24"/>
        </w:rPr>
        <w:t>平方千米三维模型轻量化成果</w:t>
      </w:r>
      <w:bookmarkEnd w:id="193"/>
      <w:bookmarkEnd w:id="194"/>
      <w:r>
        <w:rPr>
          <w:rFonts w:hint="eastAsia" w:ascii="宋体" w:hAnsi="宋体" w:cs="宋体"/>
          <w:sz w:val="24"/>
          <w:szCs w:val="24"/>
        </w:rPr>
        <w:t>；</w:t>
      </w:r>
    </w:p>
    <w:p w14:paraId="1B7E07E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12）三门峡市域2600平方千米地形级和城市级数据融合成果；</w:t>
      </w:r>
    </w:p>
    <w:p w14:paraId="4D0324B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13）物联感知接入与融合数据；</w:t>
      </w:r>
    </w:p>
    <w:p w14:paraId="0CA4E9A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14）电子地图数据成果。</w:t>
      </w:r>
    </w:p>
    <w:p w14:paraId="2DA4B610">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（2）数据库成果</w:t>
      </w:r>
    </w:p>
    <w:p w14:paraId="22E94A1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1）地理场景数据库</w:t>
      </w:r>
    </w:p>
    <w:p w14:paraId="6ACC631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包括DEM、DSM、TDOM、倾斜摄影三维模型数据库等。</w:t>
      </w:r>
    </w:p>
    <w:p w14:paraId="3E026A8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2）数字线划图（DLG）数据库</w:t>
      </w:r>
    </w:p>
    <w:p w14:paraId="7DBDC2F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1∶1000比例尺DLG数据库。</w:t>
      </w:r>
    </w:p>
    <w:p w14:paraId="73EC61B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3）基础地理实体数据库</w:t>
      </w:r>
    </w:p>
    <w:p w14:paraId="4E6E162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包括城市级基础地理实体数据库和城市三维模型（LOD1.3级）数据库。</w:t>
      </w:r>
    </w:p>
    <w:p w14:paraId="7055B50E">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（3）支撑环境成果</w:t>
      </w:r>
    </w:p>
    <w:p w14:paraId="230FCBD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1）实景三维数据库管理系统；</w:t>
      </w:r>
    </w:p>
    <w:p w14:paraId="300B53A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2）数据存储、管理应用等硬件基础设施；</w:t>
      </w:r>
    </w:p>
    <w:p w14:paraId="3D957DD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3）GIS基础软件；</w:t>
      </w:r>
    </w:p>
    <w:p w14:paraId="2B08ABB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4）多测合一信息服务平台。</w:t>
      </w:r>
    </w:p>
    <w:p w14:paraId="06AF8D4E">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（4）文档资料</w:t>
      </w:r>
    </w:p>
    <w:p w14:paraId="17CCA14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项目总体文档成果包括：项目技术设计书、项目技术总结、项目工作报告、项目成果质量检查报告、项目成果质量检验报告、项目验收报告等。</w:t>
      </w:r>
    </w:p>
    <w:p w14:paraId="2055217A">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5.质量要求</w:t>
      </w:r>
    </w:p>
    <w:p w14:paraId="7CF20D9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实景三维成果须通过省级测绘产品质量检验机构检验，质量合格率达到100%，成果质量优良品率达到80%以上。</w:t>
      </w:r>
    </w:p>
    <w:p w14:paraId="6D0197D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质量控制严格按照“两级检查、一级验收”制度这项基本原则执行，由中标（成交）单位负责两级检查。在质检过程中要严格遵循项目技术文件中的技术指标、规格和要求，确保成果质量合格。</w:t>
      </w:r>
    </w:p>
    <w:p w14:paraId="712A7EA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采购单位会同省级测绘产品质量检验机构对项目成果进行质量检验，中标（成交）供应商予以配合。</w:t>
      </w:r>
    </w:p>
    <w:p w14:paraId="06499008">
      <w:pPr>
        <w:adjustRightInd w:val="0"/>
        <w:snapToGrid w:val="0"/>
        <w:spacing w:line="360" w:lineRule="auto"/>
        <w:ind w:firstLine="482" w:firstLineChars="200"/>
        <w:rPr>
          <w:rFonts w:hint="eastAsia" w:ascii="宋体" w:hAnsi="宋体" w:cs="宋体"/>
          <w:b/>
          <w:sz w:val="24"/>
          <w:szCs w:val="24"/>
        </w:rPr>
      </w:pPr>
      <w:bookmarkStart w:id="195" w:name="_Toc31157"/>
      <w:bookmarkStart w:id="196" w:name="_Toc13820"/>
      <w:r>
        <w:rPr>
          <w:rFonts w:hint="eastAsia" w:ascii="宋体" w:hAnsi="宋体" w:cs="宋体"/>
          <w:b/>
          <w:sz w:val="24"/>
          <w:szCs w:val="24"/>
        </w:rPr>
        <w:t>（二）专业技术要求</w:t>
      </w:r>
      <w:bookmarkEnd w:id="195"/>
      <w:bookmarkEnd w:id="196"/>
    </w:p>
    <w:p w14:paraId="4F2741C5">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 分辨率0.03米倾斜摄影</w:t>
      </w:r>
    </w:p>
    <w:p w14:paraId="30130B9E">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（1）相关指标参照GB/T 39610-2020《倾斜数字航空摄影技术规程》、CH/T 3021-2018《倾斜数字航空摄影技术规程》执行。具体航摄要求如下。</w:t>
      </w:r>
    </w:p>
    <w:p w14:paraId="65B1793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（2）航摄种类：倾斜数字航空摄影。</w:t>
      </w:r>
    </w:p>
    <w:p w14:paraId="64837A5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（3）影像地面分辨率：0.03米（下视）。</w:t>
      </w:r>
    </w:p>
    <w:p w14:paraId="22F902C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航摄分区：航摄分区界线应与图廓线相一致。航线一般按东西向平行于图廓线直线飞行，特定条件下亦可作南北向飞行或沿线路、河流、境界等方向飞行；在满足分辨率与重叠度要求的前提下，航摄分区的跨度应尽量大。</w:t>
      </w:r>
    </w:p>
    <w:p w14:paraId="45ECFF8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（5）航线敷设：航线按摄区范围特征直线敷设；曝光点的分布依地形起伏、建筑物高低采用DEM或DSM 设计；摄影区域含有水域时，航线应尽量避免垂直影像像主点落水。航摄成果用于三维建模时，对建筑物低矮、稀疏区域可根据大部分建筑物分布、朝向以及地形敷设；对建筑物高大、密集区域宜纵横交叉敷设或加大航向旁向重叠度。</w:t>
      </w:r>
    </w:p>
    <w:p w14:paraId="30130F4B">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（6）摄区、分区航线覆盖：保证摄区边缘区域倾斜视角影像的覆盖范围，旁向范围超出摄区边界不少于3条航线；航向超出摄区边界不少于7条基线，覆盖不全须补测。分区的覆盖要求与摄区覆盖的要求相同。</w:t>
      </w:r>
    </w:p>
    <w:p w14:paraId="663E8DC1">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（7）垂直影像重叠度：航向重叠度和旁向重叠度均不低于70%，考虑城市地区建筑物遮挡等因素，应适当加大重叠度。</w:t>
      </w:r>
    </w:p>
    <w:p w14:paraId="08D1195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（8）倾斜影像重叠度：当满足垂直影像重叠度后，倾斜影像的航向和旁向重叠度可不再重新设计。</w:t>
      </w:r>
    </w:p>
    <w:p w14:paraId="58C57ACA">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垂直影像倾角和旋角：垂直影像倾角一般应不大于6°，最大应不大于10°。垂直影像旋角一般应不大于25°；在确保像片航向和旁向重叠度满足要求的前提下最大不超过35°；同一航线连续达到或接近最大旋偏角的像片数不应超过3张；同一摄区出现最大旋偏角的像片数不应大于摄区像片总数的4%。</w:t>
      </w:r>
    </w:p>
    <w:p w14:paraId="2B0477F8">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（10）航高保持：同一航线上相邻影像的航高差应不大于30m，最大航高与最小航高之差应不大于50m，实际航高与设计航高之差应不大于50m。</w:t>
      </w:r>
    </w:p>
    <w:p w14:paraId="657B1DBD">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（11）航线弯曲度：航线弯曲度应不大于1%，当航线长度小于5000m时，航线弯曲度最大不大于3%。</w:t>
      </w:r>
    </w:p>
    <w:p w14:paraId="3F30C1CA">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（12）影像质量要求：影像应清晰，层次丰富，反差适中，色调柔和，应能辨认出与地面分辨率相适应的细小地物影像，能够建立清晰的立体模型。影像上不应有云、云影、烟、大面积反光、污点等缺陷。</w:t>
      </w:r>
    </w:p>
    <w:p w14:paraId="4C872BF6">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（13）航摄时间：在规定的航摄期限内，选择对成图影响较小、云雾少、无扬尘（沙）、光照充足、大气透明度好的晴或多云天气进行摄影。</w:t>
      </w:r>
    </w:p>
    <w:p w14:paraId="78AE6470">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补摄与重摄：航摄过程中出现的绝对漏洞、相对漏洞及其它严重缺陷必须及时补摄，补摄航线的长度应超出漏洞外五条基线；当某段POS数据经分析后无法使用，应对该段航线进行补摄，补摄航线的长度应超出该段航线外五条基线；应采用前一次航摄飞行的同型号倾斜数字航摄仪补摄。</w:t>
      </w:r>
    </w:p>
    <w:p w14:paraId="5550285A">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2.激光点云数据获取</w:t>
      </w:r>
    </w:p>
    <w:p w14:paraId="7F28F4B6">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航摄分区应综合考虑地形类型、激光有效距离、航线长度等情况进行设计；航线敷设应考虑 IMU 误差累积确定每条航线飞行时间，一条航线飞行时间一般不超过30分钟；飞行高度及航速设计应综合考虑点云密度、精度要求等。</w:t>
      </w:r>
    </w:p>
    <w:p w14:paraId="6140D929">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（1）选用的机载激光扫描仪、POS系统、GNSS接收机应满足规范要求，航摄飞行实施参照 CH/T 8024-2011 执行。</w:t>
      </w:r>
    </w:p>
    <w:p w14:paraId="0FD7DB3B">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（2）飞行季节和时间：在规定的期限内，尽量选择地面无积雪、植被稀疏的季节，同时考虑云量、云高等因素，根据实际情况可选择夜间获取。</w:t>
      </w:r>
    </w:p>
    <w:p w14:paraId="67021809">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（3）飞行质量</w:t>
      </w:r>
    </w:p>
    <w:p w14:paraId="5660F48C">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1）覆盖保证</w:t>
      </w:r>
    </w:p>
    <w:p w14:paraId="6092928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航线敷设：原则上要求按常规方法敷设，正东正西或正南正北方向敷设。对于不规则摄区，可根据摄区范围、摄区内地形特点等，采用非常规方法敷设。</w:t>
      </w:r>
    </w:p>
    <w:p w14:paraId="720CF01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旁向覆盖：航线旁向重叠设计应达到20%，最少为13%，应保证飞行倾斜姿态变化较大情况下不产生数据覆盖漏洞。航向起始和结束应超出半幅图幅范围，旁向应超出半幅图幅范围，超出部分不少于500米，不大于2000米。</w:t>
      </w:r>
    </w:p>
    <w:p w14:paraId="75632CB1">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分区覆盖：各分区应分别满足本分区旁向覆盖和航向覆盖。</w:t>
      </w:r>
    </w:p>
    <w:p w14:paraId="78B68533">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2）旁向重叠</w:t>
      </w:r>
    </w:p>
    <w:p w14:paraId="0D20DBF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点云旁向重叠不低于20%，丘陵、山地及建筑物密集地区，设计时适当加大重叠。</w:t>
      </w:r>
    </w:p>
    <w:p w14:paraId="40A3052B">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3）航高保持</w:t>
      </w:r>
    </w:p>
    <w:p w14:paraId="490A212E">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相对航高应综合考虑点云密度、影像分辨率、精度要求等，原则上要求采用同一高。航高保持原则上要求同一航线航高变化不大于相对航高的5%-10%，实际航高变化不大于设计航高的 5%-10%。</w:t>
      </w:r>
    </w:p>
    <w:p w14:paraId="24A7C465">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4）航速保持</w:t>
      </w:r>
    </w:p>
    <w:p w14:paraId="532612A2">
      <w:pPr>
        <w:adjustRightInd w:val="0"/>
        <w:snapToGrid w:val="0"/>
        <w:spacing w:line="360" w:lineRule="auto"/>
        <w:ind w:firstLine="480" w:firstLineChars="200"/>
        <w:rPr>
          <w:rFonts w:hint="eastAsia" w:ascii="宋体" w:hAnsi="宋体" w:cs="宋体"/>
          <w:b/>
          <w:sz w:val="24"/>
          <w:szCs w:val="24"/>
        </w:rPr>
      </w:pPr>
      <w:r>
        <w:rPr>
          <w:rFonts w:hint="eastAsia" w:ascii="宋体" w:hAnsi="宋体" w:cs="宋体"/>
          <w:sz w:val="24"/>
          <w:szCs w:val="24"/>
        </w:rPr>
        <w:t>飞行速度根据点云密度、精度要求及地形起伏、激光频率等确定，摄区内飞行速度尽可能保持一致，在一条航线内，飞机上升、下降速率不大</w:t>
      </w:r>
      <w:r>
        <w:rPr>
          <w:rFonts w:hint="eastAsia" w:ascii="宋体" w:hAnsi="宋体" w:cs="宋体"/>
          <w:b/>
          <w:sz w:val="24"/>
          <w:szCs w:val="24"/>
        </w:rPr>
        <w:t>于 10m/s。</w:t>
      </w:r>
    </w:p>
    <w:p w14:paraId="76A5B6AD">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5）姿态保持</w:t>
      </w:r>
    </w:p>
    <w:p w14:paraId="4E5E0548">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①航线俯仰角、侧翻角一般不大于2°，最大不超过4°；</w:t>
      </w:r>
    </w:p>
    <w:p w14:paraId="07FD6D82">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②飞机转弯时，坡度不大于15°，最大不超过 22°；</w:t>
      </w:r>
    </w:p>
    <w:p w14:paraId="205EB93E">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③航线弯曲度不大于3%；</w:t>
      </w:r>
    </w:p>
    <w:p w14:paraId="6CF54F05">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④需要时，为避免 IMU 误差积累，每次进入测区前，飞机应先平飞 3至5 分钟，再做个“8”字形飞行；当次飞行结束后，飞机应先做“8”字形飞行后平飞3至5 分钟。</w:t>
      </w:r>
    </w:p>
    <w:p w14:paraId="19E5684E">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（4）补飞或重飞</w:t>
      </w:r>
    </w:p>
    <w:p w14:paraId="10DF4AF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数据获取应全覆盖测区范围，不得有漏洞，有以下情形应及时补飞或重飞：</w:t>
      </w:r>
    </w:p>
    <w:p w14:paraId="614C666F">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1）POS系统局部数据记录缺失；</w:t>
      </w:r>
    </w:p>
    <w:p w14:paraId="4B0295B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2）其他情况根据各个设备评价指标检查是否满足要求，并决定是否补飞或重飞；</w:t>
      </w:r>
    </w:p>
    <w:p w14:paraId="3D35EB0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3）原始数据质量存在局部缺陷而影响点云的精度或密度；</w:t>
      </w:r>
    </w:p>
    <w:p w14:paraId="5885BD0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补飞或重飞航线的两端一般应超出补飞范围外半幅图，超出部分不小于500m，且不大于2000m，并应满足与原航线的旁向与航向重叠要求。</w:t>
      </w:r>
    </w:p>
    <w:p w14:paraId="1DB0FDA6">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（5）激光点云成果规格要求：①点云密度要求：≥16点/平方米，②点云数据高程要求：点云数据高程中误差优于0.15米。</w:t>
      </w:r>
    </w:p>
    <w:p w14:paraId="29FF8FD0">
      <w:pPr>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3.倾斜摄影模型和TDOM制作</w:t>
      </w:r>
    </w:p>
    <w:p w14:paraId="4C3CF57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（1）倾斜摄影模型制作</w:t>
      </w:r>
    </w:p>
    <w:p w14:paraId="59A23E2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1）收集、分析已有像控资料，利用倾斜航空影像经过空中三角测量、密集匹配生成倾斜摄影三维模型；</w:t>
      </w:r>
    </w:p>
    <w:p w14:paraId="40367F0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2）对倾斜摄影三维模型内的明显漏洞进行补充修饰。</w:t>
      </w:r>
    </w:p>
    <w:p w14:paraId="05B355B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（2）TDOM制作</w:t>
      </w:r>
    </w:p>
    <w:p w14:paraId="4BEBBC6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1）分幅与编号要求</w:t>
      </w:r>
    </w:p>
    <w:p w14:paraId="2DA75F03">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0.03米分辨率TDOM数据图幅均采用正方形标准分幅，其规格为50cm×50cm；</w:t>
      </w:r>
    </w:p>
    <w:p w14:paraId="08F4B44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0.03米分辨率TDOM数据编号采用图西南角坐标公里数编号法，x坐标在前，y坐标在后，中间用短线“—”隔开，数值取至0.01 km，如：744.50—415.00（百公里数）；</w:t>
      </w:r>
    </w:p>
    <w:p w14:paraId="2EB4FED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2）精度要求：0.03米分辨率TDOM平面位置中误差优于0.3米。</w:t>
      </w:r>
    </w:p>
    <w:p w14:paraId="70A1E31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3）接边要求：与相邻影像图接边，接边误差不应大于2个像元。</w:t>
      </w:r>
    </w:p>
    <w:p w14:paraId="0D91A06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4）其他要求：影像不应存在明显错位、扭曲、变形，图幅内影像应反差适中，色调均匀，纹理清楚，层次丰富，无明显失真，灰度直方图一般呈正态分布。</w:t>
      </w:r>
    </w:p>
    <w:p w14:paraId="26C462EB">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 0.5米格网间距高程模型（DEM）、地表模型（DSM）制作</w:t>
      </w:r>
    </w:p>
    <w:p w14:paraId="5713ABB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（1）激光点云数据分类要求</w:t>
      </w:r>
    </w:p>
    <w:p w14:paraId="28B0276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点云数据分为非地面点、地面点等十类。其中地面点和特征点用于构建DEM，地面点、非地面点、桥点、特征点用于生成DSM。所有分类滤除的、不用于DEM和DSM生产的点均归类到噪点、临时点、水面点等其他层内，不能删除。</w:t>
      </w:r>
    </w:p>
    <w:p w14:paraId="08E3BD8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（2）分幅与编号要求</w:t>
      </w:r>
    </w:p>
    <w:p w14:paraId="23E9F51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1）0.5米格网DEM、DSM数据图幅均采用正方形标准分幅，其规格为50cm×50cm；</w:t>
      </w:r>
    </w:p>
    <w:p w14:paraId="616BB35D">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2）0.5米格网DEM、DSM数据编号采用图西南角坐标公里数编号法，x坐标在前y坐标在后，中间用短线“—”隔开，数值取至0.01 km，如：744.50—415.00（百公里数）；</w:t>
      </w:r>
    </w:p>
    <w:p w14:paraId="7BCCF257">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（3）精度要求：DEM、DSM格网分辨率为0.5米，精度用格网点的高程中误差表示，平地优于0.25米、丘陵地优于0.5米、山地优于0.7米。</w:t>
      </w:r>
    </w:p>
    <w:p w14:paraId="0079E19B">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（4）接边要求：相邻DEM、DSM应接边。接边后数据应连续，接边的DEM、DSM格网不应出现错位现象，相邻图幅重叠范围内同一格网点的高程值应一致。</w:t>
      </w:r>
    </w:p>
    <w:p w14:paraId="5ED09D4C">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（5）0.5米DEM、DSM空白区域高程值赋-99999；</w:t>
      </w:r>
    </w:p>
    <w:p w14:paraId="042F49FA">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DSM其他要求：水域的高程值应为数据获取时的瞬时水位高。在格网类数字表面模型中，静止水域的高程应一致；流动水域的高程应与水陆边界处的地形高程关系合理，且过渡平缓。移动物体指位置随时间变化的物体（如车辆、船舶、飞机等），数字表面模型中不表达。电力线、通信线等横截面积小的架空管线不表达。</w:t>
      </w:r>
    </w:p>
    <w:p w14:paraId="2535A0D6">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5.倾斜三维模型精细修饰要求</w:t>
      </w:r>
    </w:p>
    <w:p w14:paraId="1568013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在自动化建模的基础上，对三门峡市本级实景三维建设范围内160km²模型进行修饰，主要包括道路凹凸置平、水面漏洞修补置平、建筑物漏洞修补、模型整体匀光匀色和悬浮物剔除等内容，模型达到以下修饰标准：</w:t>
      </w:r>
    </w:p>
    <w:p w14:paraId="520476A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（1）模型整体要求</w:t>
      </w:r>
    </w:p>
    <w:p w14:paraId="104890F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①模型不存在不合理悬浮物、碎片；</w:t>
      </w:r>
    </w:p>
    <w:p w14:paraId="4AEDA18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②整体颜色均匀自然、色调一致。</w:t>
      </w:r>
    </w:p>
    <w:p w14:paraId="195A9D6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（2）水系、水利及附属设施</w:t>
      </w:r>
    </w:p>
    <w:p w14:paraId="445608DB">
      <w:pPr>
        <w:adjustRightInd w:val="0"/>
        <w:snapToGrid w:val="0"/>
        <w:spacing w:line="360" w:lineRule="auto"/>
        <w:ind w:firstLine="480" w:firstLineChars="200"/>
        <w:rPr>
          <w:rFonts w:hint="eastAsia" w:ascii="宋体" w:hAnsi="宋体" w:cs="宋体"/>
          <w:sz w:val="24"/>
          <w:szCs w:val="24"/>
        </w:rPr>
      </w:pPr>
      <w:bookmarkStart w:id="197" w:name="OLE_LINK46"/>
      <w:r>
        <w:rPr>
          <w:rFonts w:hint="eastAsia" w:ascii="宋体" w:hAnsi="宋体" w:cs="宋体"/>
          <w:sz w:val="24"/>
          <w:szCs w:val="24"/>
        </w:rPr>
        <w:t>①</w:t>
      </w:r>
      <w:bookmarkEnd w:id="197"/>
      <w:r>
        <w:rPr>
          <w:rFonts w:hint="eastAsia" w:ascii="宋体" w:hAnsi="宋体" w:cs="宋体"/>
          <w:sz w:val="24"/>
          <w:szCs w:val="24"/>
        </w:rPr>
        <w:t>水面漏洞修补；</w:t>
      </w:r>
    </w:p>
    <w:p w14:paraId="339EA47B">
      <w:pPr>
        <w:adjustRightInd w:val="0"/>
        <w:snapToGrid w:val="0"/>
        <w:spacing w:line="360" w:lineRule="auto"/>
        <w:ind w:firstLine="480" w:firstLineChars="200"/>
        <w:rPr>
          <w:rFonts w:hint="eastAsia" w:ascii="宋体" w:hAnsi="宋体" w:cs="宋体"/>
          <w:sz w:val="24"/>
          <w:szCs w:val="24"/>
        </w:rPr>
      </w:pPr>
      <w:bookmarkStart w:id="198" w:name="OLE_LINK48"/>
      <w:bookmarkStart w:id="199" w:name="OLE_LINK47"/>
      <w:r>
        <w:rPr>
          <w:rFonts w:hint="eastAsia" w:ascii="宋体" w:hAnsi="宋体" w:cs="宋体"/>
          <w:sz w:val="24"/>
          <w:szCs w:val="24"/>
        </w:rPr>
        <w:t>②</w:t>
      </w:r>
      <w:bookmarkEnd w:id="198"/>
      <w:bookmarkEnd w:id="199"/>
      <w:r>
        <w:rPr>
          <w:rFonts w:hint="eastAsia" w:ascii="宋体" w:hAnsi="宋体" w:cs="宋体"/>
          <w:sz w:val="24"/>
          <w:szCs w:val="24"/>
        </w:rPr>
        <w:t>水面异常起伏超过0.5m的区域置平；</w:t>
      </w:r>
    </w:p>
    <w:p w14:paraId="6818E43D">
      <w:pPr>
        <w:adjustRightInd w:val="0"/>
        <w:snapToGrid w:val="0"/>
        <w:spacing w:line="360" w:lineRule="auto"/>
        <w:ind w:firstLine="480" w:firstLineChars="200"/>
        <w:rPr>
          <w:rFonts w:hint="eastAsia" w:ascii="宋体" w:hAnsi="宋体" w:cs="宋体"/>
          <w:sz w:val="24"/>
          <w:szCs w:val="24"/>
        </w:rPr>
      </w:pPr>
      <w:bookmarkStart w:id="200" w:name="OLE_LINK49"/>
      <w:r>
        <w:rPr>
          <w:rFonts w:hint="eastAsia" w:ascii="宋体" w:hAnsi="宋体" w:cs="宋体"/>
          <w:sz w:val="24"/>
          <w:szCs w:val="24"/>
        </w:rPr>
        <w:t>③</w:t>
      </w:r>
      <w:bookmarkEnd w:id="200"/>
      <w:r>
        <w:rPr>
          <w:rFonts w:hint="eastAsia" w:ascii="宋体" w:hAnsi="宋体" w:cs="宋体"/>
          <w:sz w:val="24"/>
          <w:szCs w:val="24"/>
        </w:rPr>
        <w:t>水岸分界明显，过渡自然。</w:t>
      </w:r>
    </w:p>
    <w:p w14:paraId="1DF8E50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（3）交通及附属设施</w:t>
      </w:r>
    </w:p>
    <w:p w14:paraId="70773AD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城市主要快速路、主干道、次干道：</w:t>
      </w:r>
    </w:p>
    <w:p w14:paraId="29187F1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①破损车辆置平，纹理处理；</w:t>
      </w:r>
    </w:p>
    <w:p w14:paraId="2BD0E92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②路面异常凹凸起伏超过0.5m的区域置平；</w:t>
      </w:r>
    </w:p>
    <w:p w14:paraId="088E504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③去除悬空路灯。</w:t>
      </w:r>
    </w:p>
    <w:p w14:paraId="56AB2B2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（4）建（构）筑物及附属设施</w:t>
      </w:r>
    </w:p>
    <w:p w14:paraId="7FA281A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修补城市重要主干道两侧建（构）筑物、城市重要建（构）筑物墙体、商业中心等墙体漏洞。</w:t>
      </w:r>
    </w:p>
    <w:p w14:paraId="1855D13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（5）植被</w:t>
      </w:r>
    </w:p>
    <w:p w14:paraId="2F491A0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对直径小于1m的悬空部分进行删除。</w:t>
      </w:r>
    </w:p>
    <w:p w14:paraId="22795F7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（6）场地</w:t>
      </w:r>
    </w:p>
    <w:p w14:paraId="254FD33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主要的学校操场、大型露天体育场、大型公园广场等地异常起伏超过0.5m区域应置平；</w:t>
      </w:r>
    </w:p>
    <w:p w14:paraId="026691F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（7）独立地物</w:t>
      </w:r>
    </w:p>
    <w:p w14:paraId="33F97D6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城市主要快速路、主干道、次干道两侧，去除悬空的电杆、电线、通信杆等；</w:t>
      </w:r>
    </w:p>
    <w:p w14:paraId="054DA54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获取多源数据，对三门峡市本级实景三维建设范围内重点区域模型（50km²）、重点道路（道路两侧）模型（154km）开展模型精修工作，按以下标准进行修饰：</w:t>
      </w:r>
    </w:p>
    <w:p w14:paraId="0EC9734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（1）重点区域、重点道路模型整体要求</w:t>
      </w:r>
    </w:p>
    <w:p w14:paraId="61572069">
      <w:pPr>
        <w:adjustRightInd w:val="0"/>
        <w:snapToGrid w:val="0"/>
        <w:spacing w:line="360" w:lineRule="auto"/>
        <w:ind w:firstLine="480" w:firstLineChars="200"/>
        <w:rPr>
          <w:rFonts w:hint="eastAsia" w:ascii="宋体" w:hAnsi="宋体" w:cs="宋体"/>
          <w:sz w:val="24"/>
          <w:szCs w:val="24"/>
        </w:rPr>
      </w:pPr>
      <w:bookmarkStart w:id="201" w:name="OLE_LINK50"/>
      <w:r>
        <w:rPr>
          <w:rFonts w:hint="eastAsia" w:ascii="宋体" w:hAnsi="宋体" w:cs="宋体"/>
          <w:sz w:val="24"/>
          <w:szCs w:val="24"/>
        </w:rPr>
        <w:t>①</w:t>
      </w:r>
      <w:bookmarkEnd w:id="201"/>
      <w:r>
        <w:rPr>
          <w:rFonts w:hint="eastAsia" w:ascii="宋体" w:hAnsi="宋体" w:cs="宋体"/>
          <w:sz w:val="24"/>
          <w:szCs w:val="24"/>
        </w:rPr>
        <w:t>模型上下不存在不合理悬浮物、碎片；</w:t>
      </w:r>
    </w:p>
    <w:p w14:paraId="668344E4">
      <w:pPr>
        <w:adjustRightInd w:val="0"/>
        <w:snapToGrid w:val="0"/>
        <w:spacing w:line="360" w:lineRule="auto"/>
        <w:ind w:firstLine="480" w:firstLineChars="200"/>
        <w:rPr>
          <w:rFonts w:hint="eastAsia" w:ascii="宋体" w:hAnsi="宋体" w:cs="宋体"/>
          <w:sz w:val="24"/>
          <w:szCs w:val="24"/>
        </w:rPr>
      </w:pPr>
      <w:bookmarkStart w:id="202" w:name="OLE_LINK52"/>
      <w:bookmarkStart w:id="203" w:name="OLE_LINK51"/>
      <w:r>
        <w:rPr>
          <w:rFonts w:hint="eastAsia" w:ascii="宋体" w:hAnsi="宋体" w:cs="宋体"/>
          <w:sz w:val="24"/>
          <w:szCs w:val="24"/>
        </w:rPr>
        <w:t>②</w:t>
      </w:r>
      <w:bookmarkEnd w:id="202"/>
      <w:bookmarkEnd w:id="203"/>
      <w:r>
        <w:rPr>
          <w:rFonts w:hint="eastAsia" w:ascii="宋体" w:hAnsi="宋体" w:cs="宋体"/>
          <w:sz w:val="24"/>
          <w:szCs w:val="24"/>
        </w:rPr>
        <w:t>整体颜色均匀自然、色调一致。</w:t>
      </w:r>
    </w:p>
    <w:p w14:paraId="54F6DC7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（2）重点区域内水系、水利及附属设施</w:t>
      </w:r>
    </w:p>
    <w:p w14:paraId="1D754BFA">
      <w:pPr>
        <w:adjustRightInd w:val="0"/>
        <w:snapToGrid w:val="0"/>
        <w:spacing w:line="360" w:lineRule="auto"/>
        <w:ind w:firstLine="480" w:firstLineChars="200"/>
        <w:rPr>
          <w:rFonts w:hint="eastAsia" w:ascii="宋体" w:hAnsi="宋体" w:cs="宋体"/>
          <w:sz w:val="24"/>
          <w:szCs w:val="24"/>
        </w:rPr>
      </w:pPr>
      <w:bookmarkStart w:id="204" w:name="OLE_LINK54"/>
      <w:bookmarkStart w:id="205" w:name="OLE_LINK53"/>
      <w:r>
        <w:rPr>
          <w:rFonts w:hint="eastAsia" w:ascii="宋体" w:hAnsi="宋体" w:cs="宋体"/>
          <w:sz w:val="24"/>
          <w:szCs w:val="24"/>
        </w:rPr>
        <w:t>①</w:t>
      </w:r>
      <w:bookmarkEnd w:id="204"/>
      <w:bookmarkEnd w:id="205"/>
      <w:r>
        <w:rPr>
          <w:rFonts w:hint="eastAsia" w:ascii="宋体" w:hAnsi="宋体" w:cs="宋体"/>
          <w:sz w:val="24"/>
          <w:szCs w:val="24"/>
        </w:rPr>
        <w:t>水面漏洞修补；</w:t>
      </w:r>
    </w:p>
    <w:p w14:paraId="37F081E0">
      <w:pPr>
        <w:adjustRightInd w:val="0"/>
        <w:snapToGrid w:val="0"/>
        <w:spacing w:line="360" w:lineRule="auto"/>
        <w:ind w:firstLine="480" w:firstLineChars="200"/>
        <w:rPr>
          <w:rFonts w:hint="eastAsia" w:ascii="宋体" w:hAnsi="宋体" w:cs="宋体"/>
          <w:sz w:val="24"/>
          <w:szCs w:val="24"/>
        </w:rPr>
      </w:pPr>
      <w:bookmarkStart w:id="206" w:name="OLE_LINK56"/>
      <w:bookmarkStart w:id="207" w:name="OLE_LINK55"/>
      <w:r>
        <w:rPr>
          <w:rFonts w:hint="eastAsia" w:ascii="宋体" w:hAnsi="宋体" w:cs="宋体"/>
          <w:sz w:val="24"/>
          <w:szCs w:val="24"/>
        </w:rPr>
        <w:t>②</w:t>
      </w:r>
      <w:bookmarkEnd w:id="206"/>
      <w:bookmarkEnd w:id="207"/>
      <w:r>
        <w:rPr>
          <w:rFonts w:hint="eastAsia" w:ascii="宋体" w:hAnsi="宋体" w:cs="宋体"/>
          <w:sz w:val="24"/>
          <w:szCs w:val="24"/>
        </w:rPr>
        <w:t>水面起伏超过0.5m的水面整平；</w:t>
      </w:r>
    </w:p>
    <w:p w14:paraId="20B32FDD">
      <w:pPr>
        <w:adjustRightInd w:val="0"/>
        <w:snapToGrid w:val="0"/>
        <w:spacing w:line="360" w:lineRule="auto"/>
        <w:ind w:firstLine="480" w:firstLineChars="200"/>
        <w:rPr>
          <w:rFonts w:hint="eastAsia" w:ascii="宋体" w:hAnsi="宋体" w:cs="宋体"/>
          <w:sz w:val="24"/>
          <w:szCs w:val="24"/>
        </w:rPr>
      </w:pPr>
      <w:bookmarkStart w:id="208" w:name="OLE_LINK57"/>
      <w:r>
        <w:rPr>
          <w:rFonts w:hint="eastAsia" w:ascii="宋体" w:hAnsi="宋体" w:cs="宋体"/>
          <w:sz w:val="24"/>
          <w:szCs w:val="24"/>
        </w:rPr>
        <w:t>③</w:t>
      </w:r>
      <w:bookmarkEnd w:id="208"/>
      <w:r>
        <w:rPr>
          <w:rFonts w:hint="eastAsia" w:ascii="宋体" w:hAnsi="宋体" w:cs="宋体"/>
          <w:sz w:val="24"/>
          <w:szCs w:val="24"/>
        </w:rPr>
        <w:t>水岸分界明显，过渡自然。</w:t>
      </w:r>
    </w:p>
    <w:p w14:paraId="154001B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④重要河流上的桥梁结构贯通、纹理统一。</w:t>
      </w:r>
    </w:p>
    <w:p w14:paraId="538D6C9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（3）交通及附属设施</w:t>
      </w:r>
    </w:p>
    <w:p w14:paraId="738BCAC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重点道路中的城市快速路、主干道、次干道：</w:t>
      </w:r>
    </w:p>
    <w:p w14:paraId="54EEF9AD">
      <w:pPr>
        <w:adjustRightInd w:val="0"/>
        <w:snapToGrid w:val="0"/>
        <w:spacing w:line="360" w:lineRule="auto"/>
        <w:ind w:firstLine="480" w:firstLineChars="200"/>
        <w:rPr>
          <w:rFonts w:hint="eastAsia" w:ascii="宋体" w:hAnsi="宋体" w:cs="宋体"/>
          <w:sz w:val="24"/>
          <w:szCs w:val="24"/>
        </w:rPr>
      </w:pPr>
      <w:bookmarkStart w:id="209" w:name="OLE_LINK60"/>
      <w:r>
        <w:rPr>
          <w:rFonts w:hint="eastAsia" w:ascii="宋体" w:hAnsi="宋体" w:cs="宋体"/>
          <w:sz w:val="24"/>
          <w:szCs w:val="24"/>
        </w:rPr>
        <w:t>①</w:t>
      </w:r>
      <w:bookmarkEnd w:id="209"/>
      <w:r>
        <w:rPr>
          <w:rFonts w:hint="eastAsia" w:ascii="宋体" w:hAnsi="宋体" w:cs="宋体"/>
          <w:sz w:val="24"/>
          <w:szCs w:val="24"/>
        </w:rPr>
        <w:t>破损车辆置平，纹理处理；</w:t>
      </w:r>
    </w:p>
    <w:p w14:paraId="6EED437A">
      <w:pPr>
        <w:adjustRightInd w:val="0"/>
        <w:snapToGrid w:val="0"/>
        <w:spacing w:line="360" w:lineRule="auto"/>
        <w:ind w:firstLine="480" w:firstLineChars="200"/>
        <w:rPr>
          <w:rFonts w:hint="eastAsia" w:ascii="宋体" w:hAnsi="宋体" w:cs="宋体"/>
          <w:sz w:val="24"/>
          <w:szCs w:val="24"/>
        </w:rPr>
      </w:pPr>
      <w:bookmarkStart w:id="210" w:name="OLE_LINK62"/>
      <w:bookmarkStart w:id="211" w:name="OLE_LINK61"/>
      <w:r>
        <w:rPr>
          <w:rFonts w:hint="eastAsia" w:ascii="宋体" w:hAnsi="宋体" w:cs="宋体"/>
          <w:sz w:val="24"/>
          <w:szCs w:val="24"/>
        </w:rPr>
        <w:t>②</w:t>
      </w:r>
      <w:bookmarkEnd w:id="210"/>
      <w:bookmarkEnd w:id="211"/>
      <w:r>
        <w:rPr>
          <w:rFonts w:hint="eastAsia" w:ascii="宋体" w:hAnsi="宋体" w:cs="宋体"/>
          <w:sz w:val="24"/>
          <w:szCs w:val="24"/>
        </w:rPr>
        <w:t>路面异常凹凸起伏超过0.5m的区域置平；</w:t>
      </w:r>
    </w:p>
    <w:p w14:paraId="1F429329">
      <w:pPr>
        <w:adjustRightInd w:val="0"/>
        <w:snapToGrid w:val="0"/>
        <w:spacing w:line="360" w:lineRule="auto"/>
        <w:ind w:firstLine="480" w:firstLineChars="200"/>
        <w:rPr>
          <w:rFonts w:hint="eastAsia" w:ascii="宋体" w:hAnsi="宋体" w:cs="宋体"/>
          <w:sz w:val="24"/>
          <w:szCs w:val="24"/>
        </w:rPr>
      </w:pPr>
      <w:bookmarkStart w:id="212" w:name="OLE_LINK63"/>
      <w:r>
        <w:rPr>
          <w:rFonts w:hint="eastAsia" w:ascii="宋体" w:hAnsi="宋体" w:cs="宋体"/>
          <w:sz w:val="24"/>
          <w:szCs w:val="24"/>
        </w:rPr>
        <w:t>③</w:t>
      </w:r>
      <w:bookmarkEnd w:id="212"/>
      <w:r>
        <w:rPr>
          <w:rFonts w:hint="eastAsia" w:ascii="宋体" w:hAnsi="宋体" w:cs="宋体"/>
          <w:sz w:val="24"/>
          <w:szCs w:val="24"/>
        </w:rPr>
        <w:t>快速路、立交下涵洞贯通，并赋予合适纹理；</w:t>
      </w:r>
    </w:p>
    <w:p w14:paraId="58145ED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④补充不完整的路灯（可用建模较好的路灯模型替换）；</w:t>
      </w:r>
    </w:p>
    <w:p w14:paraId="20873AD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⑤破损道路指示牌结构修补、纹理修饰；</w:t>
      </w:r>
    </w:p>
    <w:p w14:paraId="7EEA2B8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⑥立交、高架下方粘连处贯通，车道断裂处连通。</w:t>
      </w:r>
    </w:p>
    <w:p w14:paraId="7895459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（4）建（构）筑物及附属设施</w:t>
      </w:r>
    </w:p>
    <w:p w14:paraId="119C9B3D">
      <w:pPr>
        <w:adjustRightInd w:val="0"/>
        <w:snapToGrid w:val="0"/>
        <w:spacing w:line="360" w:lineRule="auto"/>
        <w:ind w:firstLine="480" w:firstLineChars="200"/>
        <w:rPr>
          <w:rFonts w:hint="eastAsia" w:ascii="宋体" w:hAnsi="宋体" w:cs="宋体"/>
          <w:sz w:val="24"/>
          <w:szCs w:val="24"/>
        </w:rPr>
      </w:pPr>
      <w:bookmarkStart w:id="213" w:name="OLE_LINK64"/>
      <w:r>
        <w:rPr>
          <w:rFonts w:hint="eastAsia" w:ascii="宋体" w:hAnsi="宋体" w:cs="宋体"/>
          <w:sz w:val="24"/>
          <w:szCs w:val="24"/>
        </w:rPr>
        <w:t>①</w:t>
      </w:r>
      <w:bookmarkEnd w:id="213"/>
      <w:r>
        <w:rPr>
          <w:rFonts w:hint="eastAsia" w:ascii="宋体" w:hAnsi="宋体" w:cs="宋体"/>
          <w:sz w:val="24"/>
          <w:szCs w:val="24"/>
        </w:rPr>
        <w:t>修补重点道路中主干道两侧建（构）筑物、重点区域内城市重要建（构）筑物、商业中心等墙体漏洞，并将纹理与周围墙体纹理统一，包括实心围墙；</w:t>
      </w:r>
    </w:p>
    <w:p w14:paraId="3FFC28BC">
      <w:pPr>
        <w:adjustRightInd w:val="0"/>
        <w:snapToGrid w:val="0"/>
        <w:spacing w:line="360" w:lineRule="auto"/>
        <w:ind w:firstLine="480" w:firstLineChars="200"/>
        <w:rPr>
          <w:rFonts w:hint="eastAsia" w:ascii="宋体" w:hAnsi="宋体" w:cs="宋体"/>
          <w:sz w:val="24"/>
          <w:szCs w:val="24"/>
        </w:rPr>
      </w:pPr>
      <w:bookmarkStart w:id="214" w:name="OLE_LINK66"/>
      <w:bookmarkStart w:id="215" w:name="OLE_LINK65"/>
      <w:r>
        <w:rPr>
          <w:rFonts w:hint="eastAsia" w:ascii="宋体" w:hAnsi="宋体" w:cs="宋体"/>
          <w:sz w:val="24"/>
          <w:szCs w:val="24"/>
        </w:rPr>
        <w:t>②</w:t>
      </w:r>
      <w:bookmarkEnd w:id="214"/>
      <w:bookmarkEnd w:id="215"/>
      <w:r>
        <w:rPr>
          <w:rFonts w:hint="eastAsia" w:ascii="宋体" w:hAnsi="宋体" w:cs="宋体"/>
          <w:sz w:val="24"/>
          <w:szCs w:val="24"/>
        </w:rPr>
        <w:t>重点区域内城市重要建（构）筑物、商业中心立面异常凹凸（指建筑墙体结构上的异常凹凸，不包括阳台、窗户处凹陷，包括玻璃幕墙）整平、纹理统一；</w:t>
      </w:r>
    </w:p>
    <w:p w14:paraId="47B389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③重点道路两侧、重点区域内主干道底商修饰；</w:t>
      </w:r>
    </w:p>
    <w:p w14:paraId="4DA5CEC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（5）植被</w:t>
      </w:r>
    </w:p>
    <w:p w14:paraId="6CFB1A75">
      <w:pPr>
        <w:adjustRightInd w:val="0"/>
        <w:snapToGrid w:val="0"/>
        <w:spacing w:line="360" w:lineRule="auto"/>
        <w:ind w:firstLine="480" w:firstLineChars="200"/>
        <w:rPr>
          <w:rFonts w:hint="eastAsia" w:ascii="宋体" w:hAnsi="宋体" w:cs="宋体"/>
          <w:sz w:val="24"/>
          <w:szCs w:val="24"/>
        </w:rPr>
      </w:pPr>
      <w:bookmarkStart w:id="216" w:name="OLE_LINK67"/>
      <w:r>
        <w:rPr>
          <w:rFonts w:hint="eastAsia" w:ascii="宋体" w:hAnsi="宋体" w:cs="宋体"/>
          <w:sz w:val="24"/>
          <w:szCs w:val="24"/>
        </w:rPr>
        <w:t>①</w:t>
      </w:r>
      <w:bookmarkEnd w:id="216"/>
      <w:r>
        <w:rPr>
          <w:rFonts w:hint="eastAsia" w:ascii="宋体" w:hAnsi="宋体" w:cs="宋体"/>
          <w:sz w:val="24"/>
          <w:szCs w:val="24"/>
        </w:rPr>
        <w:t>对直径小于1m的悬空部分进行删除；</w:t>
      </w:r>
    </w:p>
    <w:p w14:paraId="7832FD1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②古树名木等重要植被应保留，树干缺失的补充完整，底部无纹理区域（底灰）赋予合适纹理。</w:t>
      </w:r>
    </w:p>
    <w:p w14:paraId="5724BF5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（6）场地</w:t>
      </w:r>
    </w:p>
    <w:p w14:paraId="37CE226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重点区域内的主要学校操场、大型露天体育场、大型公园广场等地异常起伏超过0.5m区域应置平；</w:t>
      </w:r>
    </w:p>
    <w:p w14:paraId="7A0BD96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（7）独立地物</w:t>
      </w:r>
    </w:p>
    <w:p w14:paraId="339F755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重点道路两侧，去除悬空的电杆、电线、通信杆等，大型广告牌漏洞修补。</w:t>
      </w:r>
    </w:p>
    <w:p w14:paraId="07667F3A">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6.分辨率优于0.02米单体化建模要求</w:t>
      </w:r>
    </w:p>
    <w:p w14:paraId="022B9304">
      <w:pPr>
        <w:adjustRightInd w:val="0"/>
        <w:snapToGrid w:val="0"/>
        <w:spacing w:line="360" w:lineRule="auto"/>
        <w:ind w:firstLine="480" w:firstLineChars="200"/>
        <w:rPr>
          <w:rFonts w:hint="eastAsia" w:ascii="宋体" w:hAnsi="宋体" w:cs="宋体"/>
          <w:sz w:val="24"/>
          <w:szCs w:val="24"/>
        </w:rPr>
      </w:pPr>
      <w:bookmarkStart w:id="217" w:name="OLE_LINK59"/>
      <w:bookmarkStart w:id="218" w:name="OLE_LINK58"/>
      <w:r>
        <w:rPr>
          <w:rFonts w:hint="eastAsia" w:ascii="宋体" w:hAnsi="宋体" w:cs="宋体"/>
          <w:sz w:val="24"/>
          <w:szCs w:val="24"/>
        </w:rPr>
        <w:t>（1）建筑模型采用的坐标系统与倾斜摄影模型保持一致，准确反映现状。</w:t>
      </w:r>
    </w:p>
    <w:p w14:paraId="5CB3A3B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（2）单体模型采用建筑分栋（幢）独立建模的方式进行模型制作，不得将多个建筑物模型结合在一起。</w:t>
      </w:r>
    </w:p>
    <w:p w14:paraId="729D9F1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模型应真实反映建筑物的外观形态和细节特征，对于建筑附属结构，如屋檐和立面突出物等结构超过0.5米的要做出结构，应避免整个墙面一张贴图导致损失模型立体效果。由于树木遮挡等原因，造成城市重要建筑物遮挡超过20%，需现场采集建筑照片，对建筑遮挡部分的贴图进行修正。</w:t>
      </w:r>
    </w:p>
    <w:p w14:paraId="23EC475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数据的基底、立面轮廓结构与建筑高度须准确，纹理拼接过渡自然，不得有漏缝、交叉点、废点、废线等现象，模型与模型之间不得出现裂缝、漏面和反面。模型的面数、段数、曲面必须进行精简优化，删除模型之间的相交面、底面。保证单体建筑的墙面、房顶面等在一个平面内，除开柱状建筑，一般不出现曲面形状。模型与周边倾斜摄影三维模型在平面、高程上无缝融合。</w:t>
      </w:r>
    </w:p>
    <w:p w14:paraId="3A7A7BC0">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整体采用倾斜航片纹理进行贴图映射，不得使用通用材质纹理。建筑模型物体面都必须附加贴图，不能漏贴或出现贴图错误，选取色彩一致的航片纹理，保证纹理贴图光效的一致性，确保影像色调均匀、清晰可辨、无缝拼接、过度自然。</w:t>
      </w:r>
    </w:p>
    <w:p w14:paraId="07EA3AB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（6）在可保证模型视觉表现和精度的前提下，避免集中使用大量细分面片表达表面形态。</w:t>
      </w:r>
    </w:p>
    <w:p w14:paraId="3FDC0AC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（7）应提供重建三维模型单体与周边倾斜摄影三维模型融合后的OSGB模型瓦片集，维持瓦片集目录结构规则，不得新增OSGB文件或变更OSGB文件命名。</w:t>
      </w:r>
    </w:p>
    <w:p w14:paraId="77971F6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（8）对于提取出的OBJ格式单体模型，应保留原始矢量结构线，不作三角化处理。模型目录结构和命名应与倾斜摄影三维模型一致，按模型几何中心点所属的瓦片目录范围存储。</w:t>
      </w:r>
      <w:bookmarkEnd w:id="217"/>
      <w:bookmarkEnd w:id="218"/>
    </w:p>
    <w:p w14:paraId="7B9CB6D0">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7.三维模型轻量化要求</w:t>
      </w:r>
    </w:p>
    <w:p w14:paraId="461E48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（1）瓦片数据的瓦片大小宜小于1M，最大不超过5M，以利于网络传输。</w:t>
      </w:r>
    </w:p>
    <w:p w14:paraId="12C7388A">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（2）轻量化模型子节点的贴图宽高符合2的N次幂，并且控制贴图尺寸不宜超过1024×1024，采用贴图集时贴图尺寸不宜超过2048×2048。</w:t>
      </w:r>
    </w:p>
    <w:p w14:paraId="7FD0C5D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（3）轻量化模型的根节点宜合并，其数目不宜过多。</w:t>
      </w:r>
    </w:p>
    <w:p w14:paraId="0741F2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（4）轻量化模型应能够在目标应用终端流畅显示，显示帧率不低于25 帧/秒。</w:t>
      </w:r>
    </w:p>
    <w:p w14:paraId="07F7E09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（5）轻量化模型宜存储为层次网格结构的通用数据格式，如 OSGB、3DTiles、S3MB、SLPK等格式。</w:t>
      </w:r>
    </w:p>
    <w:p w14:paraId="4B70AC91">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8.地形级和城市级数据融合要求</w:t>
      </w:r>
    </w:p>
    <w:p w14:paraId="3C99261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为满足实际应用需求，实景三维三门峡相关数据建设完成后，需要完成三门峡市范围内地形级三维模型与城市级三维模型融合以及相邻区域城市级地理实体数据接边，满足省级数据、市级数据的对接应用需求，构建三门峡市实景三维一张图。</w:t>
      </w:r>
    </w:p>
    <w:p w14:paraId="5A574461">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9.城市级基础地理实体生产</w:t>
      </w:r>
    </w:p>
    <w:p w14:paraId="60E7190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1）基础地理实体数据粒度要求：基于基础地理信息要素数据转换生产基础地理实体数据的粒度与转换源数据保持一致。</w:t>
      </w:r>
    </w:p>
    <w:p w14:paraId="1CB7E89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2）基础地理实体数据几何精度要求：需与转换源数据的精度保持一致。</w:t>
      </w:r>
    </w:p>
    <w:p w14:paraId="566230B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3）属性数据要求</w:t>
      </w:r>
    </w:p>
    <w:p w14:paraId="0FF4744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分类代码应符合《实景三维中国建设技术大纲（2024版）》附件1基础地理实体分类与代码规定。</w:t>
      </w:r>
    </w:p>
    <w:p w14:paraId="301D119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空间身份编码应符合《新型基础测绘与实景三维中国建设技术文件-3 基础地理实体空间身份编码规则》的规定，采用5层60位数字字符定长码的编码范式，对基础地理实体的编码结构和内容进行规范。</w:t>
      </w:r>
    </w:p>
    <w:p w14:paraId="6639CE1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4）映射转换及语义化要求</w:t>
      </w:r>
    </w:p>
    <w:p w14:paraId="52A40D3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① 实体的转换、语义化处理符合《实景三维中国建设技术大纲（2024版）》附件8基于1∶500 1∶1 000 1∶2 000基础地理信息要素数据转换生产基础地理实体数据技术规程、《实景三维中国建设技术大纲（2024版）》附录D基础地理实体语义关系。</w:t>
      </w:r>
    </w:p>
    <w:p w14:paraId="7A9BCE0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② 基础地理信息要素数据应转尽转，不能转换的要素，依据《新型基础测绘与实景三维中国建设技术文件-6 基础地理实体数据采集生产技术规程》采集生产。</w:t>
      </w:r>
    </w:p>
    <w:p w14:paraId="463C7EB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③ 存量数据转换前，根据编码属性映射表配置存量数据转换方案，对与基础地理实体不存在映射关系的基础地理信息要素数据（如等高线、高程点等），保留该部分基础地理信息要素数据，统一归为制图要素数据集，作为成图辅助数据进行存储或管理。</w:t>
      </w:r>
    </w:p>
    <w:p w14:paraId="19D73DE1">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10.城市三维模型（LOD1.3级）制作</w:t>
      </w:r>
    </w:p>
    <w:p w14:paraId="716DA811">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综合利用大比例尺地形图、基础地理实体数据等，生产制作城市三维模型（LOD1.3级）。产品按照《实景三维中国建设技术大纲（2024版）》附件7实景三维中国建设城市三维模型（LOD1.3级）快速构建技术规定的相关要求生产。</w:t>
      </w:r>
    </w:p>
    <w:p w14:paraId="16D5916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LOD1.3级城市三维模型几何精度要求：需与转换源数据的精度保持一致。</w:t>
      </w:r>
      <w:r>
        <w:rPr>
          <w:rFonts w:hint="eastAsia" w:ascii="宋体" w:hAnsi="宋体" w:cs="宋体"/>
          <w:color w:val="000000"/>
          <w:sz w:val="24"/>
          <w:szCs w:val="24"/>
        </w:rPr>
        <w:t>高度小于5米（含）的建（构）筑物，三维模型高度（三维模型顶部到基底面的垂直距离）与建（构）筑物实际高度（顶部到基底面的垂直距离，不含顶部建筑附属设施，坡屋顶按最高处计算）之差不大于0.5米；高度大于5米且小于30米（含）建（构）筑物，三维模型高度与实际高度之差与实际高度的比值不大于10%。</w:t>
      </w:r>
      <w:r>
        <w:rPr>
          <w:rFonts w:hint="eastAsia" w:ascii="宋体" w:hAnsi="宋体" w:cs="宋体"/>
          <w:sz w:val="24"/>
          <w:szCs w:val="24"/>
        </w:rPr>
        <w:t>高于30米的，三维模型高度与实际高度之差不应大于3.0米。高度值取位至 0.1米。</w:t>
      </w:r>
    </w:p>
    <w:p w14:paraId="1A37242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LOD1.3级城市三维模型精细度要求：普通建筑物基底面大于（含）1.5米的凹凸变化应正确表示，顶部大于3米的高度变化，当变化部分基底面积大于12平方米时，高度变化应正确表示。城市标志性建筑物和各类构筑物应正确表示建（构）筑物整体形态，外立面和顶部的细节无需表示。</w:t>
      </w:r>
    </w:p>
    <w:p w14:paraId="5072FE4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质量要求：数据范围完整，模型、纹理、属性数据齐全，无遗漏、无多余文件，模型几何结构完整。属性多边形完整，位置、大小、形状、拓扑关系正确，属性项数量、定义正确，属性内容正确。格式正确，数据现势性符合要求。</w:t>
      </w:r>
    </w:p>
    <w:p w14:paraId="6691CB46">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11.物联网感知数据接入与融合要求</w:t>
      </w:r>
    </w:p>
    <w:p w14:paraId="0230225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实时接入自然资源、农业农村等相关部门的视频监控或其他传感器数据，接入视频监控数据约1350路，并将视频监控数据与实景三维数据融合。</w:t>
      </w:r>
    </w:p>
    <w:p w14:paraId="0BA1F1EC">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12.数据库建设要求</w:t>
      </w:r>
    </w:p>
    <w:p w14:paraId="5ECA927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（1）地理场景数据库建设</w:t>
      </w:r>
    </w:p>
    <w:p w14:paraId="1C611A9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地理场景数据库包括DEM、DSM数据库、TDOM数据库及倾斜摄影三维模型数据库。</w:t>
      </w:r>
    </w:p>
    <w:p w14:paraId="5445CEB9">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（2）城市级基础地理实体数据库建设</w:t>
      </w:r>
    </w:p>
    <w:p w14:paraId="15186E12">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城市级基础地理实体数据库主要存储自然地理实体、人工地理实体和管理地理实体数据。</w:t>
      </w:r>
    </w:p>
    <w:p w14:paraId="65435A5D">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13.电子地图制作</w:t>
      </w:r>
    </w:p>
    <w:p w14:paraId="63EE99F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按照地形级三维模型、城市级三维模型数据融合需求，通过人工和计算机自动处理相结合的方式，实现不同三维模型在三角网层面上的精细融合，提升地理场景的连续性。并基于三门峡市基础地理信息数据，对数据进行提取、融合、地图制作等，形成适用于实景三维三门峡建设的数据瓦片和地图服务配置文件。</w:t>
      </w:r>
    </w:p>
    <w:p w14:paraId="5395A66B">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14.实景三维数据库管理系统</w:t>
      </w:r>
    </w:p>
    <w:p w14:paraId="2F1E4338">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（1）总体架构</w:t>
      </w:r>
    </w:p>
    <w:p w14:paraId="370587D9">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采用开放式架构，基于统一的服务接口规范，开展实景三维数据库系统建设。建立一个集中节点，聚合本级多类实景三维数据服务；依托省级节点，提供区域内实景三维数据服务，与省级节点共同构成分级分类、连续无缝、逻辑集成的服务集群，形成规模服务能力和互联互通能力。</w:t>
      </w:r>
    </w:p>
    <w:p w14:paraId="6A3954C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数据库系统由设施层、数据层、服务层和应用层构成。设施层保障系统存储、传输、分布式计算能力；数据层统一管理本级节点的分类、分时序实景三维数据；服务层提供实景三维数据服务调用和扩展服务应用；应用层实现在线应用、专业管理和运维监管。系统架构见下图。</w:t>
      </w:r>
    </w:p>
    <w:p w14:paraId="3475C13D">
      <w:pPr>
        <w:rPr>
          <w:rFonts w:hint="eastAsia" w:ascii="宋体" w:hAnsi="宋体" w:cs="宋体"/>
        </w:rPr>
      </w:pPr>
      <w:r>
        <w:rPr>
          <w:rFonts w:hint="eastAsia" w:ascii="宋体" w:hAnsi="宋体" w:cs="宋体"/>
        </w:rPr>
        <w:drawing>
          <wp:inline distT="0" distB="0" distL="114300" distR="114300">
            <wp:extent cx="5592445" cy="3103880"/>
            <wp:effectExtent l="0" t="0" r="635" b="5080"/>
            <wp:docPr id="5" name="图片 1" descr="实景三维中国建设总体实施方案（2022-2025年）_评审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实景三维中国建设总体实施方案（2022-2025年）_评审稿"/>
                    <pic:cNvPicPr>
                      <a:picLocks noChangeAspect="1"/>
                    </pic:cNvPicPr>
                  </pic:nvPicPr>
                  <pic:blipFill>
                    <a:blip r:embed="rId13">
                      <a:lum contrast="11999"/>
                    </a:blip>
                    <a:stretch>
                      <a:fillRect/>
                    </a:stretch>
                  </pic:blipFill>
                  <pic:spPr>
                    <a:xfrm>
                      <a:off x="0" y="0"/>
                      <a:ext cx="5592445" cy="3103880"/>
                    </a:xfrm>
                    <a:prstGeom prst="rect">
                      <a:avLst/>
                    </a:prstGeom>
                    <a:noFill/>
                    <a:ln>
                      <a:noFill/>
                    </a:ln>
                  </pic:spPr>
                </pic:pic>
              </a:graphicData>
            </a:graphic>
          </wp:inline>
        </w:drawing>
      </w:r>
    </w:p>
    <w:p w14:paraId="2483196D">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（2）数据库结构</w:t>
      </w:r>
    </w:p>
    <w:p w14:paraId="54734363">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景三维数据库采用统一标准框架，详细设计遵循统一规范，便于数据的汇聚和使用。实景三维数据库包括地理场景数据分库、基础地理实体数据分库及元数据分库等，各分库根据数据内容分为不同子库，各子库根据数据内容分为若干数据集。也可根据实际需要对数据库结构进行扩展。数据库结构见下图。</w:t>
      </w:r>
    </w:p>
    <w:p w14:paraId="64ED102B">
      <w:pPr>
        <w:rPr>
          <w:rFonts w:hint="eastAsia" w:ascii="宋体" w:hAnsi="宋体" w:cs="宋体"/>
          <w:bCs/>
        </w:rPr>
      </w:pPr>
      <w:r>
        <w:rPr>
          <w:rFonts w:hint="eastAsia" w:ascii="宋体" w:hAnsi="宋体" w:cs="宋体"/>
          <w:bCs/>
        </w:rPr>
        <w:drawing>
          <wp:inline distT="0" distB="0" distL="114300" distR="114300">
            <wp:extent cx="5274310" cy="2106930"/>
            <wp:effectExtent l="0" t="0" r="13970"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274310" cy="2106930"/>
                    </a:xfrm>
                    <a:prstGeom prst="rect">
                      <a:avLst/>
                    </a:prstGeom>
                    <a:noFill/>
                    <a:ln>
                      <a:noFill/>
                    </a:ln>
                  </pic:spPr>
                </pic:pic>
              </a:graphicData>
            </a:graphic>
          </wp:inline>
        </w:drawing>
      </w:r>
    </w:p>
    <w:p w14:paraId="75922E57">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（3）系统功能</w:t>
      </w:r>
    </w:p>
    <w:p w14:paraId="0408AEF4">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建设数据库管理系统，集成管理市本级实景三维数据库，包含成果数据管理、三维应用、数据分析等模块，提供基础地形图转地理实体、地理实体与业务数据融合处理、多源实景三维成果管理、地理实体成果管理等功能，满足实景三维建设中基础测绘成果与实景三维成果统一管理需求。</w:t>
      </w:r>
    </w:p>
    <w:p w14:paraId="5C2C771E">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（4）建设流程</w:t>
      </w:r>
    </w:p>
    <w:p w14:paraId="30E2A7BF">
      <w:pPr>
        <w:widowControl/>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实景三维数据库系统建设包括实景三维数据成果入库、整合处理、管理系统等环节，建设流程见下图。</w:t>
      </w:r>
    </w:p>
    <w:p w14:paraId="024A08CE">
      <w:pPr>
        <w:widowControl/>
        <w:adjustRightInd w:val="0"/>
        <w:snapToGrid w:val="0"/>
        <w:spacing w:line="360" w:lineRule="auto"/>
        <w:jc w:val="center"/>
        <w:rPr>
          <w:rFonts w:hint="eastAsia" w:ascii="宋体" w:hAnsi="宋体" w:cs="宋体"/>
          <w:sz w:val="28"/>
          <w:szCs w:val="28"/>
          <w:u w:val="single"/>
        </w:rPr>
      </w:pPr>
      <w:r>
        <w:rPr>
          <w:rFonts w:hint="eastAsia" w:ascii="宋体" w:hAnsi="宋体" w:cs="宋体"/>
        </w:rPr>
        <w:drawing>
          <wp:inline distT="0" distB="0" distL="114300" distR="114300">
            <wp:extent cx="5680075" cy="4015105"/>
            <wp:effectExtent l="0" t="0" r="4445"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tretch>
                      <a:fillRect/>
                    </a:stretch>
                  </pic:blipFill>
                  <pic:spPr>
                    <a:xfrm>
                      <a:off x="0" y="0"/>
                      <a:ext cx="5680075" cy="4015105"/>
                    </a:xfrm>
                    <a:prstGeom prst="rect">
                      <a:avLst/>
                    </a:prstGeom>
                    <a:noFill/>
                    <a:ln>
                      <a:noFill/>
                    </a:ln>
                  </pic:spPr>
                </pic:pic>
              </a:graphicData>
            </a:graphic>
          </wp:inline>
        </w:drawing>
      </w:r>
    </w:p>
    <w:p w14:paraId="6D408613">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15.支撑环境建设</w:t>
      </w:r>
    </w:p>
    <w:p w14:paraId="5F646C6E">
      <w:pPr>
        <w:spacing w:line="360" w:lineRule="auto"/>
        <w:ind w:firstLine="480" w:firstLineChars="200"/>
        <w:rPr>
          <w:rFonts w:hint="eastAsia" w:ascii="宋体" w:hAnsi="宋体" w:cs="宋体"/>
          <w:sz w:val="24"/>
          <w:szCs w:val="24"/>
        </w:rPr>
      </w:pPr>
      <w:r>
        <w:rPr>
          <w:rFonts w:hint="eastAsia" w:ascii="宋体" w:hAnsi="宋体" w:cs="宋体"/>
          <w:sz w:val="24"/>
          <w:szCs w:val="24"/>
        </w:rPr>
        <w:t>支撑环境建设主要包括：支撑数据处理、存储、管理、应用及系统部署运行所需的软硬件环境，包括存储服务器、数据库服务器、图形工作站、移动工作站、移动存储、涉密数据加密软件、GIS基础软件等。支撑环境采用云租赁和采购相结合的方式，详见表1。云租赁的清单见表2。</w:t>
      </w:r>
    </w:p>
    <w:p w14:paraId="2AA0AD86">
      <w:pPr>
        <w:jc w:val="center"/>
        <w:rPr>
          <w:rFonts w:hint="eastAsia" w:ascii="宋体" w:hAnsi="宋体" w:cs="宋体"/>
          <w:sz w:val="24"/>
        </w:rPr>
      </w:pPr>
      <w:r>
        <w:rPr>
          <w:rFonts w:hint="eastAsia" w:ascii="宋体" w:hAnsi="宋体" w:cs="宋体"/>
          <w:b/>
          <w:bCs/>
          <w:sz w:val="24"/>
        </w:rPr>
        <w:t>表1 支撑环境配置清单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234"/>
        <w:gridCol w:w="3903"/>
        <w:gridCol w:w="638"/>
        <w:gridCol w:w="638"/>
      </w:tblGrid>
      <w:tr w14:paraId="4EC2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1311" w:type="dxa"/>
            <w:shd w:val="clear" w:color="auto" w:fill="D8D8D8"/>
            <w:vAlign w:val="center"/>
          </w:tcPr>
          <w:p w14:paraId="712DC74B">
            <w:pPr>
              <w:widowControl/>
              <w:spacing w:line="360" w:lineRule="auto"/>
              <w:jc w:val="center"/>
              <w:rPr>
                <w:rFonts w:hint="eastAsia" w:ascii="宋体" w:hAnsi="宋体" w:cs="宋体"/>
                <w:kern w:val="0"/>
              </w:rPr>
            </w:pPr>
            <w:r>
              <w:rPr>
                <w:rFonts w:hint="eastAsia" w:ascii="宋体" w:hAnsi="宋体" w:cs="宋体"/>
                <w:b/>
                <w:bCs/>
                <w:kern w:val="0"/>
              </w:rPr>
              <w:t>建设内容</w:t>
            </w:r>
          </w:p>
        </w:tc>
        <w:tc>
          <w:tcPr>
            <w:tcW w:w="2234" w:type="dxa"/>
            <w:shd w:val="clear" w:color="auto" w:fill="D8D8D8"/>
            <w:vAlign w:val="center"/>
          </w:tcPr>
          <w:p w14:paraId="04436B61">
            <w:pPr>
              <w:widowControl/>
              <w:spacing w:line="360" w:lineRule="auto"/>
              <w:jc w:val="center"/>
              <w:rPr>
                <w:rFonts w:hint="eastAsia" w:ascii="宋体" w:hAnsi="宋体" w:cs="宋体"/>
                <w:kern w:val="0"/>
              </w:rPr>
            </w:pPr>
            <w:r>
              <w:rPr>
                <w:rFonts w:hint="eastAsia" w:ascii="宋体" w:hAnsi="宋体" w:cs="宋体"/>
                <w:b/>
                <w:bCs/>
                <w:color w:val="000000"/>
                <w:kern w:val="0"/>
              </w:rPr>
              <w:t>内容细分</w:t>
            </w:r>
          </w:p>
        </w:tc>
        <w:tc>
          <w:tcPr>
            <w:tcW w:w="3903" w:type="dxa"/>
            <w:shd w:val="clear" w:color="auto" w:fill="D8D8D8"/>
            <w:noWrap/>
            <w:vAlign w:val="center"/>
          </w:tcPr>
          <w:p w14:paraId="297B27B4">
            <w:pPr>
              <w:widowControl/>
              <w:spacing w:line="360" w:lineRule="auto"/>
              <w:jc w:val="center"/>
              <w:rPr>
                <w:rFonts w:hint="eastAsia" w:ascii="宋体" w:hAnsi="宋体" w:cs="宋体"/>
                <w:color w:val="000000"/>
                <w:kern w:val="0"/>
              </w:rPr>
            </w:pPr>
            <w:r>
              <w:rPr>
                <w:rFonts w:hint="eastAsia" w:ascii="宋体" w:hAnsi="宋体" w:cs="宋体"/>
                <w:b/>
                <w:bCs/>
                <w:color w:val="000000"/>
                <w:kern w:val="0"/>
              </w:rPr>
              <w:t>规格参数</w:t>
            </w:r>
          </w:p>
        </w:tc>
        <w:tc>
          <w:tcPr>
            <w:tcW w:w="0" w:type="auto"/>
            <w:shd w:val="clear" w:color="auto" w:fill="D8D8D8"/>
            <w:vAlign w:val="center"/>
          </w:tcPr>
          <w:p w14:paraId="74AEF875">
            <w:pPr>
              <w:widowControl/>
              <w:spacing w:line="360" w:lineRule="auto"/>
              <w:jc w:val="center"/>
              <w:rPr>
                <w:rFonts w:hint="eastAsia" w:ascii="宋体" w:hAnsi="宋体" w:cs="宋体"/>
                <w:kern w:val="0"/>
              </w:rPr>
            </w:pPr>
            <w:r>
              <w:rPr>
                <w:rFonts w:hint="eastAsia" w:ascii="宋体" w:hAnsi="宋体" w:cs="宋体"/>
                <w:b/>
                <w:bCs/>
                <w:kern w:val="0"/>
              </w:rPr>
              <w:t>数量</w:t>
            </w:r>
          </w:p>
        </w:tc>
        <w:tc>
          <w:tcPr>
            <w:tcW w:w="0" w:type="auto"/>
            <w:shd w:val="clear" w:color="auto" w:fill="D8D8D8"/>
            <w:vAlign w:val="center"/>
          </w:tcPr>
          <w:p w14:paraId="777E990F">
            <w:pPr>
              <w:widowControl/>
              <w:spacing w:line="360" w:lineRule="auto"/>
              <w:jc w:val="center"/>
              <w:rPr>
                <w:rFonts w:hint="eastAsia" w:ascii="宋体" w:hAnsi="宋体" w:cs="宋体"/>
                <w:kern w:val="0"/>
              </w:rPr>
            </w:pPr>
            <w:r>
              <w:rPr>
                <w:rFonts w:hint="eastAsia" w:ascii="宋体" w:hAnsi="宋体" w:cs="宋体"/>
                <w:b/>
                <w:bCs/>
                <w:kern w:val="0"/>
              </w:rPr>
              <w:t>单位</w:t>
            </w:r>
          </w:p>
        </w:tc>
      </w:tr>
      <w:tr w14:paraId="6DA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11" w:type="dxa"/>
            <w:vAlign w:val="center"/>
          </w:tcPr>
          <w:p w14:paraId="24E60B16">
            <w:pPr>
              <w:widowControl/>
              <w:spacing w:line="360" w:lineRule="auto"/>
              <w:jc w:val="center"/>
              <w:rPr>
                <w:rFonts w:hint="eastAsia" w:ascii="宋体" w:hAnsi="宋体" w:cs="宋体"/>
                <w:kern w:val="0"/>
              </w:rPr>
            </w:pPr>
            <w:r>
              <w:rPr>
                <w:rFonts w:hint="eastAsia" w:ascii="宋体" w:hAnsi="宋体" w:cs="宋体"/>
                <w:kern w:val="0"/>
              </w:rPr>
              <w:t>云资源租赁费（年费）</w:t>
            </w:r>
          </w:p>
        </w:tc>
        <w:tc>
          <w:tcPr>
            <w:tcW w:w="2234" w:type="dxa"/>
            <w:vAlign w:val="center"/>
          </w:tcPr>
          <w:p w14:paraId="28441C37">
            <w:pPr>
              <w:widowControl/>
              <w:spacing w:line="360" w:lineRule="auto"/>
              <w:jc w:val="center"/>
              <w:rPr>
                <w:rFonts w:hint="eastAsia" w:ascii="宋体" w:hAnsi="宋体" w:cs="宋体"/>
                <w:kern w:val="0"/>
              </w:rPr>
            </w:pPr>
            <w:r>
              <w:rPr>
                <w:rFonts w:hint="eastAsia" w:ascii="宋体" w:hAnsi="宋体" w:cs="宋体"/>
                <w:kern w:val="0"/>
              </w:rPr>
              <w:t>主要包括云主机、系统、云安全、数据库及中间件等</w:t>
            </w:r>
          </w:p>
        </w:tc>
        <w:tc>
          <w:tcPr>
            <w:tcW w:w="3903" w:type="dxa"/>
            <w:noWrap/>
            <w:vAlign w:val="center"/>
          </w:tcPr>
          <w:p w14:paraId="57FB3FEC">
            <w:pPr>
              <w:widowControl/>
              <w:spacing w:line="360" w:lineRule="auto"/>
              <w:jc w:val="center"/>
              <w:rPr>
                <w:rFonts w:hint="eastAsia" w:ascii="宋体" w:hAnsi="宋体" w:cs="宋体"/>
                <w:color w:val="000000"/>
                <w:kern w:val="0"/>
              </w:rPr>
            </w:pPr>
          </w:p>
        </w:tc>
        <w:tc>
          <w:tcPr>
            <w:tcW w:w="0" w:type="auto"/>
            <w:vAlign w:val="center"/>
          </w:tcPr>
          <w:p w14:paraId="5CD027AF">
            <w:pPr>
              <w:widowControl/>
              <w:spacing w:line="360" w:lineRule="auto"/>
              <w:jc w:val="center"/>
              <w:rPr>
                <w:rFonts w:hint="eastAsia" w:ascii="宋体" w:hAnsi="宋体" w:cs="宋体"/>
                <w:kern w:val="0"/>
              </w:rPr>
            </w:pPr>
            <w:r>
              <w:rPr>
                <w:rFonts w:hint="eastAsia" w:ascii="宋体" w:hAnsi="宋体" w:cs="宋体"/>
                <w:kern w:val="0"/>
              </w:rPr>
              <w:t>——</w:t>
            </w:r>
          </w:p>
        </w:tc>
        <w:tc>
          <w:tcPr>
            <w:tcW w:w="0" w:type="auto"/>
            <w:vAlign w:val="center"/>
          </w:tcPr>
          <w:p w14:paraId="388F5471">
            <w:pPr>
              <w:widowControl/>
              <w:spacing w:line="360" w:lineRule="auto"/>
              <w:jc w:val="center"/>
              <w:rPr>
                <w:rFonts w:hint="eastAsia" w:ascii="宋体" w:hAnsi="宋体" w:cs="宋体"/>
                <w:kern w:val="0"/>
              </w:rPr>
            </w:pPr>
            <w:r>
              <w:rPr>
                <w:rFonts w:hint="eastAsia" w:ascii="宋体" w:hAnsi="宋体" w:cs="宋体"/>
                <w:kern w:val="0"/>
              </w:rPr>
              <w:t>——</w:t>
            </w:r>
          </w:p>
        </w:tc>
      </w:tr>
      <w:tr w14:paraId="1B97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11" w:type="dxa"/>
            <w:vAlign w:val="center"/>
          </w:tcPr>
          <w:p w14:paraId="47546BF5">
            <w:pPr>
              <w:widowControl/>
              <w:spacing w:line="360" w:lineRule="auto"/>
              <w:jc w:val="center"/>
              <w:rPr>
                <w:rFonts w:hint="eastAsia" w:ascii="宋体" w:hAnsi="宋体" w:cs="宋体"/>
                <w:kern w:val="0"/>
              </w:rPr>
            </w:pPr>
            <w:r>
              <w:rPr>
                <w:rFonts w:hint="eastAsia" w:ascii="宋体" w:hAnsi="宋体" w:cs="宋体"/>
                <w:kern w:val="0"/>
              </w:rPr>
              <w:t>展示大屏</w:t>
            </w:r>
          </w:p>
        </w:tc>
        <w:tc>
          <w:tcPr>
            <w:tcW w:w="2234" w:type="dxa"/>
            <w:vAlign w:val="center"/>
          </w:tcPr>
          <w:p w14:paraId="0CBE5F5D">
            <w:pPr>
              <w:widowControl/>
              <w:spacing w:line="360" w:lineRule="auto"/>
              <w:jc w:val="center"/>
              <w:rPr>
                <w:rFonts w:hint="eastAsia" w:ascii="宋体" w:hAnsi="宋体" w:cs="宋体"/>
                <w:kern w:val="0"/>
              </w:rPr>
            </w:pPr>
            <w:r>
              <w:rPr>
                <w:rFonts w:hint="eastAsia" w:ascii="宋体" w:hAnsi="宋体" w:cs="宋体"/>
                <w:kern w:val="0"/>
              </w:rPr>
              <w:t>覆盖面积为58平方米，主要包括LED屏、配套操作系统、备件等。</w:t>
            </w:r>
          </w:p>
        </w:tc>
        <w:tc>
          <w:tcPr>
            <w:tcW w:w="3903" w:type="dxa"/>
            <w:noWrap/>
            <w:vAlign w:val="center"/>
          </w:tcPr>
          <w:p w14:paraId="7E5D1F97">
            <w:pPr>
              <w:widowControl/>
              <w:spacing w:line="360" w:lineRule="auto"/>
              <w:ind w:firstLine="174" w:firstLineChars="83"/>
              <w:jc w:val="center"/>
              <w:rPr>
                <w:rFonts w:hint="eastAsia" w:ascii="宋体" w:hAnsi="宋体" w:cs="宋体"/>
                <w:color w:val="000000"/>
                <w:kern w:val="0"/>
              </w:rPr>
            </w:pPr>
          </w:p>
        </w:tc>
        <w:tc>
          <w:tcPr>
            <w:tcW w:w="0" w:type="auto"/>
            <w:vAlign w:val="center"/>
          </w:tcPr>
          <w:p w14:paraId="5591D585">
            <w:pPr>
              <w:widowControl/>
              <w:spacing w:line="360" w:lineRule="auto"/>
              <w:jc w:val="center"/>
              <w:rPr>
                <w:rFonts w:hint="eastAsia" w:ascii="宋体" w:hAnsi="宋体" w:cs="宋体"/>
                <w:kern w:val="0"/>
              </w:rPr>
            </w:pPr>
            <w:r>
              <w:rPr>
                <w:rFonts w:hint="eastAsia" w:ascii="宋体" w:hAnsi="宋体" w:cs="宋体"/>
                <w:kern w:val="0"/>
              </w:rPr>
              <w:t>1</w:t>
            </w:r>
          </w:p>
        </w:tc>
        <w:tc>
          <w:tcPr>
            <w:tcW w:w="0" w:type="auto"/>
            <w:vAlign w:val="center"/>
          </w:tcPr>
          <w:p w14:paraId="56B93E49">
            <w:pPr>
              <w:widowControl/>
              <w:spacing w:line="360" w:lineRule="auto"/>
              <w:jc w:val="center"/>
              <w:rPr>
                <w:rFonts w:hint="eastAsia" w:ascii="宋体" w:hAnsi="宋体" w:cs="宋体"/>
                <w:kern w:val="0"/>
              </w:rPr>
            </w:pPr>
            <w:r>
              <w:rPr>
                <w:rFonts w:hint="eastAsia" w:ascii="宋体" w:hAnsi="宋体" w:cs="宋体"/>
                <w:kern w:val="0"/>
              </w:rPr>
              <w:t>套</w:t>
            </w:r>
          </w:p>
        </w:tc>
      </w:tr>
      <w:tr w14:paraId="4618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jc w:val="center"/>
        </w:trPr>
        <w:tc>
          <w:tcPr>
            <w:tcW w:w="1311" w:type="dxa"/>
            <w:vMerge w:val="restart"/>
            <w:vAlign w:val="center"/>
          </w:tcPr>
          <w:p w14:paraId="17010A73">
            <w:pPr>
              <w:widowControl/>
              <w:spacing w:line="360" w:lineRule="auto"/>
              <w:jc w:val="center"/>
              <w:rPr>
                <w:rFonts w:hint="eastAsia" w:ascii="宋体" w:hAnsi="宋体" w:cs="宋体"/>
                <w:kern w:val="0"/>
              </w:rPr>
            </w:pPr>
            <w:r>
              <w:rPr>
                <w:rFonts w:hint="eastAsia" w:ascii="宋体" w:hAnsi="宋体" w:cs="宋体"/>
                <w:kern w:val="0"/>
              </w:rPr>
              <w:t>涉密管理终端</w:t>
            </w:r>
          </w:p>
        </w:tc>
        <w:tc>
          <w:tcPr>
            <w:tcW w:w="2234" w:type="dxa"/>
            <w:vAlign w:val="center"/>
          </w:tcPr>
          <w:p w14:paraId="1DFAA290">
            <w:pPr>
              <w:widowControl/>
              <w:spacing w:line="360" w:lineRule="auto"/>
              <w:jc w:val="center"/>
              <w:rPr>
                <w:rFonts w:hint="eastAsia" w:ascii="宋体" w:hAnsi="宋体" w:cs="宋体"/>
                <w:kern w:val="0"/>
              </w:rPr>
            </w:pPr>
            <w:r>
              <w:rPr>
                <w:rFonts w:hint="eastAsia" w:ascii="宋体" w:hAnsi="宋体" w:cs="宋体"/>
                <w:kern w:val="0"/>
              </w:rPr>
              <w:t>图形工作站</w:t>
            </w:r>
          </w:p>
        </w:tc>
        <w:tc>
          <w:tcPr>
            <w:tcW w:w="3903" w:type="dxa"/>
            <w:vAlign w:val="center"/>
          </w:tcPr>
          <w:p w14:paraId="333B3E69">
            <w:pPr>
              <w:widowControl/>
              <w:spacing w:line="360" w:lineRule="auto"/>
              <w:jc w:val="left"/>
              <w:rPr>
                <w:rFonts w:hint="eastAsia" w:ascii="宋体" w:hAnsi="宋体" w:cs="宋体"/>
                <w:kern w:val="0"/>
              </w:rPr>
            </w:pPr>
            <w:r>
              <w:rPr>
                <w:rFonts w:hint="eastAsia" w:ascii="宋体" w:hAnsi="宋体" w:cs="宋体"/>
                <w:kern w:val="0"/>
              </w:rPr>
              <w:t>1.处理器：intel Core i7-12700（12核心20线程 2.1主频）</w:t>
            </w:r>
            <w:r>
              <w:rPr>
                <w:rFonts w:hint="eastAsia" w:ascii="宋体" w:hAnsi="宋体" w:cs="宋体"/>
                <w:kern w:val="0"/>
              </w:rPr>
              <w:br w:type="textWrapping"/>
            </w:r>
            <w:r>
              <w:rPr>
                <w:rFonts w:hint="eastAsia" w:ascii="宋体" w:hAnsi="宋体" w:cs="宋体"/>
                <w:kern w:val="0"/>
              </w:rPr>
              <w:t>2.芯片组：intel W680芯片组</w:t>
            </w:r>
            <w:r>
              <w:rPr>
                <w:rFonts w:hint="eastAsia" w:ascii="宋体" w:hAnsi="宋体" w:cs="宋体"/>
                <w:kern w:val="0"/>
              </w:rPr>
              <w:br w:type="textWrapping"/>
            </w:r>
            <w:r>
              <w:rPr>
                <w:rFonts w:hint="eastAsia" w:ascii="宋体" w:hAnsi="宋体" w:cs="宋体"/>
                <w:kern w:val="0"/>
              </w:rPr>
              <w:t>3.内存：64GB DDR5 4800内存</w:t>
            </w:r>
            <w:r>
              <w:rPr>
                <w:rFonts w:hint="eastAsia" w:ascii="宋体" w:hAnsi="宋体" w:cs="宋体"/>
                <w:kern w:val="0"/>
              </w:rPr>
              <w:br w:type="textWrapping"/>
            </w:r>
            <w:r>
              <w:rPr>
                <w:rFonts w:hint="eastAsia" w:ascii="宋体" w:hAnsi="宋体" w:cs="宋体"/>
                <w:kern w:val="0"/>
              </w:rPr>
              <w:t>4.硬盘：256GB SSD+10TB SATA 7200转机械硬盘</w:t>
            </w:r>
            <w:r>
              <w:rPr>
                <w:rFonts w:hint="eastAsia" w:ascii="宋体" w:hAnsi="宋体" w:cs="宋体"/>
                <w:kern w:val="0"/>
              </w:rPr>
              <w:br w:type="textWrapping"/>
            </w:r>
            <w:r>
              <w:rPr>
                <w:rFonts w:hint="eastAsia" w:ascii="宋体" w:hAnsi="宋体" w:cs="宋体"/>
                <w:kern w:val="0"/>
              </w:rPr>
              <w:t>5.显卡：NVIDIA RTX3070 8GB 显卡</w:t>
            </w:r>
            <w:r>
              <w:rPr>
                <w:rFonts w:hint="eastAsia" w:ascii="宋体" w:hAnsi="宋体" w:cs="宋体"/>
                <w:kern w:val="0"/>
              </w:rPr>
              <w:br w:type="textWrapping"/>
            </w:r>
            <w:r>
              <w:rPr>
                <w:rFonts w:hint="eastAsia" w:ascii="宋体" w:hAnsi="宋体" w:cs="宋体"/>
                <w:kern w:val="0"/>
              </w:rPr>
              <w:t>6.网卡：集成千兆以太网口4个，万兆网口2个；电源：750W电源</w:t>
            </w:r>
          </w:p>
        </w:tc>
        <w:tc>
          <w:tcPr>
            <w:tcW w:w="0" w:type="auto"/>
            <w:vAlign w:val="center"/>
          </w:tcPr>
          <w:p w14:paraId="02D622A8">
            <w:pPr>
              <w:widowControl/>
              <w:spacing w:line="360" w:lineRule="auto"/>
              <w:jc w:val="center"/>
              <w:rPr>
                <w:rFonts w:hint="eastAsia" w:ascii="宋体" w:hAnsi="宋体" w:cs="宋体"/>
                <w:kern w:val="0"/>
              </w:rPr>
            </w:pPr>
            <w:r>
              <w:rPr>
                <w:rFonts w:hint="eastAsia" w:ascii="宋体" w:hAnsi="宋体" w:cs="宋体"/>
                <w:kern w:val="0"/>
              </w:rPr>
              <w:t>5</w:t>
            </w:r>
          </w:p>
        </w:tc>
        <w:tc>
          <w:tcPr>
            <w:tcW w:w="0" w:type="auto"/>
            <w:vAlign w:val="center"/>
          </w:tcPr>
          <w:p w14:paraId="6BFC38B5">
            <w:pPr>
              <w:widowControl/>
              <w:spacing w:line="360" w:lineRule="auto"/>
              <w:jc w:val="center"/>
              <w:rPr>
                <w:rFonts w:hint="eastAsia" w:ascii="宋体" w:hAnsi="宋体" w:cs="宋体"/>
                <w:kern w:val="0"/>
              </w:rPr>
            </w:pPr>
            <w:r>
              <w:rPr>
                <w:rFonts w:hint="eastAsia" w:ascii="宋体" w:hAnsi="宋体" w:cs="宋体"/>
                <w:kern w:val="0"/>
              </w:rPr>
              <w:t>台</w:t>
            </w:r>
          </w:p>
        </w:tc>
      </w:tr>
      <w:tr w14:paraId="303F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311" w:type="dxa"/>
            <w:vMerge w:val="continue"/>
            <w:vAlign w:val="center"/>
          </w:tcPr>
          <w:p w14:paraId="3074A0A6">
            <w:pPr>
              <w:widowControl/>
              <w:spacing w:line="360" w:lineRule="auto"/>
              <w:ind w:firstLine="480"/>
              <w:jc w:val="center"/>
              <w:rPr>
                <w:rFonts w:hint="eastAsia" w:ascii="宋体" w:hAnsi="宋体" w:cs="宋体"/>
                <w:kern w:val="0"/>
              </w:rPr>
            </w:pPr>
          </w:p>
        </w:tc>
        <w:tc>
          <w:tcPr>
            <w:tcW w:w="2234" w:type="dxa"/>
            <w:vAlign w:val="center"/>
          </w:tcPr>
          <w:p w14:paraId="0543C372">
            <w:pPr>
              <w:widowControl/>
              <w:spacing w:line="360" w:lineRule="auto"/>
              <w:jc w:val="center"/>
              <w:rPr>
                <w:rFonts w:hint="eastAsia" w:ascii="宋体" w:hAnsi="宋体" w:cs="宋体"/>
                <w:kern w:val="0"/>
              </w:rPr>
            </w:pPr>
            <w:r>
              <w:rPr>
                <w:rFonts w:hint="eastAsia" w:ascii="宋体" w:hAnsi="宋体" w:cs="宋体"/>
                <w:kern w:val="0"/>
              </w:rPr>
              <w:t>移动工作站</w:t>
            </w:r>
          </w:p>
        </w:tc>
        <w:tc>
          <w:tcPr>
            <w:tcW w:w="3903" w:type="dxa"/>
            <w:vAlign w:val="center"/>
          </w:tcPr>
          <w:p w14:paraId="13AD964D">
            <w:pPr>
              <w:widowControl/>
              <w:spacing w:line="360" w:lineRule="auto"/>
              <w:jc w:val="left"/>
              <w:rPr>
                <w:rFonts w:hint="eastAsia" w:ascii="宋体" w:hAnsi="宋体" w:cs="宋体"/>
                <w:kern w:val="0"/>
              </w:rPr>
            </w:pPr>
            <w:r>
              <w:rPr>
                <w:rFonts w:hint="eastAsia" w:ascii="宋体" w:hAnsi="宋体" w:cs="宋体"/>
                <w:kern w:val="0"/>
              </w:rPr>
              <w:t>英特尔第13代酷i9-13900H/96G 内存/8TB 固态硬盘/RTXA2000Ada显卡 16G</w:t>
            </w:r>
          </w:p>
        </w:tc>
        <w:tc>
          <w:tcPr>
            <w:tcW w:w="0" w:type="auto"/>
            <w:vAlign w:val="center"/>
          </w:tcPr>
          <w:p w14:paraId="056BD00F">
            <w:pPr>
              <w:widowControl/>
              <w:spacing w:line="360" w:lineRule="auto"/>
              <w:jc w:val="center"/>
              <w:rPr>
                <w:rFonts w:hint="eastAsia" w:ascii="宋体" w:hAnsi="宋体" w:cs="宋体"/>
                <w:kern w:val="0"/>
              </w:rPr>
            </w:pPr>
            <w:r>
              <w:rPr>
                <w:rFonts w:hint="eastAsia" w:ascii="宋体" w:hAnsi="宋体" w:cs="宋体"/>
                <w:kern w:val="0"/>
              </w:rPr>
              <w:t>2</w:t>
            </w:r>
          </w:p>
        </w:tc>
        <w:tc>
          <w:tcPr>
            <w:tcW w:w="0" w:type="auto"/>
            <w:vAlign w:val="center"/>
          </w:tcPr>
          <w:p w14:paraId="141978E3">
            <w:pPr>
              <w:widowControl/>
              <w:spacing w:line="360" w:lineRule="auto"/>
              <w:jc w:val="center"/>
              <w:rPr>
                <w:rFonts w:hint="eastAsia" w:ascii="宋体" w:hAnsi="宋体" w:cs="宋体"/>
                <w:kern w:val="0"/>
              </w:rPr>
            </w:pPr>
            <w:r>
              <w:rPr>
                <w:rFonts w:hint="eastAsia" w:ascii="宋体" w:hAnsi="宋体" w:cs="宋体"/>
                <w:kern w:val="0"/>
              </w:rPr>
              <w:t>台</w:t>
            </w:r>
          </w:p>
        </w:tc>
      </w:tr>
      <w:tr w14:paraId="6F00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311" w:type="dxa"/>
            <w:vMerge w:val="continue"/>
            <w:vAlign w:val="center"/>
          </w:tcPr>
          <w:p w14:paraId="0A7CE49C">
            <w:pPr>
              <w:widowControl/>
              <w:spacing w:line="360" w:lineRule="auto"/>
              <w:ind w:firstLine="480"/>
              <w:jc w:val="center"/>
              <w:rPr>
                <w:rFonts w:hint="eastAsia" w:ascii="宋体" w:hAnsi="宋体" w:cs="宋体"/>
                <w:kern w:val="0"/>
              </w:rPr>
            </w:pPr>
          </w:p>
        </w:tc>
        <w:tc>
          <w:tcPr>
            <w:tcW w:w="2234" w:type="dxa"/>
            <w:vAlign w:val="center"/>
          </w:tcPr>
          <w:p w14:paraId="745AF70E">
            <w:pPr>
              <w:widowControl/>
              <w:spacing w:line="360" w:lineRule="auto"/>
              <w:jc w:val="center"/>
              <w:rPr>
                <w:rFonts w:hint="eastAsia" w:ascii="宋体" w:hAnsi="宋体" w:cs="宋体"/>
                <w:kern w:val="0"/>
              </w:rPr>
            </w:pPr>
            <w:r>
              <w:rPr>
                <w:rFonts w:hint="eastAsia" w:ascii="宋体" w:hAnsi="宋体" w:cs="宋体"/>
                <w:kern w:val="0"/>
              </w:rPr>
              <w:t>移动存储</w:t>
            </w:r>
          </w:p>
        </w:tc>
        <w:tc>
          <w:tcPr>
            <w:tcW w:w="3903" w:type="dxa"/>
            <w:vAlign w:val="center"/>
          </w:tcPr>
          <w:p w14:paraId="60C4D1BD">
            <w:pPr>
              <w:widowControl/>
              <w:spacing w:line="360" w:lineRule="auto"/>
              <w:jc w:val="left"/>
              <w:rPr>
                <w:rFonts w:hint="eastAsia" w:ascii="宋体" w:hAnsi="宋体" w:cs="宋体"/>
                <w:kern w:val="0"/>
              </w:rPr>
            </w:pPr>
            <w:r>
              <w:rPr>
                <w:rFonts w:hint="eastAsia" w:ascii="宋体" w:hAnsi="宋体" w:cs="宋体"/>
                <w:kern w:val="0"/>
              </w:rPr>
              <w:t>群晖（Synology） DS2422+ 12盘位NAS磁盘列阵网络存储服务器 12块 3.84TB SSD硬盘</w:t>
            </w:r>
          </w:p>
        </w:tc>
        <w:tc>
          <w:tcPr>
            <w:tcW w:w="0" w:type="auto"/>
            <w:vAlign w:val="center"/>
          </w:tcPr>
          <w:p w14:paraId="79AF3106">
            <w:pPr>
              <w:widowControl/>
              <w:spacing w:line="360" w:lineRule="auto"/>
              <w:jc w:val="center"/>
              <w:rPr>
                <w:rFonts w:hint="eastAsia" w:ascii="宋体" w:hAnsi="宋体" w:cs="宋体"/>
                <w:kern w:val="0"/>
              </w:rPr>
            </w:pPr>
            <w:r>
              <w:rPr>
                <w:rFonts w:hint="eastAsia" w:ascii="宋体" w:hAnsi="宋体" w:cs="宋体"/>
                <w:kern w:val="0"/>
              </w:rPr>
              <w:t>1</w:t>
            </w:r>
          </w:p>
        </w:tc>
        <w:tc>
          <w:tcPr>
            <w:tcW w:w="0" w:type="auto"/>
            <w:vAlign w:val="center"/>
          </w:tcPr>
          <w:p w14:paraId="50F8AC90">
            <w:pPr>
              <w:widowControl/>
              <w:spacing w:line="360" w:lineRule="auto"/>
              <w:jc w:val="center"/>
              <w:rPr>
                <w:rFonts w:hint="eastAsia" w:ascii="宋体" w:hAnsi="宋体" w:cs="宋体"/>
                <w:kern w:val="0"/>
              </w:rPr>
            </w:pPr>
            <w:r>
              <w:rPr>
                <w:rFonts w:hint="eastAsia" w:ascii="宋体" w:hAnsi="宋体" w:cs="宋体"/>
                <w:kern w:val="0"/>
              </w:rPr>
              <w:t>套</w:t>
            </w:r>
          </w:p>
        </w:tc>
      </w:tr>
      <w:tr w14:paraId="5BEE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311" w:type="dxa"/>
            <w:vMerge w:val="restart"/>
            <w:vAlign w:val="center"/>
          </w:tcPr>
          <w:p w14:paraId="129F1AC6">
            <w:pPr>
              <w:widowControl/>
              <w:spacing w:line="360" w:lineRule="auto"/>
              <w:jc w:val="center"/>
              <w:rPr>
                <w:rFonts w:hint="eastAsia" w:ascii="宋体" w:hAnsi="宋体" w:cs="宋体"/>
                <w:kern w:val="0"/>
              </w:rPr>
            </w:pPr>
            <w:r>
              <w:rPr>
                <w:rFonts w:hint="eastAsia" w:ascii="宋体" w:hAnsi="宋体" w:cs="宋体"/>
                <w:kern w:val="0"/>
              </w:rPr>
              <w:t>涉密服务器</w:t>
            </w:r>
          </w:p>
        </w:tc>
        <w:tc>
          <w:tcPr>
            <w:tcW w:w="2234" w:type="dxa"/>
            <w:vAlign w:val="center"/>
          </w:tcPr>
          <w:p w14:paraId="7CD2CA35">
            <w:pPr>
              <w:widowControl/>
              <w:spacing w:line="360" w:lineRule="auto"/>
              <w:jc w:val="center"/>
              <w:rPr>
                <w:rFonts w:hint="eastAsia" w:ascii="宋体" w:hAnsi="宋体" w:cs="宋体"/>
                <w:kern w:val="0"/>
              </w:rPr>
            </w:pPr>
            <w:r>
              <w:rPr>
                <w:rFonts w:hint="eastAsia" w:ascii="宋体" w:hAnsi="宋体" w:cs="宋体"/>
                <w:kern w:val="0"/>
              </w:rPr>
              <w:t>数据库服务器</w:t>
            </w:r>
          </w:p>
        </w:tc>
        <w:tc>
          <w:tcPr>
            <w:tcW w:w="3903" w:type="dxa"/>
            <w:vAlign w:val="center"/>
          </w:tcPr>
          <w:p w14:paraId="3DA460DE">
            <w:pPr>
              <w:widowControl/>
              <w:spacing w:line="360" w:lineRule="auto"/>
              <w:jc w:val="left"/>
              <w:rPr>
                <w:rFonts w:hint="eastAsia" w:ascii="宋体" w:hAnsi="宋体" w:cs="宋体"/>
                <w:kern w:val="0"/>
              </w:rPr>
            </w:pPr>
            <w:r>
              <w:rPr>
                <w:rFonts w:hint="eastAsia" w:ascii="宋体" w:hAnsi="宋体" w:cs="宋体"/>
                <w:kern w:val="0"/>
              </w:rPr>
              <w:t>2U24盘位机架服务器机型</w:t>
            </w:r>
            <w:r>
              <w:rPr>
                <w:rFonts w:hint="eastAsia" w:ascii="宋体" w:hAnsi="宋体" w:cs="宋体"/>
                <w:kern w:val="0"/>
              </w:rPr>
              <w:br w:type="textWrapping"/>
            </w:r>
            <w:r>
              <w:rPr>
                <w:rFonts w:hint="eastAsia" w:ascii="宋体" w:hAnsi="宋体" w:cs="宋体"/>
                <w:kern w:val="0"/>
              </w:rPr>
              <w:t>处理器：Intel Xeon 4314 16C 2.4GHz 135W *2</w:t>
            </w:r>
            <w:r>
              <w:rPr>
                <w:rFonts w:hint="eastAsia" w:ascii="宋体" w:hAnsi="宋体" w:cs="宋体"/>
                <w:kern w:val="0"/>
              </w:rPr>
              <w:br w:type="textWrapping"/>
            </w:r>
            <w:r>
              <w:rPr>
                <w:rFonts w:hint="eastAsia" w:ascii="宋体" w:hAnsi="宋体" w:cs="宋体"/>
                <w:kern w:val="0"/>
              </w:rPr>
              <w:t>内存：32G_DDR4-3200MHz_ECC-RDIMM*4</w:t>
            </w:r>
            <w:r>
              <w:rPr>
                <w:rFonts w:hint="eastAsia" w:ascii="宋体" w:hAnsi="宋体" w:cs="宋体"/>
                <w:kern w:val="0"/>
              </w:rPr>
              <w:br w:type="textWrapping"/>
            </w:r>
            <w:r>
              <w:rPr>
                <w:rFonts w:hint="eastAsia" w:ascii="宋体" w:hAnsi="宋体" w:cs="宋体"/>
                <w:kern w:val="0"/>
              </w:rPr>
              <w:t>系统硬盘：SSD 480G *2</w:t>
            </w:r>
            <w:r>
              <w:rPr>
                <w:rFonts w:hint="eastAsia" w:ascii="宋体" w:hAnsi="宋体" w:cs="宋体"/>
                <w:kern w:val="0"/>
              </w:rPr>
              <w:br w:type="textWrapping"/>
            </w:r>
            <w:r>
              <w:rPr>
                <w:rFonts w:hint="eastAsia" w:ascii="宋体" w:hAnsi="宋体" w:cs="宋体"/>
                <w:kern w:val="0"/>
              </w:rPr>
              <w:t>数据盘：6T 7.2K SATA *5</w:t>
            </w:r>
            <w:r>
              <w:rPr>
                <w:rFonts w:hint="eastAsia" w:ascii="宋体" w:hAnsi="宋体" w:cs="宋体"/>
                <w:kern w:val="0"/>
              </w:rPr>
              <w:br w:type="textWrapping"/>
            </w:r>
            <w:r>
              <w:rPr>
                <w:rFonts w:hint="eastAsia" w:ascii="宋体" w:hAnsi="宋体" w:cs="宋体"/>
                <w:kern w:val="0"/>
              </w:rPr>
              <w:t>Raid卡：PM8204-8i_2G_12Gbps_M6*1</w:t>
            </w:r>
            <w:r>
              <w:rPr>
                <w:rFonts w:hint="eastAsia" w:ascii="宋体" w:hAnsi="宋体" w:cs="宋体"/>
                <w:kern w:val="0"/>
              </w:rPr>
              <w:br w:type="textWrapping"/>
            </w:r>
            <w:r>
              <w:rPr>
                <w:rFonts w:hint="eastAsia" w:ascii="宋体" w:hAnsi="宋体" w:cs="宋体"/>
                <w:kern w:val="0"/>
              </w:rPr>
              <w:t>网卡：四口千兆网卡+双口万兆网卡（含光模块）</w:t>
            </w:r>
            <w:r>
              <w:rPr>
                <w:rFonts w:hint="eastAsia" w:ascii="宋体" w:hAnsi="宋体" w:cs="宋体"/>
                <w:kern w:val="0"/>
              </w:rPr>
              <w:br w:type="textWrapping"/>
            </w:r>
            <w:r>
              <w:rPr>
                <w:rFonts w:hint="eastAsia" w:ascii="宋体" w:hAnsi="宋体" w:cs="宋体"/>
                <w:kern w:val="0"/>
              </w:rPr>
              <w:t>电源：800W 双电源</w:t>
            </w:r>
            <w:r>
              <w:rPr>
                <w:rFonts w:hint="eastAsia" w:ascii="宋体" w:hAnsi="宋体" w:cs="宋体"/>
                <w:kern w:val="0"/>
              </w:rPr>
              <w:br w:type="textWrapping"/>
            </w:r>
            <w:r>
              <w:rPr>
                <w:rFonts w:hint="eastAsia" w:ascii="宋体" w:hAnsi="宋体" w:cs="宋体"/>
                <w:kern w:val="0"/>
              </w:rPr>
              <w:t>标准导轨</w:t>
            </w:r>
            <w:r>
              <w:rPr>
                <w:rFonts w:hint="eastAsia" w:ascii="宋体" w:hAnsi="宋体" w:cs="宋体"/>
                <w:kern w:val="0"/>
              </w:rPr>
              <w:br w:type="textWrapping"/>
            </w:r>
            <w:r>
              <w:rPr>
                <w:rFonts w:hint="eastAsia" w:ascii="宋体" w:hAnsi="宋体" w:cs="宋体"/>
                <w:kern w:val="0"/>
              </w:rPr>
              <w:t>三年原厂质保，提供原厂售后服务承诺函，三年故障介质不返还服务。</w:t>
            </w:r>
          </w:p>
        </w:tc>
        <w:tc>
          <w:tcPr>
            <w:tcW w:w="0" w:type="auto"/>
            <w:vAlign w:val="center"/>
          </w:tcPr>
          <w:p w14:paraId="66250A2D">
            <w:pPr>
              <w:widowControl/>
              <w:spacing w:line="360" w:lineRule="auto"/>
              <w:jc w:val="center"/>
              <w:rPr>
                <w:rFonts w:hint="eastAsia" w:ascii="宋体" w:hAnsi="宋体" w:cs="宋体"/>
                <w:kern w:val="0"/>
              </w:rPr>
            </w:pPr>
            <w:r>
              <w:rPr>
                <w:rFonts w:hint="eastAsia" w:ascii="宋体" w:hAnsi="宋体" w:cs="宋体"/>
                <w:kern w:val="0"/>
              </w:rPr>
              <w:t>2</w:t>
            </w:r>
          </w:p>
        </w:tc>
        <w:tc>
          <w:tcPr>
            <w:tcW w:w="0" w:type="auto"/>
            <w:vAlign w:val="center"/>
          </w:tcPr>
          <w:p w14:paraId="36043EE8">
            <w:pPr>
              <w:widowControl/>
              <w:spacing w:line="360" w:lineRule="auto"/>
              <w:jc w:val="center"/>
              <w:rPr>
                <w:rFonts w:hint="eastAsia" w:ascii="宋体" w:hAnsi="宋体" w:cs="宋体"/>
                <w:kern w:val="0"/>
              </w:rPr>
            </w:pPr>
            <w:r>
              <w:rPr>
                <w:rFonts w:hint="eastAsia" w:ascii="宋体" w:hAnsi="宋体" w:cs="宋体"/>
                <w:kern w:val="0"/>
              </w:rPr>
              <w:t>台</w:t>
            </w:r>
          </w:p>
        </w:tc>
      </w:tr>
      <w:tr w14:paraId="571C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11" w:type="dxa"/>
            <w:vMerge w:val="continue"/>
            <w:vAlign w:val="center"/>
          </w:tcPr>
          <w:p w14:paraId="5B3FBBAC">
            <w:pPr>
              <w:widowControl/>
              <w:spacing w:line="360" w:lineRule="auto"/>
              <w:ind w:firstLine="480"/>
              <w:jc w:val="center"/>
              <w:rPr>
                <w:rFonts w:hint="eastAsia" w:ascii="宋体" w:hAnsi="宋体" w:cs="宋体"/>
                <w:kern w:val="0"/>
              </w:rPr>
            </w:pPr>
          </w:p>
        </w:tc>
        <w:tc>
          <w:tcPr>
            <w:tcW w:w="2234" w:type="dxa"/>
            <w:vAlign w:val="center"/>
          </w:tcPr>
          <w:p w14:paraId="370F9B50">
            <w:pPr>
              <w:widowControl/>
              <w:spacing w:line="360" w:lineRule="auto"/>
              <w:jc w:val="center"/>
              <w:rPr>
                <w:rFonts w:hint="eastAsia" w:ascii="宋体" w:hAnsi="宋体" w:cs="宋体"/>
                <w:kern w:val="0"/>
              </w:rPr>
            </w:pPr>
            <w:r>
              <w:rPr>
                <w:rFonts w:hint="eastAsia" w:ascii="宋体" w:hAnsi="宋体" w:cs="宋体"/>
                <w:kern w:val="0"/>
              </w:rPr>
              <w:t>存储服务器</w:t>
            </w:r>
          </w:p>
        </w:tc>
        <w:tc>
          <w:tcPr>
            <w:tcW w:w="3903" w:type="dxa"/>
            <w:vAlign w:val="center"/>
          </w:tcPr>
          <w:p w14:paraId="6CC62021">
            <w:pPr>
              <w:widowControl/>
              <w:spacing w:line="360" w:lineRule="auto"/>
              <w:jc w:val="left"/>
              <w:rPr>
                <w:rFonts w:hint="eastAsia" w:ascii="宋体" w:hAnsi="宋体" w:cs="宋体"/>
                <w:kern w:val="0"/>
              </w:rPr>
            </w:pPr>
            <w:r>
              <w:rPr>
                <w:rFonts w:hint="eastAsia" w:ascii="宋体" w:hAnsi="宋体" w:cs="宋体"/>
                <w:kern w:val="0"/>
              </w:rPr>
              <w:t>2U12盘位盘控一体 - 128GB缓存，双控制器架构；标配BBU+Flash；标配本地复制（快照、卷镜像、卷克隆、卷备份、迁移）、自精简、QoS、DRAID功能；标配8个1Gb  iSCSI主机接口，4个10GE主机接口。</w:t>
            </w:r>
            <w:r>
              <w:rPr>
                <w:rFonts w:hint="eastAsia" w:ascii="宋体" w:hAnsi="宋体" w:cs="宋体"/>
                <w:kern w:val="0"/>
              </w:rPr>
              <w:br w:type="textWrapping"/>
            </w:r>
            <w:r>
              <w:rPr>
                <w:rFonts w:hint="eastAsia" w:ascii="宋体" w:hAnsi="宋体" w:cs="宋体"/>
                <w:kern w:val="0"/>
              </w:rPr>
              <w:t>1、10Gbps以太网卡,SFP+光纤端口(含模块）*4</w:t>
            </w:r>
            <w:r>
              <w:rPr>
                <w:rFonts w:hint="eastAsia" w:ascii="宋体" w:hAnsi="宋体" w:cs="宋体"/>
                <w:kern w:val="0"/>
              </w:rPr>
              <w:br w:type="textWrapping"/>
            </w:r>
            <w:r>
              <w:rPr>
                <w:rFonts w:hint="eastAsia" w:ascii="宋体" w:hAnsi="宋体" w:cs="宋体"/>
                <w:kern w:val="0"/>
              </w:rPr>
              <w:t>2、配置10块NL_SAS硬盘，3.5寸，7.2K RPM 6TB，带专用磁盘托</w:t>
            </w:r>
            <w:r>
              <w:rPr>
                <w:rFonts w:hint="eastAsia" w:ascii="宋体" w:hAnsi="宋体" w:cs="宋体"/>
                <w:color w:val="000000"/>
                <w:kern w:val="0"/>
              </w:rPr>
              <w:t>架;裸容量60T。</w:t>
            </w:r>
            <w:r>
              <w:rPr>
                <w:rFonts w:hint="eastAsia" w:ascii="宋体" w:hAnsi="宋体" w:cs="宋体"/>
                <w:kern w:val="0"/>
              </w:rPr>
              <w:br w:type="textWrapping"/>
            </w:r>
            <w:r>
              <w:rPr>
                <w:rFonts w:hint="eastAsia" w:ascii="宋体" w:hAnsi="宋体" w:cs="宋体"/>
                <w:kern w:val="0"/>
              </w:rPr>
              <w:t>3、1块 SSD 960G SAS 12Gbps 硬盘</w:t>
            </w:r>
            <w:r>
              <w:rPr>
                <w:rFonts w:hint="eastAsia" w:ascii="宋体" w:hAnsi="宋体" w:cs="宋体"/>
                <w:kern w:val="0"/>
              </w:rPr>
              <w:br w:type="textWrapping"/>
            </w:r>
            <w:r>
              <w:rPr>
                <w:rFonts w:hint="eastAsia" w:ascii="宋体" w:hAnsi="宋体" w:cs="宋体"/>
                <w:kern w:val="0"/>
              </w:rPr>
              <w:t>4、三年原厂质保，提供原厂售后服务承诺函，三年故障介质不返还服务。</w:t>
            </w:r>
          </w:p>
        </w:tc>
        <w:tc>
          <w:tcPr>
            <w:tcW w:w="0" w:type="auto"/>
            <w:vAlign w:val="center"/>
          </w:tcPr>
          <w:p w14:paraId="07CB8A8D">
            <w:pPr>
              <w:widowControl/>
              <w:spacing w:line="360" w:lineRule="auto"/>
              <w:jc w:val="center"/>
              <w:rPr>
                <w:rFonts w:hint="eastAsia" w:ascii="宋体" w:hAnsi="宋体" w:cs="宋体"/>
                <w:kern w:val="0"/>
              </w:rPr>
            </w:pPr>
            <w:r>
              <w:rPr>
                <w:rFonts w:hint="eastAsia" w:ascii="宋体" w:hAnsi="宋体" w:cs="宋体"/>
                <w:kern w:val="0"/>
              </w:rPr>
              <w:t>1</w:t>
            </w:r>
          </w:p>
        </w:tc>
        <w:tc>
          <w:tcPr>
            <w:tcW w:w="0" w:type="auto"/>
            <w:noWrap/>
            <w:vAlign w:val="center"/>
          </w:tcPr>
          <w:p w14:paraId="268F00BE">
            <w:pPr>
              <w:widowControl/>
              <w:spacing w:line="360" w:lineRule="auto"/>
              <w:jc w:val="center"/>
              <w:rPr>
                <w:rFonts w:hint="eastAsia" w:ascii="宋体" w:hAnsi="宋体" w:cs="宋体"/>
                <w:kern w:val="0"/>
              </w:rPr>
            </w:pPr>
            <w:r>
              <w:rPr>
                <w:rFonts w:hint="eastAsia" w:ascii="宋体" w:hAnsi="宋体" w:cs="宋体"/>
                <w:kern w:val="0"/>
              </w:rPr>
              <w:t>台</w:t>
            </w:r>
          </w:p>
        </w:tc>
      </w:tr>
      <w:tr w14:paraId="7718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1311" w:type="dxa"/>
            <w:vMerge w:val="restart"/>
            <w:vAlign w:val="center"/>
          </w:tcPr>
          <w:p w14:paraId="6F9ED3C3">
            <w:pPr>
              <w:widowControl/>
              <w:spacing w:line="360" w:lineRule="auto"/>
              <w:jc w:val="center"/>
              <w:rPr>
                <w:rFonts w:hint="eastAsia" w:ascii="宋体" w:hAnsi="宋体" w:cs="宋体"/>
                <w:kern w:val="0"/>
              </w:rPr>
            </w:pPr>
            <w:r>
              <w:rPr>
                <w:rFonts w:hint="eastAsia" w:ascii="宋体" w:hAnsi="宋体" w:cs="宋体"/>
                <w:kern w:val="0"/>
              </w:rPr>
              <w:t>涉密数据分发管理软件</w:t>
            </w:r>
          </w:p>
        </w:tc>
        <w:tc>
          <w:tcPr>
            <w:tcW w:w="2234" w:type="dxa"/>
            <w:vAlign w:val="center"/>
          </w:tcPr>
          <w:p w14:paraId="3B2EE044">
            <w:pPr>
              <w:widowControl/>
              <w:spacing w:line="360" w:lineRule="auto"/>
              <w:jc w:val="center"/>
              <w:rPr>
                <w:rFonts w:hint="eastAsia" w:ascii="宋体" w:hAnsi="宋体" w:cs="宋体"/>
                <w:kern w:val="0"/>
              </w:rPr>
            </w:pPr>
            <w:r>
              <w:rPr>
                <w:rFonts w:hint="eastAsia" w:ascii="宋体" w:hAnsi="宋体" w:cs="宋体"/>
                <w:kern w:val="0"/>
              </w:rPr>
              <w:t>文件智能锁管理控制台</w:t>
            </w:r>
          </w:p>
        </w:tc>
        <w:tc>
          <w:tcPr>
            <w:tcW w:w="3903" w:type="dxa"/>
            <w:vAlign w:val="center"/>
          </w:tcPr>
          <w:p w14:paraId="105E776F">
            <w:pPr>
              <w:widowControl/>
              <w:spacing w:line="360" w:lineRule="auto"/>
              <w:jc w:val="left"/>
              <w:rPr>
                <w:rFonts w:hint="eastAsia" w:ascii="宋体" w:hAnsi="宋体" w:cs="宋体"/>
                <w:kern w:val="0"/>
              </w:rPr>
            </w:pPr>
            <w:r>
              <w:rPr>
                <w:rFonts w:hint="eastAsia" w:ascii="宋体" w:hAnsi="宋体" w:cs="宋体"/>
                <w:kern w:val="0"/>
              </w:rPr>
              <w:t>（1）文件处理：对任意格式数据进行加密和解密处理（2）密钥管理：根据数据领用单位或不同批次的数据生成用于数据加密的特定密钥；（3）生成授权：生成具有时间和范围限制的授权文件。（4）台账日志：记载文件被加解密的路径、密钥ID、描述等信息自动生成日志，便于事后进行查阅。</w:t>
            </w:r>
          </w:p>
        </w:tc>
        <w:tc>
          <w:tcPr>
            <w:tcW w:w="0" w:type="auto"/>
            <w:vAlign w:val="center"/>
          </w:tcPr>
          <w:p w14:paraId="131891ED">
            <w:pPr>
              <w:widowControl/>
              <w:spacing w:line="360" w:lineRule="auto"/>
              <w:jc w:val="center"/>
              <w:rPr>
                <w:rFonts w:hint="eastAsia" w:ascii="宋体" w:hAnsi="宋体" w:cs="宋体"/>
                <w:kern w:val="0"/>
              </w:rPr>
            </w:pPr>
            <w:r>
              <w:rPr>
                <w:rFonts w:hint="eastAsia" w:ascii="宋体" w:hAnsi="宋体" w:cs="宋体"/>
                <w:kern w:val="0"/>
              </w:rPr>
              <w:t>2</w:t>
            </w:r>
          </w:p>
        </w:tc>
        <w:tc>
          <w:tcPr>
            <w:tcW w:w="0" w:type="auto"/>
            <w:vAlign w:val="center"/>
          </w:tcPr>
          <w:p w14:paraId="30A2F835">
            <w:pPr>
              <w:widowControl/>
              <w:spacing w:line="360" w:lineRule="auto"/>
              <w:jc w:val="center"/>
              <w:rPr>
                <w:rFonts w:hint="eastAsia" w:ascii="宋体" w:hAnsi="宋体" w:cs="宋体"/>
                <w:kern w:val="0"/>
              </w:rPr>
            </w:pPr>
            <w:r>
              <w:rPr>
                <w:rFonts w:hint="eastAsia" w:ascii="宋体" w:hAnsi="宋体" w:cs="宋体"/>
                <w:kern w:val="0"/>
              </w:rPr>
              <w:t>套</w:t>
            </w:r>
          </w:p>
        </w:tc>
      </w:tr>
      <w:tr w14:paraId="4902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1311" w:type="dxa"/>
            <w:vMerge w:val="continue"/>
            <w:vAlign w:val="center"/>
          </w:tcPr>
          <w:p w14:paraId="0D37EAA6">
            <w:pPr>
              <w:widowControl/>
              <w:spacing w:line="360" w:lineRule="auto"/>
              <w:ind w:firstLine="480"/>
              <w:jc w:val="center"/>
              <w:rPr>
                <w:rFonts w:hint="eastAsia" w:ascii="宋体" w:hAnsi="宋体" w:cs="宋体"/>
                <w:kern w:val="0"/>
              </w:rPr>
            </w:pPr>
          </w:p>
        </w:tc>
        <w:tc>
          <w:tcPr>
            <w:tcW w:w="2234" w:type="dxa"/>
            <w:vAlign w:val="center"/>
          </w:tcPr>
          <w:p w14:paraId="35319FAC">
            <w:pPr>
              <w:widowControl/>
              <w:spacing w:line="360" w:lineRule="auto"/>
              <w:jc w:val="center"/>
              <w:rPr>
                <w:rFonts w:hint="eastAsia" w:ascii="宋体" w:hAnsi="宋体" w:cs="宋体"/>
                <w:kern w:val="0"/>
              </w:rPr>
            </w:pPr>
            <w:r>
              <w:rPr>
                <w:rFonts w:hint="eastAsia" w:ascii="宋体" w:hAnsi="宋体" w:cs="宋体"/>
                <w:kern w:val="0"/>
              </w:rPr>
              <w:t>文件智能锁外发客户端</w:t>
            </w:r>
          </w:p>
        </w:tc>
        <w:tc>
          <w:tcPr>
            <w:tcW w:w="3903" w:type="dxa"/>
            <w:vAlign w:val="center"/>
          </w:tcPr>
          <w:p w14:paraId="4BC75A42">
            <w:pPr>
              <w:widowControl/>
              <w:spacing w:line="360" w:lineRule="auto"/>
              <w:jc w:val="left"/>
              <w:rPr>
                <w:rFonts w:hint="eastAsia" w:ascii="宋体" w:hAnsi="宋体" w:cs="宋体"/>
                <w:kern w:val="0"/>
              </w:rPr>
            </w:pPr>
            <w:r>
              <w:rPr>
                <w:rFonts w:hint="eastAsia" w:ascii="宋体" w:hAnsi="宋体" w:cs="宋体"/>
                <w:kern w:val="0"/>
              </w:rPr>
              <w:t>（1）外发数据经管理控制台加密后外发，使用加密数据的电脑，安装外发客户端并获得授权后，可在规定的时间和授权范围内正常使用加密数据。基于加密数据复制、另存的数据均为加密状态，随意转借无效，授权到期数据无法正常打开。（2）不限制打开加密文件的应用程序数量。不改变程序的功能和日常操作习惯。不主动加密用户本机的非加密文件；</w:t>
            </w:r>
          </w:p>
        </w:tc>
        <w:tc>
          <w:tcPr>
            <w:tcW w:w="0" w:type="auto"/>
            <w:vAlign w:val="center"/>
          </w:tcPr>
          <w:p w14:paraId="39DE6879">
            <w:pPr>
              <w:widowControl/>
              <w:spacing w:line="360" w:lineRule="auto"/>
              <w:jc w:val="center"/>
              <w:rPr>
                <w:rFonts w:hint="eastAsia" w:ascii="宋体" w:hAnsi="宋体" w:cs="宋体"/>
                <w:kern w:val="0"/>
              </w:rPr>
            </w:pPr>
            <w:r>
              <w:rPr>
                <w:rFonts w:hint="eastAsia" w:ascii="宋体" w:hAnsi="宋体" w:cs="宋体"/>
                <w:kern w:val="0"/>
              </w:rPr>
              <w:t>200</w:t>
            </w:r>
          </w:p>
        </w:tc>
        <w:tc>
          <w:tcPr>
            <w:tcW w:w="0" w:type="auto"/>
            <w:vAlign w:val="center"/>
          </w:tcPr>
          <w:p w14:paraId="245AC346">
            <w:pPr>
              <w:widowControl/>
              <w:spacing w:line="360" w:lineRule="auto"/>
              <w:jc w:val="center"/>
              <w:rPr>
                <w:rFonts w:hint="eastAsia" w:ascii="宋体" w:hAnsi="宋体" w:cs="宋体"/>
                <w:kern w:val="0"/>
              </w:rPr>
            </w:pPr>
            <w:r>
              <w:rPr>
                <w:rFonts w:hint="eastAsia" w:ascii="宋体" w:hAnsi="宋体" w:cs="宋体"/>
                <w:kern w:val="0"/>
              </w:rPr>
              <w:t>节点</w:t>
            </w:r>
          </w:p>
        </w:tc>
      </w:tr>
      <w:tr w14:paraId="5FAC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311" w:type="dxa"/>
            <w:vAlign w:val="center"/>
          </w:tcPr>
          <w:p w14:paraId="70ECFECF">
            <w:pPr>
              <w:widowControl/>
              <w:spacing w:line="360" w:lineRule="auto"/>
              <w:jc w:val="center"/>
              <w:rPr>
                <w:rFonts w:hint="eastAsia" w:ascii="宋体" w:hAnsi="宋体" w:cs="宋体"/>
                <w:kern w:val="0"/>
              </w:rPr>
            </w:pPr>
            <w:r>
              <w:rPr>
                <w:rFonts w:hint="eastAsia" w:ascii="宋体" w:hAnsi="宋体" w:cs="宋体"/>
                <w:kern w:val="0"/>
              </w:rPr>
              <w:t>涉密电源（红黑电源滤波隔离插座，防电磁波信息泄露）</w:t>
            </w:r>
          </w:p>
        </w:tc>
        <w:tc>
          <w:tcPr>
            <w:tcW w:w="2234" w:type="dxa"/>
            <w:vAlign w:val="center"/>
          </w:tcPr>
          <w:p w14:paraId="4EF83D2A">
            <w:pPr>
              <w:widowControl/>
              <w:spacing w:line="360" w:lineRule="auto"/>
              <w:jc w:val="center"/>
              <w:rPr>
                <w:rFonts w:hint="eastAsia" w:ascii="宋体" w:hAnsi="宋体" w:cs="宋体"/>
                <w:kern w:val="0"/>
              </w:rPr>
            </w:pPr>
          </w:p>
        </w:tc>
        <w:tc>
          <w:tcPr>
            <w:tcW w:w="3903" w:type="dxa"/>
            <w:vAlign w:val="center"/>
          </w:tcPr>
          <w:p w14:paraId="244F58BD">
            <w:pPr>
              <w:widowControl/>
              <w:spacing w:line="360" w:lineRule="auto"/>
              <w:jc w:val="center"/>
              <w:rPr>
                <w:rFonts w:hint="eastAsia" w:ascii="宋体" w:hAnsi="宋体" w:cs="宋体"/>
                <w:kern w:val="0"/>
              </w:rPr>
            </w:pPr>
          </w:p>
        </w:tc>
        <w:tc>
          <w:tcPr>
            <w:tcW w:w="0" w:type="auto"/>
            <w:noWrap/>
            <w:vAlign w:val="center"/>
          </w:tcPr>
          <w:p w14:paraId="130C1465">
            <w:pPr>
              <w:widowControl/>
              <w:spacing w:line="360" w:lineRule="auto"/>
              <w:jc w:val="center"/>
              <w:rPr>
                <w:rFonts w:hint="eastAsia" w:ascii="宋体" w:hAnsi="宋体" w:cs="宋体"/>
                <w:color w:val="000000"/>
                <w:kern w:val="0"/>
              </w:rPr>
            </w:pPr>
            <w:r>
              <w:rPr>
                <w:rFonts w:hint="eastAsia" w:ascii="宋体" w:hAnsi="宋体" w:cs="宋体"/>
                <w:color w:val="000000"/>
                <w:kern w:val="0"/>
              </w:rPr>
              <w:t>12</w:t>
            </w:r>
          </w:p>
        </w:tc>
        <w:tc>
          <w:tcPr>
            <w:tcW w:w="0" w:type="auto"/>
            <w:noWrap/>
            <w:vAlign w:val="center"/>
          </w:tcPr>
          <w:p w14:paraId="51770FFA">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2068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311" w:type="dxa"/>
            <w:vAlign w:val="center"/>
          </w:tcPr>
          <w:p w14:paraId="02569682">
            <w:pPr>
              <w:widowControl/>
              <w:spacing w:line="360" w:lineRule="auto"/>
              <w:jc w:val="center"/>
              <w:rPr>
                <w:rFonts w:hint="eastAsia" w:ascii="宋体" w:hAnsi="宋体" w:cs="宋体"/>
                <w:kern w:val="0"/>
              </w:rPr>
            </w:pPr>
            <w:r>
              <w:rPr>
                <w:rFonts w:hint="eastAsia" w:ascii="宋体" w:hAnsi="宋体" w:cs="宋体"/>
                <w:kern w:val="0"/>
              </w:rPr>
              <w:t>涉密载体保密柜</w:t>
            </w:r>
          </w:p>
        </w:tc>
        <w:tc>
          <w:tcPr>
            <w:tcW w:w="2234" w:type="dxa"/>
            <w:vAlign w:val="center"/>
          </w:tcPr>
          <w:p w14:paraId="4ED8BADD">
            <w:pPr>
              <w:widowControl/>
              <w:spacing w:line="360" w:lineRule="auto"/>
              <w:jc w:val="center"/>
              <w:rPr>
                <w:rFonts w:hint="eastAsia" w:ascii="宋体" w:hAnsi="宋体" w:cs="宋体"/>
                <w:kern w:val="0"/>
              </w:rPr>
            </w:pPr>
          </w:p>
        </w:tc>
        <w:tc>
          <w:tcPr>
            <w:tcW w:w="3903" w:type="dxa"/>
            <w:vAlign w:val="center"/>
          </w:tcPr>
          <w:p w14:paraId="6B858E9F">
            <w:pPr>
              <w:widowControl/>
              <w:spacing w:line="360" w:lineRule="auto"/>
              <w:jc w:val="center"/>
              <w:rPr>
                <w:rFonts w:hint="eastAsia" w:ascii="宋体" w:hAnsi="宋体" w:cs="宋体"/>
                <w:kern w:val="0"/>
              </w:rPr>
            </w:pPr>
          </w:p>
        </w:tc>
        <w:tc>
          <w:tcPr>
            <w:tcW w:w="0" w:type="auto"/>
            <w:noWrap/>
            <w:vAlign w:val="center"/>
          </w:tcPr>
          <w:p w14:paraId="7DBD4E89">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627AE9CF">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04C5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11" w:type="dxa"/>
            <w:vAlign w:val="center"/>
          </w:tcPr>
          <w:p w14:paraId="676CE4F9">
            <w:pPr>
              <w:widowControl/>
              <w:spacing w:line="360" w:lineRule="auto"/>
              <w:jc w:val="center"/>
              <w:rPr>
                <w:rFonts w:hint="eastAsia" w:ascii="宋体" w:hAnsi="宋体" w:cs="宋体"/>
                <w:kern w:val="0"/>
              </w:rPr>
            </w:pPr>
            <w:r>
              <w:rPr>
                <w:rFonts w:hint="eastAsia" w:ascii="宋体" w:hAnsi="宋体" w:cs="宋体"/>
                <w:kern w:val="0"/>
              </w:rPr>
              <w:t>1号地图工程图纸柜</w:t>
            </w:r>
          </w:p>
        </w:tc>
        <w:tc>
          <w:tcPr>
            <w:tcW w:w="2234" w:type="dxa"/>
            <w:vAlign w:val="center"/>
          </w:tcPr>
          <w:p w14:paraId="57990364">
            <w:pPr>
              <w:widowControl/>
              <w:spacing w:line="360" w:lineRule="auto"/>
              <w:jc w:val="center"/>
              <w:rPr>
                <w:rFonts w:hint="eastAsia" w:ascii="宋体" w:hAnsi="宋体" w:cs="宋体"/>
                <w:kern w:val="0"/>
              </w:rPr>
            </w:pPr>
          </w:p>
        </w:tc>
        <w:tc>
          <w:tcPr>
            <w:tcW w:w="3903" w:type="dxa"/>
            <w:vAlign w:val="center"/>
          </w:tcPr>
          <w:p w14:paraId="2423F27D">
            <w:pPr>
              <w:widowControl/>
              <w:spacing w:line="360" w:lineRule="auto"/>
              <w:jc w:val="center"/>
              <w:rPr>
                <w:rFonts w:hint="eastAsia" w:ascii="宋体" w:hAnsi="宋体" w:cs="宋体"/>
                <w:kern w:val="0"/>
              </w:rPr>
            </w:pPr>
          </w:p>
        </w:tc>
        <w:tc>
          <w:tcPr>
            <w:tcW w:w="0" w:type="auto"/>
            <w:noWrap/>
            <w:vAlign w:val="center"/>
          </w:tcPr>
          <w:p w14:paraId="121A731D">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1BBEE0E0">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3E89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restart"/>
            <w:vAlign w:val="center"/>
          </w:tcPr>
          <w:p w14:paraId="2F90F701">
            <w:pPr>
              <w:widowControl/>
              <w:spacing w:line="360" w:lineRule="auto"/>
              <w:jc w:val="center"/>
              <w:rPr>
                <w:rFonts w:hint="eastAsia" w:ascii="宋体" w:hAnsi="宋体" w:cs="宋体"/>
                <w:kern w:val="0"/>
              </w:rPr>
            </w:pPr>
            <w:r>
              <w:rPr>
                <w:rFonts w:hint="eastAsia" w:ascii="宋体" w:hAnsi="宋体" w:cs="宋体"/>
                <w:kern w:val="0"/>
              </w:rPr>
              <w:t>GIS基础软件</w:t>
            </w:r>
          </w:p>
        </w:tc>
        <w:tc>
          <w:tcPr>
            <w:tcW w:w="2234" w:type="dxa"/>
            <w:vAlign w:val="center"/>
          </w:tcPr>
          <w:p w14:paraId="6760A82B">
            <w:pPr>
              <w:widowControl/>
              <w:spacing w:line="360" w:lineRule="auto"/>
              <w:jc w:val="center"/>
              <w:rPr>
                <w:rFonts w:hint="eastAsia" w:ascii="宋体" w:hAnsi="宋体" w:cs="宋体"/>
                <w:kern w:val="0"/>
              </w:rPr>
            </w:pPr>
            <w:r>
              <w:rPr>
                <w:rFonts w:hint="eastAsia" w:ascii="宋体" w:hAnsi="宋体" w:cs="宋体"/>
                <w:kern w:val="0"/>
              </w:rPr>
              <w:t>桌面GIS许可</w:t>
            </w:r>
          </w:p>
        </w:tc>
        <w:tc>
          <w:tcPr>
            <w:tcW w:w="3903" w:type="dxa"/>
            <w:vMerge w:val="restart"/>
            <w:vAlign w:val="center"/>
          </w:tcPr>
          <w:p w14:paraId="02206C6A">
            <w:pPr>
              <w:widowControl/>
              <w:spacing w:line="360" w:lineRule="auto"/>
              <w:ind w:firstLine="480"/>
              <w:jc w:val="center"/>
              <w:rPr>
                <w:rFonts w:hint="eastAsia" w:ascii="宋体" w:hAnsi="宋体" w:cs="宋体"/>
                <w:color w:val="FF0000"/>
                <w:kern w:val="0"/>
              </w:rPr>
            </w:pPr>
          </w:p>
        </w:tc>
        <w:tc>
          <w:tcPr>
            <w:tcW w:w="0" w:type="auto"/>
            <w:noWrap/>
            <w:vAlign w:val="center"/>
          </w:tcPr>
          <w:p w14:paraId="30EBDC7A">
            <w:pPr>
              <w:widowControl/>
              <w:spacing w:line="360" w:lineRule="auto"/>
              <w:jc w:val="center"/>
              <w:rPr>
                <w:rFonts w:hint="eastAsia" w:ascii="宋体" w:hAnsi="宋体" w:cs="宋体"/>
                <w:color w:val="000000"/>
                <w:kern w:val="0"/>
              </w:rPr>
            </w:pPr>
            <w:r>
              <w:rPr>
                <w:rFonts w:hint="eastAsia" w:ascii="宋体" w:hAnsi="宋体" w:cs="宋体"/>
                <w:color w:val="000000"/>
                <w:kern w:val="0"/>
              </w:rPr>
              <w:t>1</w:t>
            </w:r>
          </w:p>
        </w:tc>
        <w:tc>
          <w:tcPr>
            <w:tcW w:w="0" w:type="auto"/>
            <w:noWrap/>
            <w:vAlign w:val="center"/>
          </w:tcPr>
          <w:p w14:paraId="6375F01D">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1CD2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continue"/>
            <w:vAlign w:val="center"/>
          </w:tcPr>
          <w:p w14:paraId="3AB78A35">
            <w:pPr>
              <w:widowControl/>
              <w:spacing w:line="360" w:lineRule="auto"/>
              <w:ind w:firstLine="480"/>
              <w:jc w:val="center"/>
              <w:rPr>
                <w:rFonts w:hint="eastAsia" w:ascii="宋体" w:hAnsi="宋体" w:cs="宋体"/>
                <w:kern w:val="0"/>
              </w:rPr>
            </w:pPr>
          </w:p>
        </w:tc>
        <w:tc>
          <w:tcPr>
            <w:tcW w:w="2234" w:type="dxa"/>
            <w:vAlign w:val="center"/>
          </w:tcPr>
          <w:p w14:paraId="2E3DE587">
            <w:pPr>
              <w:widowControl/>
              <w:spacing w:line="360" w:lineRule="auto"/>
              <w:jc w:val="center"/>
              <w:rPr>
                <w:rFonts w:hint="eastAsia" w:ascii="宋体" w:hAnsi="宋体" w:cs="宋体"/>
                <w:kern w:val="0"/>
              </w:rPr>
            </w:pPr>
            <w:r>
              <w:rPr>
                <w:rFonts w:hint="eastAsia" w:ascii="宋体" w:hAnsi="宋体" w:cs="宋体"/>
                <w:kern w:val="0"/>
              </w:rPr>
              <w:t>服务GIS许可</w:t>
            </w:r>
          </w:p>
        </w:tc>
        <w:tc>
          <w:tcPr>
            <w:tcW w:w="3903" w:type="dxa"/>
            <w:vMerge w:val="continue"/>
            <w:vAlign w:val="center"/>
          </w:tcPr>
          <w:p w14:paraId="179B3075">
            <w:pPr>
              <w:widowControl/>
              <w:spacing w:line="360" w:lineRule="auto"/>
              <w:ind w:firstLine="480"/>
              <w:jc w:val="center"/>
              <w:rPr>
                <w:rFonts w:hint="eastAsia" w:ascii="宋体" w:hAnsi="宋体" w:cs="宋体"/>
                <w:color w:val="FF0000"/>
                <w:kern w:val="0"/>
              </w:rPr>
            </w:pPr>
          </w:p>
        </w:tc>
        <w:tc>
          <w:tcPr>
            <w:tcW w:w="0" w:type="auto"/>
            <w:noWrap/>
            <w:vAlign w:val="center"/>
          </w:tcPr>
          <w:p w14:paraId="379EA5C3">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5C49F897">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1315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continue"/>
            <w:vAlign w:val="center"/>
          </w:tcPr>
          <w:p w14:paraId="54C5AEAC">
            <w:pPr>
              <w:widowControl/>
              <w:spacing w:line="360" w:lineRule="auto"/>
              <w:ind w:firstLine="480"/>
              <w:jc w:val="center"/>
              <w:rPr>
                <w:rFonts w:hint="eastAsia" w:ascii="宋体" w:hAnsi="宋体" w:cs="宋体"/>
                <w:kern w:val="0"/>
              </w:rPr>
            </w:pPr>
          </w:p>
        </w:tc>
        <w:tc>
          <w:tcPr>
            <w:tcW w:w="2234" w:type="dxa"/>
            <w:vAlign w:val="center"/>
          </w:tcPr>
          <w:p w14:paraId="3ECADFFD">
            <w:pPr>
              <w:widowControl/>
              <w:spacing w:line="360" w:lineRule="auto"/>
              <w:jc w:val="center"/>
              <w:rPr>
                <w:rFonts w:hint="eastAsia" w:ascii="宋体" w:hAnsi="宋体" w:cs="宋体"/>
                <w:kern w:val="0"/>
              </w:rPr>
            </w:pPr>
            <w:r>
              <w:rPr>
                <w:rFonts w:hint="eastAsia" w:ascii="宋体" w:hAnsi="宋体" w:cs="宋体"/>
                <w:kern w:val="0"/>
              </w:rPr>
              <w:t>组件GIS许可</w:t>
            </w:r>
          </w:p>
        </w:tc>
        <w:tc>
          <w:tcPr>
            <w:tcW w:w="3903" w:type="dxa"/>
            <w:vMerge w:val="continue"/>
            <w:vAlign w:val="center"/>
          </w:tcPr>
          <w:p w14:paraId="07FFCF25">
            <w:pPr>
              <w:widowControl/>
              <w:spacing w:line="360" w:lineRule="auto"/>
              <w:ind w:firstLine="480"/>
              <w:jc w:val="center"/>
              <w:rPr>
                <w:rFonts w:hint="eastAsia" w:ascii="宋体" w:hAnsi="宋体" w:cs="宋体"/>
                <w:color w:val="FF0000"/>
                <w:kern w:val="0"/>
              </w:rPr>
            </w:pPr>
          </w:p>
        </w:tc>
        <w:tc>
          <w:tcPr>
            <w:tcW w:w="0" w:type="auto"/>
            <w:noWrap/>
            <w:vAlign w:val="center"/>
          </w:tcPr>
          <w:p w14:paraId="7BBA76EF">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3B71AD61">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7982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11" w:type="dxa"/>
            <w:vMerge w:val="continue"/>
            <w:vAlign w:val="center"/>
          </w:tcPr>
          <w:p w14:paraId="2F7DEAA6">
            <w:pPr>
              <w:widowControl/>
              <w:spacing w:line="360" w:lineRule="auto"/>
              <w:ind w:firstLine="480"/>
              <w:jc w:val="center"/>
              <w:rPr>
                <w:rFonts w:hint="eastAsia" w:ascii="宋体" w:hAnsi="宋体" w:cs="宋体"/>
                <w:kern w:val="0"/>
              </w:rPr>
            </w:pPr>
          </w:p>
        </w:tc>
        <w:tc>
          <w:tcPr>
            <w:tcW w:w="2234" w:type="dxa"/>
            <w:vAlign w:val="center"/>
          </w:tcPr>
          <w:p w14:paraId="0C9FA42C">
            <w:pPr>
              <w:widowControl/>
              <w:spacing w:line="360" w:lineRule="auto"/>
              <w:jc w:val="center"/>
              <w:rPr>
                <w:rFonts w:hint="eastAsia" w:ascii="宋体" w:hAnsi="宋体" w:cs="宋体"/>
                <w:kern w:val="0"/>
              </w:rPr>
            </w:pPr>
            <w:r>
              <w:rPr>
                <w:rFonts w:hint="eastAsia" w:ascii="宋体" w:hAnsi="宋体" w:cs="宋体"/>
                <w:kern w:val="0"/>
              </w:rPr>
              <w:t>三维扩展模块</w:t>
            </w:r>
          </w:p>
        </w:tc>
        <w:tc>
          <w:tcPr>
            <w:tcW w:w="3903" w:type="dxa"/>
            <w:vMerge w:val="continue"/>
            <w:vAlign w:val="center"/>
          </w:tcPr>
          <w:p w14:paraId="6369D27F">
            <w:pPr>
              <w:widowControl/>
              <w:spacing w:line="360" w:lineRule="auto"/>
              <w:ind w:firstLine="480"/>
              <w:jc w:val="center"/>
              <w:rPr>
                <w:rFonts w:hint="eastAsia" w:ascii="宋体" w:hAnsi="宋体" w:cs="宋体"/>
                <w:color w:val="FF0000"/>
                <w:kern w:val="0"/>
              </w:rPr>
            </w:pPr>
          </w:p>
        </w:tc>
        <w:tc>
          <w:tcPr>
            <w:tcW w:w="0" w:type="auto"/>
            <w:noWrap/>
            <w:vAlign w:val="center"/>
          </w:tcPr>
          <w:p w14:paraId="6DBD39E9">
            <w:pPr>
              <w:widowControl/>
              <w:spacing w:line="360" w:lineRule="auto"/>
              <w:jc w:val="center"/>
              <w:rPr>
                <w:rFonts w:hint="eastAsia" w:ascii="宋体" w:hAnsi="宋体" w:cs="宋体"/>
                <w:color w:val="000000"/>
                <w:kern w:val="0"/>
              </w:rPr>
            </w:pPr>
            <w:r>
              <w:rPr>
                <w:rFonts w:hint="eastAsia" w:ascii="宋体" w:hAnsi="宋体" w:cs="宋体"/>
                <w:color w:val="000000"/>
                <w:kern w:val="0"/>
              </w:rPr>
              <w:t>2</w:t>
            </w:r>
          </w:p>
        </w:tc>
        <w:tc>
          <w:tcPr>
            <w:tcW w:w="0" w:type="auto"/>
            <w:noWrap/>
            <w:vAlign w:val="center"/>
          </w:tcPr>
          <w:p w14:paraId="0F638F71">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bl>
    <w:p w14:paraId="21BAAD33">
      <w:pPr>
        <w:pStyle w:val="5"/>
        <w:ind w:firstLine="480"/>
        <w:jc w:val="center"/>
        <w:rPr>
          <w:rFonts w:hint="eastAsia" w:ascii="宋体" w:hAnsi="宋体" w:cs="宋体"/>
          <w:sz w:val="24"/>
        </w:rPr>
      </w:pPr>
      <w:r>
        <w:rPr>
          <w:rFonts w:hint="eastAsia" w:ascii="宋体" w:hAnsi="宋体" w:cs="宋体"/>
          <w:sz w:val="24"/>
        </w:rPr>
        <w:t>表 2云租赁清单</w:t>
      </w:r>
    </w:p>
    <w:tbl>
      <w:tblPr>
        <w:tblStyle w:val="22"/>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3"/>
        <w:gridCol w:w="3551"/>
        <w:gridCol w:w="1855"/>
        <w:gridCol w:w="1390"/>
      </w:tblGrid>
      <w:tr w14:paraId="5FC9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1452" w:type="pct"/>
            <w:noWrap/>
            <w:vAlign w:val="center"/>
          </w:tcPr>
          <w:p w14:paraId="11934696">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设备名称</w:t>
            </w:r>
          </w:p>
        </w:tc>
        <w:tc>
          <w:tcPr>
            <w:tcW w:w="1853" w:type="pct"/>
            <w:noWrap/>
            <w:vAlign w:val="center"/>
          </w:tcPr>
          <w:p w14:paraId="5A079FCA">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规格参数</w:t>
            </w:r>
          </w:p>
        </w:tc>
        <w:tc>
          <w:tcPr>
            <w:tcW w:w="968" w:type="pct"/>
            <w:noWrap/>
            <w:vAlign w:val="center"/>
          </w:tcPr>
          <w:p w14:paraId="7189E42B">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数量</w:t>
            </w:r>
          </w:p>
        </w:tc>
        <w:tc>
          <w:tcPr>
            <w:tcW w:w="725" w:type="pct"/>
            <w:noWrap/>
            <w:vAlign w:val="center"/>
          </w:tcPr>
          <w:p w14:paraId="52033304">
            <w:pPr>
              <w:widowControl/>
              <w:spacing w:line="360" w:lineRule="auto"/>
              <w:jc w:val="center"/>
              <w:rPr>
                <w:rFonts w:hint="eastAsia" w:ascii="宋体" w:hAnsi="宋体" w:cs="宋体"/>
                <w:b/>
                <w:bCs/>
                <w:color w:val="000000"/>
                <w:kern w:val="0"/>
              </w:rPr>
            </w:pPr>
            <w:r>
              <w:rPr>
                <w:rFonts w:hint="eastAsia" w:ascii="宋体" w:hAnsi="宋体" w:cs="宋体"/>
                <w:b/>
                <w:bCs/>
                <w:color w:val="000000"/>
                <w:kern w:val="0"/>
              </w:rPr>
              <w:t>单位</w:t>
            </w:r>
          </w:p>
        </w:tc>
      </w:tr>
      <w:tr w14:paraId="1426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Align w:val="center"/>
          </w:tcPr>
          <w:p w14:paraId="3D5653FC">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33E0CDD4">
            <w:pPr>
              <w:widowControl/>
              <w:spacing w:line="360" w:lineRule="auto"/>
              <w:jc w:val="center"/>
              <w:rPr>
                <w:rFonts w:hint="eastAsia" w:ascii="宋体" w:hAnsi="宋体" w:cs="宋体"/>
                <w:color w:val="000000"/>
                <w:kern w:val="0"/>
              </w:rPr>
            </w:pPr>
            <w:r>
              <w:rPr>
                <w:rFonts w:hint="eastAsia" w:ascii="宋体" w:hAnsi="宋体" w:cs="宋体"/>
                <w:color w:val="000000"/>
                <w:kern w:val="0"/>
              </w:rPr>
              <w:t>16核128GB，电子政务外网</w:t>
            </w:r>
          </w:p>
        </w:tc>
        <w:tc>
          <w:tcPr>
            <w:tcW w:w="968" w:type="pct"/>
            <w:vAlign w:val="center"/>
          </w:tcPr>
          <w:p w14:paraId="52450B57">
            <w:pPr>
              <w:widowControl/>
              <w:spacing w:line="360" w:lineRule="auto"/>
              <w:jc w:val="center"/>
              <w:rPr>
                <w:rFonts w:hint="eastAsia" w:ascii="宋体" w:hAnsi="宋体" w:cs="宋体"/>
                <w:color w:val="000000"/>
                <w:kern w:val="0"/>
              </w:rPr>
            </w:pPr>
            <w:r>
              <w:rPr>
                <w:rFonts w:hint="eastAsia" w:ascii="宋体" w:hAnsi="宋体" w:cs="宋体"/>
                <w:color w:val="000000"/>
                <w:kern w:val="0"/>
              </w:rPr>
              <w:t>1</w:t>
            </w:r>
          </w:p>
        </w:tc>
        <w:tc>
          <w:tcPr>
            <w:tcW w:w="725" w:type="pct"/>
            <w:vAlign w:val="center"/>
          </w:tcPr>
          <w:p w14:paraId="3DD0F3D4">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753D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2" w:type="pct"/>
            <w:vAlign w:val="center"/>
          </w:tcPr>
          <w:p w14:paraId="32E27904">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354966DF">
            <w:pPr>
              <w:widowControl/>
              <w:spacing w:line="360" w:lineRule="auto"/>
              <w:jc w:val="center"/>
              <w:rPr>
                <w:rFonts w:hint="eastAsia" w:ascii="宋体" w:hAnsi="宋体" w:cs="宋体"/>
                <w:color w:val="000000"/>
                <w:kern w:val="0"/>
              </w:rPr>
            </w:pPr>
            <w:r>
              <w:rPr>
                <w:rFonts w:hint="eastAsia" w:ascii="宋体" w:hAnsi="宋体" w:cs="宋体"/>
                <w:color w:val="000000"/>
                <w:kern w:val="0"/>
              </w:rPr>
              <w:t>16核128GB，自然资源业务专网</w:t>
            </w:r>
          </w:p>
        </w:tc>
        <w:tc>
          <w:tcPr>
            <w:tcW w:w="968" w:type="pct"/>
            <w:vAlign w:val="center"/>
          </w:tcPr>
          <w:p w14:paraId="5BFC3960">
            <w:pPr>
              <w:widowControl/>
              <w:spacing w:line="360" w:lineRule="auto"/>
              <w:jc w:val="center"/>
              <w:rPr>
                <w:rFonts w:hint="eastAsia" w:ascii="宋体" w:hAnsi="宋体" w:cs="宋体"/>
                <w:color w:val="000000"/>
                <w:kern w:val="0"/>
              </w:rPr>
            </w:pPr>
            <w:r>
              <w:rPr>
                <w:rFonts w:hint="eastAsia" w:ascii="宋体" w:hAnsi="宋体" w:cs="宋体"/>
                <w:color w:val="000000"/>
                <w:kern w:val="0"/>
              </w:rPr>
              <w:t>1</w:t>
            </w:r>
          </w:p>
        </w:tc>
        <w:tc>
          <w:tcPr>
            <w:tcW w:w="725" w:type="pct"/>
            <w:vAlign w:val="center"/>
          </w:tcPr>
          <w:p w14:paraId="7631F2D6">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734F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Align w:val="center"/>
          </w:tcPr>
          <w:p w14:paraId="6328A4FE">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294E7F2A">
            <w:pPr>
              <w:widowControl/>
              <w:spacing w:line="360" w:lineRule="auto"/>
              <w:jc w:val="center"/>
              <w:rPr>
                <w:rFonts w:hint="eastAsia" w:ascii="宋体" w:hAnsi="宋体" w:cs="宋体"/>
                <w:color w:val="000000"/>
                <w:kern w:val="0"/>
              </w:rPr>
            </w:pPr>
            <w:r>
              <w:rPr>
                <w:rFonts w:hint="eastAsia" w:ascii="宋体" w:hAnsi="宋体" w:cs="宋体"/>
                <w:color w:val="000000"/>
                <w:kern w:val="0"/>
              </w:rPr>
              <w:t>16核32GB，电子政务外网</w:t>
            </w:r>
          </w:p>
        </w:tc>
        <w:tc>
          <w:tcPr>
            <w:tcW w:w="968" w:type="pct"/>
            <w:vAlign w:val="center"/>
          </w:tcPr>
          <w:p w14:paraId="43712E66">
            <w:pPr>
              <w:widowControl/>
              <w:spacing w:line="360" w:lineRule="auto"/>
              <w:jc w:val="center"/>
              <w:rPr>
                <w:rFonts w:hint="eastAsia" w:ascii="宋体" w:hAnsi="宋体" w:cs="宋体"/>
                <w:color w:val="000000"/>
                <w:kern w:val="0"/>
              </w:rPr>
            </w:pPr>
            <w:r>
              <w:rPr>
                <w:rFonts w:hint="eastAsia" w:ascii="宋体" w:hAnsi="宋体" w:cs="宋体"/>
                <w:color w:val="000000"/>
                <w:kern w:val="0"/>
              </w:rPr>
              <w:t>4</w:t>
            </w:r>
          </w:p>
        </w:tc>
        <w:tc>
          <w:tcPr>
            <w:tcW w:w="725" w:type="pct"/>
            <w:vAlign w:val="center"/>
          </w:tcPr>
          <w:p w14:paraId="680DC51C">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5646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2" w:type="pct"/>
            <w:vAlign w:val="center"/>
          </w:tcPr>
          <w:p w14:paraId="5512B68A">
            <w:pPr>
              <w:widowControl/>
              <w:spacing w:line="360" w:lineRule="auto"/>
              <w:jc w:val="center"/>
              <w:rPr>
                <w:rFonts w:hint="eastAsia" w:ascii="宋体" w:hAnsi="宋体" w:cs="宋体"/>
                <w:color w:val="000000"/>
                <w:kern w:val="0"/>
              </w:rPr>
            </w:pPr>
            <w:r>
              <w:rPr>
                <w:rFonts w:hint="eastAsia" w:ascii="宋体" w:hAnsi="宋体" w:cs="宋体"/>
                <w:color w:val="000000"/>
                <w:kern w:val="0"/>
              </w:rPr>
              <w:t>云主机/物理机</w:t>
            </w:r>
          </w:p>
        </w:tc>
        <w:tc>
          <w:tcPr>
            <w:tcW w:w="1853" w:type="pct"/>
            <w:vAlign w:val="center"/>
          </w:tcPr>
          <w:p w14:paraId="49F1AA9E">
            <w:pPr>
              <w:widowControl/>
              <w:spacing w:line="360" w:lineRule="auto"/>
              <w:jc w:val="center"/>
              <w:rPr>
                <w:rFonts w:hint="eastAsia" w:ascii="宋体" w:hAnsi="宋体" w:cs="宋体"/>
                <w:color w:val="000000"/>
                <w:kern w:val="0"/>
              </w:rPr>
            </w:pPr>
            <w:r>
              <w:rPr>
                <w:rFonts w:hint="eastAsia" w:ascii="宋体" w:hAnsi="宋体" w:cs="宋体"/>
                <w:color w:val="000000"/>
                <w:kern w:val="0"/>
              </w:rPr>
              <w:t>16核32GB，自然资源业务专网</w:t>
            </w:r>
          </w:p>
        </w:tc>
        <w:tc>
          <w:tcPr>
            <w:tcW w:w="968" w:type="pct"/>
            <w:vAlign w:val="center"/>
          </w:tcPr>
          <w:p w14:paraId="572B4B1C">
            <w:pPr>
              <w:widowControl/>
              <w:spacing w:line="360" w:lineRule="auto"/>
              <w:jc w:val="center"/>
              <w:rPr>
                <w:rFonts w:hint="eastAsia" w:ascii="宋体" w:hAnsi="宋体" w:cs="宋体"/>
                <w:color w:val="000000"/>
                <w:kern w:val="0"/>
              </w:rPr>
            </w:pPr>
            <w:r>
              <w:rPr>
                <w:rFonts w:hint="eastAsia" w:ascii="宋体" w:hAnsi="宋体" w:cs="宋体"/>
                <w:color w:val="000000"/>
                <w:kern w:val="0"/>
              </w:rPr>
              <w:t>4</w:t>
            </w:r>
          </w:p>
        </w:tc>
        <w:tc>
          <w:tcPr>
            <w:tcW w:w="725" w:type="pct"/>
            <w:vAlign w:val="center"/>
          </w:tcPr>
          <w:p w14:paraId="32ED579A">
            <w:pPr>
              <w:widowControl/>
              <w:spacing w:line="360" w:lineRule="auto"/>
              <w:jc w:val="center"/>
              <w:rPr>
                <w:rFonts w:hint="eastAsia" w:ascii="宋体" w:hAnsi="宋体" w:cs="宋体"/>
                <w:color w:val="000000"/>
                <w:kern w:val="0"/>
              </w:rPr>
            </w:pPr>
            <w:r>
              <w:rPr>
                <w:rFonts w:hint="eastAsia" w:ascii="宋体" w:hAnsi="宋体" w:cs="宋体"/>
                <w:color w:val="000000"/>
                <w:kern w:val="0"/>
              </w:rPr>
              <w:t>个</w:t>
            </w:r>
          </w:p>
        </w:tc>
      </w:tr>
      <w:tr w14:paraId="141E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52" w:type="pct"/>
            <w:vAlign w:val="center"/>
          </w:tcPr>
          <w:p w14:paraId="66F826DC">
            <w:pPr>
              <w:widowControl/>
              <w:spacing w:line="360" w:lineRule="auto"/>
              <w:jc w:val="center"/>
              <w:rPr>
                <w:rFonts w:hint="eastAsia" w:ascii="宋体" w:hAnsi="宋体" w:cs="宋体"/>
                <w:color w:val="000000"/>
                <w:kern w:val="0"/>
              </w:rPr>
            </w:pPr>
            <w:r>
              <w:rPr>
                <w:rFonts w:hint="eastAsia" w:ascii="宋体" w:hAnsi="宋体" w:cs="宋体"/>
                <w:color w:val="000000"/>
                <w:kern w:val="0"/>
              </w:rPr>
              <w:t>操作系统</w:t>
            </w:r>
          </w:p>
        </w:tc>
        <w:tc>
          <w:tcPr>
            <w:tcW w:w="1853" w:type="pct"/>
            <w:vAlign w:val="center"/>
          </w:tcPr>
          <w:p w14:paraId="58F7ACB9">
            <w:pPr>
              <w:widowControl/>
              <w:spacing w:line="360" w:lineRule="auto"/>
              <w:jc w:val="center"/>
              <w:rPr>
                <w:rFonts w:hint="eastAsia" w:ascii="宋体" w:hAnsi="宋体" w:cs="宋体"/>
                <w:color w:val="000000"/>
                <w:kern w:val="0"/>
              </w:rPr>
            </w:pPr>
            <w:r>
              <w:rPr>
                <w:rFonts w:hint="eastAsia" w:ascii="宋体" w:hAnsi="宋体" w:cs="宋体"/>
                <w:color w:val="000000"/>
                <w:kern w:val="0"/>
              </w:rPr>
              <w:t>国产 Linux 操作系统服务/Windows server 2012或以上</w:t>
            </w:r>
          </w:p>
        </w:tc>
        <w:tc>
          <w:tcPr>
            <w:tcW w:w="968" w:type="pct"/>
            <w:vAlign w:val="center"/>
          </w:tcPr>
          <w:p w14:paraId="30AA1724">
            <w:pPr>
              <w:widowControl/>
              <w:spacing w:line="360" w:lineRule="auto"/>
              <w:jc w:val="center"/>
              <w:rPr>
                <w:rFonts w:hint="eastAsia" w:ascii="宋体" w:hAnsi="宋体" w:cs="宋体"/>
                <w:color w:val="000000"/>
                <w:kern w:val="0"/>
              </w:rPr>
            </w:pPr>
            <w:r>
              <w:rPr>
                <w:rFonts w:hint="eastAsia" w:ascii="宋体" w:hAnsi="宋体" w:cs="宋体"/>
                <w:color w:val="000000"/>
                <w:kern w:val="0"/>
              </w:rPr>
              <w:t>10</w:t>
            </w:r>
          </w:p>
        </w:tc>
        <w:tc>
          <w:tcPr>
            <w:tcW w:w="725" w:type="pct"/>
            <w:vAlign w:val="center"/>
          </w:tcPr>
          <w:p w14:paraId="08468311">
            <w:pPr>
              <w:widowControl/>
              <w:spacing w:line="360" w:lineRule="auto"/>
              <w:jc w:val="center"/>
              <w:rPr>
                <w:rFonts w:hint="eastAsia" w:ascii="宋体" w:hAnsi="宋体" w:cs="宋体"/>
                <w:color w:val="000000"/>
                <w:kern w:val="0"/>
              </w:rPr>
            </w:pPr>
            <w:r>
              <w:rPr>
                <w:rFonts w:hint="eastAsia" w:ascii="宋体" w:hAnsi="宋体" w:cs="宋体"/>
                <w:color w:val="000000"/>
                <w:kern w:val="0"/>
              </w:rPr>
              <w:t>套</w:t>
            </w:r>
          </w:p>
        </w:tc>
      </w:tr>
      <w:tr w14:paraId="714C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52" w:type="pct"/>
            <w:vMerge w:val="restart"/>
            <w:vAlign w:val="center"/>
          </w:tcPr>
          <w:p w14:paraId="0056BCBD">
            <w:pPr>
              <w:widowControl/>
              <w:spacing w:line="360" w:lineRule="auto"/>
              <w:jc w:val="center"/>
              <w:rPr>
                <w:rFonts w:hint="eastAsia" w:ascii="宋体" w:hAnsi="宋体" w:cs="宋体"/>
                <w:color w:val="000000"/>
                <w:kern w:val="0"/>
              </w:rPr>
            </w:pPr>
            <w:r>
              <w:rPr>
                <w:rFonts w:hint="eastAsia" w:ascii="宋体" w:hAnsi="宋体" w:cs="宋体"/>
                <w:color w:val="000000"/>
                <w:kern w:val="0"/>
              </w:rPr>
              <w:t>存储和备份</w:t>
            </w:r>
          </w:p>
        </w:tc>
        <w:tc>
          <w:tcPr>
            <w:tcW w:w="1853" w:type="pct"/>
            <w:vAlign w:val="center"/>
          </w:tcPr>
          <w:p w14:paraId="1A934759">
            <w:pPr>
              <w:widowControl/>
              <w:spacing w:line="360" w:lineRule="auto"/>
              <w:jc w:val="center"/>
              <w:rPr>
                <w:rFonts w:hint="eastAsia" w:ascii="宋体" w:hAnsi="宋体" w:cs="宋体"/>
                <w:color w:val="000000"/>
                <w:kern w:val="0"/>
              </w:rPr>
            </w:pPr>
            <w:r>
              <w:rPr>
                <w:rFonts w:hint="eastAsia" w:ascii="宋体" w:hAnsi="宋体" w:cs="宋体"/>
                <w:color w:val="000000"/>
                <w:kern w:val="0"/>
              </w:rPr>
              <w:t>50T政务外网</w:t>
            </w:r>
          </w:p>
        </w:tc>
        <w:tc>
          <w:tcPr>
            <w:tcW w:w="968" w:type="pct"/>
            <w:vAlign w:val="center"/>
          </w:tcPr>
          <w:p w14:paraId="1F24ED03">
            <w:pPr>
              <w:widowControl/>
              <w:spacing w:line="360" w:lineRule="auto"/>
              <w:jc w:val="center"/>
              <w:rPr>
                <w:rFonts w:hint="eastAsia" w:ascii="宋体" w:hAnsi="宋体" w:cs="宋体"/>
                <w:color w:val="000000"/>
                <w:kern w:val="0"/>
              </w:rPr>
            </w:pPr>
            <w:r>
              <w:rPr>
                <w:rFonts w:hint="eastAsia" w:ascii="宋体" w:hAnsi="宋体" w:cs="宋体"/>
                <w:color w:val="000000"/>
                <w:kern w:val="0"/>
              </w:rPr>
              <w:t>50</w:t>
            </w:r>
          </w:p>
        </w:tc>
        <w:tc>
          <w:tcPr>
            <w:tcW w:w="725" w:type="pct"/>
            <w:vAlign w:val="center"/>
          </w:tcPr>
          <w:p w14:paraId="66A55F77">
            <w:pPr>
              <w:widowControl/>
              <w:spacing w:line="360" w:lineRule="auto"/>
              <w:jc w:val="center"/>
              <w:rPr>
                <w:rFonts w:hint="eastAsia" w:ascii="宋体" w:hAnsi="宋体" w:cs="宋体"/>
                <w:color w:val="000000"/>
                <w:kern w:val="0"/>
              </w:rPr>
            </w:pPr>
            <w:r>
              <w:rPr>
                <w:rFonts w:hint="eastAsia" w:ascii="宋体" w:hAnsi="宋体" w:cs="宋体"/>
                <w:color w:val="000000"/>
                <w:kern w:val="0"/>
              </w:rPr>
              <w:t>T</w:t>
            </w:r>
          </w:p>
        </w:tc>
      </w:tr>
      <w:tr w14:paraId="0BCD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Merge w:val="continue"/>
            <w:vAlign w:val="center"/>
          </w:tcPr>
          <w:p w14:paraId="154BD5A4">
            <w:pPr>
              <w:widowControl/>
              <w:spacing w:line="360" w:lineRule="auto"/>
              <w:ind w:firstLine="480"/>
              <w:jc w:val="center"/>
              <w:rPr>
                <w:rFonts w:hint="eastAsia" w:ascii="宋体" w:hAnsi="宋体" w:cs="宋体"/>
                <w:color w:val="000000"/>
                <w:kern w:val="0"/>
              </w:rPr>
            </w:pPr>
          </w:p>
        </w:tc>
        <w:tc>
          <w:tcPr>
            <w:tcW w:w="1853" w:type="pct"/>
            <w:noWrap/>
            <w:vAlign w:val="center"/>
          </w:tcPr>
          <w:p w14:paraId="194FBE3C">
            <w:pPr>
              <w:widowControl/>
              <w:spacing w:line="360" w:lineRule="auto"/>
              <w:jc w:val="center"/>
              <w:rPr>
                <w:rFonts w:hint="eastAsia" w:ascii="宋体" w:hAnsi="宋体" w:cs="宋体"/>
                <w:color w:val="000000"/>
                <w:kern w:val="0"/>
              </w:rPr>
            </w:pPr>
            <w:r>
              <w:rPr>
                <w:rFonts w:hint="eastAsia" w:ascii="宋体" w:hAnsi="宋体" w:cs="宋体"/>
                <w:color w:val="000000"/>
                <w:kern w:val="0"/>
              </w:rPr>
              <w:t>50T自然资源专网</w:t>
            </w:r>
          </w:p>
        </w:tc>
        <w:tc>
          <w:tcPr>
            <w:tcW w:w="968" w:type="pct"/>
            <w:vAlign w:val="center"/>
          </w:tcPr>
          <w:p w14:paraId="2341CC7B">
            <w:pPr>
              <w:widowControl/>
              <w:spacing w:line="360" w:lineRule="auto"/>
              <w:jc w:val="center"/>
              <w:rPr>
                <w:rFonts w:hint="eastAsia" w:ascii="宋体" w:hAnsi="宋体" w:cs="宋体"/>
                <w:color w:val="000000"/>
                <w:kern w:val="0"/>
              </w:rPr>
            </w:pPr>
            <w:r>
              <w:rPr>
                <w:rFonts w:hint="eastAsia" w:ascii="宋体" w:hAnsi="宋体" w:cs="宋体"/>
                <w:color w:val="000000"/>
                <w:kern w:val="0"/>
              </w:rPr>
              <w:t>50</w:t>
            </w:r>
          </w:p>
        </w:tc>
        <w:tc>
          <w:tcPr>
            <w:tcW w:w="725" w:type="pct"/>
            <w:vAlign w:val="center"/>
          </w:tcPr>
          <w:p w14:paraId="2E4E4581">
            <w:pPr>
              <w:widowControl/>
              <w:spacing w:line="360" w:lineRule="auto"/>
              <w:jc w:val="center"/>
              <w:rPr>
                <w:rFonts w:hint="eastAsia" w:ascii="宋体" w:hAnsi="宋体" w:cs="宋体"/>
                <w:color w:val="000000"/>
                <w:kern w:val="0"/>
              </w:rPr>
            </w:pPr>
            <w:r>
              <w:rPr>
                <w:rFonts w:hint="eastAsia" w:ascii="宋体" w:hAnsi="宋体" w:cs="宋体"/>
                <w:color w:val="000000"/>
                <w:kern w:val="0"/>
              </w:rPr>
              <w:t>9</w:t>
            </w:r>
          </w:p>
        </w:tc>
      </w:tr>
      <w:tr w14:paraId="5936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452" w:type="pct"/>
            <w:vAlign w:val="center"/>
          </w:tcPr>
          <w:p w14:paraId="59B32959">
            <w:pPr>
              <w:widowControl/>
              <w:spacing w:line="360" w:lineRule="auto"/>
              <w:jc w:val="center"/>
              <w:rPr>
                <w:rFonts w:hint="eastAsia" w:ascii="宋体" w:hAnsi="宋体" w:cs="宋体"/>
                <w:color w:val="000000"/>
                <w:kern w:val="0"/>
              </w:rPr>
            </w:pPr>
            <w:r>
              <w:rPr>
                <w:rFonts w:hint="eastAsia" w:ascii="宋体" w:hAnsi="宋体" w:cs="宋体"/>
                <w:color w:val="000000"/>
                <w:kern w:val="0"/>
              </w:rPr>
              <w:t>专线</w:t>
            </w:r>
          </w:p>
        </w:tc>
        <w:tc>
          <w:tcPr>
            <w:tcW w:w="1853" w:type="pct"/>
            <w:vAlign w:val="center"/>
          </w:tcPr>
          <w:p w14:paraId="49462E46">
            <w:pPr>
              <w:widowControl/>
              <w:spacing w:line="360" w:lineRule="auto"/>
              <w:jc w:val="center"/>
              <w:rPr>
                <w:rFonts w:hint="eastAsia" w:ascii="宋体" w:hAnsi="宋体" w:cs="宋体"/>
                <w:color w:val="000000"/>
                <w:kern w:val="0"/>
              </w:rPr>
            </w:pPr>
            <w:r>
              <w:rPr>
                <w:rFonts w:hint="eastAsia" w:ascii="宋体" w:hAnsi="宋体" w:cs="宋体"/>
                <w:color w:val="000000"/>
                <w:kern w:val="0"/>
              </w:rPr>
              <w:t>自然资源专线（100M）</w:t>
            </w:r>
          </w:p>
        </w:tc>
        <w:tc>
          <w:tcPr>
            <w:tcW w:w="968" w:type="pct"/>
            <w:noWrap/>
            <w:vAlign w:val="center"/>
          </w:tcPr>
          <w:p w14:paraId="2469FF56">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c>
          <w:tcPr>
            <w:tcW w:w="725" w:type="pct"/>
            <w:vAlign w:val="center"/>
          </w:tcPr>
          <w:p w14:paraId="117539CC">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r>
      <w:tr w14:paraId="36D7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452" w:type="pct"/>
            <w:noWrap/>
            <w:vAlign w:val="center"/>
          </w:tcPr>
          <w:p w14:paraId="2D0A203C">
            <w:pPr>
              <w:widowControl/>
              <w:spacing w:line="360" w:lineRule="auto"/>
              <w:jc w:val="center"/>
              <w:rPr>
                <w:rFonts w:hint="eastAsia" w:ascii="宋体" w:hAnsi="宋体" w:cs="宋体"/>
                <w:color w:val="000000"/>
                <w:kern w:val="0"/>
              </w:rPr>
            </w:pPr>
            <w:r>
              <w:rPr>
                <w:rFonts w:hint="eastAsia" w:ascii="宋体" w:hAnsi="宋体" w:cs="宋体"/>
                <w:color w:val="000000"/>
                <w:kern w:val="0"/>
              </w:rPr>
              <w:t>云安全</w:t>
            </w:r>
          </w:p>
        </w:tc>
        <w:tc>
          <w:tcPr>
            <w:tcW w:w="1853" w:type="pct"/>
            <w:vAlign w:val="center"/>
          </w:tcPr>
          <w:p w14:paraId="78836C65">
            <w:pPr>
              <w:widowControl/>
              <w:spacing w:line="360" w:lineRule="auto"/>
              <w:jc w:val="center"/>
              <w:rPr>
                <w:rFonts w:hint="eastAsia" w:ascii="宋体" w:hAnsi="宋体" w:cs="宋体"/>
                <w:color w:val="000000"/>
                <w:kern w:val="0"/>
              </w:rPr>
            </w:pPr>
            <w:r>
              <w:rPr>
                <w:rFonts w:hint="eastAsia" w:ascii="宋体" w:hAnsi="宋体" w:cs="宋体"/>
                <w:color w:val="000000"/>
                <w:kern w:val="0"/>
              </w:rPr>
              <w:t>虚拟防火墙、虚拟Web应用防火墙、虚拟堡垒机、漏洞扫描、负载均衡等，满足等保三级测评需求。</w:t>
            </w:r>
          </w:p>
        </w:tc>
        <w:tc>
          <w:tcPr>
            <w:tcW w:w="968" w:type="pct"/>
            <w:noWrap/>
            <w:vAlign w:val="center"/>
          </w:tcPr>
          <w:p w14:paraId="64E24D49">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c>
          <w:tcPr>
            <w:tcW w:w="725" w:type="pct"/>
            <w:vAlign w:val="center"/>
          </w:tcPr>
          <w:p w14:paraId="58BBC741">
            <w:pPr>
              <w:widowControl/>
              <w:spacing w:line="360" w:lineRule="auto"/>
              <w:jc w:val="center"/>
              <w:rPr>
                <w:rFonts w:hint="eastAsia" w:ascii="宋体" w:hAnsi="宋体" w:cs="宋体"/>
                <w:color w:val="000000"/>
                <w:kern w:val="0"/>
              </w:rPr>
            </w:pPr>
            <w:r>
              <w:rPr>
                <w:rFonts w:hint="eastAsia" w:ascii="宋体" w:hAnsi="宋体" w:cs="宋体"/>
                <w:color w:val="000000"/>
                <w:kern w:val="0"/>
              </w:rPr>
              <w:t>——</w:t>
            </w:r>
          </w:p>
        </w:tc>
      </w:tr>
      <w:tr w14:paraId="33E6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452" w:type="pct"/>
            <w:noWrap/>
            <w:vAlign w:val="center"/>
          </w:tcPr>
          <w:p w14:paraId="146D5E6D">
            <w:pPr>
              <w:widowControl/>
              <w:spacing w:line="360" w:lineRule="auto"/>
              <w:jc w:val="center"/>
              <w:rPr>
                <w:rFonts w:hint="eastAsia" w:ascii="宋体" w:hAnsi="宋体" w:cs="宋体"/>
                <w:color w:val="000000"/>
                <w:kern w:val="0"/>
              </w:rPr>
            </w:pPr>
            <w:r>
              <w:rPr>
                <w:rFonts w:hint="eastAsia" w:ascii="宋体" w:hAnsi="宋体" w:cs="宋体"/>
                <w:color w:val="000000"/>
                <w:kern w:val="0"/>
              </w:rPr>
              <w:t>数据库</w:t>
            </w:r>
          </w:p>
        </w:tc>
        <w:tc>
          <w:tcPr>
            <w:tcW w:w="1853" w:type="pct"/>
            <w:vAlign w:val="center"/>
          </w:tcPr>
          <w:p w14:paraId="42CC36F1">
            <w:pPr>
              <w:widowControl/>
              <w:spacing w:line="360" w:lineRule="auto"/>
              <w:jc w:val="center"/>
              <w:rPr>
                <w:rFonts w:hint="eastAsia" w:ascii="宋体" w:hAnsi="宋体" w:cs="宋体"/>
                <w:color w:val="000000"/>
                <w:kern w:val="0"/>
              </w:rPr>
            </w:pPr>
            <w:r>
              <w:rPr>
                <w:rFonts w:hint="eastAsia" w:ascii="宋体" w:hAnsi="宋体" w:cs="宋体"/>
                <w:color w:val="000000"/>
                <w:kern w:val="0"/>
              </w:rPr>
              <w:t>PostgresSQL、MongoDB等</w:t>
            </w:r>
          </w:p>
        </w:tc>
        <w:tc>
          <w:tcPr>
            <w:tcW w:w="968" w:type="pct"/>
            <w:noWrap/>
            <w:vAlign w:val="center"/>
          </w:tcPr>
          <w:p w14:paraId="2F648FFF">
            <w:pPr>
              <w:widowControl/>
              <w:spacing w:line="360" w:lineRule="auto"/>
              <w:jc w:val="center"/>
              <w:rPr>
                <w:rFonts w:hint="eastAsia" w:ascii="宋体" w:hAnsi="宋体" w:cs="宋体"/>
                <w:color w:val="000000"/>
                <w:kern w:val="0"/>
              </w:rPr>
            </w:pPr>
            <w:r>
              <w:rPr>
                <w:rFonts w:hint="eastAsia" w:ascii="宋体" w:hAnsi="宋体" w:cs="宋体"/>
                <w:color w:val="000000"/>
                <w:kern w:val="0"/>
              </w:rPr>
              <w:t>6</w:t>
            </w:r>
          </w:p>
        </w:tc>
        <w:tc>
          <w:tcPr>
            <w:tcW w:w="725" w:type="pct"/>
            <w:noWrap/>
            <w:vAlign w:val="center"/>
          </w:tcPr>
          <w:p w14:paraId="3FF4F850">
            <w:pPr>
              <w:widowControl/>
              <w:spacing w:line="360" w:lineRule="auto"/>
              <w:jc w:val="center"/>
              <w:rPr>
                <w:rFonts w:hint="eastAsia" w:ascii="宋体" w:hAnsi="宋体" w:cs="宋体"/>
                <w:color w:val="000000"/>
                <w:kern w:val="0"/>
              </w:rPr>
            </w:pPr>
            <w:r>
              <w:rPr>
                <w:rFonts w:hint="eastAsia" w:ascii="宋体" w:hAnsi="宋体" w:cs="宋体"/>
                <w:color w:val="000000"/>
                <w:kern w:val="0"/>
              </w:rPr>
              <w:t>套</w:t>
            </w:r>
          </w:p>
        </w:tc>
      </w:tr>
      <w:tr w14:paraId="60E1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452" w:type="pct"/>
            <w:noWrap/>
            <w:vAlign w:val="center"/>
          </w:tcPr>
          <w:p w14:paraId="3BCFB7F4">
            <w:pPr>
              <w:widowControl/>
              <w:spacing w:line="360" w:lineRule="auto"/>
              <w:jc w:val="center"/>
              <w:rPr>
                <w:rFonts w:hint="eastAsia" w:ascii="宋体" w:hAnsi="宋体" w:cs="宋体"/>
                <w:color w:val="000000"/>
                <w:kern w:val="0"/>
              </w:rPr>
            </w:pPr>
            <w:r>
              <w:rPr>
                <w:rFonts w:hint="eastAsia" w:ascii="宋体" w:hAnsi="宋体" w:cs="宋体"/>
                <w:color w:val="000000"/>
                <w:kern w:val="0"/>
              </w:rPr>
              <w:t>开源中间件</w:t>
            </w:r>
          </w:p>
        </w:tc>
        <w:tc>
          <w:tcPr>
            <w:tcW w:w="1853" w:type="pct"/>
            <w:noWrap/>
            <w:vAlign w:val="center"/>
          </w:tcPr>
          <w:p w14:paraId="2AD0EEC6">
            <w:pPr>
              <w:widowControl/>
              <w:spacing w:line="360" w:lineRule="auto"/>
              <w:jc w:val="center"/>
              <w:rPr>
                <w:rFonts w:hint="eastAsia" w:ascii="宋体" w:hAnsi="宋体" w:cs="宋体"/>
                <w:color w:val="000000"/>
                <w:kern w:val="0"/>
              </w:rPr>
            </w:pPr>
            <w:r>
              <w:rPr>
                <w:rFonts w:hint="eastAsia" w:ascii="宋体" w:hAnsi="宋体" w:cs="宋体"/>
                <w:color w:val="000000"/>
                <w:kern w:val="0"/>
              </w:rPr>
              <w:t>包含Tomcat、Apache等</w:t>
            </w:r>
          </w:p>
        </w:tc>
        <w:tc>
          <w:tcPr>
            <w:tcW w:w="968" w:type="pct"/>
            <w:noWrap/>
            <w:vAlign w:val="center"/>
          </w:tcPr>
          <w:p w14:paraId="2C64E152">
            <w:pPr>
              <w:widowControl/>
              <w:spacing w:line="360" w:lineRule="auto"/>
              <w:jc w:val="center"/>
              <w:rPr>
                <w:rFonts w:hint="eastAsia" w:ascii="宋体" w:hAnsi="宋体" w:cs="宋体"/>
                <w:color w:val="000000"/>
                <w:kern w:val="0"/>
              </w:rPr>
            </w:pPr>
            <w:r>
              <w:rPr>
                <w:rFonts w:hint="eastAsia" w:ascii="宋体" w:hAnsi="宋体" w:cs="宋体"/>
                <w:color w:val="000000"/>
                <w:kern w:val="0"/>
              </w:rPr>
              <w:t>6</w:t>
            </w:r>
          </w:p>
        </w:tc>
        <w:tc>
          <w:tcPr>
            <w:tcW w:w="725" w:type="pct"/>
            <w:noWrap/>
            <w:vAlign w:val="center"/>
          </w:tcPr>
          <w:p w14:paraId="3524D3E4">
            <w:pPr>
              <w:widowControl/>
              <w:spacing w:line="360" w:lineRule="auto"/>
              <w:jc w:val="center"/>
              <w:rPr>
                <w:rFonts w:hint="eastAsia" w:ascii="宋体" w:hAnsi="宋体" w:cs="宋体"/>
                <w:color w:val="000000"/>
                <w:kern w:val="0"/>
              </w:rPr>
            </w:pPr>
            <w:r>
              <w:rPr>
                <w:rFonts w:hint="eastAsia" w:ascii="宋体" w:hAnsi="宋体" w:cs="宋体"/>
                <w:color w:val="000000"/>
                <w:kern w:val="0"/>
              </w:rPr>
              <w:t>套</w:t>
            </w:r>
          </w:p>
        </w:tc>
      </w:tr>
    </w:tbl>
    <w:p w14:paraId="4BFC76D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16.多测合一信息服务平台</w:t>
      </w:r>
    </w:p>
    <w:p w14:paraId="2F69244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多测合一”信息服务平台建设落实国务院“多规合一”的要求，把地籍调查、勘测定界、规划监督测量、房产测量等进行统一，解决技术标准繁杂、相互不衔接、房屋建筑面积计算规则不一致、数出多门等问题。通过整合工程建设项目测绘事项、优化测绘流程、统一技术标准规范、强化成果共享互认、完善测绘行业管理制度，实现对同一标的物只测一次、同一测绘事项由一家测绘单位承担、同一测绘成果只提交一次的目标，从而提高审批效率，减轻行政相对人负担。</w:t>
      </w:r>
    </w:p>
    <w:p w14:paraId="6FA17468">
      <w:pPr>
        <w:pStyle w:val="2"/>
        <w:keepNext w:val="0"/>
        <w:keepLines w:val="0"/>
        <w:adjustRightInd w:val="0"/>
        <w:snapToGrid w:val="0"/>
        <w:spacing w:before="0" w:after="0" w:line="360" w:lineRule="auto"/>
        <w:ind w:firstLine="482" w:firstLineChars="200"/>
        <w:rPr>
          <w:rFonts w:hint="eastAsia" w:ascii="宋体" w:hAnsi="宋体" w:cs="宋体"/>
          <w:sz w:val="24"/>
          <w:szCs w:val="24"/>
        </w:rPr>
      </w:pPr>
      <w:r>
        <w:rPr>
          <w:rFonts w:hint="eastAsia" w:ascii="宋体" w:hAnsi="宋体" w:cs="宋体"/>
          <w:sz w:val="24"/>
          <w:szCs w:val="24"/>
        </w:rPr>
        <w:t>四、服务要求及其他</w:t>
      </w:r>
      <w:bookmarkEnd w:id="189"/>
      <w:bookmarkEnd w:id="190"/>
      <w:bookmarkEnd w:id="191"/>
    </w:p>
    <w:p w14:paraId="1FFBB7F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1.通过本项目建设，形成满足河南省自然资源厅、自然资源部相关要求的实景三维三门峡建设成果，并协助甲方完成逐级汇交。</w:t>
      </w:r>
    </w:p>
    <w:p w14:paraId="16CD2DB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本项目中标（成交）单位需在本次项目结束后提供3年的运行维护。运行维护期内，24小时在线接收解答用户疑问。接到采购人电话后1小时内响应，在线无法解决时，立即派人24小时内赶赴现场提供服务。对成果使用及对接过程中出现的技术问题，需在5个工作日内解决。</w:t>
      </w:r>
    </w:p>
    <w:p w14:paraId="585F74A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3.供应商应具有丰富的实战经验及较强的综合实力，具有承担同类项目的业绩和相关技术证书，能够为采购人提供优质的服务。</w:t>
      </w:r>
    </w:p>
    <w:p w14:paraId="610C480C">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4.项目管理人员配备要求：供应商应根据本项目性质、规模和相关技术要求配备与本项目相适应专业管理、技术人员。</w:t>
      </w:r>
    </w:p>
    <w:p w14:paraId="2F34D27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项目生产源数据及成果资料涉密，安全、保密工作是关系到项目保障的重要环节，应坚持“以人为本，安全第一，预防为主”的方针，坚持事故预防与应急处理相结合，做好预防和应急处理工作，严格按照国家有关保密规定进行管理，确保不发生失密、泄密问题。</w:t>
      </w:r>
    </w:p>
    <w:p w14:paraId="187B24D5">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6.按照省级及本级实施方案统一要求，2025年12月31日前，完成本项目其他工作内容。</w:t>
      </w:r>
    </w:p>
    <w:p w14:paraId="4740ADA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7.报价要求：供应商的报价应含有所有服务、所有材料、劳务、利润、税金、政策性文件、招标文件及合同包含的所有风险、责任、义务等为完成本项目要求的服务内容所包含的一切应有费用。</w:t>
      </w:r>
    </w:p>
    <w:p w14:paraId="1753F62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8.服务期限：自合同签订生效之日起至通过验收。</w:t>
      </w:r>
    </w:p>
    <w:p w14:paraId="0B171F5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9.服务地点：三门峡市。</w:t>
      </w:r>
    </w:p>
    <w:p w14:paraId="111B33E4">
      <w:pPr>
        <w:pStyle w:val="2"/>
        <w:keepNext w:val="0"/>
        <w:keepLines w:val="0"/>
        <w:adjustRightInd w:val="0"/>
        <w:snapToGrid w:val="0"/>
        <w:spacing w:before="0" w:after="0" w:line="360" w:lineRule="auto"/>
        <w:ind w:firstLine="482" w:firstLineChars="200"/>
        <w:rPr>
          <w:rFonts w:hint="eastAsia" w:ascii="宋体" w:hAnsi="宋体" w:cs="宋体"/>
          <w:sz w:val="24"/>
          <w:szCs w:val="24"/>
        </w:rPr>
      </w:pPr>
      <w:bookmarkStart w:id="219" w:name="_Toc21091"/>
      <w:bookmarkStart w:id="220" w:name="_Toc16530"/>
      <w:bookmarkStart w:id="221" w:name="_Toc7809"/>
      <w:r>
        <w:rPr>
          <w:rFonts w:hint="eastAsia" w:ascii="宋体" w:hAnsi="宋体" w:cs="宋体"/>
          <w:sz w:val="24"/>
          <w:szCs w:val="24"/>
        </w:rPr>
        <w:t>五、验收要求</w:t>
      </w:r>
      <w:bookmarkEnd w:id="219"/>
      <w:bookmarkEnd w:id="220"/>
      <w:bookmarkEnd w:id="221"/>
    </w:p>
    <w:p w14:paraId="5BA2640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1.项目结束后，采购人按照政府采购合同规定的技术、服务、安全标准组织对供应商履约情况进行初步验收，并出具初步验收书。验收书包括技术、服务、安全标准的履约情况。验收标准：</w:t>
      </w:r>
      <w:r>
        <w:rPr>
          <w:rFonts w:hint="eastAsia" w:ascii="宋体" w:hAnsi="宋体" w:cs="宋体"/>
          <w:bCs/>
          <w:sz w:val="24"/>
          <w:szCs w:val="24"/>
        </w:rPr>
        <w:t>符合国家及行业相关规范标准</w:t>
      </w:r>
      <w:r>
        <w:rPr>
          <w:rFonts w:hint="eastAsia" w:ascii="宋体" w:hAnsi="宋体" w:cs="宋体"/>
          <w:sz w:val="24"/>
          <w:szCs w:val="24"/>
        </w:rPr>
        <w:t>，满足采购人要求。</w:t>
      </w:r>
    </w:p>
    <w:p w14:paraId="7FE45534">
      <w:pPr>
        <w:spacing w:line="360" w:lineRule="auto"/>
        <w:ind w:firstLine="480" w:firstLineChars="200"/>
        <w:rPr>
          <w:rFonts w:hint="eastAsia" w:ascii="宋体" w:hAnsi="宋体" w:cs="宋体"/>
          <w:sz w:val="24"/>
          <w:szCs w:val="24"/>
        </w:rPr>
      </w:pPr>
      <w:r>
        <w:rPr>
          <w:rFonts w:hint="eastAsia" w:ascii="宋体" w:hAnsi="宋体" w:cs="宋体"/>
          <w:sz w:val="24"/>
          <w:szCs w:val="24"/>
        </w:rPr>
        <w:t>2.验收由采购人、验收专家和中标人共同参与下完成，按国家有关的规定、规范进行。</w:t>
      </w:r>
    </w:p>
    <w:p w14:paraId="75A5A4F9">
      <w:pPr>
        <w:rPr>
          <w:rFonts w:hint="eastAsia" w:ascii="宋体" w:hAnsi="宋体" w:cs="宋体"/>
        </w:rPr>
      </w:pPr>
      <w:r>
        <w:rPr>
          <w:rFonts w:hint="eastAsia" w:ascii="宋体" w:hAnsi="宋体" w:cs="宋体"/>
        </w:rPr>
        <w:br w:type="page"/>
      </w:r>
    </w:p>
    <w:p w14:paraId="6EB6D2AD">
      <w:pPr>
        <w:pStyle w:val="2"/>
        <w:spacing w:before="0" w:after="0" w:line="360" w:lineRule="auto"/>
        <w:ind w:firstLine="482" w:firstLineChars="200"/>
        <w:rPr>
          <w:rFonts w:hint="eastAsia" w:ascii="宋体" w:hAnsi="宋体" w:cs="宋体"/>
          <w:sz w:val="24"/>
          <w:szCs w:val="24"/>
        </w:rPr>
      </w:pPr>
      <w:bookmarkStart w:id="222" w:name="_Toc11991"/>
      <w:bookmarkStart w:id="223" w:name="_Toc19116"/>
      <w:bookmarkStart w:id="224" w:name="_Toc2815"/>
      <w:r>
        <w:rPr>
          <w:rFonts w:hint="eastAsia" w:ascii="宋体" w:hAnsi="宋体" w:cs="宋体"/>
          <w:sz w:val="24"/>
          <w:szCs w:val="24"/>
        </w:rPr>
        <w:t>包2：</w:t>
      </w:r>
      <w:bookmarkEnd w:id="222"/>
      <w:bookmarkEnd w:id="223"/>
      <w:bookmarkEnd w:id="224"/>
    </w:p>
    <w:p w14:paraId="76BD182D">
      <w:pPr>
        <w:pStyle w:val="2"/>
        <w:spacing w:before="0" w:after="0" w:line="360" w:lineRule="auto"/>
        <w:ind w:firstLine="482" w:firstLineChars="200"/>
        <w:rPr>
          <w:rFonts w:hint="eastAsia" w:ascii="宋体" w:hAnsi="宋体" w:cs="宋体"/>
          <w:sz w:val="24"/>
          <w:szCs w:val="24"/>
        </w:rPr>
      </w:pPr>
      <w:bookmarkStart w:id="225" w:name="_Toc25358"/>
      <w:bookmarkStart w:id="226" w:name="_Toc5404"/>
      <w:bookmarkStart w:id="227" w:name="_Toc30487"/>
      <w:r>
        <w:rPr>
          <w:rFonts w:hint="eastAsia" w:ascii="宋体" w:hAnsi="宋体" w:cs="宋体"/>
          <w:sz w:val="24"/>
          <w:szCs w:val="24"/>
        </w:rPr>
        <w:t>一、项目目标</w:t>
      </w:r>
      <w:bookmarkEnd w:id="225"/>
      <w:bookmarkEnd w:id="226"/>
      <w:bookmarkEnd w:id="227"/>
    </w:p>
    <w:p w14:paraId="4F5574C0">
      <w:pPr>
        <w:spacing w:line="360" w:lineRule="auto"/>
        <w:ind w:firstLine="480" w:firstLineChars="200"/>
        <w:rPr>
          <w:rFonts w:hint="eastAsia" w:ascii="宋体" w:hAnsi="宋体" w:cs="宋体"/>
          <w:sz w:val="24"/>
          <w:szCs w:val="24"/>
        </w:rPr>
      </w:pPr>
      <w:r>
        <w:rPr>
          <w:rFonts w:hint="eastAsia" w:ascii="宋体" w:hAnsi="宋体" w:cs="宋体"/>
          <w:sz w:val="24"/>
          <w:szCs w:val="24"/>
        </w:rPr>
        <w:t>实景三维三门峡是实景三维河南建设的重要组成部分，按照实景三维河南建设总体要求，结合三门峡市实际需求，按照“急用先行、集约节约、突出特色，统一规划、总体推进”的原则，为保障实景三维三门峡建设的顺利实施，按照《实景三维河南建设总体实施方案（2023—2025年）》《关于进一步推进实景三维河南建设工作的意见》《实景三维三门峡建设实施方案（2023—2025年）》等文件精神，2025年底前完成实景三维三门峡的建设工作，为数字三门峡、数字政府和数字经济提供统一的三维空间定位框架和分析基础。</w:t>
      </w:r>
    </w:p>
    <w:p w14:paraId="1C6CD413">
      <w:pPr>
        <w:pStyle w:val="2"/>
        <w:spacing w:before="0" w:after="0" w:line="360" w:lineRule="auto"/>
        <w:ind w:firstLine="482" w:firstLineChars="200"/>
        <w:rPr>
          <w:rFonts w:hint="eastAsia" w:ascii="宋体" w:hAnsi="宋体" w:cs="宋体"/>
          <w:sz w:val="24"/>
          <w:szCs w:val="24"/>
        </w:rPr>
      </w:pPr>
      <w:bookmarkStart w:id="228" w:name="_Toc7874"/>
      <w:bookmarkStart w:id="229" w:name="_Toc26688"/>
      <w:bookmarkStart w:id="230" w:name="_Toc28185"/>
      <w:r>
        <w:rPr>
          <w:rFonts w:hint="eastAsia" w:ascii="宋体" w:hAnsi="宋体" w:cs="宋体"/>
          <w:sz w:val="24"/>
          <w:szCs w:val="24"/>
        </w:rPr>
        <w:t>二、项目建设主要内容</w:t>
      </w:r>
      <w:bookmarkEnd w:id="228"/>
      <w:bookmarkEnd w:id="229"/>
      <w:bookmarkEnd w:id="230"/>
    </w:p>
    <w:p w14:paraId="1610AD14">
      <w:pPr>
        <w:pStyle w:val="3"/>
        <w:tabs>
          <w:tab w:val="left" w:pos="0"/>
          <w:tab w:val="left" w:pos="420"/>
        </w:tabs>
        <w:spacing w:before="0" w:after="0" w:line="360" w:lineRule="auto"/>
        <w:ind w:firstLine="482" w:firstLineChars="200"/>
        <w:rPr>
          <w:rFonts w:hint="eastAsia" w:hAnsi="宋体"/>
          <w:sz w:val="24"/>
          <w:szCs w:val="24"/>
        </w:rPr>
      </w:pPr>
      <w:bookmarkStart w:id="231" w:name="_Toc20845"/>
      <w:bookmarkStart w:id="232" w:name="_Toc195866763"/>
      <w:bookmarkStart w:id="233" w:name="_Toc12361"/>
      <w:bookmarkStart w:id="234" w:name="_Toc8687"/>
      <w:r>
        <w:rPr>
          <w:rFonts w:hint="eastAsia" w:hAnsi="宋体"/>
          <w:sz w:val="24"/>
          <w:szCs w:val="24"/>
        </w:rPr>
        <w:t>（一）实景三维平台</w:t>
      </w:r>
      <w:bookmarkEnd w:id="231"/>
      <w:bookmarkEnd w:id="232"/>
      <w:bookmarkEnd w:id="233"/>
      <w:bookmarkEnd w:id="234"/>
    </w:p>
    <w:p w14:paraId="18CC99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提供实景三维发布管理、地理实体服务管理、实景三维服务管理、申请审核管理、服务运行监测等功能，满足实景三维成果对智慧国土、智慧城市等应用建设支撑。</w:t>
      </w:r>
      <w:bookmarkStart w:id="235" w:name="_Toc20684"/>
      <w:bookmarkStart w:id="236" w:name="_Toc26382"/>
      <w:bookmarkStart w:id="237" w:name="_Toc195866769"/>
      <w:bookmarkStart w:id="238" w:name="_Toc32480"/>
    </w:p>
    <w:p w14:paraId="7C24F228">
      <w:pPr>
        <w:pStyle w:val="3"/>
        <w:tabs>
          <w:tab w:val="left" w:pos="0"/>
          <w:tab w:val="left" w:pos="420"/>
        </w:tabs>
        <w:spacing w:before="0" w:after="0" w:line="360" w:lineRule="auto"/>
        <w:ind w:firstLine="482" w:firstLineChars="200"/>
        <w:rPr>
          <w:rFonts w:hint="eastAsia" w:hAnsi="宋体"/>
          <w:sz w:val="24"/>
          <w:szCs w:val="24"/>
        </w:rPr>
      </w:pPr>
      <w:r>
        <w:rPr>
          <w:rFonts w:hint="eastAsia" w:hAnsi="宋体"/>
          <w:sz w:val="24"/>
          <w:szCs w:val="24"/>
        </w:rPr>
        <w:t>（二）应用示范</w:t>
      </w:r>
      <w:bookmarkEnd w:id="235"/>
      <w:bookmarkEnd w:id="236"/>
      <w:bookmarkEnd w:id="237"/>
      <w:r>
        <w:rPr>
          <w:rFonts w:hint="eastAsia" w:hAnsi="宋体"/>
          <w:sz w:val="24"/>
          <w:szCs w:val="24"/>
        </w:rPr>
        <w:t>建设</w:t>
      </w:r>
    </w:p>
    <w:bookmarkEnd w:id="238"/>
    <w:p w14:paraId="306AD328">
      <w:pPr>
        <w:spacing w:line="360" w:lineRule="auto"/>
        <w:ind w:firstLine="480" w:firstLineChars="200"/>
        <w:rPr>
          <w:rFonts w:hint="eastAsia" w:ascii="宋体" w:hAnsi="宋体" w:cs="宋体"/>
          <w:sz w:val="24"/>
          <w:szCs w:val="24"/>
        </w:rPr>
      </w:pPr>
      <w:r>
        <w:rPr>
          <w:rFonts w:hint="eastAsia" w:ascii="宋体" w:hAnsi="宋体" w:cs="宋体"/>
          <w:sz w:val="24"/>
          <w:szCs w:val="24"/>
        </w:rPr>
        <w:t>结合三门峡建设发展实际需求，计划基于实景三维数据建设“实景三维综合应用服务系统”、“实景三维规划会商决策系统”，同时提供接入“土地储备业务系统”、“智慧文旅”、“城市运行管理服务平台”、“应急指挥”、“智慧公安”等行业应用，实现实景三维数据与应用行业无缝融合并支撑其他相关领域的协同应用。</w:t>
      </w:r>
    </w:p>
    <w:p w14:paraId="0D336B4B">
      <w:pPr>
        <w:pStyle w:val="2"/>
        <w:spacing w:before="0" w:after="0" w:line="360" w:lineRule="auto"/>
        <w:ind w:firstLine="482" w:firstLineChars="200"/>
        <w:rPr>
          <w:rFonts w:hint="eastAsia" w:ascii="宋体" w:hAnsi="宋体" w:cs="宋体"/>
          <w:sz w:val="24"/>
          <w:szCs w:val="24"/>
        </w:rPr>
      </w:pPr>
      <w:bookmarkStart w:id="239" w:name="_Toc7703"/>
      <w:bookmarkStart w:id="240" w:name="_Toc15973"/>
      <w:bookmarkStart w:id="241" w:name="_Toc16631"/>
      <w:r>
        <w:rPr>
          <w:rFonts w:hint="eastAsia" w:ascii="宋体" w:hAnsi="宋体" w:cs="宋体"/>
          <w:sz w:val="24"/>
          <w:szCs w:val="24"/>
        </w:rPr>
        <w:t>三、技术要求</w:t>
      </w:r>
      <w:bookmarkEnd w:id="239"/>
      <w:bookmarkEnd w:id="240"/>
      <w:bookmarkEnd w:id="241"/>
    </w:p>
    <w:p w14:paraId="08A7D3D9">
      <w:pPr>
        <w:spacing w:line="360" w:lineRule="auto"/>
        <w:ind w:firstLine="480" w:firstLineChars="200"/>
        <w:rPr>
          <w:rFonts w:hint="eastAsia" w:ascii="宋体" w:hAnsi="宋体" w:cs="宋体"/>
          <w:sz w:val="24"/>
          <w:szCs w:val="24"/>
        </w:rPr>
      </w:pPr>
      <w:r>
        <w:rPr>
          <w:rFonts w:hint="eastAsia" w:ascii="宋体" w:hAnsi="宋体" w:cs="宋体"/>
          <w:sz w:val="24"/>
          <w:szCs w:val="24"/>
        </w:rPr>
        <w:t>1.实景三维平台</w:t>
      </w:r>
    </w:p>
    <w:p w14:paraId="2976D6C5">
      <w:pPr>
        <w:spacing w:line="360" w:lineRule="auto"/>
        <w:ind w:firstLine="480" w:firstLineChars="200"/>
        <w:rPr>
          <w:rFonts w:hint="eastAsia" w:ascii="宋体" w:hAnsi="宋体" w:cs="宋体"/>
          <w:sz w:val="24"/>
          <w:szCs w:val="24"/>
        </w:rPr>
      </w:pPr>
      <w:r>
        <w:rPr>
          <w:rFonts w:hint="eastAsia" w:ascii="宋体" w:hAnsi="宋体" w:cs="宋体"/>
          <w:sz w:val="24"/>
          <w:szCs w:val="24"/>
        </w:rPr>
        <w:t>为实现大范围、高精度实景三维底图的在线服务，建设实景三维平台，以数据融合、平台融合、应用融合为核心，构建三维空间环境的城市时空数字底板，搭建城市信息化基础设施，支撑时空要素信息和业务信息在时空底板上的承载和应用，作为实景三维建设成果的应用服务窗口。</w:t>
      </w:r>
    </w:p>
    <w:p w14:paraId="4F19FA1D">
      <w:pPr>
        <w:spacing w:line="360" w:lineRule="auto"/>
        <w:ind w:firstLine="480" w:firstLineChars="200"/>
        <w:rPr>
          <w:rFonts w:hint="eastAsia" w:ascii="宋体" w:hAnsi="宋体" w:cs="宋体"/>
          <w:sz w:val="24"/>
          <w:szCs w:val="24"/>
        </w:rPr>
      </w:pPr>
      <w:bookmarkStart w:id="242" w:name="_Toc15620"/>
      <w:bookmarkStart w:id="243" w:name="_Toc195866775"/>
      <w:bookmarkStart w:id="244" w:name="_Toc21548"/>
      <w:r>
        <w:rPr>
          <w:rFonts w:hint="eastAsia" w:ascii="宋体" w:hAnsi="宋体" w:cs="宋体"/>
          <w:sz w:val="24"/>
          <w:szCs w:val="24"/>
        </w:rPr>
        <w:t>2.应用示范</w:t>
      </w:r>
      <w:bookmarkEnd w:id="242"/>
      <w:bookmarkEnd w:id="243"/>
      <w:bookmarkEnd w:id="244"/>
    </w:p>
    <w:p w14:paraId="329D0D5E">
      <w:pPr>
        <w:spacing w:line="360" w:lineRule="auto"/>
        <w:ind w:firstLine="480" w:firstLineChars="200"/>
        <w:rPr>
          <w:rFonts w:hint="eastAsia" w:ascii="宋体" w:hAnsi="宋体" w:cs="宋体"/>
          <w:sz w:val="24"/>
          <w:szCs w:val="24"/>
        </w:rPr>
      </w:pPr>
      <w:r>
        <w:rPr>
          <w:rFonts w:hint="eastAsia" w:ascii="宋体" w:hAnsi="宋体" w:cs="宋体"/>
          <w:sz w:val="24"/>
          <w:szCs w:val="24"/>
        </w:rPr>
        <w:t>根据实景三维建设方案，结合三门峡市实际需求，计划建设“实景三维综合应用服务系统”“实景三维规划会商决策系统”，同时接入“实景三维+土地储备业务系统”“智慧文旅”“城市运行管理服务平台”“应急指挥”“智慧公安”等行业应用。</w:t>
      </w:r>
    </w:p>
    <w:p w14:paraId="4E169907">
      <w:pPr>
        <w:spacing w:line="360" w:lineRule="auto"/>
        <w:ind w:firstLine="480" w:firstLineChars="200"/>
        <w:rPr>
          <w:rFonts w:hint="eastAsia" w:ascii="宋体" w:hAnsi="宋体" w:cs="宋体"/>
          <w:sz w:val="24"/>
          <w:szCs w:val="24"/>
        </w:rPr>
      </w:pPr>
      <w:r>
        <w:rPr>
          <w:rFonts w:hint="eastAsia" w:ascii="宋体" w:hAnsi="宋体" w:cs="宋体"/>
          <w:sz w:val="24"/>
          <w:szCs w:val="24"/>
        </w:rPr>
        <w:t>（1）实景三维综合应用服务系统</w:t>
      </w:r>
    </w:p>
    <w:p w14:paraId="53F97F21">
      <w:pPr>
        <w:spacing w:line="360" w:lineRule="auto"/>
        <w:ind w:firstLine="480" w:firstLineChars="200"/>
        <w:rPr>
          <w:rFonts w:hint="eastAsia" w:ascii="宋体" w:hAnsi="宋体" w:cs="宋体"/>
          <w:sz w:val="24"/>
          <w:szCs w:val="24"/>
        </w:rPr>
      </w:pPr>
      <w:r>
        <w:rPr>
          <w:rFonts w:hint="eastAsia" w:ascii="宋体" w:hAnsi="宋体" w:cs="宋体"/>
          <w:sz w:val="24"/>
          <w:szCs w:val="24"/>
        </w:rPr>
        <w:t>依托实景三维数字底座，运用GIS技术融合自然资源现状、管理、业务等专题数据，实现三维场景下的自然资源数字化展示。基于实景三维平台接入现状、规划、管理等数据构建实景三维综合应用服务系统，具备对空间数据的查询、统计、分析、量测等功能，为自然资源综合展示提供实景三维数据和基础GIS分析功能支撑。</w:t>
      </w:r>
    </w:p>
    <w:p w14:paraId="258EE9CF">
      <w:pPr>
        <w:spacing w:line="360" w:lineRule="auto"/>
        <w:ind w:firstLine="480" w:firstLineChars="200"/>
        <w:rPr>
          <w:rFonts w:hint="eastAsia" w:ascii="宋体" w:hAnsi="宋体" w:cs="宋体"/>
          <w:sz w:val="24"/>
          <w:szCs w:val="24"/>
        </w:rPr>
      </w:pPr>
      <w:r>
        <w:rPr>
          <w:rFonts w:hint="eastAsia" w:ascii="宋体" w:hAnsi="宋体" w:cs="宋体"/>
          <w:sz w:val="24"/>
          <w:szCs w:val="24"/>
        </w:rPr>
        <w:t>（2）实景三维规划会商决策系统</w:t>
      </w:r>
    </w:p>
    <w:p w14:paraId="76AC7559">
      <w:pPr>
        <w:spacing w:line="360" w:lineRule="auto"/>
        <w:ind w:firstLine="480" w:firstLineChars="200"/>
        <w:rPr>
          <w:rFonts w:hint="eastAsia" w:ascii="宋体" w:hAnsi="宋体" w:cs="宋体"/>
          <w:sz w:val="24"/>
          <w:szCs w:val="24"/>
        </w:rPr>
      </w:pPr>
      <w:r>
        <w:rPr>
          <w:rFonts w:hint="eastAsia" w:ascii="宋体" w:hAnsi="宋体" w:cs="宋体"/>
          <w:sz w:val="24"/>
          <w:szCs w:val="24"/>
        </w:rPr>
        <w:t>建设实景三维规划会商决策系统，实现在实景三维场景中查看报审项目周边规划、用地、公建配套情况和方案比对，对报审项目开展合规性、合理性等辅助分析，在党组扩大会、联审会、规委会等会议中展示汇报，协助领导综合把握城市片区及整个城市发展风貌，对审批项目进行科学决策研判，为三门峡市重要土地和规划会议决策、宏观调控政策制定、集约高效土地利用、精品规划编制和科学规划管理及实施监督提供技术支持。</w:t>
      </w:r>
    </w:p>
    <w:p w14:paraId="511EDEA7">
      <w:pPr>
        <w:spacing w:line="360" w:lineRule="auto"/>
        <w:ind w:firstLine="480" w:firstLineChars="200"/>
        <w:rPr>
          <w:rFonts w:hint="eastAsia" w:ascii="宋体" w:hAnsi="宋体" w:cs="宋体"/>
          <w:sz w:val="24"/>
          <w:szCs w:val="24"/>
        </w:rPr>
      </w:pPr>
      <w:r>
        <w:rPr>
          <w:rFonts w:hint="eastAsia" w:ascii="宋体" w:hAnsi="宋体" w:cs="宋体"/>
          <w:sz w:val="24"/>
          <w:szCs w:val="24"/>
        </w:rPr>
        <w:t>（3）系统接入</w:t>
      </w:r>
    </w:p>
    <w:p w14:paraId="2850884F">
      <w:pPr>
        <w:spacing w:line="360" w:lineRule="auto"/>
        <w:ind w:firstLine="480" w:firstLineChars="200"/>
        <w:rPr>
          <w:rFonts w:hint="eastAsia" w:ascii="宋体" w:hAnsi="宋体" w:cs="宋体"/>
          <w:sz w:val="24"/>
          <w:szCs w:val="24"/>
        </w:rPr>
      </w:pPr>
      <w:r>
        <w:rPr>
          <w:rFonts w:hint="eastAsia" w:ascii="宋体" w:hAnsi="宋体" w:cs="宋体"/>
          <w:sz w:val="24"/>
          <w:szCs w:val="24"/>
        </w:rPr>
        <w:t>系统接入建设包含 “土地储备业务系统”及“智慧文旅”“城市运行管理服务平台”“应急指挥”“智慧公安”等行业应用，通过对接提升实景三维数据对相关应用的时空服务能力，以实现实景三维平台支持下的智慧城市行业应用。</w:t>
      </w:r>
    </w:p>
    <w:p w14:paraId="3489F7CC">
      <w:pPr>
        <w:pStyle w:val="2"/>
        <w:spacing w:before="0" w:after="0" w:line="360" w:lineRule="auto"/>
        <w:ind w:firstLine="482" w:firstLineChars="200"/>
        <w:rPr>
          <w:rFonts w:hint="eastAsia" w:ascii="宋体" w:hAnsi="宋体" w:cs="宋体"/>
          <w:sz w:val="24"/>
          <w:szCs w:val="24"/>
        </w:rPr>
      </w:pPr>
      <w:bookmarkStart w:id="245" w:name="_Toc24509"/>
      <w:bookmarkStart w:id="246" w:name="_Toc704"/>
      <w:bookmarkStart w:id="247" w:name="_Toc393"/>
      <w:r>
        <w:rPr>
          <w:rFonts w:hint="eastAsia" w:ascii="宋体" w:hAnsi="宋体" w:cs="宋体"/>
          <w:sz w:val="24"/>
          <w:szCs w:val="24"/>
        </w:rPr>
        <w:t>四、服务要求及其他</w:t>
      </w:r>
      <w:bookmarkEnd w:id="245"/>
      <w:bookmarkEnd w:id="246"/>
      <w:bookmarkEnd w:id="247"/>
    </w:p>
    <w:p w14:paraId="2BF41052">
      <w:pPr>
        <w:spacing w:line="360" w:lineRule="auto"/>
        <w:ind w:firstLine="480" w:firstLineChars="200"/>
        <w:rPr>
          <w:rFonts w:hint="eastAsia" w:ascii="宋体" w:hAnsi="宋体" w:cs="宋体"/>
          <w:sz w:val="24"/>
          <w:szCs w:val="24"/>
        </w:rPr>
      </w:pPr>
      <w:r>
        <w:rPr>
          <w:rFonts w:hint="eastAsia" w:ascii="宋体" w:hAnsi="宋体" w:cs="宋体"/>
          <w:sz w:val="24"/>
          <w:szCs w:val="24"/>
        </w:rPr>
        <w:t>1.本项目中标（成交）单位需在本次项目结束后提供3年的运行维护。运行维护期内，24小时在线接收解答用户疑问。接到采购人电话后1小时内响应，在线无法解决时，立即派人24小时内赶赴现场提供服务。对成果使用及对接过程中出现的技术问题，需在5个工作日内解决。</w:t>
      </w:r>
    </w:p>
    <w:p w14:paraId="4D22F101">
      <w:pPr>
        <w:spacing w:line="360" w:lineRule="auto"/>
        <w:ind w:firstLine="480" w:firstLineChars="200"/>
        <w:rPr>
          <w:rFonts w:hint="eastAsia" w:ascii="宋体" w:hAnsi="宋体" w:cs="宋体"/>
          <w:sz w:val="24"/>
          <w:szCs w:val="24"/>
        </w:rPr>
      </w:pPr>
      <w:r>
        <w:rPr>
          <w:rFonts w:hint="eastAsia" w:ascii="宋体" w:hAnsi="宋体" w:cs="宋体"/>
          <w:sz w:val="24"/>
          <w:szCs w:val="24"/>
        </w:rPr>
        <w:t>2.供应商应具有丰富的实战经验及较强的综合实力，具有承担</w:t>
      </w:r>
      <w:r>
        <w:rPr>
          <w:rFonts w:hint="eastAsia" w:ascii="宋体" w:hAnsi="宋体" w:eastAsia="宋体" w:cs="宋体"/>
          <w:b w:val="0"/>
          <w:bCs w:val="0"/>
          <w:sz w:val="24"/>
          <w:szCs w:val="24"/>
        </w:rPr>
        <w:t>实景三维类或自然资源业务管理类相关项目业绩</w:t>
      </w:r>
      <w:r>
        <w:rPr>
          <w:rFonts w:hint="eastAsia" w:ascii="宋体" w:hAnsi="宋体" w:cs="宋体"/>
          <w:sz w:val="24"/>
          <w:szCs w:val="24"/>
        </w:rPr>
        <w:t>，能够为采购人提供优质的服务。</w:t>
      </w:r>
    </w:p>
    <w:p w14:paraId="50849DB0">
      <w:pPr>
        <w:spacing w:line="360" w:lineRule="auto"/>
        <w:ind w:firstLine="480" w:firstLineChars="200"/>
        <w:rPr>
          <w:rFonts w:hint="eastAsia" w:ascii="宋体" w:hAnsi="宋体" w:cs="宋体"/>
          <w:sz w:val="24"/>
          <w:szCs w:val="24"/>
        </w:rPr>
      </w:pPr>
      <w:r>
        <w:rPr>
          <w:rFonts w:hint="eastAsia" w:ascii="宋体" w:hAnsi="宋体" w:cs="宋体"/>
          <w:sz w:val="24"/>
          <w:szCs w:val="24"/>
        </w:rPr>
        <w:t>3.项目管理人员配备要求：供应商应根据本项目性质、规模和相关技术要求配备与本项目相适应专业管理、技术人员。</w:t>
      </w:r>
    </w:p>
    <w:p w14:paraId="0AA2391D">
      <w:pPr>
        <w:spacing w:line="360" w:lineRule="auto"/>
        <w:ind w:firstLine="480" w:firstLineChars="200"/>
        <w:rPr>
          <w:rFonts w:hint="eastAsia" w:ascii="宋体" w:hAnsi="宋体" w:cs="宋体"/>
          <w:sz w:val="24"/>
          <w:szCs w:val="24"/>
        </w:rPr>
      </w:pPr>
      <w:r>
        <w:rPr>
          <w:rFonts w:hint="eastAsia" w:ascii="宋体" w:hAnsi="宋体" w:cs="宋体"/>
          <w:sz w:val="24"/>
          <w:szCs w:val="24"/>
        </w:rPr>
        <w:t>4.项目生产源数据及成果资料涉密，安全、保密工作是关系到项目保障的重要环节，应坚持“以人为本，安全第一，预防为主”的方针，坚持事故预防与应急处理相结合，做好预防和应急处理工作，严格按照国家有关保密规定进行管理，确保不发生失密、泄密问题。</w:t>
      </w:r>
    </w:p>
    <w:p w14:paraId="0C75CEA7">
      <w:pPr>
        <w:spacing w:line="360" w:lineRule="auto"/>
        <w:ind w:firstLine="480" w:firstLineChars="200"/>
        <w:rPr>
          <w:rFonts w:hint="eastAsia" w:ascii="宋体" w:hAnsi="宋体" w:cs="宋体"/>
          <w:sz w:val="24"/>
          <w:szCs w:val="24"/>
        </w:rPr>
      </w:pPr>
      <w:r>
        <w:rPr>
          <w:rFonts w:hint="eastAsia" w:ascii="宋体" w:hAnsi="宋体" w:cs="宋体"/>
          <w:sz w:val="24"/>
          <w:szCs w:val="24"/>
        </w:rPr>
        <w:t>5.按照省级及本级实施方案统一要求，2025年12月31日前，完成本项目其他工作内容。</w:t>
      </w:r>
    </w:p>
    <w:p w14:paraId="1E858A3A">
      <w:pPr>
        <w:spacing w:line="360" w:lineRule="auto"/>
        <w:ind w:firstLine="480" w:firstLineChars="200"/>
        <w:rPr>
          <w:rFonts w:hint="eastAsia" w:ascii="宋体" w:hAnsi="宋体" w:cs="宋体"/>
          <w:sz w:val="24"/>
          <w:szCs w:val="24"/>
        </w:rPr>
      </w:pPr>
      <w:r>
        <w:rPr>
          <w:rFonts w:hint="eastAsia" w:ascii="宋体" w:hAnsi="宋体" w:cs="宋体"/>
          <w:sz w:val="24"/>
          <w:szCs w:val="24"/>
        </w:rPr>
        <w:t>6.报价要求：供应商的报价应含有所有服务、所有材料、劳务、利润、税金、政策性文件、招标文件及合同包含的所有风险、责任、义务等为完成本项目要求的服务内容所包含的一切应有费用。</w:t>
      </w:r>
    </w:p>
    <w:p w14:paraId="04149755">
      <w:pPr>
        <w:spacing w:line="360" w:lineRule="auto"/>
        <w:ind w:firstLine="480" w:firstLineChars="200"/>
        <w:rPr>
          <w:rFonts w:hint="eastAsia" w:ascii="宋体" w:hAnsi="宋体" w:cs="宋体"/>
          <w:sz w:val="24"/>
          <w:szCs w:val="24"/>
        </w:rPr>
      </w:pPr>
      <w:r>
        <w:rPr>
          <w:rFonts w:hint="eastAsia" w:ascii="宋体" w:hAnsi="宋体" w:cs="宋体"/>
          <w:sz w:val="24"/>
          <w:szCs w:val="24"/>
        </w:rPr>
        <w:t>7.服务期限：自合同签订生效之日起至通过验收。</w:t>
      </w:r>
    </w:p>
    <w:p w14:paraId="24FE5D90">
      <w:pPr>
        <w:spacing w:line="360" w:lineRule="auto"/>
        <w:ind w:firstLine="480" w:firstLineChars="200"/>
        <w:rPr>
          <w:rFonts w:hint="eastAsia" w:ascii="宋体" w:hAnsi="宋体" w:cs="宋体"/>
          <w:sz w:val="24"/>
          <w:szCs w:val="24"/>
        </w:rPr>
      </w:pPr>
      <w:r>
        <w:rPr>
          <w:rFonts w:hint="eastAsia" w:ascii="宋体" w:hAnsi="宋体" w:cs="宋体"/>
          <w:sz w:val="24"/>
          <w:szCs w:val="24"/>
        </w:rPr>
        <w:t>8.服务地点：三门峡市。</w:t>
      </w:r>
    </w:p>
    <w:p w14:paraId="4D58344E">
      <w:pPr>
        <w:pStyle w:val="2"/>
        <w:spacing w:before="0" w:after="0" w:line="360" w:lineRule="auto"/>
        <w:ind w:firstLine="482" w:firstLineChars="200"/>
        <w:rPr>
          <w:rFonts w:hint="eastAsia" w:ascii="宋体" w:hAnsi="宋体" w:cs="宋体"/>
          <w:sz w:val="24"/>
          <w:szCs w:val="24"/>
        </w:rPr>
      </w:pPr>
      <w:bookmarkStart w:id="248" w:name="_Toc6379"/>
      <w:bookmarkStart w:id="249" w:name="_Toc10035"/>
      <w:bookmarkStart w:id="250" w:name="_Toc9286"/>
      <w:r>
        <w:rPr>
          <w:rFonts w:hint="eastAsia" w:ascii="宋体" w:hAnsi="宋体" w:cs="宋体"/>
          <w:sz w:val="24"/>
          <w:szCs w:val="24"/>
        </w:rPr>
        <w:t>五、验收要求</w:t>
      </w:r>
      <w:bookmarkEnd w:id="248"/>
      <w:bookmarkEnd w:id="249"/>
      <w:bookmarkEnd w:id="250"/>
    </w:p>
    <w:p w14:paraId="4BDB69C1">
      <w:pPr>
        <w:spacing w:line="360" w:lineRule="auto"/>
        <w:ind w:firstLine="480" w:firstLineChars="200"/>
        <w:rPr>
          <w:rFonts w:hint="eastAsia" w:ascii="宋体" w:hAnsi="宋体" w:cs="宋体"/>
          <w:sz w:val="24"/>
          <w:szCs w:val="24"/>
        </w:rPr>
      </w:pPr>
      <w:r>
        <w:rPr>
          <w:rFonts w:hint="eastAsia" w:ascii="宋体" w:hAnsi="宋体" w:cs="宋体"/>
          <w:sz w:val="24"/>
          <w:szCs w:val="24"/>
        </w:rPr>
        <w:t>1.项目结束后，采购人按照政府采购合同规定的技术、服务、安全标准组织对供应商履约情况进行初步验收，并出具初步验收书。验收书包括技术、服务、安全标准的履约情况。验收标准：</w:t>
      </w:r>
      <w:r>
        <w:rPr>
          <w:rFonts w:hint="eastAsia" w:ascii="宋体" w:hAnsi="宋体" w:cs="宋体"/>
          <w:bCs/>
          <w:sz w:val="24"/>
          <w:szCs w:val="24"/>
        </w:rPr>
        <w:t>符合国家及行业相关规范标准</w:t>
      </w:r>
      <w:r>
        <w:rPr>
          <w:rFonts w:hint="eastAsia" w:ascii="宋体" w:hAnsi="宋体" w:cs="宋体"/>
          <w:sz w:val="24"/>
          <w:szCs w:val="24"/>
        </w:rPr>
        <w:t>，满足采购人要求。</w:t>
      </w:r>
    </w:p>
    <w:p w14:paraId="3B74EDA6">
      <w:pPr>
        <w:spacing w:line="360" w:lineRule="auto"/>
        <w:ind w:firstLine="480" w:firstLineChars="200"/>
        <w:rPr>
          <w:rFonts w:hint="eastAsia" w:ascii="宋体" w:hAnsi="宋体" w:cs="宋体"/>
          <w:sz w:val="24"/>
          <w:szCs w:val="24"/>
        </w:rPr>
      </w:pPr>
      <w:r>
        <w:rPr>
          <w:rFonts w:hint="eastAsia" w:ascii="宋体" w:hAnsi="宋体" w:cs="宋体"/>
          <w:sz w:val="24"/>
          <w:szCs w:val="24"/>
        </w:rPr>
        <w:t>2.验收由采购人、验收专家和中标人共同参与下完成，按国家有关的规定、规范进行。</w:t>
      </w:r>
    </w:p>
    <w:p w14:paraId="0FCDDFA9">
      <w:pPr>
        <w:rPr>
          <w:rFonts w:hint="eastAsia" w:ascii="宋体" w:hAnsi="宋体" w:cs="宋体"/>
          <w:szCs w:val="24"/>
        </w:rPr>
      </w:pPr>
      <w:r>
        <w:rPr>
          <w:rFonts w:hint="eastAsia" w:ascii="宋体" w:hAnsi="宋体" w:cs="宋体"/>
          <w:szCs w:val="24"/>
        </w:rPr>
        <w:br w:type="page"/>
      </w:r>
    </w:p>
    <w:p w14:paraId="680A0E84">
      <w:pPr>
        <w:pStyle w:val="2"/>
        <w:spacing w:before="0" w:after="0" w:line="360" w:lineRule="auto"/>
        <w:ind w:firstLine="482" w:firstLineChars="200"/>
        <w:rPr>
          <w:rFonts w:hint="eastAsia" w:ascii="宋体" w:hAnsi="宋体" w:cs="宋体"/>
          <w:sz w:val="24"/>
          <w:szCs w:val="24"/>
        </w:rPr>
      </w:pPr>
      <w:bookmarkStart w:id="251" w:name="_Toc22396"/>
      <w:bookmarkStart w:id="252" w:name="_Toc6946"/>
      <w:bookmarkStart w:id="253" w:name="_Toc1895"/>
      <w:r>
        <w:rPr>
          <w:rFonts w:hint="eastAsia" w:ascii="宋体" w:hAnsi="宋体" w:cs="宋体"/>
          <w:sz w:val="24"/>
          <w:szCs w:val="24"/>
        </w:rPr>
        <w:t>包3：</w:t>
      </w:r>
      <w:bookmarkEnd w:id="251"/>
      <w:bookmarkEnd w:id="252"/>
      <w:bookmarkEnd w:id="253"/>
    </w:p>
    <w:p w14:paraId="64DBB9AA">
      <w:pPr>
        <w:pStyle w:val="2"/>
        <w:spacing w:before="0" w:after="0" w:line="360" w:lineRule="auto"/>
        <w:ind w:firstLine="482" w:firstLineChars="200"/>
        <w:rPr>
          <w:rFonts w:hint="eastAsia" w:ascii="宋体" w:hAnsi="宋体" w:cs="宋体"/>
          <w:sz w:val="24"/>
          <w:szCs w:val="24"/>
        </w:rPr>
      </w:pPr>
      <w:bookmarkStart w:id="254" w:name="_Toc22503"/>
      <w:bookmarkStart w:id="255" w:name="_Toc26263"/>
      <w:bookmarkStart w:id="256" w:name="_Toc1796"/>
      <w:r>
        <w:rPr>
          <w:rFonts w:hint="eastAsia" w:ascii="宋体" w:hAnsi="宋体" w:cs="宋体"/>
          <w:sz w:val="24"/>
          <w:szCs w:val="24"/>
        </w:rPr>
        <w:t>一、项目目标</w:t>
      </w:r>
      <w:bookmarkEnd w:id="254"/>
      <w:bookmarkEnd w:id="255"/>
      <w:bookmarkEnd w:id="256"/>
    </w:p>
    <w:p w14:paraId="5C6E952F">
      <w:pPr>
        <w:spacing w:line="360" w:lineRule="auto"/>
        <w:ind w:firstLine="480" w:firstLineChars="200"/>
        <w:rPr>
          <w:rFonts w:hint="eastAsia" w:ascii="宋体" w:hAnsi="宋体" w:cs="宋体"/>
          <w:sz w:val="24"/>
          <w:szCs w:val="24"/>
        </w:rPr>
      </w:pPr>
      <w:r>
        <w:rPr>
          <w:rFonts w:hint="eastAsia" w:ascii="宋体" w:hAnsi="宋体" w:cs="宋体"/>
          <w:sz w:val="24"/>
          <w:szCs w:val="24"/>
        </w:rPr>
        <w:t>实景三维三门峡是实景三维河南建设的重要组成部分，按照实景三维河南建设总体要求，结合三门峡市实际需求，按照“急用先行、集约节约、突出特色，统一规划、总体推进”的原则，为保障实景三维三门峡建设的顺利实施，按照《实景三维河南建设总体实施方案（2023—2025年）》《关于进一步推进实景三维河南建设工作的意见》《实景三维三门峡建设实施方案（2023—2025年）》等文件精神，2025年底前完成实景三维三门峡的建设工作，为数字三门峡、数字政府和数字经济提供统一的三维空间定位框架和分析基础。</w:t>
      </w:r>
    </w:p>
    <w:p w14:paraId="195E1188">
      <w:pPr>
        <w:pStyle w:val="2"/>
        <w:spacing w:before="0" w:after="0" w:line="360" w:lineRule="auto"/>
        <w:ind w:firstLine="482" w:firstLineChars="200"/>
        <w:rPr>
          <w:rFonts w:hint="eastAsia" w:ascii="宋体" w:hAnsi="宋体" w:cs="宋体"/>
          <w:sz w:val="24"/>
          <w:szCs w:val="24"/>
        </w:rPr>
      </w:pPr>
      <w:bookmarkStart w:id="257" w:name="_Toc32127"/>
      <w:bookmarkStart w:id="258" w:name="_Toc27067"/>
      <w:bookmarkStart w:id="259" w:name="_Toc9474"/>
      <w:r>
        <w:rPr>
          <w:rFonts w:hint="eastAsia" w:ascii="宋体" w:hAnsi="宋体" w:cs="宋体"/>
          <w:sz w:val="24"/>
          <w:szCs w:val="24"/>
        </w:rPr>
        <w:t>二、项目建设主要内容</w:t>
      </w:r>
      <w:bookmarkEnd w:id="257"/>
      <w:bookmarkEnd w:id="258"/>
      <w:bookmarkEnd w:id="259"/>
    </w:p>
    <w:p w14:paraId="48D33FA2">
      <w:pPr>
        <w:spacing w:line="360" w:lineRule="auto"/>
        <w:ind w:firstLine="480" w:firstLineChars="200"/>
        <w:rPr>
          <w:rFonts w:hint="eastAsia" w:ascii="宋体" w:hAnsi="宋体" w:cs="宋体"/>
          <w:sz w:val="24"/>
          <w:szCs w:val="24"/>
        </w:rPr>
      </w:pPr>
      <w:r>
        <w:rPr>
          <w:rFonts w:hint="eastAsia" w:ascii="宋体" w:hAnsi="宋体" w:cs="宋体"/>
          <w:sz w:val="24"/>
          <w:szCs w:val="24"/>
        </w:rPr>
        <w:t>1、根据实景三维三门峡建设项目合同及相关技术规范要求，编制实景三维三门峡建设项目监理方案，并严格按方案进行监理。</w:t>
      </w:r>
    </w:p>
    <w:p w14:paraId="6B3D10A7">
      <w:pPr>
        <w:spacing w:line="360" w:lineRule="auto"/>
        <w:ind w:firstLine="480" w:firstLineChars="200"/>
        <w:rPr>
          <w:rFonts w:hint="eastAsia" w:ascii="宋体" w:hAnsi="宋体" w:cs="宋体"/>
          <w:sz w:val="24"/>
          <w:szCs w:val="24"/>
        </w:rPr>
      </w:pPr>
      <w:r>
        <w:rPr>
          <w:rFonts w:hint="eastAsia" w:ascii="宋体" w:hAnsi="宋体" w:cs="宋体"/>
          <w:sz w:val="24"/>
          <w:szCs w:val="24"/>
        </w:rPr>
        <w:t>2、根据实景三维三门峡建设项目全部内容及要求，对实景三维三门峡建设项目进行全过程监督控制，包括城市级实景三维建设、数据融合、在线系统与支撑环境建设、应用示范建设等。</w:t>
      </w:r>
    </w:p>
    <w:p w14:paraId="20B4B89A">
      <w:pPr>
        <w:spacing w:line="360" w:lineRule="auto"/>
        <w:ind w:firstLine="480" w:firstLineChars="200"/>
        <w:rPr>
          <w:rFonts w:hint="eastAsia" w:ascii="宋体" w:hAnsi="宋体" w:cs="宋体"/>
          <w:sz w:val="24"/>
          <w:szCs w:val="24"/>
        </w:rPr>
      </w:pPr>
      <w:r>
        <w:rPr>
          <w:rFonts w:hint="eastAsia" w:ascii="宋体" w:hAnsi="宋体" w:cs="宋体"/>
          <w:sz w:val="24"/>
          <w:szCs w:val="24"/>
        </w:rPr>
        <w:t>3、对项目实施中出现的项目管理、安全、进度、质量等方面问题，须按合同及相关技术规范的要求及时提出处理意见，定期向甲方汇报监理工作实施情况，对重大问题及时向甲方汇报和请示。</w:t>
      </w:r>
    </w:p>
    <w:p w14:paraId="501AAF01">
      <w:pPr>
        <w:spacing w:line="360" w:lineRule="auto"/>
        <w:ind w:firstLine="480" w:firstLineChars="200"/>
        <w:rPr>
          <w:rFonts w:hint="eastAsia" w:ascii="宋体" w:hAnsi="宋体" w:cs="宋体"/>
          <w:sz w:val="24"/>
          <w:szCs w:val="24"/>
        </w:rPr>
      </w:pPr>
      <w:r>
        <w:rPr>
          <w:rFonts w:hint="eastAsia" w:ascii="宋体" w:hAnsi="宋体" w:cs="宋体"/>
          <w:sz w:val="24"/>
          <w:szCs w:val="24"/>
        </w:rPr>
        <w:t>4、做好项目实施管理。定期召开工作例会，通报实施单位工作情况，核查实施单位质量自检工作及其运转情况。采用巡视检查、成果抽查、质量控制记录审核等手段核查实施单位的成果质量是否满足设计要求、符合有关质量标准。</w:t>
      </w:r>
    </w:p>
    <w:p w14:paraId="2AB8A902">
      <w:pPr>
        <w:spacing w:line="360" w:lineRule="auto"/>
        <w:ind w:firstLine="480" w:firstLineChars="200"/>
        <w:rPr>
          <w:rFonts w:hint="eastAsia" w:ascii="宋体" w:hAnsi="宋体" w:cs="宋体"/>
          <w:sz w:val="24"/>
          <w:szCs w:val="24"/>
        </w:rPr>
      </w:pPr>
      <w:r>
        <w:rPr>
          <w:rFonts w:hint="eastAsia" w:ascii="宋体" w:hAnsi="宋体" w:cs="宋体"/>
          <w:sz w:val="24"/>
          <w:szCs w:val="24"/>
        </w:rPr>
        <w:t>5、审核检查项目技术设计、总结及其他环节文档材料，确保文档齐全规范。</w:t>
      </w:r>
    </w:p>
    <w:p w14:paraId="09387DEF">
      <w:pPr>
        <w:spacing w:line="360" w:lineRule="auto"/>
        <w:ind w:firstLine="480" w:firstLineChars="200"/>
        <w:rPr>
          <w:rFonts w:hint="eastAsia" w:ascii="宋体" w:hAnsi="宋体" w:cs="宋体"/>
          <w:sz w:val="24"/>
          <w:szCs w:val="24"/>
        </w:rPr>
      </w:pPr>
      <w:r>
        <w:rPr>
          <w:rFonts w:hint="eastAsia" w:ascii="宋体" w:hAnsi="宋体" w:cs="宋体"/>
          <w:sz w:val="24"/>
          <w:szCs w:val="24"/>
        </w:rPr>
        <w:t>6、审核实施单位提交的最终成果，对成果的工作量和第三方质检报告进行分析，为项目成果验收提供依据。</w:t>
      </w:r>
    </w:p>
    <w:p w14:paraId="5743E2E2">
      <w:pPr>
        <w:spacing w:line="360" w:lineRule="auto"/>
        <w:ind w:firstLine="480" w:firstLineChars="200"/>
        <w:rPr>
          <w:rFonts w:hint="eastAsia" w:ascii="宋体" w:hAnsi="宋体" w:cs="宋体"/>
          <w:sz w:val="24"/>
          <w:szCs w:val="24"/>
        </w:rPr>
      </w:pPr>
      <w:r>
        <w:rPr>
          <w:rFonts w:hint="eastAsia" w:ascii="宋体" w:hAnsi="宋体" w:cs="宋体"/>
          <w:sz w:val="24"/>
          <w:szCs w:val="24"/>
        </w:rPr>
        <w:t>7、负责填写监理周报、监理月报，编制项目监理报告，完成监理成果资料整理和提交。</w:t>
      </w:r>
      <w:bookmarkStart w:id="260" w:name="_Toc3082"/>
      <w:bookmarkStart w:id="261" w:name="_Toc5297"/>
      <w:bookmarkStart w:id="262" w:name="_Toc28874"/>
    </w:p>
    <w:p w14:paraId="6263E69E">
      <w:pPr>
        <w:spacing w:line="360" w:lineRule="auto"/>
        <w:ind w:firstLine="480" w:firstLineChars="200"/>
        <w:rPr>
          <w:rFonts w:hint="eastAsia" w:ascii="宋体" w:hAnsi="宋体" w:cs="宋体"/>
          <w:sz w:val="24"/>
          <w:szCs w:val="24"/>
        </w:rPr>
      </w:pPr>
      <w:r>
        <w:rPr>
          <w:rFonts w:hint="eastAsia" w:ascii="宋体" w:hAnsi="宋体" w:cs="宋体"/>
          <w:sz w:val="24"/>
          <w:szCs w:val="24"/>
        </w:rPr>
        <w:t>8.配合</w:t>
      </w:r>
      <w:r>
        <w:rPr>
          <w:rFonts w:ascii="宋体" w:hAnsi="宋体" w:cs="宋体"/>
          <w:sz w:val="24"/>
          <w:szCs w:val="24"/>
        </w:rPr>
        <w:t>项目单位</w:t>
      </w:r>
      <w:r>
        <w:rPr>
          <w:rFonts w:hint="eastAsia" w:ascii="宋体" w:hAnsi="宋体" w:cs="宋体"/>
          <w:sz w:val="24"/>
          <w:szCs w:val="24"/>
        </w:rPr>
        <w:t>依据国家信息安全等级保护制度规定，按照有关规范和技术标准，对信息系统安全等级保护现状进行检测评估（出具3套安全等级测评报告），所发生的费用由本标段中标供应商承担；</w:t>
      </w:r>
    </w:p>
    <w:p w14:paraId="2D933888">
      <w:pPr>
        <w:spacing w:line="360" w:lineRule="auto"/>
        <w:ind w:firstLine="480" w:firstLineChars="200"/>
        <w:rPr>
          <w:rFonts w:hint="eastAsia" w:ascii="宋体" w:hAnsi="宋体" w:cs="宋体"/>
          <w:sz w:val="24"/>
          <w:szCs w:val="24"/>
        </w:rPr>
      </w:pPr>
      <w:r>
        <w:rPr>
          <w:rFonts w:ascii="宋体" w:hAnsi="宋体" w:cs="宋体"/>
          <w:sz w:val="24"/>
          <w:szCs w:val="24"/>
        </w:rPr>
        <w:t>9.项目完成后，</w:t>
      </w:r>
      <w:r>
        <w:rPr>
          <w:rFonts w:hint="eastAsia" w:ascii="宋体" w:hAnsi="宋体" w:cs="宋体"/>
          <w:sz w:val="24"/>
          <w:szCs w:val="24"/>
        </w:rPr>
        <w:t>配合</w:t>
      </w:r>
      <w:r>
        <w:rPr>
          <w:rFonts w:ascii="宋体" w:hAnsi="宋体" w:cs="宋体"/>
          <w:sz w:val="24"/>
          <w:szCs w:val="24"/>
        </w:rPr>
        <w:t>项目单位委托第三方软件专业测试机构，对项目进行验收测试、性能测试等</w:t>
      </w:r>
      <w:r>
        <w:rPr>
          <w:rFonts w:hint="eastAsia" w:ascii="宋体" w:hAnsi="宋体" w:cs="宋体"/>
          <w:sz w:val="24"/>
          <w:szCs w:val="24"/>
        </w:rPr>
        <w:t>，所发生的费用由本标段中标供应商承担；</w:t>
      </w:r>
    </w:p>
    <w:p w14:paraId="03EC79EC">
      <w:pPr>
        <w:spacing w:line="360" w:lineRule="auto"/>
        <w:ind w:firstLine="480" w:firstLineChars="200"/>
        <w:rPr>
          <w:rFonts w:hint="eastAsia" w:ascii="宋体" w:hAnsi="宋体" w:cs="宋体"/>
          <w:sz w:val="24"/>
          <w:szCs w:val="24"/>
        </w:rPr>
      </w:pPr>
      <w:r>
        <w:rPr>
          <w:rFonts w:ascii="宋体" w:hAnsi="宋体" w:cs="宋体"/>
          <w:sz w:val="24"/>
          <w:szCs w:val="24"/>
        </w:rPr>
        <w:t>10.项目完成后，</w:t>
      </w:r>
      <w:r>
        <w:rPr>
          <w:rFonts w:hint="eastAsia" w:ascii="宋体" w:hAnsi="宋体" w:cs="宋体"/>
          <w:sz w:val="24"/>
          <w:szCs w:val="24"/>
        </w:rPr>
        <w:t>配合</w:t>
      </w:r>
      <w:r>
        <w:rPr>
          <w:rFonts w:ascii="宋体" w:hAnsi="宋体" w:cs="宋体"/>
          <w:sz w:val="24"/>
          <w:szCs w:val="24"/>
        </w:rPr>
        <w:t>项目单位委托测绘产品质量检查机构，对项目数据成果进行检查</w:t>
      </w:r>
      <w:r>
        <w:rPr>
          <w:rFonts w:hint="eastAsia" w:ascii="宋体" w:hAnsi="宋体" w:cs="宋体"/>
          <w:sz w:val="24"/>
          <w:szCs w:val="24"/>
        </w:rPr>
        <w:t>，所发生的费用由本标段中标供应商承担；</w:t>
      </w:r>
    </w:p>
    <w:p w14:paraId="220E1546">
      <w:pPr>
        <w:spacing w:line="360" w:lineRule="auto"/>
        <w:ind w:firstLine="480" w:firstLineChars="200"/>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对项目的建设成果开展首件核查、两轮核查（配合省级两轮核查）、成果汇交等。</w:t>
      </w:r>
    </w:p>
    <w:p w14:paraId="1152DD4C">
      <w:pPr>
        <w:spacing w:line="360" w:lineRule="auto"/>
        <w:ind w:firstLine="480" w:firstLineChars="200"/>
        <w:rPr>
          <w:rFonts w:hint="eastAsia" w:ascii="宋体" w:hAnsi="宋体" w:cs="宋体"/>
          <w:sz w:val="24"/>
          <w:szCs w:val="24"/>
        </w:rPr>
      </w:pPr>
      <w:r>
        <w:rPr>
          <w:rFonts w:hint="eastAsia" w:ascii="宋体" w:hAnsi="宋体" w:cs="宋体"/>
          <w:sz w:val="24"/>
          <w:szCs w:val="24"/>
        </w:rPr>
        <w:t>三、技术要求</w:t>
      </w:r>
      <w:bookmarkEnd w:id="260"/>
      <w:bookmarkEnd w:id="261"/>
      <w:bookmarkEnd w:id="262"/>
    </w:p>
    <w:p w14:paraId="33006F4C">
      <w:pPr>
        <w:spacing w:line="360" w:lineRule="auto"/>
        <w:ind w:firstLine="480" w:firstLineChars="200"/>
        <w:rPr>
          <w:rFonts w:hint="eastAsia" w:ascii="宋体" w:hAnsi="宋体" w:cs="宋体"/>
          <w:sz w:val="24"/>
          <w:szCs w:val="24"/>
        </w:rPr>
      </w:pPr>
      <w:bookmarkStart w:id="263" w:name="_Toc448846130"/>
      <w:bookmarkStart w:id="264" w:name="_Toc500599417"/>
      <w:r>
        <w:rPr>
          <w:rFonts w:hint="eastAsia" w:ascii="宋体" w:hAnsi="宋体" w:cs="宋体"/>
          <w:sz w:val="24"/>
          <w:szCs w:val="24"/>
        </w:rPr>
        <w:t>1.技术依据</w:t>
      </w:r>
    </w:p>
    <w:p w14:paraId="32BA8369">
      <w:pPr>
        <w:spacing w:line="360" w:lineRule="auto"/>
        <w:ind w:firstLine="480" w:firstLineChars="200"/>
        <w:rPr>
          <w:rFonts w:hint="eastAsia" w:ascii="宋体" w:hAnsi="宋体" w:cs="宋体"/>
          <w:sz w:val="24"/>
          <w:szCs w:val="24"/>
        </w:rPr>
      </w:pPr>
      <w:r>
        <w:rPr>
          <w:rFonts w:hint="eastAsia" w:ascii="宋体" w:hAnsi="宋体" w:cs="宋体"/>
          <w:sz w:val="24"/>
          <w:szCs w:val="24"/>
        </w:rPr>
        <w:t>项目建设应符合《新型基础测绘与实景三维中国建设技术文件》系列技术规程、《实景三维中国建设总体实施方案（2023—2025年）》《实景三维河南建设总体实施方案（2023—2025年）》《实景三维三门峡建设总体实施方案（2023—2025年）》及国标、行标等相关文件要求。</w:t>
      </w:r>
    </w:p>
    <w:p w14:paraId="385033F4">
      <w:pPr>
        <w:spacing w:line="360" w:lineRule="auto"/>
        <w:ind w:firstLine="480" w:firstLineChars="200"/>
        <w:rPr>
          <w:rFonts w:hint="eastAsia" w:ascii="宋体" w:hAnsi="宋体" w:cs="宋体"/>
          <w:sz w:val="24"/>
          <w:szCs w:val="24"/>
        </w:rPr>
      </w:pPr>
      <w:r>
        <w:rPr>
          <w:rFonts w:hint="eastAsia" w:ascii="宋体" w:hAnsi="宋体" w:cs="宋体"/>
          <w:sz w:val="24"/>
          <w:szCs w:val="24"/>
        </w:rPr>
        <w:t>2.质量依据</w:t>
      </w:r>
    </w:p>
    <w:p w14:paraId="77E5E530">
      <w:pPr>
        <w:spacing w:line="360" w:lineRule="auto"/>
        <w:ind w:firstLine="480" w:firstLineChars="200"/>
        <w:rPr>
          <w:rFonts w:hint="eastAsia" w:ascii="宋体" w:hAnsi="宋体" w:cs="宋体"/>
          <w:sz w:val="24"/>
          <w:szCs w:val="24"/>
        </w:rPr>
      </w:pPr>
      <w:r>
        <w:rPr>
          <w:rFonts w:hint="eastAsia" w:ascii="宋体" w:hAnsi="宋体" w:cs="宋体"/>
          <w:sz w:val="24"/>
          <w:szCs w:val="24"/>
        </w:rPr>
        <w:t>（1）GB/T 24356-2023 《测绘成果质量检查与验收》；</w:t>
      </w:r>
    </w:p>
    <w:p w14:paraId="49966291">
      <w:pPr>
        <w:spacing w:line="360" w:lineRule="auto"/>
        <w:ind w:firstLine="480" w:firstLineChars="200"/>
        <w:rPr>
          <w:rFonts w:hint="eastAsia" w:ascii="宋体" w:hAnsi="宋体" w:cs="宋体"/>
          <w:sz w:val="24"/>
          <w:szCs w:val="24"/>
        </w:rPr>
      </w:pPr>
      <w:r>
        <w:rPr>
          <w:rFonts w:hint="eastAsia" w:ascii="宋体" w:hAnsi="宋体" w:cs="宋体"/>
          <w:sz w:val="24"/>
          <w:szCs w:val="24"/>
        </w:rPr>
        <w:t>（2）GB/T 17941-2008 《数字测绘成果质量要求》；</w:t>
      </w:r>
    </w:p>
    <w:p w14:paraId="29501F88">
      <w:pPr>
        <w:spacing w:line="360" w:lineRule="auto"/>
        <w:ind w:firstLine="480" w:firstLineChars="200"/>
        <w:rPr>
          <w:rFonts w:hint="eastAsia" w:ascii="宋体" w:hAnsi="宋体" w:cs="宋体"/>
          <w:sz w:val="24"/>
          <w:szCs w:val="24"/>
        </w:rPr>
      </w:pPr>
      <w:r>
        <w:rPr>
          <w:rFonts w:hint="eastAsia" w:ascii="宋体" w:hAnsi="宋体" w:cs="宋体"/>
          <w:sz w:val="24"/>
          <w:szCs w:val="24"/>
        </w:rPr>
        <w:t>（3）GB/T 18316-2008 《数字测绘成果质量检查与验收》；</w:t>
      </w:r>
    </w:p>
    <w:p w14:paraId="01D6697F">
      <w:pPr>
        <w:spacing w:line="360" w:lineRule="auto"/>
        <w:ind w:firstLine="480" w:firstLineChars="200"/>
        <w:rPr>
          <w:rFonts w:hint="eastAsia" w:ascii="宋体" w:hAnsi="宋体" w:cs="宋体"/>
          <w:sz w:val="24"/>
          <w:szCs w:val="24"/>
        </w:rPr>
      </w:pPr>
      <w:r>
        <w:rPr>
          <w:rFonts w:hint="eastAsia" w:ascii="宋体" w:hAnsi="宋体" w:cs="宋体"/>
          <w:sz w:val="24"/>
          <w:szCs w:val="24"/>
        </w:rPr>
        <w:t>（4）自然资源部办公厅《实景三维中国建设成果质量核验方案（2023-2025）》；</w:t>
      </w:r>
    </w:p>
    <w:p w14:paraId="1999CC62">
      <w:pPr>
        <w:spacing w:line="360" w:lineRule="auto"/>
        <w:ind w:firstLine="480" w:firstLineChars="200"/>
        <w:rPr>
          <w:rFonts w:hint="eastAsia" w:ascii="宋体" w:hAnsi="宋体" w:cs="宋体"/>
          <w:sz w:val="24"/>
          <w:szCs w:val="24"/>
        </w:rPr>
      </w:pPr>
      <w:r>
        <w:rPr>
          <w:rFonts w:hint="eastAsia" w:ascii="宋体" w:hAnsi="宋体" w:cs="宋体"/>
          <w:sz w:val="24"/>
          <w:szCs w:val="24"/>
        </w:rPr>
        <w:t>（5）河南省自然资源厅《实景三维河南建设成果质量控制方案（试行）》；</w:t>
      </w:r>
    </w:p>
    <w:p w14:paraId="3C429BA1">
      <w:pPr>
        <w:spacing w:line="360" w:lineRule="auto"/>
        <w:ind w:firstLine="480" w:firstLineChars="200"/>
        <w:rPr>
          <w:rFonts w:hint="eastAsia" w:ascii="宋体" w:hAnsi="宋体" w:cs="宋体"/>
          <w:sz w:val="24"/>
          <w:szCs w:val="24"/>
        </w:rPr>
      </w:pPr>
      <w:r>
        <w:rPr>
          <w:rFonts w:hint="eastAsia" w:ascii="宋体" w:hAnsi="宋体" w:cs="宋体"/>
          <w:sz w:val="24"/>
          <w:szCs w:val="24"/>
        </w:rPr>
        <w:t>（6）河南省实景三维建设项目技术设计等文件。</w:t>
      </w:r>
    </w:p>
    <w:p w14:paraId="625939AA">
      <w:pPr>
        <w:spacing w:line="360" w:lineRule="auto"/>
        <w:ind w:firstLine="480" w:firstLineChars="200"/>
        <w:rPr>
          <w:rFonts w:hint="eastAsia" w:ascii="宋体" w:hAnsi="宋体" w:cs="宋体"/>
          <w:sz w:val="24"/>
          <w:szCs w:val="24"/>
        </w:rPr>
      </w:pPr>
      <w:r>
        <w:rPr>
          <w:rFonts w:hint="eastAsia" w:ascii="宋体" w:hAnsi="宋体" w:cs="宋体"/>
          <w:sz w:val="24"/>
          <w:szCs w:val="24"/>
        </w:rPr>
        <w:t>3.监理提交成果</w:t>
      </w:r>
    </w:p>
    <w:p w14:paraId="14062838">
      <w:pPr>
        <w:spacing w:line="360" w:lineRule="auto"/>
        <w:ind w:firstLine="480" w:firstLineChars="200"/>
        <w:rPr>
          <w:rFonts w:hint="eastAsia" w:ascii="宋体" w:hAnsi="宋体" w:cs="宋体"/>
          <w:sz w:val="24"/>
          <w:szCs w:val="24"/>
        </w:rPr>
      </w:pPr>
      <w:r>
        <w:rPr>
          <w:rFonts w:hint="eastAsia" w:ascii="宋体" w:hAnsi="宋体" w:cs="宋体"/>
          <w:sz w:val="24"/>
          <w:szCs w:val="24"/>
        </w:rPr>
        <w:t>（1）实景三维三门峡建设项目监理方案；</w:t>
      </w:r>
    </w:p>
    <w:p w14:paraId="4B41B0AE">
      <w:pPr>
        <w:spacing w:line="360" w:lineRule="auto"/>
        <w:ind w:firstLine="480" w:firstLineChars="200"/>
        <w:rPr>
          <w:rFonts w:hint="eastAsia" w:ascii="宋体" w:hAnsi="宋体" w:cs="宋体"/>
          <w:sz w:val="24"/>
          <w:szCs w:val="24"/>
        </w:rPr>
      </w:pPr>
      <w:r>
        <w:rPr>
          <w:rFonts w:hint="eastAsia" w:ascii="宋体" w:hAnsi="宋体" w:cs="宋体"/>
          <w:sz w:val="24"/>
          <w:szCs w:val="24"/>
        </w:rPr>
        <w:t>（2）监理例会会议纪要；</w:t>
      </w:r>
    </w:p>
    <w:p w14:paraId="3223CFDD">
      <w:pPr>
        <w:spacing w:line="360" w:lineRule="auto"/>
        <w:ind w:firstLine="480" w:firstLineChars="200"/>
        <w:rPr>
          <w:rFonts w:hint="eastAsia" w:ascii="宋体" w:hAnsi="宋体" w:cs="宋体"/>
          <w:sz w:val="24"/>
          <w:szCs w:val="24"/>
        </w:rPr>
      </w:pPr>
      <w:r>
        <w:rPr>
          <w:rFonts w:hint="eastAsia" w:ascii="宋体" w:hAnsi="宋体" w:cs="宋体"/>
          <w:sz w:val="24"/>
          <w:szCs w:val="24"/>
        </w:rPr>
        <w:t>（3）实景三维三门峡建设项目监理报告。</w:t>
      </w:r>
    </w:p>
    <w:bookmarkEnd w:id="263"/>
    <w:bookmarkEnd w:id="264"/>
    <w:p w14:paraId="22EA2428">
      <w:pPr>
        <w:pStyle w:val="2"/>
        <w:spacing w:before="0" w:after="0" w:line="360" w:lineRule="auto"/>
        <w:ind w:firstLine="482" w:firstLineChars="200"/>
        <w:rPr>
          <w:rFonts w:hint="eastAsia" w:ascii="宋体" w:hAnsi="宋体" w:cs="宋体"/>
          <w:sz w:val="24"/>
          <w:szCs w:val="24"/>
        </w:rPr>
      </w:pPr>
      <w:bookmarkStart w:id="265" w:name="_Toc8399"/>
      <w:bookmarkStart w:id="266" w:name="_Toc2025"/>
      <w:bookmarkStart w:id="267" w:name="_Toc3413"/>
      <w:r>
        <w:rPr>
          <w:rFonts w:hint="eastAsia" w:ascii="宋体" w:hAnsi="宋体" w:cs="宋体"/>
          <w:sz w:val="24"/>
          <w:szCs w:val="24"/>
        </w:rPr>
        <w:t>四、服务要求及其他</w:t>
      </w:r>
      <w:bookmarkEnd w:id="265"/>
      <w:bookmarkEnd w:id="266"/>
      <w:bookmarkEnd w:id="267"/>
    </w:p>
    <w:p w14:paraId="0B79E854">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bCs/>
          <w:sz w:val="24"/>
          <w:szCs w:val="24"/>
        </w:rPr>
        <w:t>服务期限：</w:t>
      </w:r>
      <w:r>
        <w:rPr>
          <w:rFonts w:hint="eastAsia" w:ascii="宋体" w:hAnsi="宋体" w:cs="宋体"/>
          <w:sz w:val="24"/>
          <w:szCs w:val="24"/>
        </w:rPr>
        <w:t>自合同签订生效之日起至通过验收</w:t>
      </w:r>
      <w:r>
        <w:rPr>
          <w:rFonts w:hint="eastAsia" w:ascii="宋体" w:hAnsi="宋体" w:cs="宋体"/>
          <w:bCs/>
          <w:sz w:val="24"/>
          <w:szCs w:val="24"/>
        </w:rPr>
        <w:t>。</w:t>
      </w:r>
    </w:p>
    <w:p w14:paraId="5ED2912A">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bCs/>
          <w:sz w:val="24"/>
          <w:szCs w:val="24"/>
        </w:rPr>
        <w:t>服务标准：符合现行规范、规程要求，并通过相关部门审查</w:t>
      </w:r>
      <w:r>
        <w:rPr>
          <w:rFonts w:hint="eastAsia" w:ascii="宋体" w:hAnsi="宋体" w:cs="宋体"/>
          <w:sz w:val="24"/>
          <w:szCs w:val="24"/>
        </w:rPr>
        <w:t>。</w:t>
      </w:r>
    </w:p>
    <w:p w14:paraId="4F17F05E">
      <w:pPr>
        <w:spacing w:line="360" w:lineRule="auto"/>
        <w:ind w:firstLine="480" w:firstLineChars="200"/>
        <w:rPr>
          <w:rFonts w:hint="eastAsia" w:ascii="宋体" w:hAnsi="宋体" w:cs="宋体"/>
          <w:sz w:val="24"/>
          <w:szCs w:val="24"/>
        </w:rPr>
      </w:pPr>
      <w:r>
        <w:rPr>
          <w:rFonts w:hint="eastAsia" w:ascii="宋体" w:hAnsi="宋体" w:cs="宋体"/>
          <w:sz w:val="24"/>
          <w:szCs w:val="24"/>
        </w:rPr>
        <w:t>3.报价要求：供应商的报价应含有所有服务、所有材料、劳务、利润、税金、政策性文件、招标文件及合同包含的所有风险、责任、义务等为完成本项目要求的服务内容所包含的一切应有费用。</w:t>
      </w:r>
    </w:p>
    <w:p w14:paraId="646D2681">
      <w:pPr>
        <w:spacing w:line="360" w:lineRule="auto"/>
        <w:ind w:firstLine="480" w:firstLineChars="200"/>
        <w:rPr>
          <w:rFonts w:hint="eastAsia" w:ascii="宋体" w:hAnsi="宋体" w:cs="宋体"/>
          <w:sz w:val="24"/>
          <w:szCs w:val="24"/>
        </w:rPr>
      </w:pPr>
      <w:r>
        <w:rPr>
          <w:rFonts w:hint="eastAsia" w:ascii="宋体" w:hAnsi="宋体" w:cs="宋体"/>
          <w:sz w:val="24"/>
          <w:szCs w:val="24"/>
        </w:rPr>
        <w:t>4.服务地点：三门峡市。</w:t>
      </w:r>
    </w:p>
    <w:p w14:paraId="4A6B1355">
      <w:pPr>
        <w:spacing w:line="360" w:lineRule="auto"/>
        <w:ind w:firstLine="480" w:firstLineChars="200"/>
        <w:rPr>
          <w:rFonts w:hint="eastAsia" w:ascii="宋体" w:hAnsi="宋体" w:cs="宋体"/>
          <w:sz w:val="24"/>
          <w:szCs w:val="24"/>
        </w:rPr>
      </w:pPr>
      <w:r>
        <w:rPr>
          <w:rFonts w:hint="eastAsia" w:ascii="宋体" w:hAnsi="宋体" w:cs="宋体"/>
          <w:sz w:val="24"/>
          <w:szCs w:val="24"/>
        </w:rPr>
        <w:t>5.供应商应具有丰富的实战经验及较强的综合实力，具有承担同类项目的业绩和相关技术证书，能够为采购人提供优质的服务。</w:t>
      </w:r>
    </w:p>
    <w:p w14:paraId="08D17002">
      <w:pPr>
        <w:spacing w:line="360" w:lineRule="auto"/>
        <w:ind w:firstLine="480" w:firstLineChars="200"/>
        <w:rPr>
          <w:rFonts w:hint="eastAsia" w:ascii="宋体" w:hAnsi="宋体" w:cs="宋体"/>
          <w:sz w:val="24"/>
          <w:szCs w:val="24"/>
        </w:rPr>
      </w:pPr>
      <w:r>
        <w:rPr>
          <w:rFonts w:hint="eastAsia" w:ascii="宋体" w:hAnsi="宋体" w:cs="宋体"/>
          <w:sz w:val="24"/>
          <w:szCs w:val="24"/>
        </w:rPr>
        <w:t>6.项目管理人员配备要求：供应商应根据本项目性质、规模和相关技术要求配备与本项目相适应专业管理、技术人员。</w:t>
      </w:r>
    </w:p>
    <w:p w14:paraId="1B385328">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cs="宋体"/>
          <w:sz w:val="24"/>
          <w:szCs w:val="24"/>
        </w:rPr>
        <w:t>质量要求：合格，符合国家及行业标准，并满足采购人要求。</w:t>
      </w:r>
    </w:p>
    <w:p w14:paraId="65C2C52E">
      <w:pPr>
        <w:pStyle w:val="2"/>
        <w:spacing w:before="0" w:after="0" w:line="360" w:lineRule="auto"/>
        <w:ind w:firstLine="482" w:firstLineChars="200"/>
        <w:rPr>
          <w:rFonts w:hint="eastAsia" w:ascii="宋体" w:hAnsi="宋体" w:cs="宋体"/>
          <w:sz w:val="24"/>
          <w:szCs w:val="24"/>
        </w:rPr>
      </w:pPr>
      <w:bookmarkStart w:id="268" w:name="_Toc18851"/>
      <w:bookmarkStart w:id="269" w:name="_Toc16891"/>
      <w:bookmarkStart w:id="270" w:name="_Toc7491"/>
      <w:r>
        <w:rPr>
          <w:rFonts w:hint="eastAsia" w:ascii="宋体" w:hAnsi="宋体" w:cs="宋体"/>
          <w:sz w:val="24"/>
          <w:szCs w:val="24"/>
        </w:rPr>
        <w:t>五、验收要求</w:t>
      </w:r>
      <w:bookmarkEnd w:id="268"/>
      <w:bookmarkEnd w:id="269"/>
      <w:bookmarkEnd w:id="270"/>
    </w:p>
    <w:p w14:paraId="7C136859">
      <w:pPr>
        <w:spacing w:line="360" w:lineRule="auto"/>
        <w:ind w:firstLine="480" w:firstLineChars="200"/>
        <w:rPr>
          <w:rFonts w:hint="eastAsia" w:ascii="宋体" w:hAnsi="宋体" w:cs="宋体"/>
          <w:sz w:val="24"/>
          <w:szCs w:val="24"/>
        </w:rPr>
      </w:pPr>
      <w:r>
        <w:rPr>
          <w:rFonts w:hint="eastAsia" w:ascii="宋体" w:hAnsi="宋体" w:cs="宋体"/>
          <w:sz w:val="24"/>
          <w:szCs w:val="24"/>
        </w:rPr>
        <w:t>1.项目结束后，采购人或采购代理机构按照政府采购合同规定的技术、服务、安全标准组织对供应商履约情况进行初步验收，并出具初步验收书。验收书包括技术、服务、安全标准的履约情况。验收标准：符合国家相关标准，满足采购人要求。</w:t>
      </w:r>
    </w:p>
    <w:p w14:paraId="0F971B17">
      <w:pPr>
        <w:spacing w:line="360" w:lineRule="auto"/>
        <w:ind w:firstLine="480" w:firstLineChars="200"/>
        <w:rPr>
          <w:rFonts w:hint="eastAsia" w:ascii="宋体" w:hAnsi="宋体" w:cs="宋体"/>
        </w:rPr>
      </w:pPr>
      <w:r>
        <w:rPr>
          <w:rFonts w:hint="eastAsia" w:ascii="宋体" w:hAnsi="宋体" w:cs="宋体"/>
          <w:sz w:val="24"/>
          <w:szCs w:val="24"/>
        </w:rPr>
        <w:t>2.验收由采购人或采购代理机构或验收专家和中标人共同参与下完成，按国家有关的规定、规范进行。</w:t>
      </w:r>
      <w:r>
        <w:rPr>
          <w:rFonts w:hint="eastAsia" w:ascii="宋体" w:hAnsi="宋体" w:cs="宋体"/>
        </w:rPr>
        <w:br w:type="page"/>
      </w:r>
    </w:p>
    <w:p w14:paraId="32F70577">
      <w:pPr>
        <w:pStyle w:val="2"/>
        <w:jc w:val="center"/>
        <w:rPr>
          <w:rFonts w:hint="eastAsia" w:ascii="宋体" w:hAnsi="宋体" w:cs="宋体"/>
        </w:rPr>
      </w:pPr>
      <w:bookmarkStart w:id="271" w:name="_Toc10087"/>
      <w:bookmarkStart w:id="272" w:name="_Toc2882"/>
      <w:r>
        <w:rPr>
          <w:rFonts w:hint="eastAsia" w:ascii="宋体" w:hAnsi="宋体" w:cs="宋体"/>
        </w:rPr>
        <w:t>第六章 投标文件格式</w:t>
      </w:r>
      <w:bookmarkEnd w:id="271"/>
      <w:bookmarkEnd w:id="272"/>
    </w:p>
    <w:bookmarkEnd w:id="27"/>
    <w:bookmarkEnd w:id="28"/>
    <w:bookmarkEnd w:id="29"/>
    <w:bookmarkEnd w:id="30"/>
    <w:bookmarkEnd w:id="31"/>
    <w:bookmarkEnd w:id="148"/>
    <w:bookmarkEnd w:id="149"/>
    <w:bookmarkEnd w:id="150"/>
    <w:p w14:paraId="49998457">
      <w:pPr>
        <w:pStyle w:val="13"/>
        <w:rPr>
          <w:rFonts w:hint="eastAsia" w:ascii="宋体" w:hAnsi="宋体" w:cs="宋体"/>
        </w:rPr>
      </w:pPr>
    </w:p>
    <w:p w14:paraId="2176DCD7">
      <w:pPr>
        <w:jc w:val="center"/>
        <w:rPr>
          <w:rFonts w:hint="eastAsia" w:ascii="宋体" w:hAnsi="宋体" w:cs="宋体"/>
          <w:b/>
          <w:bCs/>
          <w:color w:val="000000"/>
          <w:sz w:val="48"/>
          <w:szCs w:val="48"/>
          <w:u w:val="single"/>
        </w:rPr>
      </w:pPr>
      <w:r>
        <w:rPr>
          <w:rFonts w:hint="eastAsia" w:ascii="宋体" w:hAnsi="宋体" w:cs="宋体"/>
          <w:b/>
          <w:bCs/>
          <w:sz w:val="48"/>
          <w:szCs w:val="48"/>
        </w:rPr>
        <w:t>三门峡市自然资源和规划局实景三维三门峡建设项目</w:t>
      </w:r>
      <w:r>
        <w:rPr>
          <w:rFonts w:hint="eastAsia" w:ascii="宋体" w:hAnsi="宋体" w:cs="宋体"/>
          <w:b/>
          <w:bCs/>
          <w:sz w:val="48"/>
          <w:szCs w:val="48"/>
          <w:u w:val="single"/>
        </w:rPr>
        <w:t xml:space="preserve">   </w:t>
      </w:r>
      <w:r>
        <w:rPr>
          <w:rFonts w:hint="eastAsia" w:ascii="宋体" w:hAnsi="宋体" w:cs="宋体"/>
          <w:b/>
          <w:bCs/>
          <w:sz w:val="48"/>
          <w:szCs w:val="48"/>
        </w:rPr>
        <w:t>包</w:t>
      </w:r>
    </w:p>
    <w:p w14:paraId="6802F8C6">
      <w:pPr>
        <w:widowControl/>
        <w:shd w:val="clear" w:color="auto" w:fill="FFFFFF"/>
        <w:autoSpaceDN w:val="0"/>
        <w:spacing w:line="360" w:lineRule="auto"/>
        <w:jc w:val="center"/>
        <w:rPr>
          <w:rFonts w:hint="eastAsia" w:ascii="宋体" w:hAnsi="宋体" w:cs="宋体"/>
          <w:b/>
          <w:bCs/>
          <w:kern w:val="0"/>
          <w:sz w:val="24"/>
          <w:szCs w:val="24"/>
          <w:shd w:val="clear" w:color="auto" w:fill="FFFFFF"/>
        </w:rPr>
      </w:pPr>
      <w:r>
        <w:rPr>
          <w:rFonts w:hint="eastAsia" w:ascii="宋体" w:hAnsi="宋体" w:cs="宋体"/>
          <w:kern w:val="0"/>
          <w:sz w:val="24"/>
          <w:szCs w:val="24"/>
          <w:shd w:val="clear" w:color="auto" w:fill="FFFFFF"/>
        </w:rPr>
        <w:t>★</w:t>
      </w:r>
      <w:r>
        <w:rPr>
          <w:rFonts w:hint="eastAsia" w:ascii="宋体" w:hAnsi="宋体" w:cs="宋体"/>
          <w:b/>
          <w:bCs/>
          <w:kern w:val="0"/>
          <w:sz w:val="24"/>
          <w:szCs w:val="24"/>
          <w:shd w:val="clear" w:color="auto" w:fill="FFFFFF"/>
        </w:rPr>
        <w:t>说明：请供应商使用此页格式作为所编写投标文件的封皮。</w:t>
      </w:r>
    </w:p>
    <w:p w14:paraId="550EA782">
      <w:pPr>
        <w:jc w:val="center"/>
        <w:rPr>
          <w:rFonts w:hint="eastAsia" w:ascii="宋体" w:hAnsi="宋体" w:cs="宋体"/>
          <w:b/>
          <w:bCs/>
          <w:color w:val="000000"/>
          <w:sz w:val="72"/>
          <w:szCs w:val="72"/>
        </w:rPr>
      </w:pPr>
    </w:p>
    <w:p w14:paraId="2E3D0F6D">
      <w:pPr>
        <w:rPr>
          <w:rFonts w:hint="eastAsia" w:ascii="宋体" w:hAnsi="宋体" w:cs="宋体"/>
          <w:szCs w:val="22"/>
        </w:rPr>
      </w:pPr>
    </w:p>
    <w:p w14:paraId="7785A355">
      <w:pPr>
        <w:pStyle w:val="12"/>
        <w:rPr>
          <w:rFonts w:hint="eastAsia" w:ascii="宋体" w:hAnsi="宋体" w:eastAsia="宋体"/>
        </w:rPr>
      </w:pPr>
    </w:p>
    <w:p w14:paraId="5CD7F2CE">
      <w:pPr>
        <w:pStyle w:val="13"/>
        <w:rPr>
          <w:rFonts w:hint="eastAsia" w:ascii="宋体" w:hAnsi="宋体" w:cs="宋体"/>
        </w:rPr>
      </w:pPr>
    </w:p>
    <w:p w14:paraId="638ABDA6">
      <w:pPr>
        <w:rPr>
          <w:rFonts w:hint="eastAsia" w:ascii="宋体" w:hAnsi="宋体" w:cs="宋体"/>
          <w:szCs w:val="22"/>
        </w:rPr>
      </w:pPr>
    </w:p>
    <w:p w14:paraId="5C9A69F6">
      <w:pPr>
        <w:jc w:val="center"/>
        <w:rPr>
          <w:rFonts w:hint="eastAsia" w:ascii="宋体" w:hAnsi="宋体" w:cs="宋体"/>
          <w:b/>
          <w:bCs/>
          <w:color w:val="000000"/>
          <w:sz w:val="52"/>
          <w:szCs w:val="52"/>
        </w:rPr>
      </w:pPr>
      <w:r>
        <w:rPr>
          <w:rFonts w:hint="eastAsia" w:ascii="宋体" w:hAnsi="宋体" w:cs="宋体"/>
          <w:b/>
          <w:bCs/>
          <w:color w:val="000000"/>
          <w:sz w:val="52"/>
          <w:szCs w:val="52"/>
        </w:rPr>
        <w:t>投标文件</w:t>
      </w:r>
    </w:p>
    <w:p w14:paraId="2ADFE859">
      <w:pPr>
        <w:shd w:val="clear" w:color="auto" w:fill="FFFFFF"/>
        <w:snapToGrid w:val="0"/>
        <w:spacing w:line="360" w:lineRule="auto"/>
        <w:ind w:right="105" w:rightChars="50" w:firstLine="2409" w:firstLineChars="800"/>
        <w:rPr>
          <w:rFonts w:hint="eastAsia" w:ascii="宋体" w:hAnsi="宋体" w:cs="宋体"/>
          <w:b/>
          <w:bCs/>
          <w:color w:val="000000"/>
          <w:sz w:val="30"/>
          <w:szCs w:val="30"/>
        </w:rPr>
      </w:pPr>
      <w:r>
        <w:rPr>
          <w:rFonts w:hint="eastAsia" w:ascii="宋体" w:hAnsi="宋体" w:cs="宋体"/>
          <w:b/>
          <w:bCs/>
          <w:color w:val="000000"/>
          <w:sz w:val="30"/>
          <w:szCs w:val="30"/>
        </w:rPr>
        <w:t>采购项目编号：三财公开采购-2025-61</w:t>
      </w:r>
    </w:p>
    <w:p w14:paraId="6AE159F9">
      <w:pPr>
        <w:ind w:firstLine="2538" w:firstLineChars="846"/>
        <w:rPr>
          <w:rFonts w:hint="eastAsia" w:ascii="宋体" w:hAnsi="宋体" w:cs="宋体"/>
          <w:sz w:val="30"/>
          <w:szCs w:val="30"/>
        </w:rPr>
      </w:pPr>
    </w:p>
    <w:p w14:paraId="624595C6">
      <w:pPr>
        <w:shd w:val="clear" w:color="auto" w:fill="FFFFFF"/>
        <w:snapToGrid w:val="0"/>
        <w:spacing w:line="360" w:lineRule="auto"/>
        <w:ind w:right="105" w:rightChars="50"/>
        <w:jc w:val="center"/>
        <w:rPr>
          <w:rFonts w:hint="eastAsia" w:ascii="宋体" w:hAnsi="宋体" w:cs="宋体"/>
          <w:b/>
          <w:bCs/>
          <w:kern w:val="0"/>
          <w:sz w:val="24"/>
          <w:szCs w:val="24"/>
          <w:shd w:val="clear" w:color="auto" w:fill="FFFFFF"/>
        </w:rPr>
      </w:pPr>
    </w:p>
    <w:p w14:paraId="228FB18F">
      <w:pPr>
        <w:shd w:val="clear" w:color="auto" w:fill="FFFFFF"/>
        <w:snapToGrid w:val="0"/>
        <w:spacing w:line="360" w:lineRule="auto"/>
        <w:ind w:right="105" w:rightChars="50"/>
        <w:jc w:val="center"/>
        <w:rPr>
          <w:rFonts w:hint="eastAsia" w:ascii="宋体" w:hAnsi="宋体" w:cs="宋体"/>
          <w:b/>
          <w:bCs/>
          <w:kern w:val="0"/>
          <w:sz w:val="24"/>
          <w:szCs w:val="24"/>
          <w:shd w:val="clear" w:color="auto" w:fill="FFFFFF"/>
        </w:rPr>
      </w:pPr>
    </w:p>
    <w:p w14:paraId="7D9B929D">
      <w:pPr>
        <w:pStyle w:val="12"/>
        <w:rPr>
          <w:rFonts w:hint="eastAsia" w:ascii="宋体" w:hAnsi="宋体" w:eastAsia="宋体"/>
        </w:rPr>
      </w:pPr>
    </w:p>
    <w:p w14:paraId="54547ECE">
      <w:pPr>
        <w:pStyle w:val="13"/>
        <w:rPr>
          <w:rFonts w:hint="eastAsia" w:ascii="宋体" w:hAnsi="宋体" w:cs="宋体"/>
        </w:rPr>
      </w:pPr>
    </w:p>
    <w:p w14:paraId="489182B9">
      <w:pPr>
        <w:rPr>
          <w:rFonts w:hint="eastAsia" w:ascii="宋体" w:hAnsi="宋体" w:cs="宋体"/>
        </w:rPr>
      </w:pPr>
    </w:p>
    <w:p w14:paraId="1150BD8A">
      <w:pPr>
        <w:snapToGrid w:val="0"/>
        <w:spacing w:line="360" w:lineRule="auto"/>
        <w:rPr>
          <w:rFonts w:hint="eastAsia" w:ascii="宋体" w:hAnsi="宋体" w:cs="宋体"/>
          <w:b/>
          <w:bCs/>
          <w:kern w:val="0"/>
          <w:sz w:val="32"/>
          <w:szCs w:val="32"/>
          <w:shd w:val="clear" w:color="auto" w:fill="FFFFFF"/>
        </w:rPr>
      </w:pPr>
    </w:p>
    <w:p w14:paraId="618411CD">
      <w:pPr>
        <w:rPr>
          <w:rFonts w:hint="eastAsia" w:ascii="宋体" w:hAnsi="宋体" w:cs="宋体"/>
          <w:szCs w:val="22"/>
        </w:rPr>
      </w:pPr>
    </w:p>
    <w:p w14:paraId="22ABC7EE">
      <w:pPr>
        <w:shd w:val="clear" w:color="auto" w:fill="FFFFFF"/>
        <w:snapToGrid w:val="0"/>
        <w:spacing w:line="360" w:lineRule="auto"/>
        <w:ind w:right="105" w:rightChars="50"/>
        <w:rPr>
          <w:rFonts w:hint="eastAsia" w:ascii="宋体" w:hAnsi="宋体" w:cs="宋体"/>
          <w:b/>
          <w:bCs/>
          <w:kern w:val="0"/>
          <w:sz w:val="32"/>
          <w:szCs w:val="32"/>
          <w:shd w:val="clear" w:color="auto" w:fill="FFFFFF"/>
        </w:rPr>
      </w:pPr>
    </w:p>
    <w:p w14:paraId="3321C2DD">
      <w:pPr>
        <w:widowControl/>
        <w:shd w:val="clear" w:color="auto" w:fill="FFFFFF"/>
        <w:autoSpaceDN w:val="0"/>
        <w:spacing w:line="360" w:lineRule="auto"/>
        <w:ind w:firstLine="1911" w:firstLineChars="595"/>
        <w:rPr>
          <w:rFonts w:hint="eastAsia" w:ascii="宋体" w:hAnsi="宋体" w:cs="宋体"/>
          <w:kern w:val="0"/>
          <w:sz w:val="32"/>
          <w:szCs w:val="32"/>
          <w:shd w:val="clear" w:color="auto" w:fill="FFFFFF"/>
        </w:rPr>
      </w:pPr>
      <w:r>
        <w:rPr>
          <w:rFonts w:hint="eastAsia" w:ascii="宋体" w:hAnsi="宋体" w:cs="宋体"/>
          <w:b/>
          <w:bCs/>
          <w:kern w:val="0"/>
          <w:sz w:val="32"/>
          <w:szCs w:val="32"/>
          <w:shd w:val="clear" w:color="auto" w:fill="FFFFFF"/>
        </w:rPr>
        <w:t>投标供应商：（盖章）</w:t>
      </w:r>
    </w:p>
    <w:p w14:paraId="313D641D">
      <w:pPr>
        <w:widowControl/>
        <w:shd w:val="clear" w:color="auto" w:fill="FFFFFF"/>
        <w:tabs>
          <w:tab w:val="left" w:pos="360"/>
        </w:tabs>
        <w:autoSpaceDN w:val="0"/>
        <w:spacing w:line="360" w:lineRule="auto"/>
        <w:ind w:firstLine="1269" w:firstLineChars="395"/>
        <w:rPr>
          <w:rFonts w:hint="eastAsia"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 xml:space="preserve">    法定代表人：（签章）</w:t>
      </w:r>
    </w:p>
    <w:p w14:paraId="1B367F7C">
      <w:pPr>
        <w:widowControl/>
        <w:shd w:val="clear" w:color="auto" w:fill="FFFFFF"/>
        <w:autoSpaceDN w:val="0"/>
        <w:spacing w:line="360" w:lineRule="auto"/>
        <w:ind w:firstLine="1269" w:firstLineChars="395"/>
        <w:rPr>
          <w:rFonts w:hint="eastAsia" w:ascii="宋体" w:hAnsi="宋体" w:cs="宋体"/>
          <w:b/>
          <w:bCs/>
          <w:sz w:val="44"/>
          <w:szCs w:val="44"/>
        </w:rPr>
      </w:pPr>
      <w:r>
        <w:rPr>
          <w:rFonts w:hint="eastAsia" w:ascii="宋体" w:hAnsi="宋体" w:cs="宋体"/>
          <w:b/>
          <w:bCs/>
          <w:kern w:val="0"/>
          <w:sz w:val="32"/>
          <w:szCs w:val="32"/>
          <w:shd w:val="clear" w:color="auto" w:fill="FFFFFF"/>
        </w:rPr>
        <w:t xml:space="preserve">    日      期：</w:t>
      </w:r>
    </w:p>
    <w:p w14:paraId="14C56E73">
      <w:pPr>
        <w:widowControl/>
        <w:shd w:val="clear" w:color="auto" w:fill="FFFFFF"/>
        <w:autoSpaceDN w:val="0"/>
        <w:spacing w:line="360" w:lineRule="auto"/>
        <w:ind w:firstLine="829" w:firstLineChars="395"/>
        <w:rPr>
          <w:rFonts w:hint="eastAsia" w:ascii="宋体" w:hAnsi="宋体" w:cs="宋体"/>
        </w:rPr>
      </w:pPr>
    </w:p>
    <w:p w14:paraId="752AE04E">
      <w:pPr>
        <w:spacing w:line="360" w:lineRule="auto"/>
        <w:ind w:firstLine="619" w:firstLineChars="295"/>
        <w:jc w:val="center"/>
        <w:rPr>
          <w:rFonts w:hint="eastAsia" w:ascii="宋体" w:hAnsi="宋体" w:cs="宋体"/>
        </w:rPr>
      </w:pPr>
    </w:p>
    <w:p w14:paraId="08EC08D3">
      <w:pPr>
        <w:pStyle w:val="12"/>
        <w:rPr>
          <w:rFonts w:hint="eastAsia" w:ascii="宋体" w:hAnsi="宋体" w:eastAsia="宋体"/>
        </w:rPr>
      </w:pPr>
    </w:p>
    <w:p w14:paraId="621B3D20">
      <w:pPr>
        <w:spacing w:line="360" w:lineRule="auto"/>
        <w:jc w:val="center"/>
        <w:rPr>
          <w:rFonts w:hint="eastAsia" w:ascii="宋体" w:hAnsi="宋体" w:cs="宋体"/>
          <w:b/>
          <w:bCs/>
          <w:sz w:val="36"/>
          <w:szCs w:val="36"/>
        </w:rPr>
      </w:pPr>
      <w:r>
        <w:rPr>
          <w:rFonts w:hint="eastAsia" w:ascii="宋体" w:hAnsi="宋体" w:cs="宋体"/>
          <w:b/>
          <w:bCs/>
          <w:sz w:val="36"/>
          <w:szCs w:val="36"/>
        </w:rPr>
        <w:t>投标文件目录</w:t>
      </w:r>
    </w:p>
    <w:p w14:paraId="4A04D07D">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3" w:name="_Toc26417"/>
      <w:r>
        <w:rPr>
          <w:rFonts w:hint="eastAsia" w:ascii="宋体" w:hAnsi="宋体" w:cs="宋体"/>
          <w:sz w:val="24"/>
          <w:szCs w:val="24"/>
        </w:rPr>
        <w:t>一、法定代表人身份证明书</w:t>
      </w:r>
      <w:bookmarkEnd w:id="273"/>
    </w:p>
    <w:p w14:paraId="35BF1969">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4" w:name="_Toc4462"/>
      <w:r>
        <w:rPr>
          <w:rFonts w:hint="eastAsia" w:ascii="宋体" w:hAnsi="宋体" w:cs="宋体"/>
          <w:sz w:val="24"/>
          <w:szCs w:val="24"/>
        </w:rPr>
        <w:t>二、投标文件签署授权委托书</w:t>
      </w:r>
      <w:bookmarkEnd w:id="274"/>
    </w:p>
    <w:p w14:paraId="7F3EAE5A">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5" w:name="_Toc14158"/>
      <w:r>
        <w:rPr>
          <w:rFonts w:hint="eastAsia" w:ascii="宋体" w:hAnsi="宋体" w:cs="宋体"/>
          <w:sz w:val="24"/>
          <w:szCs w:val="24"/>
        </w:rPr>
        <w:t>三、投标函及投标函附录</w:t>
      </w:r>
      <w:bookmarkEnd w:id="275"/>
    </w:p>
    <w:p w14:paraId="22B3B167">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6" w:name="_Toc31701"/>
      <w:r>
        <w:rPr>
          <w:rFonts w:hint="eastAsia" w:ascii="宋体" w:hAnsi="宋体" w:cs="宋体"/>
          <w:sz w:val="24"/>
          <w:szCs w:val="24"/>
        </w:rPr>
        <w:t>四、服务方案</w:t>
      </w:r>
      <w:bookmarkEnd w:id="276"/>
    </w:p>
    <w:p w14:paraId="62A975E3">
      <w:pPr>
        <w:pStyle w:val="26"/>
        <w:rPr>
          <w:rFonts w:hint="eastAsia" w:ascii="宋体" w:hAnsi="宋体" w:cs="宋体"/>
          <w:szCs w:val="24"/>
        </w:rPr>
      </w:pPr>
      <w:r>
        <w:rPr>
          <w:rFonts w:hint="eastAsia" w:ascii="宋体" w:hAnsi="宋体" w:cs="宋体"/>
          <w:szCs w:val="24"/>
        </w:rPr>
        <w:t>五、资格审查资料</w:t>
      </w:r>
    </w:p>
    <w:p w14:paraId="1A1C6B85">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7" w:name="_Toc24569"/>
      <w:r>
        <w:rPr>
          <w:rFonts w:hint="eastAsia" w:ascii="宋体" w:hAnsi="宋体" w:cs="宋体"/>
          <w:sz w:val="24"/>
          <w:szCs w:val="24"/>
        </w:rPr>
        <w:t>六、中小企业声明函</w:t>
      </w:r>
      <w:bookmarkEnd w:id="277"/>
    </w:p>
    <w:p w14:paraId="4F558FED">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8" w:name="_Toc25040"/>
      <w:r>
        <w:rPr>
          <w:rFonts w:hint="eastAsia" w:ascii="宋体" w:hAnsi="宋体" w:cs="宋体"/>
          <w:sz w:val="24"/>
          <w:szCs w:val="24"/>
        </w:rPr>
        <w:t>七、投标承诺函</w:t>
      </w:r>
      <w:bookmarkEnd w:id="278"/>
    </w:p>
    <w:p w14:paraId="207F634C">
      <w:pPr>
        <w:keepNext/>
        <w:widowControl/>
        <w:spacing w:before="100" w:beforeAutospacing="1" w:after="100" w:afterAutospacing="1" w:line="240" w:lineRule="atLeast"/>
        <w:jc w:val="left"/>
        <w:textAlignment w:val="baseline"/>
        <w:outlineLvl w:val="1"/>
        <w:rPr>
          <w:rFonts w:hint="eastAsia" w:ascii="宋体" w:hAnsi="宋体" w:cs="宋体"/>
          <w:sz w:val="24"/>
          <w:szCs w:val="24"/>
        </w:rPr>
      </w:pPr>
      <w:bookmarkStart w:id="279" w:name="_Toc18229"/>
      <w:r>
        <w:rPr>
          <w:rFonts w:hint="eastAsia" w:ascii="宋体" w:hAnsi="宋体" w:cs="宋体"/>
          <w:sz w:val="24"/>
          <w:szCs w:val="24"/>
        </w:rPr>
        <w:t>八、其他资料</w:t>
      </w:r>
      <w:bookmarkEnd w:id="279"/>
    </w:p>
    <w:p w14:paraId="5211192C">
      <w:pPr>
        <w:jc w:val="center"/>
        <w:rPr>
          <w:rFonts w:hint="eastAsia" w:ascii="宋体" w:hAnsi="宋体" w:cs="宋体"/>
          <w:b/>
          <w:sz w:val="28"/>
          <w:szCs w:val="28"/>
        </w:rPr>
      </w:pPr>
      <w:r>
        <w:rPr>
          <w:rFonts w:hint="eastAsia" w:ascii="宋体" w:hAnsi="宋体" w:cs="宋体"/>
          <w:b/>
          <w:bCs/>
          <w:kern w:val="0"/>
          <w:sz w:val="24"/>
          <w:szCs w:val="24"/>
        </w:rPr>
        <w:br w:type="page"/>
      </w:r>
      <w:r>
        <w:rPr>
          <w:rFonts w:hint="eastAsia" w:ascii="宋体" w:hAnsi="宋体" w:cs="宋体"/>
          <w:b/>
          <w:sz w:val="28"/>
          <w:szCs w:val="28"/>
        </w:rPr>
        <w:t>一、法定代表人身份证明书</w:t>
      </w:r>
    </w:p>
    <w:p w14:paraId="74FFA085">
      <w:pPr>
        <w:spacing w:line="440" w:lineRule="exact"/>
        <w:rPr>
          <w:rFonts w:hint="eastAsia" w:ascii="宋体" w:hAnsi="宋体" w:cs="宋体"/>
          <w:b/>
          <w:bCs/>
          <w:sz w:val="32"/>
          <w:szCs w:val="32"/>
        </w:rPr>
      </w:pPr>
    </w:p>
    <w:p w14:paraId="0DBE11F8">
      <w:pPr>
        <w:spacing w:line="480" w:lineRule="auto"/>
        <w:ind w:firstLine="612"/>
        <w:rPr>
          <w:rFonts w:hint="eastAsia"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14:paraId="4FC4101D">
      <w:pPr>
        <w:spacing w:line="480" w:lineRule="auto"/>
        <w:ind w:firstLine="610"/>
        <w:rPr>
          <w:rFonts w:hint="eastAsia" w:ascii="宋体" w:hAnsi="宋体" w:cs="宋体"/>
          <w:sz w:val="24"/>
          <w:szCs w:val="24"/>
          <w:u w:val="single"/>
        </w:rPr>
      </w:pPr>
      <w:r>
        <w:rPr>
          <w:rFonts w:hint="eastAsia" w:ascii="宋体" w:hAnsi="宋体" w:cs="宋体"/>
          <w:sz w:val="24"/>
          <w:szCs w:val="24"/>
        </w:rPr>
        <w:t>单位性质：</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14:paraId="2FAB0B24">
      <w:pPr>
        <w:spacing w:line="480" w:lineRule="auto"/>
        <w:ind w:firstLine="610"/>
        <w:rPr>
          <w:rFonts w:hint="eastAsia"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14:paraId="4FD73F6A">
      <w:pPr>
        <w:spacing w:line="480" w:lineRule="auto"/>
        <w:ind w:firstLine="610"/>
        <w:rPr>
          <w:rFonts w:hint="eastAsia" w:ascii="宋体" w:hAnsi="宋体" w:cs="宋体"/>
          <w:sz w:val="24"/>
          <w:szCs w:val="24"/>
        </w:rPr>
      </w:pPr>
      <w:r>
        <w:rPr>
          <w:rFonts w:hint="eastAsia" w:ascii="宋体" w:hAnsi="宋体" w:cs="宋体"/>
          <w:sz w:val="24"/>
          <w:szCs w:val="24"/>
        </w:rPr>
        <w:t>成立时间：   年   月   日</w:t>
      </w:r>
    </w:p>
    <w:p w14:paraId="0FA8AF76">
      <w:pPr>
        <w:spacing w:line="480" w:lineRule="auto"/>
        <w:ind w:firstLine="610"/>
        <w:rPr>
          <w:rFonts w:hint="eastAsia" w:ascii="宋体" w:hAnsi="宋体" w:cs="宋体"/>
          <w:sz w:val="24"/>
          <w:szCs w:val="24"/>
          <w:u w:val="single"/>
        </w:rPr>
      </w:pPr>
      <w:r>
        <w:rPr>
          <w:rFonts w:hint="eastAsia" w:ascii="宋体" w:hAnsi="宋体" w:cs="宋体"/>
          <w:sz w:val="24"/>
          <w:szCs w:val="24"/>
        </w:rPr>
        <w:t>经营期限：</w:t>
      </w:r>
      <w:r>
        <w:rPr>
          <w:rFonts w:hint="eastAsia" w:ascii="宋体" w:hAnsi="宋体" w:cs="宋体"/>
          <w:sz w:val="24"/>
          <w:szCs w:val="24"/>
          <w:u w:val="single"/>
        </w:rPr>
        <w:tab/>
      </w:r>
      <w:r>
        <w:rPr>
          <w:rFonts w:hint="eastAsia" w:ascii="宋体" w:hAnsi="宋体" w:cs="宋体"/>
          <w:sz w:val="24"/>
          <w:szCs w:val="24"/>
          <w:u w:val="single"/>
        </w:rPr>
        <w:tab/>
      </w:r>
    </w:p>
    <w:p w14:paraId="555FEF33">
      <w:pPr>
        <w:spacing w:line="480" w:lineRule="auto"/>
        <w:ind w:firstLine="610"/>
        <w:rPr>
          <w:rFonts w:hint="eastAsia" w:ascii="宋体" w:hAnsi="宋体" w:cs="宋体"/>
          <w:sz w:val="24"/>
          <w:szCs w:val="24"/>
          <w:u w:val="single"/>
        </w:rPr>
      </w:pPr>
      <w:r>
        <w:rPr>
          <w:rFonts w:hint="eastAsia" w:ascii="宋体" w:hAnsi="宋体" w:cs="宋体"/>
          <w:sz w:val="24"/>
          <w:szCs w:val="24"/>
        </w:rPr>
        <w:t>姓名：性别：年龄：职务：</w:t>
      </w:r>
      <w:r>
        <w:rPr>
          <w:rFonts w:hint="eastAsia" w:ascii="宋体" w:hAnsi="宋体" w:cs="宋体"/>
          <w:sz w:val="24"/>
          <w:szCs w:val="24"/>
          <w:u w:val="single"/>
        </w:rPr>
        <w:tab/>
      </w:r>
    </w:p>
    <w:p w14:paraId="5C684D3E">
      <w:pPr>
        <w:spacing w:line="480" w:lineRule="auto"/>
        <w:ind w:firstLine="610"/>
        <w:rPr>
          <w:rFonts w:hint="eastAsia"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（投标供应商单位名称）</w:t>
      </w:r>
      <w:r>
        <w:rPr>
          <w:rFonts w:hint="eastAsia" w:ascii="宋体" w:hAnsi="宋体" w:cs="宋体"/>
          <w:sz w:val="24"/>
          <w:szCs w:val="24"/>
        </w:rPr>
        <w:t>的法定代表人。</w:t>
      </w:r>
    </w:p>
    <w:p w14:paraId="28683BEF">
      <w:pPr>
        <w:spacing w:line="480" w:lineRule="auto"/>
        <w:ind w:firstLine="610"/>
        <w:rPr>
          <w:rFonts w:hint="eastAsia" w:ascii="宋体" w:hAnsi="宋体" w:cs="宋体"/>
          <w:sz w:val="24"/>
          <w:szCs w:val="24"/>
        </w:rPr>
      </w:pPr>
    </w:p>
    <w:p w14:paraId="41D015B1">
      <w:pPr>
        <w:spacing w:line="480" w:lineRule="auto"/>
        <w:ind w:firstLine="1089" w:firstLineChars="454"/>
        <w:rPr>
          <w:rFonts w:hint="eastAsia" w:ascii="宋体" w:hAnsi="宋体" w:cs="宋体"/>
          <w:sz w:val="24"/>
          <w:szCs w:val="24"/>
        </w:rPr>
      </w:pPr>
      <w:r>
        <w:rPr>
          <w:rFonts w:hint="eastAsia" w:ascii="宋体" w:hAnsi="宋体" w:cs="宋体"/>
          <w:sz w:val="24"/>
          <w:szCs w:val="24"/>
        </w:rPr>
        <w:t>特此证明。</w:t>
      </w:r>
    </w:p>
    <w:p w14:paraId="66DD0748">
      <w:pPr>
        <w:tabs>
          <w:tab w:val="left" w:pos="720"/>
          <w:tab w:val="left" w:pos="900"/>
        </w:tabs>
        <w:spacing w:line="480" w:lineRule="auto"/>
        <w:ind w:firstLine="5040" w:firstLineChars="2100"/>
        <w:rPr>
          <w:rFonts w:hint="eastAsia" w:ascii="宋体" w:hAnsi="宋体" w:cs="宋体"/>
          <w:sz w:val="24"/>
          <w:szCs w:val="24"/>
        </w:rPr>
      </w:pPr>
    </w:p>
    <w:p w14:paraId="486D4925">
      <w:pPr>
        <w:wordWrap w:val="0"/>
        <w:spacing w:line="520" w:lineRule="exact"/>
        <w:ind w:firstLine="2400" w:firstLineChars="1000"/>
        <w:rPr>
          <w:rFonts w:hint="eastAsia" w:ascii="宋体" w:hAnsi="宋体" w:cs="宋体"/>
          <w:sz w:val="24"/>
          <w:szCs w:val="22"/>
          <w:u w:val="single"/>
        </w:rPr>
      </w:pPr>
      <w:r>
        <w:rPr>
          <w:rFonts w:hint="eastAsia" w:ascii="宋体" w:hAnsi="宋体" w:cs="宋体"/>
          <w:sz w:val="24"/>
          <w:szCs w:val="22"/>
        </w:rPr>
        <w:t xml:space="preserve">             投标供应商（</w:t>
      </w:r>
      <w:r>
        <w:rPr>
          <w:rFonts w:hint="eastAsia" w:ascii="宋体" w:hAnsi="宋体" w:cs="宋体"/>
          <w:sz w:val="24"/>
          <w:szCs w:val="24"/>
          <w:u w:val="single"/>
        </w:rPr>
        <w:t>盖章</w:t>
      </w:r>
      <w:r>
        <w:rPr>
          <w:rFonts w:hint="eastAsia" w:ascii="宋体" w:hAnsi="宋体" w:cs="宋体"/>
          <w:sz w:val="24"/>
          <w:szCs w:val="22"/>
        </w:rPr>
        <w:t>）：</w:t>
      </w:r>
    </w:p>
    <w:p w14:paraId="239BF12D">
      <w:pPr>
        <w:spacing w:line="520" w:lineRule="exact"/>
        <w:ind w:firstLine="480" w:firstLineChars="200"/>
        <w:rPr>
          <w:rFonts w:hint="eastAsia" w:ascii="宋体" w:hAnsi="宋体" w:cs="宋体"/>
          <w:sz w:val="24"/>
          <w:szCs w:val="22"/>
          <w:u w:val="single"/>
        </w:rPr>
      </w:pPr>
      <w:r>
        <w:rPr>
          <w:rFonts w:hint="eastAsia" w:ascii="宋体" w:hAnsi="宋体" w:cs="宋体"/>
          <w:sz w:val="24"/>
          <w:szCs w:val="22"/>
        </w:rPr>
        <w:t xml:space="preserve">                             法定代表人（签章）： </w:t>
      </w:r>
    </w:p>
    <w:p w14:paraId="308011EE">
      <w:pPr>
        <w:spacing w:line="520" w:lineRule="exact"/>
        <w:ind w:firstLine="480" w:firstLineChars="200"/>
        <w:rPr>
          <w:rFonts w:hint="eastAsia" w:ascii="宋体" w:hAnsi="宋体" w:cs="宋体"/>
          <w:sz w:val="24"/>
          <w:szCs w:val="22"/>
        </w:rPr>
      </w:pPr>
      <w:r>
        <w:rPr>
          <w:rFonts w:hint="eastAsia" w:ascii="宋体" w:hAnsi="宋体" w:cs="宋体"/>
          <w:sz w:val="24"/>
          <w:szCs w:val="22"/>
        </w:rPr>
        <w:t xml:space="preserve">                             日   期：年月日</w:t>
      </w:r>
    </w:p>
    <w:p w14:paraId="3C3CB559">
      <w:pPr>
        <w:spacing w:line="520" w:lineRule="exact"/>
        <w:rPr>
          <w:rFonts w:hint="eastAsia" w:ascii="宋体" w:hAnsi="宋体" w:cs="宋体"/>
          <w:sz w:val="24"/>
          <w:szCs w:val="22"/>
        </w:rPr>
      </w:pPr>
    </w:p>
    <w:tbl>
      <w:tblPr>
        <w:tblStyle w:val="22"/>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14:paraId="7CAE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7331" w:type="dxa"/>
            <w:vAlign w:val="center"/>
          </w:tcPr>
          <w:p w14:paraId="0005E1AA">
            <w:pPr>
              <w:jc w:val="center"/>
              <w:rPr>
                <w:rFonts w:hint="eastAsia" w:ascii="宋体" w:hAnsi="宋体" w:cs="宋体"/>
                <w:color w:val="000000"/>
                <w:sz w:val="28"/>
                <w:szCs w:val="22"/>
              </w:rPr>
            </w:pPr>
            <w:r>
              <w:rPr>
                <w:rFonts w:hint="eastAsia" w:ascii="宋体" w:hAnsi="宋体" w:cs="宋体"/>
                <w:kern w:val="0"/>
                <w:sz w:val="28"/>
                <w:szCs w:val="28"/>
              </w:rPr>
              <w:t>法定代表人身份证复印件（或扫描件）</w:t>
            </w:r>
          </w:p>
        </w:tc>
      </w:tr>
    </w:tbl>
    <w:p w14:paraId="5E70C50E">
      <w:pPr>
        <w:spacing w:line="520" w:lineRule="exact"/>
        <w:rPr>
          <w:rFonts w:hint="eastAsia" w:ascii="宋体" w:hAnsi="宋体" w:cs="宋体"/>
          <w:sz w:val="24"/>
          <w:szCs w:val="22"/>
        </w:rPr>
      </w:pPr>
    </w:p>
    <w:p w14:paraId="2744856D">
      <w:pPr>
        <w:pStyle w:val="12"/>
        <w:rPr>
          <w:rFonts w:hint="eastAsia" w:ascii="宋体" w:hAnsi="宋体" w:eastAsia="宋体"/>
        </w:rPr>
      </w:pPr>
    </w:p>
    <w:p w14:paraId="0ABF6A30">
      <w:pPr>
        <w:pStyle w:val="13"/>
        <w:rPr>
          <w:rFonts w:hint="eastAsia" w:ascii="宋体" w:hAnsi="宋体" w:cs="宋体"/>
        </w:rPr>
      </w:pPr>
    </w:p>
    <w:p w14:paraId="6C5960C4">
      <w:pPr>
        <w:pStyle w:val="13"/>
        <w:rPr>
          <w:rFonts w:hint="eastAsia" w:ascii="宋体" w:hAnsi="宋体" w:cs="宋体"/>
        </w:rPr>
      </w:pPr>
    </w:p>
    <w:p w14:paraId="3BE23B49">
      <w:pPr>
        <w:jc w:val="center"/>
        <w:rPr>
          <w:rFonts w:hint="eastAsia" w:ascii="宋体" w:hAnsi="宋体" w:cs="宋体"/>
          <w:b/>
          <w:sz w:val="28"/>
          <w:szCs w:val="28"/>
        </w:rPr>
      </w:pPr>
      <w:r>
        <w:rPr>
          <w:rFonts w:hint="eastAsia" w:ascii="宋体" w:hAnsi="宋体" w:cs="宋体"/>
          <w:b/>
          <w:sz w:val="28"/>
          <w:szCs w:val="28"/>
        </w:rPr>
        <w:t>二、投标文件签署授权委托书</w:t>
      </w:r>
    </w:p>
    <w:p w14:paraId="71093190">
      <w:pPr>
        <w:pStyle w:val="12"/>
        <w:rPr>
          <w:rFonts w:hint="eastAsia" w:ascii="宋体" w:hAnsi="宋体" w:eastAsia="宋体"/>
        </w:rPr>
      </w:pPr>
    </w:p>
    <w:p w14:paraId="08BF5D8C">
      <w:pPr>
        <w:tabs>
          <w:tab w:val="left" w:pos="3240"/>
        </w:tabs>
        <w:spacing w:line="480" w:lineRule="auto"/>
        <w:ind w:firstLine="612"/>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（法定代表人）</w:t>
      </w:r>
      <w:r>
        <w:rPr>
          <w:rFonts w:hint="eastAsia" w:ascii="宋体" w:hAnsi="宋体" w:cs="宋体"/>
          <w:sz w:val="24"/>
          <w:szCs w:val="24"/>
        </w:rPr>
        <w:t>（姓名）系</w:t>
      </w:r>
      <w:r>
        <w:rPr>
          <w:rFonts w:hint="eastAsia" w:ascii="宋体" w:hAnsi="宋体" w:cs="宋体"/>
          <w:sz w:val="24"/>
          <w:szCs w:val="24"/>
          <w:u w:val="single"/>
        </w:rPr>
        <w:t>（</w:t>
      </w:r>
      <w:r>
        <w:rPr>
          <w:rFonts w:hint="eastAsia" w:ascii="宋体" w:hAnsi="宋体" w:cs="宋体"/>
          <w:sz w:val="24"/>
          <w:szCs w:val="24"/>
          <w:u w:val="single"/>
          <w:lang w:eastAsia="zh-CN"/>
        </w:rPr>
        <w:t>供应商</w:t>
      </w:r>
      <w:r>
        <w:rPr>
          <w:rFonts w:hint="eastAsia" w:ascii="宋体" w:hAnsi="宋体" w:cs="宋体"/>
          <w:sz w:val="24"/>
          <w:szCs w:val="24"/>
          <w:u w:val="single"/>
        </w:rPr>
        <w:t>名称）</w:t>
      </w:r>
      <w:r>
        <w:rPr>
          <w:rFonts w:hint="eastAsia" w:ascii="宋体" w:hAnsi="宋体" w:cs="宋体"/>
          <w:sz w:val="24"/>
          <w:szCs w:val="24"/>
        </w:rPr>
        <w:t>的法定代表人，现授权委托</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（姓名）</w:t>
      </w:r>
      <w:r>
        <w:rPr>
          <w:rFonts w:hint="eastAsia" w:ascii="宋体" w:hAnsi="宋体" w:cs="宋体"/>
          <w:sz w:val="24"/>
          <w:szCs w:val="24"/>
        </w:rPr>
        <w:t>为我公司签署本项目的投标文件的法定代表人授权委托代理人，我承认代理人全权代表我所签署的</w:t>
      </w:r>
      <w:r>
        <w:rPr>
          <w:rFonts w:hint="eastAsia" w:ascii="宋体" w:hAnsi="宋体" w:cs="宋体"/>
          <w:sz w:val="24"/>
          <w:szCs w:val="24"/>
          <w:u w:val="single"/>
        </w:rPr>
        <w:t xml:space="preserve">  （项目名称）   </w:t>
      </w:r>
      <w:r>
        <w:rPr>
          <w:rFonts w:hint="eastAsia" w:ascii="宋体" w:hAnsi="宋体" w:cs="宋体"/>
          <w:sz w:val="24"/>
          <w:szCs w:val="24"/>
        </w:rPr>
        <w:t>包的投标文件的内容。同时授权委托该同志代表我公司参加本项目的投标、开标、合同谈判、处理有关事务等并有权签署有关文件。</w:t>
      </w:r>
    </w:p>
    <w:p w14:paraId="30747DA1">
      <w:pPr>
        <w:tabs>
          <w:tab w:val="left" w:pos="3240"/>
        </w:tabs>
        <w:spacing w:line="480" w:lineRule="auto"/>
        <w:ind w:firstLine="480" w:firstLineChars="200"/>
        <w:rPr>
          <w:rFonts w:hint="eastAsia" w:ascii="宋体" w:hAnsi="宋体" w:cs="宋体"/>
          <w:sz w:val="24"/>
          <w:szCs w:val="24"/>
          <w:u w:val="single"/>
        </w:rPr>
      </w:pPr>
      <w:r>
        <w:rPr>
          <w:rFonts w:hint="eastAsia" w:ascii="宋体" w:hAnsi="宋体" w:cs="宋体"/>
          <w:sz w:val="24"/>
          <w:szCs w:val="24"/>
        </w:rPr>
        <w:t>委托期限：</w:t>
      </w:r>
    </w:p>
    <w:p w14:paraId="0004650E">
      <w:pPr>
        <w:spacing w:line="480" w:lineRule="auto"/>
        <w:ind w:firstLine="480" w:firstLineChars="200"/>
        <w:rPr>
          <w:rFonts w:hint="eastAsia" w:ascii="宋体" w:hAnsi="宋体" w:cs="宋体"/>
          <w:sz w:val="24"/>
          <w:szCs w:val="24"/>
        </w:rPr>
      </w:pPr>
      <w:r>
        <w:rPr>
          <w:rFonts w:hint="eastAsia" w:ascii="宋体" w:hAnsi="宋体" w:cs="宋体"/>
          <w:sz w:val="24"/>
          <w:szCs w:val="24"/>
        </w:rPr>
        <w:t>代理人无转委托权，特此委托。</w:t>
      </w:r>
    </w:p>
    <w:p w14:paraId="43A57C37">
      <w:pPr>
        <w:spacing w:line="480" w:lineRule="auto"/>
        <w:ind w:firstLine="4320" w:firstLineChars="1800"/>
        <w:rPr>
          <w:rFonts w:hint="eastAsia" w:ascii="宋体" w:hAnsi="宋体" w:cs="宋体"/>
          <w:sz w:val="24"/>
          <w:szCs w:val="24"/>
        </w:rPr>
      </w:pPr>
      <w:r>
        <w:rPr>
          <w:rFonts w:hint="eastAsia" w:ascii="宋体" w:hAnsi="宋体" w:cs="宋体"/>
          <w:sz w:val="24"/>
          <w:szCs w:val="24"/>
        </w:rPr>
        <w:t>投标供应商：</w:t>
      </w:r>
      <w:r>
        <w:rPr>
          <w:rFonts w:hint="eastAsia" w:ascii="宋体" w:hAnsi="宋体" w:cs="宋体"/>
          <w:sz w:val="24"/>
          <w:szCs w:val="24"/>
          <w:u w:val="single"/>
        </w:rPr>
        <w:t xml:space="preserve">         （盖章）     </w:t>
      </w:r>
    </w:p>
    <w:p w14:paraId="3E9B1150">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（签章）     </w:t>
      </w:r>
    </w:p>
    <w:p w14:paraId="5DF40EC4">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代理人（签字）：</w:t>
      </w:r>
    </w:p>
    <w:p w14:paraId="76E753D6">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身份证号码：</w:t>
      </w:r>
    </w:p>
    <w:p w14:paraId="23882265">
      <w:pPr>
        <w:spacing w:line="480" w:lineRule="auto"/>
        <w:ind w:firstLine="4320" w:firstLineChars="1800"/>
        <w:rPr>
          <w:rFonts w:hint="eastAsia" w:ascii="宋体" w:hAnsi="宋体" w:cs="宋体"/>
          <w:sz w:val="24"/>
          <w:szCs w:val="24"/>
          <w:u w:val="single"/>
        </w:rPr>
      </w:pPr>
      <w:r>
        <w:rPr>
          <w:rFonts w:hint="eastAsia" w:ascii="宋体" w:hAnsi="宋体" w:cs="宋体"/>
          <w:sz w:val="24"/>
          <w:szCs w:val="24"/>
        </w:rPr>
        <w:t>联系电话：</w:t>
      </w:r>
    </w:p>
    <w:p w14:paraId="389C34AA">
      <w:pPr>
        <w:spacing w:line="480" w:lineRule="auto"/>
        <w:ind w:firstLine="4320" w:firstLineChars="1800"/>
        <w:rPr>
          <w:rFonts w:hint="eastAsia" w:ascii="宋体" w:hAnsi="宋体" w:cs="宋体"/>
          <w:sz w:val="24"/>
          <w:szCs w:val="24"/>
        </w:rPr>
      </w:pPr>
      <w:r>
        <w:rPr>
          <w:rFonts w:hint="eastAsia" w:ascii="宋体" w:hAnsi="宋体" w:cs="宋体"/>
          <w:sz w:val="24"/>
          <w:szCs w:val="24"/>
        </w:rPr>
        <w:t>授权委托日期：    年   月   日</w:t>
      </w:r>
    </w:p>
    <w:p w14:paraId="5B9D2B88">
      <w:pPr>
        <w:rPr>
          <w:rFonts w:hint="eastAsia" w:ascii="宋体" w:hAnsi="宋体" w:cs="宋体"/>
          <w:szCs w:val="22"/>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7"/>
      </w:tblGrid>
      <w:tr w14:paraId="3010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727" w:type="dxa"/>
            <w:vAlign w:val="center"/>
          </w:tcPr>
          <w:p w14:paraId="379BEF14">
            <w:pPr>
              <w:jc w:val="center"/>
              <w:rPr>
                <w:rFonts w:hint="eastAsia" w:ascii="宋体" w:hAnsi="宋体" w:cs="宋体"/>
                <w:szCs w:val="22"/>
              </w:rPr>
            </w:pPr>
          </w:p>
          <w:p w14:paraId="742F909A">
            <w:pPr>
              <w:jc w:val="center"/>
              <w:rPr>
                <w:rFonts w:hint="eastAsia" w:ascii="宋体" w:hAnsi="宋体" w:cs="宋体"/>
                <w:szCs w:val="22"/>
              </w:rPr>
            </w:pPr>
          </w:p>
          <w:p w14:paraId="5FCB68F1">
            <w:pPr>
              <w:ind w:firstLine="1540" w:firstLineChars="550"/>
              <w:rPr>
                <w:rFonts w:hint="eastAsia" w:ascii="宋体" w:hAnsi="宋体" w:cs="宋体"/>
                <w:szCs w:val="22"/>
              </w:rPr>
            </w:pPr>
            <w:r>
              <w:rPr>
                <w:rFonts w:hint="eastAsia" w:ascii="宋体" w:hAnsi="宋体" w:cs="宋体"/>
                <w:kern w:val="0"/>
                <w:sz w:val="28"/>
                <w:szCs w:val="28"/>
              </w:rPr>
              <w:t>委托代理人身份证复印件（或扫描件）</w:t>
            </w:r>
          </w:p>
          <w:p w14:paraId="1985CF47">
            <w:pPr>
              <w:jc w:val="center"/>
              <w:rPr>
                <w:rFonts w:hint="eastAsia" w:ascii="宋体" w:hAnsi="宋体" w:cs="宋体"/>
                <w:szCs w:val="22"/>
              </w:rPr>
            </w:pPr>
          </w:p>
          <w:p w14:paraId="3D6D9595">
            <w:pPr>
              <w:rPr>
                <w:rFonts w:hint="eastAsia" w:ascii="宋体" w:hAnsi="宋体" w:cs="宋体"/>
                <w:szCs w:val="22"/>
              </w:rPr>
            </w:pPr>
          </w:p>
        </w:tc>
      </w:tr>
    </w:tbl>
    <w:p w14:paraId="7DEE8389">
      <w:pPr>
        <w:rPr>
          <w:rFonts w:hint="eastAsia" w:ascii="宋体" w:hAnsi="宋体" w:cs="宋体"/>
          <w:szCs w:val="22"/>
        </w:rPr>
      </w:pPr>
    </w:p>
    <w:p w14:paraId="42392591">
      <w:pPr>
        <w:rPr>
          <w:rFonts w:hint="eastAsia" w:ascii="宋体" w:hAnsi="宋体" w:cs="宋体"/>
          <w:szCs w:val="22"/>
        </w:rPr>
      </w:pPr>
      <w:r>
        <w:rPr>
          <w:rFonts w:hint="eastAsia" w:ascii="宋体" w:hAnsi="宋体" w:cs="宋体"/>
          <w:bCs/>
          <w:color w:val="000000"/>
          <w:sz w:val="24"/>
          <w:szCs w:val="22"/>
        </w:rPr>
        <w:t>因本项目为电子标，委托代理人无法手写签字，可以电脑打印字体为准或以法定代表人签章为准。</w:t>
      </w:r>
    </w:p>
    <w:p w14:paraId="2562FCD3">
      <w:pPr>
        <w:jc w:val="center"/>
        <w:rPr>
          <w:rFonts w:hint="eastAsia" w:ascii="宋体" w:hAnsi="宋体" w:cs="宋体"/>
          <w:b/>
          <w:bCs/>
          <w:sz w:val="32"/>
          <w:szCs w:val="32"/>
        </w:rPr>
      </w:pPr>
    </w:p>
    <w:p w14:paraId="6189F9A0">
      <w:pPr>
        <w:jc w:val="center"/>
        <w:rPr>
          <w:rFonts w:hint="eastAsia" w:ascii="宋体" w:hAnsi="宋体" w:cs="宋体"/>
          <w:b/>
          <w:bCs/>
          <w:sz w:val="28"/>
          <w:szCs w:val="28"/>
        </w:rPr>
      </w:pPr>
      <w:r>
        <w:rPr>
          <w:rFonts w:hint="eastAsia" w:ascii="宋体" w:hAnsi="宋体" w:cs="宋体"/>
          <w:b/>
          <w:bCs/>
          <w:sz w:val="28"/>
          <w:szCs w:val="28"/>
        </w:rPr>
        <w:t>三、投标函及投标函附录</w:t>
      </w:r>
    </w:p>
    <w:p w14:paraId="053A5A34">
      <w:pPr>
        <w:keepNext/>
        <w:keepLines/>
        <w:numPr>
          <w:ilvl w:val="1"/>
          <w:numId w:val="0"/>
        </w:numPr>
        <w:spacing w:before="260" w:after="260" w:line="412" w:lineRule="auto"/>
        <w:jc w:val="center"/>
        <w:outlineLvl w:val="1"/>
        <w:rPr>
          <w:rFonts w:hint="eastAsia" w:ascii="宋体" w:hAnsi="宋体" w:cs="宋体"/>
          <w:b/>
          <w:kern w:val="0"/>
          <w:sz w:val="28"/>
          <w:szCs w:val="28"/>
        </w:rPr>
      </w:pPr>
      <w:bookmarkStart w:id="280" w:name="_Toc13622"/>
      <w:r>
        <w:rPr>
          <w:rFonts w:hint="eastAsia" w:ascii="宋体" w:hAnsi="宋体" w:cs="宋体"/>
          <w:b/>
          <w:kern w:val="0"/>
          <w:sz w:val="28"/>
          <w:szCs w:val="28"/>
        </w:rPr>
        <w:t>1.投标函</w:t>
      </w:r>
      <w:bookmarkEnd w:id="280"/>
    </w:p>
    <w:p w14:paraId="2AA31FA9">
      <w:pPr>
        <w:spacing w:line="360" w:lineRule="auto"/>
        <w:jc w:val="left"/>
        <w:rPr>
          <w:rFonts w:hint="eastAsia" w:ascii="宋体" w:hAnsi="宋体" w:cs="宋体"/>
          <w:spacing w:val="24"/>
          <w:sz w:val="24"/>
          <w:szCs w:val="24"/>
        </w:rPr>
      </w:pPr>
      <w:r>
        <w:rPr>
          <w:rFonts w:hint="eastAsia" w:ascii="宋体" w:hAnsi="宋体" w:cs="宋体"/>
          <w:spacing w:val="24"/>
          <w:sz w:val="24"/>
          <w:szCs w:val="24"/>
        </w:rPr>
        <w:t>致：</w:t>
      </w:r>
      <w:r>
        <w:rPr>
          <w:rFonts w:hint="eastAsia" w:ascii="宋体" w:hAnsi="宋体" w:cs="宋体"/>
          <w:spacing w:val="24"/>
          <w:sz w:val="24"/>
          <w:szCs w:val="24"/>
          <w:u w:val="single"/>
        </w:rPr>
        <w:t>（采购人）</w:t>
      </w:r>
    </w:p>
    <w:p w14:paraId="4F0254A9">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根据已收到贵方的</w:t>
      </w:r>
      <w:r>
        <w:rPr>
          <w:rFonts w:hint="eastAsia" w:ascii="宋体" w:hAnsi="宋体" w:cs="宋体"/>
          <w:sz w:val="24"/>
          <w:szCs w:val="24"/>
          <w:u w:val="single"/>
        </w:rPr>
        <w:t>（项目名称） 包</w:t>
      </w:r>
      <w:r>
        <w:rPr>
          <w:rFonts w:hint="eastAsia" w:ascii="宋体" w:hAnsi="宋体" w:cs="宋体"/>
          <w:sz w:val="24"/>
          <w:szCs w:val="24"/>
        </w:rPr>
        <w:t>的招标文件，遵照《中华人民共和国政府采购法》等有关规定，我单位经研究上述招标文件的投标须知、合同条款、技术参数及其它有关文件后，我方愿以人民币（大写）：元（小写：元）的投标报价，服务期限为,承包上述项目服务</w:t>
      </w:r>
      <w:r>
        <w:rPr>
          <w:rFonts w:hint="eastAsia" w:ascii="宋体" w:hAnsi="宋体" w:cs="宋体"/>
          <w:sz w:val="24"/>
          <w:szCs w:val="24"/>
          <w:shd w:val="clear" w:color="auto" w:fill="FFFFFF"/>
        </w:rPr>
        <w:t>。</w:t>
      </w:r>
    </w:p>
    <w:p w14:paraId="2776AF10">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0F26C039">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2、我方承认投标函附表是我方投标函的组成部分。</w:t>
      </w:r>
    </w:p>
    <w:p w14:paraId="5CA90227">
      <w:pPr>
        <w:spacing w:line="360" w:lineRule="auto"/>
        <w:ind w:firstLine="480" w:firstLineChars="200"/>
        <w:rPr>
          <w:rFonts w:hint="eastAsia" w:ascii="宋体" w:hAnsi="宋体" w:cs="宋体"/>
          <w:sz w:val="24"/>
          <w:szCs w:val="24"/>
        </w:rPr>
      </w:pPr>
      <w:r>
        <w:rPr>
          <w:rFonts w:hint="eastAsia" w:ascii="宋体" w:hAnsi="宋体" w:cs="宋体"/>
          <w:sz w:val="24"/>
          <w:szCs w:val="24"/>
        </w:rPr>
        <w:t>3、如我方中标，我方承诺在收到中标通知书后，在中标通知书规定的期限内，根据招标文件、我方的投标文件及有关澄清承诺书的要求，与采购人订立书面合同，并按照合同约定承担完成合同的责任和义务。</w:t>
      </w:r>
    </w:p>
    <w:p w14:paraId="5AC47BE4">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4、我方同意自本项目招标文件中规定的投标有效期内有效，并承诺在投标有效期内不修改、撤销投标文件。</w:t>
      </w:r>
    </w:p>
    <w:p w14:paraId="3ED1BEF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5、我方完全理解贵方不一定接受投标报价最低的投标供应商为中标供应商的行为。</w:t>
      </w:r>
    </w:p>
    <w:p w14:paraId="0F98854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6、我方在此声明，所递交的投标文件及有关资料内容完整、真实和准确。</w:t>
      </w:r>
    </w:p>
    <w:p w14:paraId="693D52A0">
      <w:pPr>
        <w:spacing w:line="360" w:lineRule="auto"/>
        <w:rPr>
          <w:rFonts w:hint="eastAsia" w:ascii="宋体" w:hAnsi="宋体" w:cs="宋体"/>
          <w:spacing w:val="24"/>
          <w:szCs w:val="24"/>
        </w:rPr>
      </w:pPr>
    </w:p>
    <w:p w14:paraId="7097A48E">
      <w:pPr>
        <w:spacing w:line="360" w:lineRule="auto"/>
        <w:rPr>
          <w:rFonts w:hint="eastAsia" w:ascii="宋体" w:hAnsi="宋体" w:cs="宋体"/>
          <w:spacing w:val="24"/>
          <w:szCs w:val="24"/>
        </w:rPr>
      </w:pPr>
    </w:p>
    <w:p w14:paraId="0490D307">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42FC5556">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65629B02">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12E1829B">
      <w:pPr>
        <w:spacing w:line="360" w:lineRule="auto"/>
        <w:rPr>
          <w:rFonts w:hint="eastAsia" w:ascii="宋体" w:hAnsi="宋体" w:cs="宋体"/>
          <w:b/>
          <w:bCs/>
          <w:sz w:val="32"/>
          <w:szCs w:val="32"/>
        </w:rPr>
      </w:pPr>
    </w:p>
    <w:p w14:paraId="705C36D8">
      <w:pPr>
        <w:jc w:val="center"/>
        <w:rPr>
          <w:rFonts w:hint="eastAsia" w:ascii="宋体" w:hAnsi="宋体" w:cs="宋体"/>
          <w:b/>
          <w:bCs/>
          <w:sz w:val="28"/>
          <w:szCs w:val="28"/>
        </w:rPr>
      </w:pPr>
      <w:r>
        <w:rPr>
          <w:rFonts w:hint="eastAsia" w:ascii="宋体" w:hAnsi="宋体" w:cs="宋体"/>
          <w:b/>
          <w:bCs/>
          <w:sz w:val="28"/>
          <w:szCs w:val="28"/>
        </w:rPr>
        <w:t>2、投标函附表</w:t>
      </w:r>
    </w:p>
    <w:tbl>
      <w:tblPr>
        <w:tblStyle w:val="2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6227"/>
      </w:tblGrid>
      <w:tr w14:paraId="54A7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2552" w:type="dxa"/>
            <w:vAlign w:val="center"/>
          </w:tcPr>
          <w:p w14:paraId="1CB0E1B3">
            <w:pPr>
              <w:spacing w:line="400" w:lineRule="exact"/>
              <w:jc w:val="center"/>
              <w:rPr>
                <w:rFonts w:hint="eastAsia" w:ascii="宋体" w:hAnsi="宋体" w:cs="宋体"/>
                <w:sz w:val="24"/>
                <w:szCs w:val="24"/>
              </w:rPr>
            </w:pPr>
            <w:r>
              <w:rPr>
                <w:rFonts w:hint="eastAsia" w:ascii="宋体" w:hAnsi="宋体" w:cs="宋体"/>
                <w:sz w:val="24"/>
                <w:szCs w:val="24"/>
              </w:rPr>
              <w:t>项目名称</w:t>
            </w:r>
          </w:p>
        </w:tc>
        <w:tc>
          <w:tcPr>
            <w:tcW w:w="6227" w:type="dxa"/>
            <w:vAlign w:val="center"/>
          </w:tcPr>
          <w:p w14:paraId="48CF52CA">
            <w:pPr>
              <w:spacing w:line="400" w:lineRule="exact"/>
              <w:rPr>
                <w:rFonts w:hint="eastAsia" w:ascii="宋体" w:hAnsi="宋体" w:cs="宋体"/>
                <w:sz w:val="24"/>
                <w:szCs w:val="24"/>
              </w:rPr>
            </w:pPr>
          </w:p>
        </w:tc>
      </w:tr>
      <w:tr w14:paraId="067E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552" w:type="dxa"/>
            <w:vAlign w:val="center"/>
          </w:tcPr>
          <w:p w14:paraId="47C22BDB">
            <w:pPr>
              <w:spacing w:line="400" w:lineRule="exact"/>
              <w:jc w:val="center"/>
              <w:rPr>
                <w:rFonts w:hint="eastAsia" w:ascii="宋体" w:hAnsi="宋体" w:cs="宋体"/>
                <w:sz w:val="24"/>
                <w:szCs w:val="24"/>
              </w:rPr>
            </w:pPr>
            <w:r>
              <w:rPr>
                <w:rFonts w:hint="eastAsia" w:ascii="宋体" w:hAnsi="宋体" w:cs="宋体"/>
                <w:sz w:val="24"/>
                <w:szCs w:val="24"/>
              </w:rPr>
              <w:t>项目编号</w:t>
            </w:r>
          </w:p>
        </w:tc>
        <w:tc>
          <w:tcPr>
            <w:tcW w:w="6227" w:type="dxa"/>
            <w:vAlign w:val="center"/>
          </w:tcPr>
          <w:p w14:paraId="7F193E7B">
            <w:pPr>
              <w:spacing w:line="400" w:lineRule="exact"/>
              <w:rPr>
                <w:rFonts w:hint="eastAsia" w:ascii="宋体" w:hAnsi="宋体" w:cs="宋体"/>
                <w:sz w:val="24"/>
                <w:szCs w:val="24"/>
              </w:rPr>
            </w:pPr>
          </w:p>
        </w:tc>
      </w:tr>
      <w:tr w14:paraId="7109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552" w:type="dxa"/>
            <w:vAlign w:val="center"/>
          </w:tcPr>
          <w:p w14:paraId="4EFB806B">
            <w:pPr>
              <w:spacing w:line="400" w:lineRule="exact"/>
              <w:jc w:val="center"/>
              <w:rPr>
                <w:rFonts w:hint="eastAsia" w:ascii="宋体" w:hAnsi="宋体" w:cs="宋体"/>
                <w:sz w:val="24"/>
                <w:szCs w:val="24"/>
              </w:rPr>
            </w:pPr>
            <w:r>
              <w:rPr>
                <w:rFonts w:hint="eastAsia" w:ascii="宋体" w:hAnsi="宋体" w:cs="宋体"/>
                <w:sz w:val="24"/>
                <w:szCs w:val="24"/>
              </w:rPr>
              <w:t>包名称</w:t>
            </w:r>
          </w:p>
        </w:tc>
        <w:tc>
          <w:tcPr>
            <w:tcW w:w="6227" w:type="dxa"/>
            <w:vAlign w:val="center"/>
          </w:tcPr>
          <w:p w14:paraId="217A6F3A">
            <w:pPr>
              <w:spacing w:line="400" w:lineRule="exact"/>
              <w:rPr>
                <w:rFonts w:hint="eastAsia" w:ascii="宋体" w:hAnsi="宋体" w:cs="宋体"/>
                <w:sz w:val="24"/>
                <w:szCs w:val="24"/>
              </w:rPr>
            </w:pPr>
          </w:p>
        </w:tc>
      </w:tr>
      <w:tr w14:paraId="47A2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552" w:type="dxa"/>
            <w:vAlign w:val="center"/>
          </w:tcPr>
          <w:p w14:paraId="1D857F84">
            <w:pPr>
              <w:spacing w:line="400" w:lineRule="exact"/>
              <w:jc w:val="center"/>
              <w:rPr>
                <w:rFonts w:hint="eastAsia" w:ascii="宋体" w:hAnsi="宋体" w:cs="宋体"/>
                <w:sz w:val="24"/>
                <w:szCs w:val="24"/>
              </w:rPr>
            </w:pPr>
            <w:r>
              <w:rPr>
                <w:rFonts w:hint="eastAsia" w:ascii="宋体" w:hAnsi="宋体" w:cs="宋体"/>
                <w:sz w:val="24"/>
                <w:szCs w:val="24"/>
              </w:rPr>
              <w:t>供应商名称</w:t>
            </w:r>
          </w:p>
        </w:tc>
        <w:tc>
          <w:tcPr>
            <w:tcW w:w="6227" w:type="dxa"/>
            <w:vAlign w:val="center"/>
          </w:tcPr>
          <w:p w14:paraId="2579AB05">
            <w:pPr>
              <w:spacing w:line="400" w:lineRule="exact"/>
              <w:rPr>
                <w:rFonts w:hint="eastAsia" w:ascii="宋体" w:hAnsi="宋体" w:cs="宋体"/>
                <w:sz w:val="24"/>
                <w:szCs w:val="24"/>
              </w:rPr>
            </w:pPr>
          </w:p>
        </w:tc>
      </w:tr>
      <w:tr w14:paraId="7F2C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exact"/>
        </w:trPr>
        <w:tc>
          <w:tcPr>
            <w:tcW w:w="2552" w:type="dxa"/>
            <w:vAlign w:val="center"/>
          </w:tcPr>
          <w:p w14:paraId="4490A4DF">
            <w:pPr>
              <w:spacing w:line="400" w:lineRule="exact"/>
              <w:jc w:val="center"/>
              <w:rPr>
                <w:rFonts w:hint="eastAsia" w:ascii="宋体" w:hAnsi="宋体" w:cs="宋体"/>
                <w:sz w:val="24"/>
                <w:szCs w:val="24"/>
              </w:rPr>
            </w:pPr>
            <w:r>
              <w:rPr>
                <w:rFonts w:hint="eastAsia" w:ascii="宋体" w:hAnsi="宋体" w:cs="宋体"/>
                <w:sz w:val="24"/>
                <w:szCs w:val="24"/>
              </w:rPr>
              <w:t>投标总报价</w:t>
            </w:r>
          </w:p>
        </w:tc>
        <w:tc>
          <w:tcPr>
            <w:tcW w:w="6227" w:type="dxa"/>
            <w:vAlign w:val="center"/>
          </w:tcPr>
          <w:p w14:paraId="7C11E5CF">
            <w:pPr>
              <w:spacing w:line="400" w:lineRule="exact"/>
              <w:rPr>
                <w:rFonts w:hint="eastAsia" w:ascii="宋体" w:hAnsi="宋体" w:cs="宋体"/>
                <w:sz w:val="24"/>
                <w:szCs w:val="24"/>
              </w:rPr>
            </w:pPr>
            <w:r>
              <w:rPr>
                <w:rFonts w:hint="eastAsia" w:ascii="宋体" w:hAnsi="宋体" w:cs="宋体"/>
                <w:sz w:val="24"/>
                <w:szCs w:val="24"/>
              </w:rPr>
              <w:t xml:space="preserve">大写：     </w:t>
            </w:r>
          </w:p>
          <w:p w14:paraId="55AA3E7E">
            <w:pPr>
              <w:spacing w:line="400" w:lineRule="exact"/>
              <w:rPr>
                <w:rFonts w:hint="eastAsia" w:ascii="宋体" w:hAnsi="宋体" w:cs="宋体"/>
                <w:sz w:val="24"/>
                <w:szCs w:val="24"/>
              </w:rPr>
            </w:pPr>
            <w:r>
              <w:rPr>
                <w:rFonts w:hint="eastAsia" w:ascii="宋体" w:hAnsi="宋体" w:cs="宋体"/>
                <w:sz w:val="24"/>
                <w:szCs w:val="24"/>
              </w:rPr>
              <w:t>小写：    元</w:t>
            </w:r>
          </w:p>
        </w:tc>
      </w:tr>
      <w:tr w14:paraId="03BB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52" w:type="dxa"/>
            <w:vAlign w:val="center"/>
          </w:tcPr>
          <w:p w14:paraId="6233DACE">
            <w:pPr>
              <w:spacing w:line="400" w:lineRule="exact"/>
              <w:jc w:val="center"/>
              <w:rPr>
                <w:rFonts w:hint="eastAsia" w:ascii="宋体" w:hAnsi="宋体" w:cs="宋体"/>
                <w:sz w:val="24"/>
                <w:szCs w:val="24"/>
              </w:rPr>
            </w:pPr>
            <w:r>
              <w:rPr>
                <w:rFonts w:hint="eastAsia" w:ascii="宋体" w:hAnsi="宋体" w:cs="宋体"/>
                <w:sz w:val="24"/>
                <w:szCs w:val="24"/>
              </w:rPr>
              <w:t>服务期限</w:t>
            </w:r>
          </w:p>
        </w:tc>
        <w:tc>
          <w:tcPr>
            <w:tcW w:w="6227" w:type="dxa"/>
            <w:vAlign w:val="center"/>
          </w:tcPr>
          <w:p w14:paraId="7A5E038C">
            <w:pPr>
              <w:spacing w:line="400" w:lineRule="exact"/>
              <w:rPr>
                <w:rFonts w:hint="eastAsia" w:ascii="宋体" w:hAnsi="宋体" w:cs="宋体"/>
                <w:sz w:val="24"/>
                <w:szCs w:val="24"/>
              </w:rPr>
            </w:pPr>
          </w:p>
        </w:tc>
      </w:tr>
      <w:tr w14:paraId="29B0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52" w:type="dxa"/>
            <w:vAlign w:val="center"/>
          </w:tcPr>
          <w:p w14:paraId="3B37DB8E">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质量要求</w:t>
            </w:r>
          </w:p>
        </w:tc>
        <w:tc>
          <w:tcPr>
            <w:tcW w:w="6227" w:type="dxa"/>
            <w:vAlign w:val="center"/>
          </w:tcPr>
          <w:p w14:paraId="68EEBC09">
            <w:pPr>
              <w:spacing w:line="400" w:lineRule="exact"/>
              <w:jc w:val="center"/>
              <w:rPr>
                <w:rFonts w:hint="eastAsia" w:ascii="宋体" w:hAnsi="宋体" w:cs="宋体"/>
                <w:sz w:val="24"/>
                <w:szCs w:val="24"/>
              </w:rPr>
            </w:pPr>
          </w:p>
        </w:tc>
      </w:tr>
      <w:tr w14:paraId="53B0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552" w:type="dxa"/>
            <w:vAlign w:val="center"/>
          </w:tcPr>
          <w:p w14:paraId="7872A881">
            <w:pPr>
              <w:spacing w:line="400" w:lineRule="exact"/>
              <w:jc w:val="center"/>
              <w:rPr>
                <w:rFonts w:hint="eastAsia" w:ascii="宋体" w:hAnsi="宋体" w:cs="宋体"/>
                <w:sz w:val="24"/>
                <w:szCs w:val="24"/>
              </w:rPr>
            </w:pPr>
            <w:r>
              <w:rPr>
                <w:rFonts w:hint="eastAsia" w:ascii="宋体" w:hAnsi="宋体" w:cs="宋体"/>
                <w:sz w:val="24"/>
                <w:szCs w:val="24"/>
              </w:rPr>
              <w:t>投标有效期</w:t>
            </w:r>
          </w:p>
        </w:tc>
        <w:tc>
          <w:tcPr>
            <w:tcW w:w="6227" w:type="dxa"/>
            <w:vAlign w:val="center"/>
          </w:tcPr>
          <w:p w14:paraId="61B76528">
            <w:pPr>
              <w:spacing w:line="400" w:lineRule="exact"/>
              <w:jc w:val="center"/>
              <w:rPr>
                <w:rFonts w:hint="eastAsia" w:ascii="宋体" w:hAnsi="宋体" w:cs="宋体"/>
                <w:sz w:val="24"/>
                <w:szCs w:val="24"/>
              </w:rPr>
            </w:pPr>
          </w:p>
        </w:tc>
      </w:tr>
      <w:tr w14:paraId="3F40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exact"/>
        </w:trPr>
        <w:tc>
          <w:tcPr>
            <w:tcW w:w="2552" w:type="dxa"/>
            <w:vAlign w:val="center"/>
          </w:tcPr>
          <w:p w14:paraId="38E8B849">
            <w:pPr>
              <w:spacing w:line="400" w:lineRule="exact"/>
              <w:jc w:val="center"/>
              <w:rPr>
                <w:rFonts w:hint="eastAsia" w:ascii="宋体" w:hAnsi="宋体" w:cs="宋体"/>
                <w:sz w:val="24"/>
                <w:szCs w:val="24"/>
              </w:rPr>
            </w:pPr>
            <w:r>
              <w:rPr>
                <w:rFonts w:hint="eastAsia" w:ascii="宋体" w:hAnsi="宋体" w:cs="宋体"/>
                <w:sz w:val="24"/>
                <w:szCs w:val="24"/>
              </w:rPr>
              <w:t>备注</w:t>
            </w:r>
          </w:p>
        </w:tc>
        <w:tc>
          <w:tcPr>
            <w:tcW w:w="6227" w:type="dxa"/>
            <w:vAlign w:val="center"/>
          </w:tcPr>
          <w:p w14:paraId="52F294B9">
            <w:pPr>
              <w:spacing w:line="400" w:lineRule="exact"/>
              <w:jc w:val="center"/>
              <w:rPr>
                <w:rFonts w:hint="eastAsia" w:ascii="宋体" w:hAnsi="宋体" w:cs="宋体"/>
                <w:sz w:val="24"/>
                <w:szCs w:val="24"/>
              </w:rPr>
            </w:pPr>
          </w:p>
        </w:tc>
      </w:tr>
    </w:tbl>
    <w:p w14:paraId="20C8AB02">
      <w:pPr>
        <w:snapToGrid w:val="0"/>
        <w:spacing w:line="580" w:lineRule="exact"/>
        <w:ind w:left="-18" w:leftChars="-22" w:right="-817" w:rightChars="-389" w:hanging="28" w:hangingChars="12"/>
        <w:rPr>
          <w:rFonts w:hint="eastAsia" w:ascii="宋体" w:hAnsi="宋体" w:cs="宋体"/>
          <w:sz w:val="24"/>
          <w:szCs w:val="24"/>
        </w:rPr>
      </w:pPr>
    </w:p>
    <w:p w14:paraId="4D55427E">
      <w:pPr>
        <w:spacing w:line="360" w:lineRule="auto"/>
        <w:ind w:firstLine="3360" w:firstLineChars="1400"/>
        <w:rPr>
          <w:rFonts w:hint="eastAsia" w:ascii="宋体" w:hAnsi="宋体" w:cs="宋体"/>
          <w:sz w:val="24"/>
          <w:szCs w:val="24"/>
        </w:rPr>
      </w:pPr>
    </w:p>
    <w:p w14:paraId="5AE4C2A6">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150C4335">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127B071F">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21CD7ED2">
      <w:pPr>
        <w:rPr>
          <w:rFonts w:hint="eastAsia" w:ascii="宋体" w:hAnsi="宋体" w:cs="宋体"/>
        </w:rPr>
      </w:pPr>
    </w:p>
    <w:p w14:paraId="63870864">
      <w:pPr>
        <w:rPr>
          <w:rFonts w:hint="eastAsia" w:ascii="宋体" w:hAnsi="宋体" w:cs="宋体"/>
          <w:b/>
          <w:bCs/>
          <w:sz w:val="28"/>
          <w:szCs w:val="28"/>
        </w:rPr>
      </w:pPr>
      <w:r>
        <w:rPr>
          <w:rFonts w:hint="eastAsia" w:ascii="宋体" w:hAnsi="宋体" w:cs="宋体"/>
          <w:b/>
          <w:bCs/>
          <w:sz w:val="28"/>
          <w:szCs w:val="28"/>
        </w:rPr>
        <w:br w:type="page"/>
      </w:r>
    </w:p>
    <w:p w14:paraId="4E59D6D1">
      <w:pPr>
        <w:spacing w:line="360" w:lineRule="auto"/>
        <w:jc w:val="center"/>
        <w:rPr>
          <w:rFonts w:hint="eastAsia" w:ascii="宋体" w:hAnsi="宋体" w:cs="宋体"/>
          <w:b/>
          <w:bCs/>
          <w:sz w:val="28"/>
          <w:szCs w:val="28"/>
        </w:rPr>
      </w:pPr>
      <w:r>
        <w:rPr>
          <w:rFonts w:hint="eastAsia" w:ascii="宋体" w:hAnsi="宋体" w:cs="宋体"/>
          <w:b/>
          <w:bCs/>
          <w:sz w:val="28"/>
          <w:szCs w:val="28"/>
        </w:rPr>
        <w:t>四、服务方案</w:t>
      </w:r>
    </w:p>
    <w:p w14:paraId="6792FEBE">
      <w:pPr>
        <w:pStyle w:val="12"/>
        <w:rPr>
          <w:rFonts w:hint="eastAsia" w:ascii="宋体" w:hAnsi="宋体" w:eastAsia="宋体"/>
        </w:rPr>
      </w:pPr>
    </w:p>
    <w:p w14:paraId="0D43B1AB">
      <w:pPr>
        <w:pStyle w:val="12"/>
        <w:rPr>
          <w:rFonts w:hint="eastAsia" w:ascii="宋体" w:hAnsi="宋体" w:eastAsia="宋体"/>
        </w:rPr>
      </w:pPr>
      <w:r>
        <w:rPr>
          <w:rFonts w:hint="eastAsia" w:ascii="宋体" w:hAnsi="宋体" w:eastAsia="宋体"/>
        </w:rPr>
        <w:t>（格式自拟）</w:t>
      </w:r>
    </w:p>
    <w:p w14:paraId="79039D26">
      <w:pPr>
        <w:spacing w:line="520" w:lineRule="exact"/>
        <w:jc w:val="center"/>
        <w:rPr>
          <w:rFonts w:hint="eastAsia" w:ascii="宋体" w:hAnsi="宋体" w:cs="宋体"/>
          <w:b/>
          <w:bCs/>
          <w:sz w:val="28"/>
          <w:szCs w:val="28"/>
        </w:rPr>
      </w:pPr>
    </w:p>
    <w:p w14:paraId="1AB0A535">
      <w:pPr>
        <w:spacing w:line="360" w:lineRule="auto"/>
        <w:rPr>
          <w:rFonts w:hint="eastAsia" w:ascii="宋体" w:hAnsi="宋体" w:cs="宋体"/>
          <w:sz w:val="24"/>
          <w:szCs w:val="22"/>
        </w:rPr>
      </w:pPr>
    </w:p>
    <w:p w14:paraId="05BE9309">
      <w:pPr>
        <w:spacing w:line="360" w:lineRule="auto"/>
        <w:rPr>
          <w:rFonts w:hint="eastAsia" w:ascii="宋体" w:hAnsi="宋体" w:cs="宋体"/>
          <w:sz w:val="24"/>
          <w:szCs w:val="22"/>
        </w:rPr>
      </w:pPr>
    </w:p>
    <w:p w14:paraId="7B1B7D42">
      <w:pPr>
        <w:spacing w:line="360" w:lineRule="auto"/>
        <w:rPr>
          <w:rFonts w:hint="eastAsia" w:ascii="宋体" w:hAnsi="宋体" w:cs="宋体"/>
          <w:sz w:val="24"/>
          <w:szCs w:val="22"/>
        </w:rPr>
      </w:pPr>
    </w:p>
    <w:p w14:paraId="68A147A2">
      <w:pPr>
        <w:spacing w:line="360" w:lineRule="auto"/>
        <w:ind w:firstLine="3720" w:firstLineChars="1550"/>
        <w:rPr>
          <w:rFonts w:hint="eastAsia" w:ascii="宋体" w:hAnsi="宋体" w:cs="宋体"/>
          <w:sz w:val="24"/>
          <w:szCs w:val="24"/>
        </w:rPr>
      </w:pPr>
    </w:p>
    <w:p w14:paraId="0E45F908">
      <w:pPr>
        <w:spacing w:line="360" w:lineRule="auto"/>
        <w:ind w:firstLine="3720" w:firstLineChars="1550"/>
        <w:rPr>
          <w:rFonts w:hint="eastAsia" w:ascii="宋体" w:hAnsi="宋体" w:cs="宋体"/>
          <w:sz w:val="24"/>
          <w:szCs w:val="24"/>
        </w:rPr>
      </w:pPr>
    </w:p>
    <w:p w14:paraId="2D6F5FF4">
      <w:pPr>
        <w:spacing w:line="360" w:lineRule="auto"/>
        <w:ind w:firstLine="3720" w:firstLineChars="1550"/>
        <w:rPr>
          <w:rFonts w:hint="eastAsia" w:ascii="宋体" w:hAnsi="宋体" w:cs="宋体"/>
          <w:sz w:val="24"/>
          <w:szCs w:val="24"/>
        </w:rPr>
      </w:pPr>
    </w:p>
    <w:p w14:paraId="24C0E863">
      <w:pPr>
        <w:snapToGrid w:val="0"/>
        <w:spacing w:line="360" w:lineRule="auto"/>
        <w:ind w:firstLine="240" w:firstLineChars="100"/>
        <w:rPr>
          <w:rFonts w:hint="eastAsia" w:ascii="宋体" w:hAnsi="宋体" w:cs="宋体"/>
          <w:kern w:val="0"/>
          <w:sz w:val="24"/>
          <w:szCs w:val="24"/>
        </w:rPr>
      </w:pPr>
    </w:p>
    <w:p w14:paraId="179FE227">
      <w:pPr>
        <w:widowControl/>
        <w:spacing w:after="120" w:line="360" w:lineRule="auto"/>
        <w:ind w:left="420" w:leftChars="200" w:firstLine="480" w:firstLineChars="200"/>
        <w:jc w:val="center"/>
        <w:rPr>
          <w:rFonts w:hint="eastAsia" w:ascii="宋体" w:hAnsi="宋体" w:cs="宋体"/>
          <w:sz w:val="24"/>
          <w:szCs w:val="24"/>
        </w:rPr>
      </w:pPr>
    </w:p>
    <w:p w14:paraId="6BB3B0E1">
      <w:pPr>
        <w:rPr>
          <w:rFonts w:hint="eastAsia" w:ascii="宋体" w:hAnsi="宋体" w:cs="宋体"/>
          <w:sz w:val="24"/>
          <w:szCs w:val="24"/>
        </w:rPr>
      </w:pPr>
    </w:p>
    <w:p w14:paraId="6795A936">
      <w:pPr>
        <w:spacing w:line="360" w:lineRule="auto"/>
        <w:rPr>
          <w:rFonts w:hint="eastAsia" w:ascii="宋体" w:hAnsi="宋体" w:cs="宋体"/>
          <w:sz w:val="24"/>
          <w:szCs w:val="22"/>
        </w:rPr>
      </w:pPr>
    </w:p>
    <w:p w14:paraId="73897805">
      <w:pPr>
        <w:spacing w:line="360" w:lineRule="auto"/>
        <w:ind w:firstLine="3120" w:firstLineChars="1300"/>
        <w:rPr>
          <w:rFonts w:hint="eastAsia" w:ascii="宋体" w:hAnsi="宋体" w:cs="宋体"/>
          <w:sz w:val="24"/>
          <w:szCs w:val="22"/>
        </w:rPr>
      </w:pPr>
    </w:p>
    <w:p w14:paraId="7BCE5E3C">
      <w:pPr>
        <w:spacing w:line="360" w:lineRule="auto"/>
        <w:ind w:firstLine="2730" w:firstLineChars="1300"/>
        <w:rPr>
          <w:rFonts w:hint="eastAsia" w:ascii="宋体" w:hAnsi="宋体" w:cs="宋体"/>
        </w:rPr>
      </w:pPr>
    </w:p>
    <w:p w14:paraId="37021EE8">
      <w:pPr>
        <w:rPr>
          <w:rFonts w:hint="eastAsia" w:ascii="宋体" w:hAnsi="宋体" w:cs="宋体"/>
        </w:rPr>
      </w:pPr>
    </w:p>
    <w:p w14:paraId="67686E8A">
      <w:pPr>
        <w:pStyle w:val="12"/>
        <w:rPr>
          <w:rFonts w:hint="eastAsia" w:ascii="宋体" w:hAnsi="宋体" w:eastAsia="宋体"/>
        </w:rPr>
      </w:pPr>
    </w:p>
    <w:p w14:paraId="2C65902E">
      <w:pPr>
        <w:pStyle w:val="13"/>
        <w:rPr>
          <w:rFonts w:hint="eastAsia" w:ascii="宋体" w:hAnsi="宋体" w:cs="宋体"/>
        </w:rPr>
      </w:pPr>
    </w:p>
    <w:p w14:paraId="4F590BB4">
      <w:pPr>
        <w:rPr>
          <w:rFonts w:hint="eastAsia" w:ascii="宋体" w:hAnsi="宋体" w:cs="宋体"/>
        </w:rPr>
      </w:pPr>
    </w:p>
    <w:p w14:paraId="2622CDD0">
      <w:pPr>
        <w:pStyle w:val="12"/>
        <w:rPr>
          <w:rFonts w:hint="eastAsia" w:ascii="宋体" w:hAnsi="宋体" w:eastAsia="宋体"/>
        </w:rPr>
      </w:pPr>
    </w:p>
    <w:p w14:paraId="203E5ABD">
      <w:pPr>
        <w:pStyle w:val="13"/>
        <w:rPr>
          <w:rFonts w:hint="eastAsia" w:ascii="宋体" w:hAnsi="宋体" w:cs="宋体"/>
        </w:rPr>
      </w:pPr>
    </w:p>
    <w:p w14:paraId="132BC4A7">
      <w:pPr>
        <w:rPr>
          <w:rFonts w:hint="eastAsia" w:ascii="宋体" w:hAnsi="宋体" w:cs="宋体"/>
        </w:rPr>
      </w:pPr>
    </w:p>
    <w:p w14:paraId="1123F2CB">
      <w:pPr>
        <w:rPr>
          <w:rFonts w:hint="eastAsia" w:ascii="宋体" w:hAnsi="宋体" w:cs="宋体"/>
        </w:rPr>
      </w:pPr>
    </w:p>
    <w:p w14:paraId="2B260B19">
      <w:pPr>
        <w:rPr>
          <w:rFonts w:hint="eastAsia" w:ascii="宋体" w:hAnsi="宋体" w:cs="宋体"/>
          <w:b/>
          <w:bCs/>
          <w:sz w:val="28"/>
          <w:szCs w:val="28"/>
        </w:rPr>
      </w:pPr>
    </w:p>
    <w:p w14:paraId="6D847E25">
      <w:pPr>
        <w:pStyle w:val="12"/>
        <w:rPr>
          <w:rFonts w:hint="eastAsia" w:ascii="宋体" w:hAnsi="宋体" w:eastAsia="宋体"/>
        </w:rPr>
      </w:pPr>
    </w:p>
    <w:p w14:paraId="0EE836E6">
      <w:pPr>
        <w:pStyle w:val="13"/>
        <w:rPr>
          <w:rFonts w:hint="eastAsia" w:ascii="宋体" w:hAnsi="宋体" w:cs="宋体"/>
        </w:rPr>
      </w:pPr>
    </w:p>
    <w:p w14:paraId="7D8EC6EE">
      <w:pPr>
        <w:rPr>
          <w:rFonts w:hint="eastAsia" w:ascii="宋体" w:hAnsi="宋体" w:cs="宋体"/>
        </w:rPr>
      </w:pPr>
    </w:p>
    <w:p w14:paraId="69728D32">
      <w:pPr>
        <w:pStyle w:val="12"/>
        <w:rPr>
          <w:rFonts w:hint="eastAsia" w:ascii="宋体" w:hAnsi="宋体" w:eastAsia="宋体"/>
        </w:rPr>
      </w:pPr>
    </w:p>
    <w:p w14:paraId="6A9FB75D">
      <w:pPr>
        <w:pStyle w:val="13"/>
        <w:rPr>
          <w:rFonts w:hint="eastAsia" w:ascii="宋体" w:hAnsi="宋体" w:cs="宋体"/>
        </w:rPr>
      </w:pPr>
    </w:p>
    <w:p w14:paraId="0C4A62D3">
      <w:pPr>
        <w:rPr>
          <w:rFonts w:hint="eastAsia" w:ascii="宋体" w:hAnsi="宋体" w:cs="宋体"/>
        </w:rPr>
      </w:pPr>
    </w:p>
    <w:p w14:paraId="1CBDEBAE">
      <w:pPr>
        <w:pStyle w:val="12"/>
        <w:rPr>
          <w:rFonts w:hint="eastAsia" w:ascii="宋体" w:hAnsi="宋体" w:eastAsia="宋体"/>
        </w:rPr>
      </w:pPr>
    </w:p>
    <w:p w14:paraId="3D074070">
      <w:pPr>
        <w:spacing w:line="360" w:lineRule="auto"/>
        <w:jc w:val="center"/>
        <w:rPr>
          <w:rFonts w:hint="eastAsia" w:ascii="宋体" w:hAnsi="宋体" w:cs="宋体"/>
          <w:b/>
          <w:bCs/>
          <w:sz w:val="28"/>
          <w:szCs w:val="28"/>
        </w:rPr>
      </w:pPr>
      <w:r>
        <w:rPr>
          <w:rFonts w:hint="eastAsia" w:ascii="宋体" w:hAnsi="宋体" w:cs="宋体"/>
          <w:b/>
          <w:bCs/>
          <w:sz w:val="28"/>
          <w:szCs w:val="28"/>
        </w:rPr>
        <w:t>五、资格审查资料</w:t>
      </w:r>
    </w:p>
    <w:p w14:paraId="5A3FD470">
      <w:pPr>
        <w:snapToGrid w:val="0"/>
        <w:spacing w:line="276" w:lineRule="auto"/>
        <w:ind w:left="849" w:leftChars="-72" w:right="168" w:rightChars="80" w:hanging="1000" w:hangingChars="415"/>
        <w:rPr>
          <w:rFonts w:hint="eastAsia" w:ascii="宋体" w:hAnsi="宋体" w:cs="宋体"/>
          <w:b/>
          <w:bCs/>
          <w:sz w:val="24"/>
          <w:szCs w:val="24"/>
        </w:rPr>
      </w:pPr>
    </w:p>
    <w:p w14:paraId="5DC5BF07">
      <w:pPr>
        <w:spacing w:line="360" w:lineRule="auto"/>
        <w:rPr>
          <w:rFonts w:hint="eastAsia" w:ascii="宋体" w:hAnsi="宋体" w:cs="宋体"/>
          <w:b/>
          <w:bCs/>
          <w:sz w:val="24"/>
          <w:szCs w:val="24"/>
        </w:rPr>
      </w:pPr>
    </w:p>
    <w:p w14:paraId="063E506E">
      <w:pPr>
        <w:spacing w:line="360" w:lineRule="auto"/>
        <w:rPr>
          <w:rFonts w:hint="eastAsia" w:ascii="宋体" w:hAnsi="宋体" w:cs="宋体"/>
          <w:b/>
          <w:bCs/>
          <w:sz w:val="24"/>
          <w:szCs w:val="24"/>
        </w:rPr>
      </w:pPr>
    </w:p>
    <w:p w14:paraId="1FA03A1E">
      <w:pPr>
        <w:spacing w:line="360" w:lineRule="auto"/>
        <w:rPr>
          <w:rFonts w:hint="eastAsia" w:ascii="宋体" w:hAnsi="宋体" w:cs="宋体"/>
          <w:b/>
          <w:bCs/>
          <w:sz w:val="24"/>
          <w:szCs w:val="24"/>
        </w:rPr>
      </w:pPr>
    </w:p>
    <w:p w14:paraId="60E2668A">
      <w:pPr>
        <w:spacing w:line="360" w:lineRule="auto"/>
        <w:rPr>
          <w:rFonts w:hint="eastAsia" w:ascii="宋体" w:hAnsi="宋体" w:cs="宋体"/>
          <w:b/>
          <w:bCs/>
          <w:sz w:val="24"/>
          <w:szCs w:val="24"/>
        </w:rPr>
      </w:pPr>
    </w:p>
    <w:p w14:paraId="6884AD92">
      <w:pPr>
        <w:pStyle w:val="12"/>
        <w:rPr>
          <w:rFonts w:hint="eastAsia" w:ascii="宋体" w:hAnsi="宋体" w:eastAsia="宋体"/>
        </w:rPr>
      </w:pPr>
    </w:p>
    <w:p w14:paraId="4503BA64">
      <w:pPr>
        <w:pStyle w:val="13"/>
        <w:rPr>
          <w:rFonts w:hint="eastAsia" w:ascii="宋体" w:hAnsi="宋体" w:cs="宋体"/>
        </w:rPr>
      </w:pPr>
    </w:p>
    <w:p w14:paraId="3B126DF0">
      <w:pPr>
        <w:spacing w:line="360" w:lineRule="auto"/>
        <w:rPr>
          <w:rFonts w:hint="eastAsia" w:ascii="宋体" w:hAnsi="宋体" w:cs="宋体"/>
          <w:b/>
          <w:bCs/>
          <w:sz w:val="24"/>
          <w:szCs w:val="24"/>
        </w:rPr>
      </w:pPr>
    </w:p>
    <w:p w14:paraId="4D106156">
      <w:pPr>
        <w:rPr>
          <w:rFonts w:hint="eastAsia" w:ascii="宋体" w:hAnsi="宋体" w:cs="宋体"/>
          <w:b/>
          <w:sz w:val="24"/>
          <w:szCs w:val="24"/>
        </w:rPr>
      </w:pPr>
      <w:r>
        <w:rPr>
          <w:rFonts w:hint="eastAsia" w:ascii="宋体" w:hAnsi="宋体" w:cs="宋体"/>
          <w:b/>
          <w:sz w:val="24"/>
          <w:szCs w:val="24"/>
        </w:rPr>
        <w:br w:type="page"/>
      </w:r>
    </w:p>
    <w:p w14:paraId="0872EF38">
      <w:pPr>
        <w:rPr>
          <w:rFonts w:hint="eastAsia" w:ascii="宋体" w:hAnsi="宋体" w:cs="宋体"/>
          <w:b/>
          <w:sz w:val="24"/>
          <w:szCs w:val="24"/>
        </w:rPr>
      </w:pPr>
      <w:r>
        <w:rPr>
          <w:rFonts w:hint="eastAsia" w:ascii="宋体" w:hAnsi="宋体" w:cs="宋体"/>
          <w:b/>
          <w:sz w:val="24"/>
          <w:szCs w:val="24"/>
        </w:rPr>
        <w:t>5.1供应商基本情况表</w:t>
      </w:r>
    </w:p>
    <w:p w14:paraId="3C4FFC0E">
      <w:pPr>
        <w:autoSpaceDE w:val="0"/>
        <w:autoSpaceDN w:val="0"/>
        <w:adjustRightInd w:val="0"/>
        <w:spacing w:line="420" w:lineRule="exact"/>
        <w:jc w:val="left"/>
        <w:rPr>
          <w:rFonts w:hint="eastAsia" w:ascii="宋体" w:hAnsi="宋体" w:cs="宋体"/>
          <w:kern w:val="0"/>
          <w:sz w:val="24"/>
          <w:szCs w:val="22"/>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9"/>
        <w:gridCol w:w="1134"/>
        <w:gridCol w:w="1842"/>
        <w:gridCol w:w="10"/>
        <w:gridCol w:w="1266"/>
        <w:gridCol w:w="2107"/>
      </w:tblGrid>
      <w:tr w14:paraId="4CD6F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3856E37">
            <w:pPr>
              <w:topLinePunct/>
              <w:spacing w:line="440" w:lineRule="exact"/>
              <w:ind w:firstLine="480"/>
              <w:rPr>
                <w:rFonts w:hint="eastAsia" w:ascii="宋体" w:hAnsi="宋体" w:cs="宋体"/>
                <w:sz w:val="24"/>
                <w:szCs w:val="24"/>
              </w:rPr>
            </w:pPr>
            <w:r>
              <w:rPr>
                <w:rFonts w:hint="eastAsia" w:ascii="宋体" w:hAnsi="宋体" w:cs="宋体"/>
                <w:sz w:val="24"/>
                <w:szCs w:val="24"/>
              </w:rPr>
              <w:t>供应商名称</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10E2189D">
            <w:pPr>
              <w:topLinePunct/>
              <w:spacing w:line="440" w:lineRule="exact"/>
              <w:ind w:firstLine="480"/>
              <w:jc w:val="center"/>
              <w:rPr>
                <w:rFonts w:hint="eastAsia" w:ascii="宋体" w:hAnsi="宋体" w:cs="宋体"/>
                <w:sz w:val="24"/>
                <w:szCs w:val="24"/>
              </w:rPr>
            </w:pPr>
          </w:p>
        </w:tc>
      </w:tr>
      <w:tr w14:paraId="3EE71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6CCF0102">
            <w:pPr>
              <w:topLinePunct/>
              <w:spacing w:line="440" w:lineRule="exact"/>
              <w:ind w:firstLine="480"/>
              <w:rPr>
                <w:rFonts w:hint="eastAsia" w:ascii="宋体" w:hAnsi="宋体" w:cs="宋体"/>
                <w:sz w:val="24"/>
                <w:szCs w:val="24"/>
              </w:rPr>
            </w:pPr>
            <w:r>
              <w:rPr>
                <w:rFonts w:hint="eastAsia" w:ascii="宋体" w:hAnsi="宋体" w:cs="宋体"/>
                <w:sz w:val="24"/>
                <w:szCs w:val="24"/>
              </w:rPr>
              <w:t>注册地址</w:t>
            </w:r>
          </w:p>
        </w:tc>
        <w:tc>
          <w:tcPr>
            <w:tcW w:w="2986" w:type="dxa"/>
            <w:gridSpan w:val="3"/>
            <w:tcBorders>
              <w:top w:val="single" w:color="auto" w:sz="4" w:space="0"/>
              <w:left w:val="single" w:color="auto" w:sz="4" w:space="0"/>
              <w:bottom w:val="single" w:color="auto" w:sz="4" w:space="0"/>
              <w:right w:val="single" w:color="auto" w:sz="4" w:space="0"/>
            </w:tcBorders>
            <w:vAlign w:val="center"/>
          </w:tcPr>
          <w:p w14:paraId="5C66ADE6">
            <w:pPr>
              <w:topLinePunct/>
              <w:spacing w:line="440" w:lineRule="exact"/>
              <w:ind w:firstLine="480"/>
              <w:jc w:val="center"/>
              <w:rPr>
                <w:rFonts w:hint="eastAsia" w:ascii="宋体" w:hAnsi="宋体" w:cs="宋体"/>
                <w:sz w:val="24"/>
                <w:szCs w:val="24"/>
              </w:rPr>
            </w:pPr>
          </w:p>
        </w:tc>
        <w:tc>
          <w:tcPr>
            <w:tcW w:w="1266" w:type="dxa"/>
            <w:tcBorders>
              <w:top w:val="single" w:color="auto" w:sz="4" w:space="0"/>
              <w:left w:val="single" w:color="auto" w:sz="4" w:space="0"/>
              <w:bottom w:val="single" w:color="auto" w:sz="4" w:space="0"/>
              <w:right w:val="single" w:color="auto" w:sz="4" w:space="0"/>
            </w:tcBorders>
            <w:vAlign w:val="center"/>
          </w:tcPr>
          <w:p w14:paraId="6A2A3A47">
            <w:pPr>
              <w:topLinePunct/>
              <w:spacing w:line="440" w:lineRule="exact"/>
              <w:rPr>
                <w:rFonts w:hint="eastAsia" w:ascii="宋体" w:hAnsi="宋体" w:cs="宋体"/>
                <w:sz w:val="24"/>
                <w:szCs w:val="24"/>
              </w:rPr>
            </w:pPr>
            <w:r>
              <w:rPr>
                <w:rFonts w:hint="eastAsia" w:ascii="宋体" w:hAnsi="宋体" w:cs="宋体"/>
                <w:sz w:val="24"/>
                <w:szCs w:val="24"/>
              </w:rPr>
              <w:t>邮政编码</w:t>
            </w:r>
          </w:p>
        </w:tc>
        <w:tc>
          <w:tcPr>
            <w:tcW w:w="2107" w:type="dxa"/>
            <w:tcBorders>
              <w:top w:val="single" w:color="auto" w:sz="4" w:space="0"/>
              <w:left w:val="single" w:color="auto" w:sz="4" w:space="0"/>
              <w:bottom w:val="single" w:color="auto" w:sz="4" w:space="0"/>
              <w:right w:val="single" w:color="auto" w:sz="4" w:space="0"/>
            </w:tcBorders>
            <w:vAlign w:val="center"/>
          </w:tcPr>
          <w:p w14:paraId="710A9AF2">
            <w:pPr>
              <w:topLinePunct/>
              <w:spacing w:line="440" w:lineRule="exact"/>
              <w:ind w:firstLine="480"/>
              <w:jc w:val="center"/>
              <w:rPr>
                <w:rFonts w:hint="eastAsia" w:ascii="宋体" w:hAnsi="宋体" w:cs="宋体"/>
                <w:sz w:val="24"/>
                <w:szCs w:val="24"/>
              </w:rPr>
            </w:pPr>
          </w:p>
        </w:tc>
      </w:tr>
      <w:tr w14:paraId="33CBF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69" w:type="dxa"/>
            <w:vMerge w:val="restart"/>
            <w:tcBorders>
              <w:top w:val="single" w:color="auto" w:sz="4" w:space="0"/>
              <w:left w:val="single" w:color="auto" w:sz="4" w:space="0"/>
              <w:bottom w:val="single" w:color="auto" w:sz="4" w:space="0"/>
              <w:right w:val="single" w:color="auto" w:sz="4" w:space="0"/>
            </w:tcBorders>
            <w:vAlign w:val="center"/>
          </w:tcPr>
          <w:p w14:paraId="429062A2">
            <w:pPr>
              <w:topLinePunct/>
              <w:spacing w:line="440" w:lineRule="exact"/>
              <w:ind w:firstLine="480"/>
              <w:rPr>
                <w:rFonts w:hint="eastAsia" w:ascii="宋体" w:hAnsi="宋体" w:cs="宋体"/>
                <w:sz w:val="24"/>
                <w:szCs w:val="24"/>
              </w:rPr>
            </w:pPr>
            <w:r>
              <w:rPr>
                <w:rFonts w:hint="eastAsia" w:ascii="宋体" w:hAnsi="宋体" w:cs="宋体"/>
                <w:sz w:val="24"/>
                <w:szCs w:val="24"/>
              </w:rPr>
              <w:t>联系方式</w:t>
            </w:r>
          </w:p>
        </w:tc>
        <w:tc>
          <w:tcPr>
            <w:tcW w:w="1134" w:type="dxa"/>
            <w:tcBorders>
              <w:top w:val="single" w:color="auto" w:sz="4" w:space="0"/>
              <w:left w:val="single" w:color="auto" w:sz="4" w:space="0"/>
              <w:bottom w:val="single" w:color="auto" w:sz="4" w:space="0"/>
              <w:right w:val="single" w:color="auto" w:sz="4" w:space="0"/>
            </w:tcBorders>
            <w:vAlign w:val="center"/>
          </w:tcPr>
          <w:p w14:paraId="3824C841">
            <w:pPr>
              <w:topLinePunct/>
              <w:spacing w:line="440" w:lineRule="exact"/>
              <w:rPr>
                <w:rFonts w:hint="eastAsia" w:ascii="宋体" w:hAnsi="宋体" w:cs="宋体"/>
                <w:sz w:val="24"/>
                <w:szCs w:val="24"/>
              </w:rPr>
            </w:pPr>
            <w:r>
              <w:rPr>
                <w:rFonts w:hint="eastAsia" w:ascii="宋体" w:hAnsi="宋体" w:cs="宋体"/>
                <w:sz w:val="24"/>
                <w:szCs w:val="24"/>
              </w:rPr>
              <w:t>联系人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6233290">
            <w:pPr>
              <w:topLinePunct/>
              <w:spacing w:line="440" w:lineRule="exact"/>
              <w:ind w:firstLine="480"/>
              <w:jc w:val="center"/>
              <w:rPr>
                <w:rFonts w:hint="eastAsia" w:ascii="宋体" w:hAnsi="宋体" w:cs="宋体"/>
                <w:sz w:val="24"/>
                <w:szCs w:val="24"/>
              </w:rPr>
            </w:pPr>
          </w:p>
        </w:tc>
        <w:tc>
          <w:tcPr>
            <w:tcW w:w="1266" w:type="dxa"/>
            <w:tcBorders>
              <w:top w:val="single" w:color="auto" w:sz="4" w:space="0"/>
              <w:left w:val="single" w:color="auto" w:sz="4" w:space="0"/>
              <w:bottom w:val="single" w:color="auto" w:sz="4" w:space="0"/>
              <w:right w:val="single" w:color="auto" w:sz="4" w:space="0"/>
            </w:tcBorders>
            <w:vAlign w:val="center"/>
          </w:tcPr>
          <w:p w14:paraId="3F57AD0F">
            <w:pPr>
              <w:topLinePunct/>
              <w:spacing w:line="440" w:lineRule="exact"/>
              <w:rPr>
                <w:rFonts w:hint="eastAsia" w:ascii="宋体" w:hAnsi="宋体" w:cs="宋体"/>
                <w:sz w:val="24"/>
                <w:szCs w:val="24"/>
              </w:rPr>
            </w:pPr>
            <w:r>
              <w:rPr>
                <w:rFonts w:hint="eastAsia" w:ascii="宋体" w:hAnsi="宋体" w:cs="宋体"/>
                <w:sz w:val="24"/>
                <w:szCs w:val="24"/>
              </w:rPr>
              <w:t>电 话</w:t>
            </w:r>
          </w:p>
        </w:tc>
        <w:tc>
          <w:tcPr>
            <w:tcW w:w="2107" w:type="dxa"/>
            <w:tcBorders>
              <w:top w:val="single" w:color="auto" w:sz="4" w:space="0"/>
              <w:left w:val="single" w:color="auto" w:sz="4" w:space="0"/>
              <w:bottom w:val="single" w:color="auto" w:sz="4" w:space="0"/>
              <w:right w:val="single" w:color="auto" w:sz="4" w:space="0"/>
            </w:tcBorders>
            <w:vAlign w:val="center"/>
          </w:tcPr>
          <w:p w14:paraId="2196DDE9">
            <w:pPr>
              <w:topLinePunct/>
              <w:spacing w:line="440" w:lineRule="exact"/>
              <w:ind w:firstLine="480"/>
              <w:jc w:val="center"/>
              <w:rPr>
                <w:rFonts w:hint="eastAsia" w:ascii="宋体" w:hAnsi="宋体" w:cs="宋体"/>
                <w:sz w:val="24"/>
                <w:szCs w:val="24"/>
              </w:rPr>
            </w:pPr>
          </w:p>
        </w:tc>
      </w:tr>
      <w:tr w14:paraId="6E6F2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jc w:val="center"/>
        </w:trPr>
        <w:tc>
          <w:tcPr>
            <w:tcW w:w="2269" w:type="dxa"/>
            <w:vMerge w:val="continue"/>
            <w:tcBorders>
              <w:top w:val="single" w:color="auto" w:sz="4" w:space="0"/>
              <w:left w:val="single" w:color="auto" w:sz="4" w:space="0"/>
              <w:bottom w:val="single" w:color="auto" w:sz="4" w:space="0"/>
              <w:right w:val="single" w:color="auto" w:sz="4" w:space="0"/>
            </w:tcBorders>
            <w:vAlign w:val="center"/>
          </w:tcPr>
          <w:p w14:paraId="329EE8B7">
            <w:pPr>
              <w:topLinePunct/>
              <w:spacing w:line="440" w:lineRule="exact"/>
              <w:ind w:firstLine="480"/>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5528FE5">
            <w:pPr>
              <w:topLinePunct/>
              <w:spacing w:line="440" w:lineRule="exact"/>
              <w:rPr>
                <w:rFonts w:hint="eastAsia" w:ascii="宋体" w:hAnsi="宋体" w:cs="宋体"/>
                <w:sz w:val="24"/>
                <w:szCs w:val="24"/>
              </w:rPr>
            </w:pPr>
            <w:r>
              <w:rPr>
                <w:rFonts w:hint="eastAsia" w:ascii="宋体" w:hAnsi="宋体" w:cs="宋体"/>
                <w:sz w:val="24"/>
                <w:szCs w:val="24"/>
              </w:rPr>
              <w:t>邮箱</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670EBF">
            <w:pPr>
              <w:topLinePunct/>
              <w:spacing w:line="440" w:lineRule="exact"/>
              <w:ind w:firstLine="480"/>
              <w:jc w:val="center"/>
              <w:rPr>
                <w:rFonts w:hint="eastAsia" w:ascii="宋体" w:hAnsi="宋体" w:cs="宋体"/>
                <w:sz w:val="24"/>
                <w:szCs w:val="24"/>
              </w:rPr>
            </w:pPr>
          </w:p>
        </w:tc>
        <w:tc>
          <w:tcPr>
            <w:tcW w:w="1266" w:type="dxa"/>
            <w:tcBorders>
              <w:top w:val="single" w:color="auto" w:sz="4" w:space="0"/>
              <w:left w:val="single" w:color="auto" w:sz="4" w:space="0"/>
              <w:bottom w:val="single" w:color="auto" w:sz="4" w:space="0"/>
              <w:right w:val="single" w:color="auto" w:sz="4" w:space="0"/>
            </w:tcBorders>
            <w:vAlign w:val="center"/>
          </w:tcPr>
          <w:p w14:paraId="5BAD84F6">
            <w:pPr>
              <w:topLinePunct/>
              <w:spacing w:line="440" w:lineRule="exact"/>
              <w:rPr>
                <w:rFonts w:hint="eastAsia" w:ascii="宋体" w:hAnsi="宋体" w:cs="宋体"/>
                <w:sz w:val="24"/>
                <w:szCs w:val="24"/>
              </w:rPr>
            </w:pPr>
            <w:r>
              <w:rPr>
                <w:rFonts w:hint="eastAsia" w:ascii="宋体" w:hAnsi="宋体" w:cs="宋体"/>
                <w:sz w:val="24"/>
                <w:szCs w:val="24"/>
              </w:rPr>
              <w:t>网 址</w:t>
            </w:r>
          </w:p>
        </w:tc>
        <w:tc>
          <w:tcPr>
            <w:tcW w:w="2107" w:type="dxa"/>
            <w:tcBorders>
              <w:top w:val="single" w:color="auto" w:sz="4" w:space="0"/>
              <w:left w:val="single" w:color="auto" w:sz="4" w:space="0"/>
              <w:bottom w:val="single" w:color="auto" w:sz="4" w:space="0"/>
              <w:right w:val="single" w:color="auto" w:sz="4" w:space="0"/>
            </w:tcBorders>
            <w:vAlign w:val="center"/>
          </w:tcPr>
          <w:p w14:paraId="2AD2A776">
            <w:pPr>
              <w:topLinePunct/>
              <w:spacing w:line="440" w:lineRule="exact"/>
              <w:ind w:firstLine="480"/>
              <w:jc w:val="center"/>
              <w:rPr>
                <w:rFonts w:hint="eastAsia" w:ascii="宋体" w:hAnsi="宋体" w:cs="宋体"/>
                <w:sz w:val="24"/>
                <w:szCs w:val="24"/>
              </w:rPr>
            </w:pPr>
          </w:p>
        </w:tc>
      </w:tr>
      <w:tr w14:paraId="551EA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96D6BF4">
            <w:pPr>
              <w:topLinePunct/>
              <w:spacing w:line="440" w:lineRule="exact"/>
              <w:ind w:firstLine="480"/>
              <w:rPr>
                <w:rFonts w:hint="eastAsia" w:ascii="宋体" w:hAnsi="宋体" w:cs="宋体"/>
                <w:sz w:val="24"/>
                <w:szCs w:val="24"/>
              </w:rPr>
            </w:pPr>
            <w:r>
              <w:rPr>
                <w:rFonts w:hint="eastAsia" w:ascii="宋体" w:hAnsi="宋体" w:cs="宋体"/>
                <w:sz w:val="24"/>
                <w:szCs w:val="24"/>
              </w:rPr>
              <w:t>法定代表人</w:t>
            </w:r>
          </w:p>
        </w:tc>
        <w:tc>
          <w:tcPr>
            <w:tcW w:w="1134" w:type="dxa"/>
            <w:tcBorders>
              <w:top w:val="single" w:color="auto" w:sz="4" w:space="0"/>
              <w:left w:val="single" w:color="auto" w:sz="4" w:space="0"/>
              <w:bottom w:val="single" w:color="auto" w:sz="4" w:space="0"/>
              <w:right w:val="single" w:color="auto" w:sz="4" w:space="0"/>
            </w:tcBorders>
            <w:vAlign w:val="center"/>
          </w:tcPr>
          <w:p w14:paraId="35D35193">
            <w:pPr>
              <w:topLinePunct/>
              <w:spacing w:line="440" w:lineRule="exact"/>
              <w:rPr>
                <w:rFonts w:hint="eastAsia" w:ascii="宋体" w:hAnsi="宋体" w:cs="宋体"/>
                <w:sz w:val="24"/>
                <w:szCs w:val="24"/>
              </w:rPr>
            </w:pPr>
            <w:r>
              <w:rPr>
                <w:rFonts w:hint="eastAsia" w:ascii="宋体" w:hAnsi="宋体" w:cs="宋体"/>
                <w:sz w:val="24"/>
                <w:szCs w:val="24"/>
              </w:rPr>
              <w:t>姓名</w:t>
            </w:r>
          </w:p>
        </w:tc>
        <w:tc>
          <w:tcPr>
            <w:tcW w:w="1842" w:type="dxa"/>
            <w:tcBorders>
              <w:top w:val="single" w:color="auto" w:sz="4" w:space="0"/>
              <w:left w:val="single" w:color="auto" w:sz="4" w:space="0"/>
              <w:bottom w:val="single" w:color="auto" w:sz="4" w:space="0"/>
              <w:right w:val="single" w:color="auto" w:sz="4" w:space="0"/>
            </w:tcBorders>
            <w:vAlign w:val="center"/>
          </w:tcPr>
          <w:p w14:paraId="06ED3764">
            <w:pPr>
              <w:topLinePunct/>
              <w:spacing w:line="440" w:lineRule="exact"/>
              <w:ind w:firstLine="480"/>
              <w:jc w:val="center"/>
              <w:rPr>
                <w:rFonts w:hint="eastAsia" w:ascii="宋体" w:hAnsi="宋体" w:cs="宋体"/>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572B9A4">
            <w:pPr>
              <w:topLinePunct/>
              <w:spacing w:line="440" w:lineRule="exact"/>
              <w:rPr>
                <w:rFonts w:hint="eastAsia" w:ascii="宋体" w:hAnsi="宋体" w:cs="宋体"/>
                <w:sz w:val="24"/>
                <w:szCs w:val="24"/>
              </w:rPr>
            </w:pPr>
            <w:r>
              <w:rPr>
                <w:rFonts w:hint="eastAsia" w:ascii="宋体" w:hAnsi="宋体" w:cs="宋体"/>
                <w:sz w:val="24"/>
                <w:szCs w:val="24"/>
              </w:rPr>
              <w:t>电话</w:t>
            </w:r>
          </w:p>
        </w:tc>
        <w:tc>
          <w:tcPr>
            <w:tcW w:w="2107" w:type="dxa"/>
            <w:tcBorders>
              <w:top w:val="single" w:color="auto" w:sz="4" w:space="0"/>
              <w:left w:val="single" w:color="auto" w:sz="4" w:space="0"/>
              <w:bottom w:val="single" w:color="auto" w:sz="4" w:space="0"/>
              <w:right w:val="single" w:color="auto" w:sz="4" w:space="0"/>
            </w:tcBorders>
            <w:vAlign w:val="center"/>
          </w:tcPr>
          <w:p w14:paraId="2D4898E7">
            <w:pPr>
              <w:topLinePunct/>
              <w:spacing w:line="440" w:lineRule="exact"/>
              <w:ind w:firstLine="480"/>
              <w:jc w:val="center"/>
              <w:rPr>
                <w:rFonts w:hint="eastAsia" w:ascii="宋体" w:hAnsi="宋体" w:cs="宋体"/>
                <w:sz w:val="24"/>
                <w:szCs w:val="24"/>
              </w:rPr>
            </w:pPr>
          </w:p>
        </w:tc>
      </w:tr>
      <w:tr w14:paraId="322D8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3AB89C6">
            <w:pPr>
              <w:topLinePunct/>
              <w:spacing w:line="440" w:lineRule="exact"/>
              <w:ind w:firstLine="480"/>
              <w:rPr>
                <w:rFonts w:hint="eastAsia" w:ascii="宋体" w:hAnsi="宋体" w:cs="宋体"/>
                <w:sz w:val="24"/>
                <w:szCs w:val="24"/>
              </w:rPr>
            </w:pPr>
            <w:r>
              <w:rPr>
                <w:rFonts w:hint="eastAsia" w:ascii="宋体" w:hAnsi="宋体" w:cs="宋体"/>
                <w:sz w:val="24"/>
                <w:szCs w:val="24"/>
              </w:rPr>
              <w:t>成立时间</w:t>
            </w:r>
          </w:p>
        </w:tc>
        <w:tc>
          <w:tcPr>
            <w:tcW w:w="2976" w:type="dxa"/>
            <w:gridSpan w:val="2"/>
            <w:tcBorders>
              <w:top w:val="single" w:color="auto" w:sz="4" w:space="0"/>
              <w:left w:val="single" w:color="auto" w:sz="4" w:space="0"/>
              <w:bottom w:val="single" w:color="auto" w:sz="4" w:space="0"/>
              <w:right w:val="single" w:color="auto" w:sz="4" w:space="0"/>
            </w:tcBorders>
            <w:vAlign w:val="center"/>
          </w:tcPr>
          <w:p w14:paraId="36D135F1">
            <w:pPr>
              <w:topLinePunct/>
              <w:spacing w:line="440" w:lineRule="exact"/>
              <w:ind w:firstLine="480"/>
              <w:jc w:val="center"/>
              <w:rPr>
                <w:rFonts w:hint="eastAsia" w:ascii="宋体" w:hAnsi="宋体" w:cs="宋体"/>
                <w:sz w:val="24"/>
                <w:szCs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130F1D32">
            <w:pPr>
              <w:topLinePunct/>
              <w:spacing w:line="440" w:lineRule="exact"/>
              <w:ind w:firstLine="120" w:firstLineChars="50"/>
              <w:rPr>
                <w:rFonts w:hint="eastAsia" w:ascii="宋体" w:hAnsi="宋体" w:cs="宋体"/>
                <w:sz w:val="24"/>
                <w:szCs w:val="24"/>
              </w:rPr>
            </w:pPr>
            <w:r>
              <w:rPr>
                <w:rFonts w:hint="eastAsia" w:ascii="宋体" w:hAnsi="宋体" w:cs="宋体"/>
                <w:sz w:val="24"/>
                <w:szCs w:val="24"/>
              </w:rPr>
              <w:t>员工总人数</w:t>
            </w:r>
          </w:p>
        </w:tc>
        <w:tc>
          <w:tcPr>
            <w:tcW w:w="2107" w:type="dxa"/>
            <w:tcBorders>
              <w:top w:val="single" w:color="auto" w:sz="4" w:space="0"/>
              <w:left w:val="single" w:color="auto" w:sz="4" w:space="0"/>
              <w:bottom w:val="single" w:color="auto" w:sz="4" w:space="0"/>
              <w:right w:val="single" w:color="auto" w:sz="4" w:space="0"/>
            </w:tcBorders>
            <w:vAlign w:val="center"/>
          </w:tcPr>
          <w:p w14:paraId="45DFB4F2">
            <w:pPr>
              <w:topLinePunct/>
              <w:spacing w:line="440" w:lineRule="exact"/>
              <w:ind w:firstLine="120" w:firstLineChars="50"/>
              <w:jc w:val="center"/>
              <w:rPr>
                <w:rFonts w:hint="eastAsia" w:ascii="宋体" w:hAnsi="宋体" w:cs="宋体"/>
                <w:sz w:val="24"/>
                <w:szCs w:val="24"/>
              </w:rPr>
            </w:pPr>
          </w:p>
        </w:tc>
      </w:tr>
      <w:tr w14:paraId="3ED3B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6BDBBF4">
            <w:pPr>
              <w:topLinePunct/>
              <w:spacing w:line="440" w:lineRule="exact"/>
              <w:ind w:firstLine="480"/>
              <w:rPr>
                <w:rFonts w:hint="eastAsia" w:ascii="宋体" w:hAnsi="宋体" w:cs="宋体"/>
                <w:sz w:val="24"/>
                <w:szCs w:val="24"/>
              </w:rPr>
            </w:pPr>
            <w:r>
              <w:rPr>
                <w:rFonts w:hint="eastAsia" w:ascii="宋体" w:hAnsi="宋体" w:cs="宋体"/>
                <w:sz w:val="24"/>
                <w:szCs w:val="24"/>
              </w:rPr>
              <w:t>营业执照号</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07E03166">
            <w:pPr>
              <w:topLinePunct/>
              <w:spacing w:line="440" w:lineRule="exact"/>
              <w:ind w:firstLine="480"/>
              <w:jc w:val="center"/>
              <w:rPr>
                <w:rFonts w:hint="eastAsia" w:ascii="宋体" w:hAnsi="宋体" w:cs="宋体"/>
                <w:sz w:val="24"/>
                <w:szCs w:val="24"/>
              </w:rPr>
            </w:pPr>
          </w:p>
        </w:tc>
      </w:tr>
      <w:tr w14:paraId="6D3BC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BA851F1">
            <w:pPr>
              <w:topLinePunct/>
              <w:spacing w:line="440" w:lineRule="exact"/>
              <w:ind w:firstLine="480"/>
              <w:rPr>
                <w:rFonts w:hint="eastAsia" w:ascii="宋体" w:hAnsi="宋体" w:cs="宋体"/>
                <w:sz w:val="24"/>
                <w:szCs w:val="24"/>
              </w:rPr>
            </w:pPr>
            <w:r>
              <w:rPr>
                <w:rFonts w:hint="eastAsia" w:ascii="宋体" w:hAnsi="宋体" w:cs="宋体"/>
                <w:sz w:val="24"/>
                <w:szCs w:val="24"/>
              </w:rPr>
              <w:t>注册资本</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635C7685">
            <w:pPr>
              <w:topLinePunct/>
              <w:spacing w:line="440" w:lineRule="exact"/>
              <w:ind w:firstLine="480"/>
              <w:jc w:val="center"/>
              <w:rPr>
                <w:rFonts w:hint="eastAsia" w:ascii="宋体" w:hAnsi="宋体" w:cs="宋体"/>
                <w:sz w:val="24"/>
                <w:szCs w:val="24"/>
              </w:rPr>
            </w:pPr>
          </w:p>
        </w:tc>
      </w:tr>
      <w:tr w14:paraId="4DB4F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8A94CEF">
            <w:pPr>
              <w:topLinePunct/>
              <w:spacing w:line="440" w:lineRule="exact"/>
              <w:rPr>
                <w:rFonts w:hint="eastAsia" w:ascii="宋体" w:hAnsi="宋体" w:cs="宋体"/>
                <w:sz w:val="24"/>
                <w:szCs w:val="24"/>
              </w:rPr>
            </w:pPr>
            <w:r>
              <w:rPr>
                <w:rFonts w:hint="eastAsia" w:ascii="宋体" w:hAnsi="宋体" w:cs="宋体"/>
                <w:sz w:val="24"/>
                <w:szCs w:val="24"/>
              </w:rPr>
              <w:t>基本账户开户银行</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01F922B4">
            <w:pPr>
              <w:topLinePunct/>
              <w:spacing w:line="440" w:lineRule="exact"/>
              <w:ind w:firstLine="480"/>
              <w:jc w:val="center"/>
              <w:rPr>
                <w:rFonts w:hint="eastAsia" w:ascii="宋体" w:hAnsi="宋体" w:cs="宋体"/>
                <w:sz w:val="24"/>
                <w:szCs w:val="24"/>
              </w:rPr>
            </w:pPr>
          </w:p>
        </w:tc>
      </w:tr>
      <w:tr w14:paraId="38640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287FED6">
            <w:pPr>
              <w:topLinePunct/>
              <w:spacing w:line="440" w:lineRule="exact"/>
              <w:rPr>
                <w:rFonts w:hint="eastAsia" w:ascii="宋体" w:hAnsi="宋体" w:cs="宋体"/>
                <w:sz w:val="24"/>
                <w:szCs w:val="24"/>
              </w:rPr>
            </w:pPr>
            <w:r>
              <w:rPr>
                <w:rFonts w:hint="eastAsia" w:ascii="宋体" w:hAnsi="宋体" w:cs="宋体"/>
                <w:sz w:val="24"/>
                <w:szCs w:val="24"/>
              </w:rPr>
              <w:t>基本账户银行账号</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26482299">
            <w:pPr>
              <w:topLinePunct/>
              <w:spacing w:line="440" w:lineRule="exact"/>
              <w:ind w:firstLine="480"/>
              <w:jc w:val="center"/>
              <w:rPr>
                <w:rFonts w:hint="eastAsia" w:ascii="宋体" w:hAnsi="宋体" w:cs="宋体"/>
                <w:sz w:val="24"/>
                <w:szCs w:val="24"/>
              </w:rPr>
            </w:pPr>
          </w:p>
        </w:tc>
      </w:tr>
      <w:tr w14:paraId="486A2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2269" w:type="dxa"/>
            <w:tcBorders>
              <w:top w:val="single" w:color="auto" w:sz="4" w:space="0"/>
              <w:left w:val="single" w:color="auto" w:sz="4" w:space="0"/>
              <w:right w:val="single" w:color="auto" w:sz="4" w:space="0"/>
            </w:tcBorders>
            <w:vAlign w:val="center"/>
          </w:tcPr>
          <w:p w14:paraId="7146C1BA">
            <w:pPr>
              <w:topLinePunct/>
              <w:spacing w:line="440" w:lineRule="exact"/>
              <w:ind w:firstLine="240" w:firstLineChars="100"/>
              <w:rPr>
                <w:rFonts w:hint="eastAsia" w:ascii="宋体" w:hAnsi="宋体" w:cs="宋体"/>
                <w:sz w:val="24"/>
                <w:szCs w:val="24"/>
              </w:rPr>
            </w:pPr>
            <w:r>
              <w:rPr>
                <w:rFonts w:hint="eastAsia" w:ascii="宋体" w:hAnsi="宋体" w:cs="宋体"/>
                <w:sz w:val="24"/>
                <w:szCs w:val="24"/>
              </w:rPr>
              <w:t>经营范围</w:t>
            </w:r>
          </w:p>
        </w:tc>
        <w:tc>
          <w:tcPr>
            <w:tcW w:w="6359" w:type="dxa"/>
            <w:gridSpan w:val="5"/>
            <w:tcBorders>
              <w:top w:val="single" w:color="auto" w:sz="4" w:space="0"/>
              <w:left w:val="single" w:color="auto" w:sz="4" w:space="0"/>
              <w:right w:val="single" w:color="auto" w:sz="4" w:space="0"/>
            </w:tcBorders>
            <w:vAlign w:val="center"/>
          </w:tcPr>
          <w:p w14:paraId="4282F2F5">
            <w:pPr>
              <w:topLinePunct/>
              <w:spacing w:line="440" w:lineRule="exact"/>
              <w:ind w:firstLine="480"/>
              <w:rPr>
                <w:rFonts w:hint="eastAsia" w:ascii="宋体" w:hAnsi="宋体" w:cs="宋体"/>
                <w:sz w:val="24"/>
                <w:szCs w:val="24"/>
              </w:rPr>
            </w:pPr>
          </w:p>
          <w:p w14:paraId="34AF7A8B">
            <w:pPr>
              <w:topLinePunct/>
              <w:spacing w:line="440" w:lineRule="exact"/>
              <w:ind w:firstLine="480"/>
              <w:rPr>
                <w:rFonts w:hint="eastAsia" w:ascii="宋体" w:hAnsi="宋体" w:cs="宋体"/>
                <w:sz w:val="24"/>
                <w:szCs w:val="24"/>
              </w:rPr>
            </w:pPr>
          </w:p>
          <w:p w14:paraId="4AFD02A8">
            <w:pPr>
              <w:topLinePunct/>
              <w:spacing w:line="440" w:lineRule="exact"/>
              <w:ind w:firstLine="480"/>
              <w:rPr>
                <w:rFonts w:hint="eastAsia" w:ascii="宋体" w:hAnsi="宋体" w:cs="宋体"/>
                <w:sz w:val="24"/>
                <w:szCs w:val="24"/>
              </w:rPr>
            </w:pPr>
          </w:p>
          <w:p w14:paraId="675BD0E7">
            <w:pPr>
              <w:topLinePunct/>
              <w:spacing w:line="440" w:lineRule="exact"/>
              <w:ind w:firstLine="480"/>
              <w:rPr>
                <w:rFonts w:hint="eastAsia" w:ascii="宋体" w:hAnsi="宋体" w:cs="宋体"/>
                <w:sz w:val="24"/>
                <w:szCs w:val="24"/>
              </w:rPr>
            </w:pPr>
          </w:p>
        </w:tc>
      </w:tr>
      <w:tr w14:paraId="6AAA8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A812391">
            <w:pPr>
              <w:topLinePunct/>
              <w:spacing w:line="440" w:lineRule="exact"/>
              <w:ind w:firstLine="480"/>
              <w:rPr>
                <w:rFonts w:hint="eastAsia" w:ascii="宋体" w:hAnsi="宋体" w:cs="宋体"/>
                <w:sz w:val="24"/>
                <w:szCs w:val="24"/>
              </w:rPr>
            </w:pPr>
            <w:r>
              <w:rPr>
                <w:rFonts w:hint="eastAsia" w:ascii="宋体" w:hAnsi="宋体" w:cs="宋体"/>
                <w:sz w:val="24"/>
                <w:szCs w:val="24"/>
              </w:rPr>
              <w:t>备注</w:t>
            </w:r>
          </w:p>
        </w:tc>
        <w:tc>
          <w:tcPr>
            <w:tcW w:w="6359" w:type="dxa"/>
            <w:gridSpan w:val="5"/>
            <w:tcBorders>
              <w:top w:val="single" w:color="auto" w:sz="4" w:space="0"/>
              <w:left w:val="single" w:color="auto" w:sz="4" w:space="0"/>
              <w:bottom w:val="single" w:color="auto" w:sz="4" w:space="0"/>
              <w:right w:val="single" w:color="auto" w:sz="4" w:space="0"/>
            </w:tcBorders>
            <w:vAlign w:val="center"/>
          </w:tcPr>
          <w:p w14:paraId="373E4359">
            <w:pPr>
              <w:topLinePunct/>
              <w:spacing w:line="440" w:lineRule="exact"/>
              <w:ind w:firstLine="480"/>
              <w:jc w:val="center"/>
              <w:rPr>
                <w:rFonts w:hint="eastAsia" w:ascii="宋体" w:hAnsi="宋体" w:cs="宋体"/>
                <w:sz w:val="24"/>
                <w:szCs w:val="24"/>
              </w:rPr>
            </w:pPr>
          </w:p>
        </w:tc>
      </w:tr>
    </w:tbl>
    <w:p w14:paraId="2AFF356F">
      <w:pPr>
        <w:tabs>
          <w:tab w:val="left" w:pos="8782"/>
        </w:tabs>
        <w:snapToGrid w:val="0"/>
        <w:ind w:left="503" w:leftChars="50" w:right="-38" w:hanging="398" w:hangingChars="166"/>
        <w:rPr>
          <w:rFonts w:hint="eastAsia" w:ascii="宋体" w:hAnsi="宋体" w:cs="宋体"/>
          <w:sz w:val="24"/>
          <w:szCs w:val="24"/>
        </w:rPr>
      </w:pPr>
    </w:p>
    <w:p w14:paraId="1BB1AF14">
      <w:pPr>
        <w:tabs>
          <w:tab w:val="left" w:pos="8782"/>
        </w:tabs>
        <w:snapToGrid w:val="0"/>
        <w:ind w:left="501" w:leftChars="107" w:right="-38" w:hanging="276" w:hangingChars="115"/>
        <w:rPr>
          <w:rFonts w:hint="eastAsia" w:ascii="宋体" w:hAnsi="宋体" w:cs="宋体"/>
          <w:sz w:val="24"/>
          <w:szCs w:val="24"/>
        </w:rPr>
      </w:pPr>
      <w:r>
        <w:rPr>
          <w:rFonts w:hint="eastAsia" w:ascii="宋体" w:hAnsi="宋体" w:cs="宋体"/>
          <w:sz w:val="24"/>
          <w:szCs w:val="24"/>
        </w:rPr>
        <w:t>注：供应商应提供表中所列营业执照等相关资料。</w:t>
      </w:r>
    </w:p>
    <w:p w14:paraId="0A965E3F">
      <w:pPr>
        <w:rPr>
          <w:rFonts w:hint="eastAsia" w:ascii="宋体" w:hAnsi="宋体" w:cs="宋体"/>
          <w:b/>
          <w:sz w:val="24"/>
          <w:szCs w:val="24"/>
        </w:rPr>
      </w:pPr>
    </w:p>
    <w:p w14:paraId="45AA5168">
      <w:pPr>
        <w:rPr>
          <w:rFonts w:hint="eastAsia" w:ascii="宋体" w:hAnsi="宋体" w:cs="宋体"/>
          <w:b/>
          <w:sz w:val="24"/>
          <w:szCs w:val="24"/>
        </w:rPr>
      </w:pPr>
    </w:p>
    <w:p w14:paraId="3201D74D">
      <w:pPr>
        <w:spacing w:line="400" w:lineRule="atLeast"/>
        <w:ind w:firstLine="2760" w:firstLineChars="1150"/>
        <w:rPr>
          <w:rFonts w:hint="eastAsia" w:ascii="宋体" w:hAnsi="宋体" w:cs="宋体"/>
          <w:sz w:val="24"/>
          <w:szCs w:val="24"/>
        </w:rPr>
      </w:pPr>
    </w:p>
    <w:p w14:paraId="0BAD7A9F">
      <w:pPr>
        <w:spacing w:line="400" w:lineRule="atLeast"/>
        <w:ind w:firstLine="2760" w:firstLineChars="1150"/>
        <w:rPr>
          <w:rFonts w:hint="eastAsia" w:ascii="宋体" w:hAnsi="宋体" w:cs="宋体"/>
          <w:sz w:val="24"/>
          <w:szCs w:val="24"/>
        </w:rPr>
      </w:pPr>
    </w:p>
    <w:p w14:paraId="1945CA7B">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25758450">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2861AA4F">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45CF69D9">
      <w:pPr>
        <w:spacing w:line="360" w:lineRule="auto"/>
        <w:rPr>
          <w:rFonts w:hint="eastAsia" w:ascii="宋体" w:hAnsi="宋体" w:cs="宋体"/>
          <w:b/>
          <w:bCs/>
          <w:sz w:val="24"/>
          <w:szCs w:val="24"/>
        </w:rPr>
      </w:pPr>
    </w:p>
    <w:p w14:paraId="411C78CF">
      <w:pPr>
        <w:spacing w:line="360" w:lineRule="auto"/>
        <w:rPr>
          <w:rFonts w:hint="eastAsia" w:ascii="宋体" w:hAnsi="宋体" w:cs="宋体"/>
          <w:b/>
          <w:bCs/>
          <w:sz w:val="24"/>
          <w:szCs w:val="24"/>
        </w:rPr>
      </w:pPr>
    </w:p>
    <w:p w14:paraId="7C5361E8">
      <w:pPr>
        <w:pStyle w:val="12"/>
        <w:rPr>
          <w:rFonts w:hint="eastAsia" w:ascii="宋体" w:hAnsi="宋体" w:eastAsia="宋体"/>
        </w:rPr>
      </w:pPr>
    </w:p>
    <w:p w14:paraId="25DFF0C7">
      <w:pPr>
        <w:rPr>
          <w:rFonts w:hint="eastAsia" w:ascii="宋体" w:hAnsi="宋体" w:cs="宋体"/>
          <w:b/>
          <w:sz w:val="24"/>
          <w:szCs w:val="24"/>
        </w:rPr>
      </w:pPr>
      <w:r>
        <w:rPr>
          <w:rFonts w:hint="eastAsia" w:ascii="宋体" w:hAnsi="宋体" w:cs="宋体"/>
          <w:b/>
          <w:sz w:val="24"/>
          <w:szCs w:val="24"/>
        </w:rPr>
        <w:t>5.2</w:t>
      </w:r>
      <w:r>
        <w:rPr>
          <w:rFonts w:hint="eastAsia" w:ascii="宋体" w:hAnsi="宋体" w:cs="宋体"/>
          <w:b/>
          <w:color w:val="000000"/>
          <w:sz w:val="24"/>
          <w:szCs w:val="24"/>
        </w:rPr>
        <w:t>资格证明文件</w:t>
      </w:r>
    </w:p>
    <w:p w14:paraId="1B24C090">
      <w:pPr>
        <w:pStyle w:val="12"/>
        <w:rPr>
          <w:rFonts w:hint="eastAsia" w:ascii="宋体" w:hAnsi="宋体" w:eastAsia="宋体"/>
        </w:rPr>
      </w:pPr>
    </w:p>
    <w:p w14:paraId="6BFC059D">
      <w:pPr>
        <w:spacing w:line="480" w:lineRule="auto"/>
        <w:ind w:left="-40" w:leftChars="-19" w:right="452" w:firstLine="118" w:firstLineChars="49"/>
        <w:jc w:val="left"/>
        <w:rPr>
          <w:rFonts w:hint="eastAsia" w:ascii="宋体" w:hAnsi="宋体" w:cs="宋体"/>
          <w:b/>
          <w:spacing w:val="6"/>
          <w:sz w:val="24"/>
          <w:szCs w:val="24"/>
        </w:rPr>
      </w:pPr>
      <w:r>
        <w:rPr>
          <w:rFonts w:hint="eastAsia" w:ascii="宋体" w:hAnsi="宋体" w:cs="宋体"/>
          <w:b/>
          <w:sz w:val="24"/>
          <w:szCs w:val="24"/>
        </w:rPr>
        <w:t>5.3</w:t>
      </w:r>
      <w:r>
        <w:rPr>
          <w:rFonts w:hint="eastAsia" w:ascii="宋体" w:hAnsi="宋体" w:cs="宋体"/>
          <w:b/>
          <w:spacing w:val="6"/>
          <w:sz w:val="24"/>
          <w:szCs w:val="24"/>
        </w:rPr>
        <w:t>供应商2022年以来类似项目业绩</w:t>
      </w:r>
    </w:p>
    <w:p w14:paraId="3E7045CE">
      <w:pPr>
        <w:spacing w:line="360" w:lineRule="auto"/>
        <w:ind w:left="-30" w:leftChars="-95" w:right="452" w:hanging="169" w:hangingChars="67"/>
        <w:jc w:val="center"/>
        <w:rPr>
          <w:rFonts w:hint="eastAsia" w:ascii="宋体" w:hAnsi="宋体" w:cs="宋体"/>
          <w:b/>
          <w:spacing w:val="6"/>
          <w:sz w:val="24"/>
          <w:szCs w:val="24"/>
        </w:rPr>
      </w:pPr>
      <w:r>
        <w:rPr>
          <w:rFonts w:hint="eastAsia" w:ascii="宋体" w:hAnsi="宋体" w:cs="宋体"/>
          <w:b/>
          <w:spacing w:val="6"/>
          <w:sz w:val="24"/>
          <w:szCs w:val="24"/>
        </w:rPr>
        <w:t>供应商2022年以来类似项目业绩一览表</w:t>
      </w:r>
    </w:p>
    <w:tbl>
      <w:tblPr>
        <w:tblStyle w:val="22"/>
        <w:tblW w:w="83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29"/>
        <w:gridCol w:w="1357"/>
        <w:gridCol w:w="1666"/>
        <w:gridCol w:w="1418"/>
        <w:gridCol w:w="1123"/>
        <w:gridCol w:w="1579"/>
      </w:tblGrid>
      <w:tr w14:paraId="6F2595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93" w:hRule="atLeast"/>
          <w:jc w:val="center"/>
        </w:trPr>
        <w:tc>
          <w:tcPr>
            <w:tcW w:w="1229" w:type="dxa"/>
            <w:tcBorders>
              <w:top w:val="single" w:color="auto" w:sz="4" w:space="0"/>
              <w:left w:val="single" w:color="auto" w:sz="4" w:space="0"/>
              <w:bottom w:val="single" w:color="auto" w:sz="6" w:space="0"/>
              <w:right w:val="single" w:color="auto" w:sz="6" w:space="0"/>
            </w:tcBorders>
            <w:vAlign w:val="center"/>
          </w:tcPr>
          <w:p w14:paraId="7432CDB8">
            <w:pPr>
              <w:spacing w:line="400" w:lineRule="exact"/>
              <w:rPr>
                <w:rFonts w:hint="eastAsia" w:ascii="宋体" w:hAnsi="宋体" w:cs="宋体"/>
                <w:sz w:val="24"/>
                <w:szCs w:val="24"/>
              </w:rPr>
            </w:pPr>
            <w:r>
              <w:rPr>
                <w:rFonts w:hint="eastAsia" w:ascii="宋体" w:hAnsi="宋体" w:cs="宋体"/>
                <w:sz w:val="24"/>
                <w:szCs w:val="24"/>
              </w:rPr>
              <w:t>序号</w:t>
            </w:r>
          </w:p>
        </w:tc>
        <w:tc>
          <w:tcPr>
            <w:tcW w:w="1357" w:type="dxa"/>
            <w:tcBorders>
              <w:top w:val="single" w:color="auto" w:sz="4" w:space="0"/>
              <w:left w:val="single" w:color="auto" w:sz="6" w:space="0"/>
              <w:bottom w:val="single" w:color="auto" w:sz="6" w:space="0"/>
              <w:right w:val="single" w:color="auto" w:sz="6" w:space="0"/>
            </w:tcBorders>
            <w:vAlign w:val="center"/>
          </w:tcPr>
          <w:p w14:paraId="5C0AFC89">
            <w:pPr>
              <w:spacing w:line="400" w:lineRule="exact"/>
              <w:jc w:val="center"/>
              <w:rPr>
                <w:rFonts w:hint="eastAsia" w:ascii="宋体" w:hAnsi="宋体" w:cs="宋体"/>
                <w:sz w:val="24"/>
                <w:szCs w:val="24"/>
              </w:rPr>
            </w:pPr>
            <w:r>
              <w:rPr>
                <w:rFonts w:hint="eastAsia" w:ascii="宋体" w:hAnsi="宋体" w:cs="宋体"/>
                <w:sz w:val="24"/>
                <w:szCs w:val="24"/>
              </w:rPr>
              <w:t>项目名称</w:t>
            </w:r>
          </w:p>
        </w:tc>
        <w:tc>
          <w:tcPr>
            <w:tcW w:w="1666" w:type="dxa"/>
            <w:tcBorders>
              <w:top w:val="single" w:color="auto" w:sz="4" w:space="0"/>
              <w:left w:val="single" w:color="auto" w:sz="6" w:space="0"/>
              <w:bottom w:val="single" w:color="auto" w:sz="6" w:space="0"/>
              <w:right w:val="single" w:color="auto" w:sz="6" w:space="0"/>
            </w:tcBorders>
            <w:vAlign w:val="center"/>
          </w:tcPr>
          <w:p w14:paraId="2C86F4CE">
            <w:pPr>
              <w:spacing w:line="400" w:lineRule="exact"/>
              <w:ind w:firstLine="120" w:firstLineChars="50"/>
              <w:rPr>
                <w:rFonts w:hint="eastAsia" w:ascii="宋体" w:hAnsi="宋体" w:cs="宋体"/>
                <w:sz w:val="24"/>
                <w:szCs w:val="24"/>
              </w:rPr>
            </w:pPr>
            <w:r>
              <w:rPr>
                <w:rFonts w:hint="eastAsia" w:ascii="宋体" w:hAnsi="宋体" w:cs="宋体"/>
                <w:sz w:val="24"/>
                <w:szCs w:val="24"/>
              </w:rPr>
              <w:t>合同金额</w:t>
            </w:r>
          </w:p>
        </w:tc>
        <w:tc>
          <w:tcPr>
            <w:tcW w:w="1418" w:type="dxa"/>
            <w:tcBorders>
              <w:top w:val="single" w:color="auto" w:sz="4" w:space="0"/>
              <w:left w:val="single" w:color="auto" w:sz="6" w:space="0"/>
              <w:bottom w:val="single" w:color="auto" w:sz="6" w:space="0"/>
              <w:right w:val="single" w:color="auto" w:sz="4" w:space="0"/>
            </w:tcBorders>
            <w:vAlign w:val="center"/>
          </w:tcPr>
          <w:p w14:paraId="506A3EEE">
            <w:pPr>
              <w:spacing w:line="240" w:lineRule="atLeast"/>
              <w:jc w:val="center"/>
              <w:rPr>
                <w:rFonts w:hint="eastAsia" w:ascii="宋体" w:hAnsi="宋体" w:cs="宋体"/>
                <w:sz w:val="24"/>
                <w:szCs w:val="24"/>
              </w:rPr>
            </w:pPr>
            <w:r>
              <w:rPr>
                <w:rFonts w:hint="eastAsia" w:ascii="宋体" w:hAnsi="宋体" w:cs="宋体"/>
                <w:sz w:val="24"/>
                <w:szCs w:val="24"/>
              </w:rPr>
              <w:t>完成</w:t>
            </w:r>
          </w:p>
          <w:p w14:paraId="16FCFDDD">
            <w:pPr>
              <w:spacing w:line="240" w:lineRule="atLeast"/>
              <w:jc w:val="center"/>
              <w:rPr>
                <w:rFonts w:hint="eastAsia" w:ascii="宋体" w:hAnsi="宋体" w:cs="宋体"/>
                <w:sz w:val="24"/>
                <w:szCs w:val="24"/>
              </w:rPr>
            </w:pPr>
            <w:r>
              <w:rPr>
                <w:rFonts w:hint="eastAsia" w:ascii="宋体" w:hAnsi="宋体" w:cs="宋体"/>
                <w:sz w:val="24"/>
                <w:szCs w:val="24"/>
              </w:rPr>
              <w:t>项目质量</w:t>
            </w:r>
          </w:p>
        </w:tc>
        <w:tc>
          <w:tcPr>
            <w:tcW w:w="1123" w:type="dxa"/>
            <w:tcBorders>
              <w:top w:val="single" w:color="auto" w:sz="4" w:space="0"/>
              <w:left w:val="single" w:color="auto" w:sz="4" w:space="0"/>
              <w:bottom w:val="single" w:color="auto" w:sz="6" w:space="0"/>
              <w:right w:val="single" w:color="auto" w:sz="6" w:space="0"/>
            </w:tcBorders>
            <w:vAlign w:val="center"/>
          </w:tcPr>
          <w:p w14:paraId="02A3D31E">
            <w:pPr>
              <w:spacing w:line="400" w:lineRule="exact"/>
              <w:rPr>
                <w:rFonts w:hint="eastAsia" w:ascii="宋体" w:hAnsi="宋体" w:cs="宋体"/>
                <w:sz w:val="24"/>
                <w:szCs w:val="24"/>
              </w:rPr>
            </w:pPr>
            <w:r>
              <w:rPr>
                <w:rFonts w:hint="eastAsia" w:ascii="宋体" w:hAnsi="宋体" w:cs="宋体"/>
                <w:sz w:val="24"/>
                <w:szCs w:val="24"/>
              </w:rPr>
              <w:t>完成日期</w:t>
            </w:r>
          </w:p>
        </w:tc>
        <w:tc>
          <w:tcPr>
            <w:tcW w:w="1579" w:type="dxa"/>
            <w:tcBorders>
              <w:top w:val="single" w:color="auto" w:sz="4" w:space="0"/>
              <w:left w:val="single" w:color="auto" w:sz="4" w:space="0"/>
              <w:bottom w:val="single" w:color="auto" w:sz="6" w:space="0"/>
              <w:right w:val="single" w:color="auto" w:sz="4" w:space="0"/>
            </w:tcBorders>
            <w:vAlign w:val="center"/>
          </w:tcPr>
          <w:p w14:paraId="61E6D27B">
            <w:pPr>
              <w:spacing w:line="400" w:lineRule="exact"/>
              <w:jc w:val="center"/>
              <w:rPr>
                <w:rFonts w:hint="eastAsia" w:ascii="宋体" w:hAnsi="宋体" w:cs="宋体"/>
                <w:sz w:val="24"/>
                <w:szCs w:val="24"/>
              </w:rPr>
            </w:pPr>
            <w:r>
              <w:rPr>
                <w:rFonts w:hint="eastAsia" w:ascii="宋体" w:hAnsi="宋体" w:cs="宋体"/>
                <w:sz w:val="24"/>
                <w:szCs w:val="24"/>
              </w:rPr>
              <w:t>备注</w:t>
            </w:r>
          </w:p>
        </w:tc>
      </w:tr>
      <w:tr w14:paraId="528253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0FE32250">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14:paraId="17A8201F">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27E4FC90">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16B9D5BD">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72497AB0">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07F4B9A3">
            <w:pPr>
              <w:spacing w:line="400" w:lineRule="exact"/>
              <w:jc w:val="center"/>
              <w:rPr>
                <w:rFonts w:hint="eastAsia" w:ascii="宋体" w:hAnsi="宋体" w:cs="宋体"/>
                <w:sz w:val="24"/>
                <w:szCs w:val="24"/>
              </w:rPr>
            </w:pPr>
          </w:p>
        </w:tc>
      </w:tr>
      <w:tr w14:paraId="05BE55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6CD93C13">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14:paraId="64E29478">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6366AB44">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74C52A37">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4AF16A01">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2A7C831A">
            <w:pPr>
              <w:spacing w:line="400" w:lineRule="exact"/>
              <w:jc w:val="center"/>
              <w:rPr>
                <w:rFonts w:hint="eastAsia" w:ascii="宋体" w:hAnsi="宋体" w:cs="宋体"/>
                <w:sz w:val="24"/>
                <w:szCs w:val="24"/>
              </w:rPr>
            </w:pPr>
          </w:p>
        </w:tc>
      </w:tr>
      <w:tr w14:paraId="453020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71D02263">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6" w:space="0"/>
            </w:tcBorders>
            <w:vAlign w:val="center"/>
          </w:tcPr>
          <w:p w14:paraId="58C4290C">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78679F93">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3A61D206">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55C30153">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3516C27E">
            <w:pPr>
              <w:spacing w:line="400" w:lineRule="exact"/>
              <w:jc w:val="center"/>
              <w:rPr>
                <w:rFonts w:hint="eastAsia" w:ascii="宋体" w:hAnsi="宋体" w:cs="宋体"/>
                <w:sz w:val="24"/>
                <w:szCs w:val="24"/>
              </w:rPr>
            </w:pPr>
          </w:p>
        </w:tc>
      </w:tr>
      <w:tr w14:paraId="2BAB89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6" w:space="0"/>
              <w:right w:val="single" w:color="auto" w:sz="6" w:space="0"/>
            </w:tcBorders>
            <w:vAlign w:val="center"/>
          </w:tcPr>
          <w:p w14:paraId="625AFE2D">
            <w:pPr>
              <w:spacing w:line="400" w:lineRule="exact"/>
              <w:jc w:val="center"/>
              <w:rPr>
                <w:rFonts w:hint="eastAsia" w:ascii="宋体" w:hAnsi="宋体" w:cs="宋体"/>
                <w:sz w:val="24"/>
                <w:szCs w:val="24"/>
              </w:rPr>
            </w:pPr>
          </w:p>
        </w:tc>
        <w:tc>
          <w:tcPr>
            <w:tcW w:w="1357" w:type="dxa"/>
            <w:tcBorders>
              <w:top w:val="single" w:color="auto" w:sz="6" w:space="0"/>
              <w:left w:val="single" w:color="auto" w:sz="6" w:space="0"/>
              <w:bottom w:val="single" w:color="auto" w:sz="6" w:space="0"/>
              <w:right w:val="single" w:color="auto" w:sz="4" w:space="0"/>
            </w:tcBorders>
            <w:vAlign w:val="center"/>
          </w:tcPr>
          <w:p w14:paraId="57D5E8FA">
            <w:pPr>
              <w:spacing w:line="400" w:lineRule="exact"/>
              <w:jc w:val="center"/>
              <w:rPr>
                <w:rFonts w:hint="eastAsia" w:ascii="宋体" w:hAnsi="宋体" w:cs="宋体"/>
                <w:sz w:val="24"/>
                <w:szCs w:val="24"/>
              </w:rPr>
            </w:pPr>
          </w:p>
        </w:tc>
        <w:tc>
          <w:tcPr>
            <w:tcW w:w="1666" w:type="dxa"/>
            <w:tcBorders>
              <w:top w:val="single" w:color="auto" w:sz="6" w:space="0"/>
              <w:left w:val="single" w:color="auto" w:sz="6" w:space="0"/>
              <w:bottom w:val="single" w:color="auto" w:sz="6" w:space="0"/>
              <w:right w:val="single" w:color="auto" w:sz="6" w:space="0"/>
            </w:tcBorders>
            <w:vAlign w:val="center"/>
          </w:tcPr>
          <w:p w14:paraId="4457967D">
            <w:pPr>
              <w:spacing w:line="400" w:lineRule="exact"/>
              <w:jc w:val="center"/>
              <w:rPr>
                <w:rFonts w:hint="eastAsia" w:ascii="宋体" w:hAnsi="宋体" w:cs="宋体"/>
                <w:sz w:val="24"/>
                <w:szCs w:val="24"/>
              </w:rPr>
            </w:pPr>
          </w:p>
        </w:tc>
        <w:tc>
          <w:tcPr>
            <w:tcW w:w="1418" w:type="dxa"/>
            <w:tcBorders>
              <w:top w:val="single" w:color="auto" w:sz="6" w:space="0"/>
              <w:left w:val="single" w:color="auto" w:sz="6" w:space="0"/>
              <w:bottom w:val="single" w:color="auto" w:sz="6" w:space="0"/>
              <w:right w:val="single" w:color="auto" w:sz="4" w:space="0"/>
            </w:tcBorders>
            <w:vAlign w:val="center"/>
          </w:tcPr>
          <w:p w14:paraId="6F3500D0">
            <w:pPr>
              <w:spacing w:line="400" w:lineRule="exact"/>
              <w:jc w:val="center"/>
              <w:rPr>
                <w:rFonts w:hint="eastAsia" w:ascii="宋体" w:hAnsi="宋体" w:cs="宋体"/>
                <w:sz w:val="24"/>
                <w:szCs w:val="24"/>
              </w:rPr>
            </w:pPr>
          </w:p>
        </w:tc>
        <w:tc>
          <w:tcPr>
            <w:tcW w:w="1123" w:type="dxa"/>
            <w:tcBorders>
              <w:top w:val="single" w:color="auto" w:sz="6" w:space="0"/>
              <w:left w:val="single" w:color="auto" w:sz="4" w:space="0"/>
              <w:bottom w:val="single" w:color="auto" w:sz="6" w:space="0"/>
              <w:right w:val="single" w:color="auto" w:sz="6" w:space="0"/>
            </w:tcBorders>
            <w:vAlign w:val="center"/>
          </w:tcPr>
          <w:p w14:paraId="5F6D2FBC">
            <w:pPr>
              <w:spacing w:line="400" w:lineRule="exact"/>
              <w:jc w:val="center"/>
              <w:rPr>
                <w:rFonts w:hint="eastAsia" w:ascii="宋体" w:hAnsi="宋体" w:cs="宋体"/>
                <w:sz w:val="24"/>
                <w:szCs w:val="24"/>
              </w:rPr>
            </w:pPr>
          </w:p>
        </w:tc>
        <w:tc>
          <w:tcPr>
            <w:tcW w:w="1579" w:type="dxa"/>
            <w:tcBorders>
              <w:top w:val="single" w:color="auto" w:sz="6" w:space="0"/>
              <w:left w:val="single" w:color="auto" w:sz="4" w:space="0"/>
              <w:bottom w:val="single" w:color="auto" w:sz="6" w:space="0"/>
              <w:right w:val="single" w:color="auto" w:sz="4" w:space="0"/>
            </w:tcBorders>
            <w:vAlign w:val="center"/>
          </w:tcPr>
          <w:p w14:paraId="7ACD2904">
            <w:pPr>
              <w:spacing w:line="400" w:lineRule="exact"/>
              <w:jc w:val="center"/>
              <w:rPr>
                <w:rFonts w:hint="eastAsia" w:ascii="宋体" w:hAnsi="宋体" w:cs="宋体"/>
                <w:sz w:val="24"/>
                <w:szCs w:val="24"/>
              </w:rPr>
            </w:pPr>
          </w:p>
        </w:tc>
      </w:tr>
      <w:tr w14:paraId="60C197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4" w:hRule="atLeast"/>
          <w:jc w:val="center"/>
        </w:trPr>
        <w:tc>
          <w:tcPr>
            <w:tcW w:w="1229" w:type="dxa"/>
            <w:tcBorders>
              <w:top w:val="single" w:color="auto" w:sz="6" w:space="0"/>
              <w:left w:val="single" w:color="auto" w:sz="4" w:space="0"/>
              <w:bottom w:val="single" w:color="auto" w:sz="4" w:space="0"/>
              <w:right w:val="single" w:color="auto" w:sz="4" w:space="0"/>
            </w:tcBorders>
            <w:vAlign w:val="center"/>
          </w:tcPr>
          <w:p w14:paraId="6ED8D152">
            <w:pPr>
              <w:spacing w:line="400" w:lineRule="exact"/>
              <w:rPr>
                <w:rFonts w:hint="eastAsia" w:ascii="宋体" w:hAnsi="宋体" w:cs="宋体"/>
                <w:sz w:val="24"/>
                <w:szCs w:val="24"/>
              </w:rPr>
            </w:pPr>
          </w:p>
        </w:tc>
        <w:tc>
          <w:tcPr>
            <w:tcW w:w="1357" w:type="dxa"/>
            <w:tcBorders>
              <w:top w:val="single" w:color="auto" w:sz="6" w:space="0"/>
              <w:left w:val="single" w:color="auto" w:sz="4" w:space="0"/>
              <w:bottom w:val="single" w:color="auto" w:sz="4" w:space="0"/>
              <w:right w:val="single" w:color="auto" w:sz="4" w:space="0"/>
            </w:tcBorders>
            <w:vAlign w:val="center"/>
          </w:tcPr>
          <w:p w14:paraId="0EE33C04">
            <w:pPr>
              <w:spacing w:line="400" w:lineRule="exact"/>
              <w:rPr>
                <w:rFonts w:hint="eastAsia" w:ascii="宋体" w:hAnsi="宋体" w:cs="宋体"/>
                <w:sz w:val="24"/>
                <w:szCs w:val="24"/>
              </w:rPr>
            </w:pPr>
          </w:p>
        </w:tc>
        <w:tc>
          <w:tcPr>
            <w:tcW w:w="1666" w:type="dxa"/>
            <w:tcBorders>
              <w:top w:val="single" w:color="auto" w:sz="6" w:space="0"/>
              <w:left w:val="single" w:color="auto" w:sz="4" w:space="0"/>
              <w:bottom w:val="single" w:color="auto" w:sz="4" w:space="0"/>
              <w:right w:val="single" w:color="auto" w:sz="4" w:space="0"/>
            </w:tcBorders>
            <w:vAlign w:val="center"/>
          </w:tcPr>
          <w:p w14:paraId="3E82176E">
            <w:pPr>
              <w:spacing w:line="400" w:lineRule="exact"/>
              <w:rPr>
                <w:rFonts w:hint="eastAsia" w:ascii="宋体" w:hAnsi="宋体" w:cs="宋体"/>
                <w:sz w:val="24"/>
                <w:szCs w:val="24"/>
              </w:rPr>
            </w:pPr>
          </w:p>
        </w:tc>
        <w:tc>
          <w:tcPr>
            <w:tcW w:w="1418" w:type="dxa"/>
            <w:tcBorders>
              <w:top w:val="single" w:color="auto" w:sz="6" w:space="0"/>
              <w:left w:val="single" w:color="auto" w:sz="4" w:space="0"/>
              <w:bottom w:val="single" w:color="auto" w:sz="4" w:space="0"/>
              <w:right w:val="single" w:color="auto" w:sz="4" w:space="0"/>
            </w:tcBorders>
            <w:vAlign w:val="center"/>
          </w:tcPr>
          <w:p w14:paraId="1FC9B6B9">
            <w:pPr>
              <w:spacing w:line="400" w:lineRule="exact"/>
              <w:rPr>
                <w:rFonts w:hint="eastAsia" w:ascii="宋体" w:hAnsi="宋体" w:cs="宋体"/>
                <w:sz w:val="24"/>
                <w:szCs w:val="24"/>
              </w:rPr>
            </w:pPr>
          </w:p>
        </w:tc>
        <w:tc>
          <w:tcPr>
            <w:tcW w:w="1123" w:type="dxa"/>
            <w:tcBorders>
              <w:top w:val="single" w:color="auto" w:sz="6" w:space="0"/>
              <w:left w:val="single" w:color="auto" w:sz="4" w:space="0"/>
              <w:bottom w:val="single" w:color="auto" w:sz="4" w:space="0"/>
              <w:right w:val="single" w:color="auto" w:sz="6" w:space="0"/>
            </w:tcBorders>
            <w:vAlign w:val="center"/>
          </w:tcPr>
          <w:p w14:paraId="18738FEE">
            <w:pPr>
              <w:spacing w:line="400" w:lineRule="exact"/>
              <w:rPr>
                <w:rFonts w:hint="eastAsia" w:ascii="宋体" w:hAnsi="宋体" w:cs="宋体"/>
                <w:sz w:val="24"/>
                <w:szCs w:val="24"/>
              </w:rPr>
            </w:pPr>
          </w:p>
        </w:tc>
        <w:tc>
          <w:tcPr>
            <w:tcW w:w="1579" w:type="dxa"/>
            <w:tcBorders>
              <w:top w:val="single" w:color="auto" w:sz="6" w:space="0"/>
              <w:left w:val="single" w:color="auto" w:sz="4" w:space="0"/>
              <w:bottom w:val="single" w:color="auto" w:sz="4" w:space="0"/>
              <w:right w:val="single" w:color="auto" w:sz="4" w:space="0"/>
            </w:tcBorders>
            <w:vAlign w:val="center"/>
          </w:tcPr>
          <w:p w14:paraId="24656432">
            <w:pPr>
              <w:spacing w:line="400" w:lineRule="exact"/>
              <w:rPr>
                <w:rFonts w:hint="eastAsia" w:ascii="宋体" w:hAnsi="宋体" w:cs="宋体"/>
                <w:sz w:val="24"/>
                <w:szCs w:val="24"/>
              </w:rPr>
            </w:pPr>
          </w:p>
        </w:tc>
      </w:tr>
    </w:tbl>
    <w:p w14:paraId="7DE29735">
      <w:pPr>
        <w:tabs>
          <w:tab w:val="left" w:pos="8782"/>
        </w:tabs>
        <w:snapToGrid w:val="0"/>
        <w:ind w:left="500" w:leftChars="238" w:right="-38" w:firstLine="240" w:firstLineChars="100"/>
        <w:rPr>
          <w:rFonts w:hint="eastAsia" w:ascii="宋体" w:hAnsi="宋体" w:cs="宋体"/>
          <w:sz w:val="24"/>
          <w:szCs w:val="24"/>
        </w:rPr>
      </w:pPr>
      <w:r>
        <w:rPr>
          <w:rFonts w:hint="eastAsia" w:ascii="宋体" w:hAnsi="宋体" w:cs="宋体"/>
          <w:sz w:val="24"/>
          <w:szCs w:val="24"/>
        </w:rPr>
        <w:t>注：附有效证明材料。</w:t>
      </w:r>
    </w:p>
    <w:p w14:paraId="78CFD465">
      <w:pPr>
        <w:pStyle w:val="12"/>
        <w:rPr>
          <w:rFonts w:hint="eastAsia" w:ascii="宋体" w:hAnsi="宋体" w:eastAsia="宋体"/>
        </w:rPr>
      </w:pPr>
    </w:p>
    <w:p w14:paraId="5814288A">
      <w:pPr>
        <w:pStyle w:val="13"/>
        <w:rPr>
          <w:rFonts w:hint="eastAsia" w:ascii="宋体" w:hAnsi="宋体" w:cs="宋体"/>
        </w:rPr>
      </w:pPr>
    </w:p>
    <w:p w14:paraId="18642E19">
      <w:pPr>
        <w:rPr>
          <w:rFonts w:hint="eastAsia" w:ascii="宋体" w:hAnsi="宋体" w:cs="宋体"/>
        </w:rPr>
      </w:pPr>
    </w:p>
    <w:p w14:paraId="56492124">
      <w:pPr>
        <w:pStyle w:val="12"/>
        <w:rPr>
          <w:rFonts w:hint="eastAsia" w:ascii="宋体" w:hAnsi="宋体" w:eastAsia="宋体"/>
        </w:rPr>
      </w:pPr>
    </w:p>
    <w:p w14:paraId="4E89346C">
      <w:pPr>
        <w:pStyle w:val="13"/>
        <w:rPr>
          <w:rFonts w:hint="eastAsia" w:ascii="宋体" w:hAnsi="宋体" w:cs="宋体"/>
        </w:rPr>
      </w:pPr>
    </w:p>
    <w:p w14:paraId="00AD04FB">
      <w:pPr>
        <w:rPr>
          <w:rFonts w:hint="eastAsia" w:ascii="宋体" w:hAnsi="宋体" w:cs="宋体"/>
        </w:rPr>
      </w:pPr>
    </w:p>
    <w:p w14:paraId="08A4BA53">
      <w:pPr>
        <w:pStyle w:val="12"/>
        <w:rPr>
          <w:rFonts w:hint="eastAsia" w:ascii="宋体" w:hAnsi="宋体" w:eastAsia="宋体"/>
        </w:rPr>
      </w:pPr>
    </w:p>
    <w:p w14:paraId="328CAAEA">
      <w:pPr>
        <w:pStyle w:val="13"/>
        <w:rPr>
          <w:rFonts w:hint="eastAsia" w:ascii="宋体" w:hAnsi="宋体" w:cs="宋体"/>
        </w:rPr>
      </w:pPr>
    </w:p>
    <w:p w14:paraId="5985B127">
      <w:pPr>
        <w:rPr>
          <w:rFonts w:hint="eastAsia" w:ascii="宋体" w:hAnsi="宋体" w:cs="宋体"/>
        </w:rPr>
      </w:pPr>
    </w:p>
    <w:p w14:paraId="78EA1B11">
      <w:pPr>
        <w:pStyle w:val="12"/>
        <w:rPr>
          <w:rFonts w:hint="eastAsia" w:ascii="宋体" w:hAnsi="宋体" w:eastAsia="宋体"/>
        </w:rPr>
      </w:pPr>
    </w:p>
    <w:p w14:paraId="481D40EE">
      <w:pPr>
        <w:pStyle w:val="13"/>
        <w:rPr>
          <w:rFonts w:hint="eastAsia" w:ascii="宋体" w:hAnsi="宋体" w:cs="宋体"/>
        </w:rPr>
      </w:pPr>
    </w:p>
    <w:p w14:paraId="2550B7B7">
      <w:pPr>
        <w:rPr>
          <w:rFonts w:hint="eastAsia" w:ascii="宋体" w:hAnsi="宋体" w:cs="宋体"/>
        </w:rPr>
      </w:pPr>
    </w:p>
    <w:p w14:paraId="24A4A560">
      <w:pPr>
        <w:pStyle w:val="12"/>
        <w:rPr>
          <w:rFonts w:hint="eastAsia" w:ascii="宋体" w:hAnsi="宋体" w:eastAsia="宋体"/>
        </w:rPr>
      </w:pPr>
    </w:p>
    <w:p w14:paraId="5B6908B3">
      <w:pPr>
        <w:pStyle w:val="13"/>
        <w:rPr>
          <w:rFonts w:hint="eastAsia" w:ascii="宋体" w:hAnsi="宋体" w:cs="宋体"/>
        </w:rPr>
      </w:pPr>
    </w:p>
    <w:p w14:paraId="677F970A">
      <w:pPr>
        <w:rPr>
          <w:rFonts w:hint="eastAsia" w:ascii="宋体" w:hAnsi="宋体" w:cs="宋体"/>
        </w:rPr>
      </w:pPr>
    </w:p>
    <w:p w14:paraId="24D23692">
      <w:pPr>
        <w:pStyle w:val="12"/>
        <w:rPr>
          <w:rFonts w:hint="eastAsia" w:ascii="宋体" w:hAnsi="宋体" w:eastAsia="宋体"/>
        </w:rPr>
      </w:pPr>
    </w:p>
    <w:p w14:paraId="2F845402">
      <w:pPr>
        <w:pStyle w:val="13"/>
        <w:rPr>
          <w:rFonts w:hint="eastAsia" w:ascii="宋体" w:hAnsi="宋体" w:cs="宋体"/>
        </w:rPr>
      </w:pPr>
    </w:p>
    <w:p w14:paraId="0297A9D2">
      <w:pPr>
        <w:rPr>
          <w:rFonts w:hint="eastAsia" w:ascii="宋体" w:hAnsi="宋体" w:cs="宋体"/>
        </w:rPr>
      </w:pPr>
    </w:p>
    <w:p w14:paraId="0F5A8FA5">
      <w:pPr>
        <w:pStyle w:val="12"/>
        <w:rPr>
          <w:rFonts w:hint="eastAsia" w:ascii="宋体" w:hAnsi="宋体" w:eastAsia="宋体"/>
        </w:rPr>
      </w:pPr>
    </w:p>
    <w:p w14:paraId="204562D2">
      <w:pPr>
        <w:pStyle w:val="13"/>
        <w:rPr>
          <w:rFonts w:hint="eastAsia" w:ascii="宋体" w:hAnsi="宋体" w:cs="宋体"/>
        </w:rPr>
      </w:pPr>
    </w:p>
    <w:p w14:paraId="20ECCD69">
      <w:pPr>
        <w:rPr>
          <w:rFonts w:hint="eastAsia" w:ascii="宋体" w:hAnsi="宋体" w:cs="宋体"/>
        </w:rPr>
      </w:pPr>
    </w:p>
    <w:p w14:paraId="3790F4AF">
      <w:pPr>
        <w:spacing w:line="276" w:lineRule="auto"/>
        <w:jc w:val="left"/>
        <w:textAlignment w:val="baseline"/>
        <w:outlineLvl w:val="0"/>
        <w:rPr>
          <w:rFonts w:hint="eastAsia" w:ascii="宋体" w:hAnsi="宋体" w:cs="宋体"/>
          <w:b/>
          <w:spacing w:val="6"/>
          <w:sz w:val="24"/>
          <w:szCs w:val="24"/>
        </w:rPr>
      </w:pPr>
      <w:bookmarkStart w:id="281" w:name="_Toc13271"/>
      <w:bookmarkStart w:id="282" w:name="_Toc9787"/>
      <w:r>
        <w:rPr>
          <w:rFonts w:hint="eastAsia" w:ascii="宋体" w:hAnsi="宋体" w:cs="宋体"/>
          <w:b/>
          <w:spacing w:val="6"/>
          <w:sz w:val="24"/>
          <w:szCs w:val="24"/>
        </w:rPr>
        <w:t>5.4项目管理及技术人员一览表</w:t>
      </w:r>
      <w:bookmarkEnd w:id="281"/>
      <w:bookmarkEnd w:id="282"/>
    </w:p>
    <w:tbl>
      <w:tblPr>
        <w:tblStyle w:val="22"/>
        <w:tblpPr w:leftFromText="180" w:rightFromText="180" w:vertAnchor="text" w:horzAnchor="margin" w:tblpXSpec="center" w:tblpY="74"/>
        <w:tblW w:w="9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9"/>
        <w:gridCol w:w="1134"/>
        <w:gridCol w:w="1433"/>
        <w:gridCol w:w="1880"/>
        <w:gridCol w:w="1880"/>
      </w:tblGrid>
      <w:tr w14:paraId="1DA9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526" w:type="dxa"/>
            <w:vAlign w:val="center"/>
          </w:tcPr>
          <w:p w14:paraId="4F07B89D">
            <w:pPr>
              <w:spacing w:line="560" w:lineRule="exact"/>
              <w:jc w:val="center"/>
              <w:rPr>
                <w:rFonts w:hint="eastAsia" w:ascii="宋体" w:hAnsi="宋体" w:cs="宋体"/>
                <w:sz w:val="24"/>
                <w:szCs w:val="24"/>
              </w:rPr>
            </w:pPr>
            <w:r>
              <w:rPr>
                <w:rFonts w:hint="eastAsia" w:ascii="宋体" w:hAnsi="宋体" w:cs="宋体"/>
                <w:sz w:val="24"/>
                <w:szCs w:val="24"/>
              </w:rPr>
              <w:t>姓名</w:t>
            </w:r>
          </w:p>
        </w:tc>
        <w:tc>
          <w:tcPr>
            <w:tcW w:w="1559" w:type="dxa"/>
            <w:vAlign w:val="center"/>
          </w:tcPr>
          <w:p w14:paraId="76422D1C">
            <w:pPr>
              <w:spacing w:line="560" w:lineRule="exact"/>
              <w:jc w:val="center"/>
              <w:rPr>
                <w:rFonts w:hint="eastAsia" w:ascii="宋体" w:hAnsi="宋体" w:cs="宋体"/>
                <w:sz w:val="24"/>
                <w:szCs w:val="24"/>
              </w:rPr>
            </w:pPr>
            <w:r>
              <w:rPr>
                <w:rFonts w:hint="eastAsia" w:ascii="宋体" w:hAnsi="宋体" w:cs="宋体"/>
                <w:sz w:val="24"/>
                <w:szCs w:val="24"/>
              </w:rPr>
              <w:t>本项目</w:t>
            </w:r>
          </w:p>
          <w:p w14:paraId="63C96F59">
            <w:pPr>
              <w:spacing w:line="560" w:lineRule="exact"/>
              <w:jc w:val="center"/>
              <w:rPr>
                <w:rFonts w:hint="eastAsia" w:ascii="宋体" w:hAnsi="宋体" w:cs="宋体"/>
                <w:sz w:val="24"/>
                <w:szCs w:val="24"/>
              </w:rPr>
            </w:pPr>
            <w:r>
              <w:rPr>
                <w:rFonts w:hint="eastAsia" w:ascii="宋体" w:hAnsi="宋体" w:cs="宋体"/>
                <w:sz w:val="24"/>
                <w:szCs w:val="24"/>
              </w:rPr>
              <w:t>拟任职务</w:t>
            </w:r>
          </w:p>
        </w:tc>
        <w:tc>
          <w:tcPr>
            <w:tcW w:w="1134" w:type="dxa"/>
            <w:vAlign w:val="center"/>
          </w:tcPr>
          <w:p w14:paraId="41C1A3FD">
            <w:pPr>
              <w:spacing w:line="560" w:lineRule="exact"/>
              <w:jc w:val="center"/>
              <w:rPr>
                <w:rFonts w:hint="eastAsia" w:ascii="宋体" w:hAnsi="宋体" w:cs="宋体"/>
                <w:sz w:val="24"/>
                <w:szCs w:val="24"/>
              </w:rPr>
            </w:pPr>
            <w:r>
              <w:rPr>
                <w:rFonts w:hint="eastAsia" w:ascii="宋体" w:hAnsi="宋体" w:cs="宋体"/>
                <w:sz w:val="24"/>
                <w:szCs w:val="24"/>
              </w:rPr>
              <w:t>技术</w:t>
            </w:r>
          </w:p>
          <w:p w14:paraId="3CBD0803">
            <w:pPr>
              <w:spacing w:line="560" w:lineRule="exact"/>
              <w:jc w:val="center"/>
              <w:rPr>
                <w:rFonts w:hint="eastAsia" w:ascii="宋体" w:hAnsi="宋体" w:cs="宋体"/>
                <w:sz w:val="24"/>
                <w:szCs w:val="24"/>
              </w:rPr>
            </w:pPr>
            <w:r>
              <w:rPr>
                <w:rFonts w:hint="eastAsia" w:ascii="宋体" w:hAnsi="宋体" w:cs="宋体"/>
                <w:sz w:val="24"/>
                <w:szCs w:val="24"/>
              </w:rPr>
              <w:t>职称</w:t>
            </w:r>
          </w:p>
        </w:tc>
        <w:tc>
          <w:tcPr>
            <w:tcW w:w="1433" w:type="dxa"/>
            <w:vAlign w:val="center"/>
          </w:tcPr>
          <w:p w14:paraId="3AE93288">
            <w:pPr>
              <w:spacing w:line="560" w:lineRule="exact"/>
              <w:jc w:val="center"/>
              <w:rPr>
                <w:rFonts w:hint="eastAsia" w:ascii="宋体" w:hAnsi="宋体" w:cs="宋体"/>
                <w:sz w:val="24"/>
                <w:szCs w:val="24"/>
              </w:rPr>
            </w:pPr>
            <w:r>
              <w:rPr>
                <w:rFonts w:hint="eastAsia" w:ascii="宋体" w:hAnsi="宋体" w:cs="宋体"/>
                <w:sz w:val="24"/>
                <w:szCs w:val="24"/>
              </w:rPr>
              <w:t>学历</w:t>
            </w:r>
          </w:p>
        </w:tc>
        <w:tc>
          <w:tcPr>
            <w:tcW w:w="1880" w:type="dxa"/>
            <w:vAlign w:val="center"/>
          </w:tcPr>
          <w:p w14:paraId="1F446446">
            <w:pPr>
              <w:spacing w:line="560" w:lineRule="exact"/>
              <w:jc w:val="center"/>
              <w:rPr>
                <w:rFonts w:hint="eastAsia" w:ascii="宋体" w:hAnsi="宋体" w:cs="宋体"/>
                <w:sz w:val="24"/>
                <w:szCs w:val="24"/>
              </w:rPr>
            </w:pPr>
            <w:r>
              <w:rPr>
                <w:rFonts w:hint="eastAsia" w:ascii="宋体" w:hAnsi="宋体" w:cs="宋体"/>
                <w:sz w:val="24"/>
                <w:szCs w:val="24"/>
              </w:rPr>
              <w:t>主要资历及</w:t>
            </w:r>
          </w:p>
          <w:p w14:paraId="1DC7953E">
            <w:pPr>
              <w:spacing w:line="560" w:lineRule="exact"/>
              <w:jc w:val="center"/>
              <w:rPr>
                <w:rFonts w:hint="eastAsia" w:ascii="宋体" w:hAnsi="宋体" w:cs="宋体"/>
                <w:sz w:val="24"/>
                <w:szCs w:val="24"/>
              </w:rPr>
            </w:pPr>
            <w:r>
              <w:rPr>
                <w:rFonts w:hint="eastAsia" w:ascii="宋体" w:hAnsi="宋体" w:cs="宋体"/>
                <w:sz w:val="24"/>
                <w:szCs w:val="24"/>
              </w:rPr>
              <w:t>担任过的职务</w:t>
            </w:r>
          </w:p>
        </w:tc>
        <w:tc>
          <w:tcPr>
            <w:tcW w:w="1880" w:type="dxa"/>
            <w:vAlign w:val="center"/>
          </w:tcPr>
          <w:p w14:paraId="0CB52DC3">
            <w:pPr>
              <w:spacing w:line="560" w:lineRule="exact"/>
              <w:jc w:val="center"/>
              <w:rPr>
                <w:rFonts w:hint="eastAsia" w:ascii="宋体" w:hAnsi="宋体" w:cs="宋体"/>
                <w:sz w:val="24"/>
                <w:szCs w:val="24"/>
              </w:rPr>
            </w:pPr>
            <w:r>
              <w:rPr>
                <w:rFonts w:hint="eastAsia" w:ascii="宋体" w:hAnsi="宋体" w:cs="宋体"/>
                <w:sz w:val="24"/>
                <w:szCs w:val="24"/>
              </w:rPr>
              <w:t>备注</w:t>
            </w:r>
          </w:p>
        </w:tc>
      </w:tr>
      <w:tr w14:paraId="449D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051C6057">
            <w:pPr>
              <w:spacing w:line="560" w:lineRule="exact"/>
              <w:jc w:val="center"/>
              <w:rPr>
                <w:rFonts w:hint="eastAsia" w:ascii="宋体" w:hAnsi="宋体" w:cs="宋体"/>
                <w:sz w:val="28"/>
                <w:szCs w:val="20"/>
              </w:rPr>
            </w:pPr>
          </w:p>
        </w:tc>
        <w:tc>
          <w:tcPr>
            <w:tcW w:w="1559" w:type="dxa"/>
            <w:vAlign w:val="center"/>
          </w:tcPr>
          <w:p w14:paraId="2CA88E8C">
            <w:pPr>
              <w:spacing w:line="560" w:lineRule="exact"/>
              <w:jc w:val="center"/>
              <w:rPr>
                <w:rFonts w:hint="eastAsia" w:ascii="宋体" w:hAnsi="宋体" w:cs="宋体"/>
                <w:sz w:val="28"/>
                <w:szCs w:val="20"/>
              </w:rPr>
            </w:pPr>
          </w:p>
        </w:tc>
        <w:tc>
          <w:tcPr>
            <w:tcW w:w="1134" w:type="dxa"/>
            <w:vAlign w:val="center"/>
          </w:tcPr>
          <w:p w14:paraId="59715964">
            <w:pPr>
              <w:spacing w:line="560" w:lineRule="exact"/>
              <w:jc w:val="center"/>
              <w:rPr>
                <w:rFonts w:hint="eastAsia" w:ascii="宋体" w:hAnsi="宋体" w:cs="宋体"/>
                <w:sz w:val="28"/>
                <w:szCs w:val="20"/>
              </w:rPr>
            </w:pPr>
          </w:p>
        </w:tc>
        <w:tc>
          <w:tcPr>
            <w:tcW w:w="1433" w:type="dxa"/>
            <w:vAlign w:val="center"/>
          </w:tcPr>
          <w:p w14:paraId="6C7F2492">
            <w:pPr>
              <w:spacing w:line="560" w:lineRule="exact"/>
              <w:jc w:val="center"/>
              <w:rPr>
                <w:rFonts w:hint="eastAsia" w:ascii="宋体" w:hAnsi="宋体" w:cs="宋体"/>
                <w:sz w:val="28"/>
                <w:szCs w:val="20"/>
              </w:rPr>
            </w:pPr>
          </w:p>
        </w:tc>
        <w:tc>
          <w:tcPr>
            <w:tcW w:w="1880" w:type="dxa"/>
            <w:vAlign w:val="center"/>
          </w:tcPr>
          <w:p w14:paraId="64AAEDAC">
            <w:pPr>
              <w:spacing w:line="560" w:lineRule="exact"/>
              <w:jc w:val="center"/>
              <w:rPr>
                <w:rFonts w:hint="eastAsia" w:ascii="宋体" w:hAnsi="宋体" w:cs="宋体"/>
                <w:sz w:val="28"/>
                <w:szCs w:val="20"/>
              </w:rPr>
            </w:pPr>
          </w:p>
        </w:tc>
        <w:tc>
          <w:tcPr>
            <w:tcW w:w="1880" w:type="dxa"/>
            <w:vAlign w:val="center"/>
          </w:tcPr>
          <w:p w14:paraId="0C6CCA69">
            <w:pPr>
              <w:spacing w:line="560" w:lineRule="exact"/>
              <w:jc w:val="center"/>
              <w:rPr>
                <w:rFonts w:hint="eastAsia" w:ascii="宋体" w:hAnsi="宋体" w:cs="宋体"/>
                <w:sz w:val="28"/>
                <w:szCs w:val="20"/>
              </w:rPr>
            </w:pPr>
          </w:p>
        </w:tc>
      </w:tr>
      <w:tr w14:paraId="2861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76A7A51C">
            <w:pPr>
              <w:spacing w:line="560" w:lineRule="exact"/>
              <w:jc w:val="center"/>
              <w:rPr>
                <w:rFonts w:hint="eastAsia" w:ascii="宋体" w:hAnsi="宋体" w:cs="宋体"/>
                <w:sz w:val="28"/>
                <w:szCs w:val="20"/>
              </w:rPr>
            </w:pPr>
          </w:p>
        </w:tc>
        <w:tc>
          <w:tcPr>
            <w:tcW w:w="1559" w:type="dxa"/>
            <w:vAlign w:val="center"/>
          </w:tcPr>
          <w:p w14:paraId="18762074">
            <w:pPr>
              <w:spacing w:line="560" w:lineRule="exact"/>
              <w:jc w:val="center"/>
              <w:rPr>
                <w:rFonts w:hint="eastAsia" w:ascii="宋体" w:hAnsi="宋体" w:cs="宋体"/>
                <w:sz w:val="28"/>
                <w:szCs w:val="20"/>
              </w:rPr>
            </w:pPr>
          </w:p>
        </w:tc>
        <w:tc>
          <w:tcPr>
            <w:tcW w:w="1134" w:type="dxa"/>
            <w:vAlign w:val="center"/>
          </w:tcPr>
          <w:p w14:paraId="06C7D098">
            <w:pPr>
              <w:spacing w:line="560" w:lineRule="exact"/>
              <w:jc w:val="center"/>
              <w:rPr>
                <w:rFonts w:hint="eastAsia" w:ascii="宋体" w:hAnsi="宋体" w:cs="宋体"/>
                <w:sz w:val="28"/>
                <w:szCs w:val="20"/>
              </w:rPr>
            </w:pPr>
          </w:p>
        </w:tc>
        <w:tc>
          <w:tcPr>
            <w:tcW w:w="1433" w:type="dxa"/>
            <w:vAlign w:val="center"/>
          </w:tcPr>
          <w:p w14:paraId="3A9A1183">
            <w:pPr>
              <w:spacing w:line="560" w:lineRule="exact"/>
              <w:jc w:val="center"/>
              <w:rPr>
                <w:rFonts w:hint="eastAsia" w:ascii="宋体" w:hAnsi="宋体" w:cs="宋体"/>
                <w:sz w:val="28"/>
                <w:szCs w:val="20"/>
              </w:rPr>
            </w:pPr>
          </w:p>
        </w:tc>
        <w:tc>
          <w:tcPr>
            <w:tcW w:w="1880" w:type="dxa"/>
            <w:vAlign w:val="center"/>
          </w:tcPr>
          <w:p w14:paraId="439EB491">
            <w:pPr>
              <w:spacing w:line="560" w:lineRule="exact"/>
              <w:jc w:val="center"/>
              <w:rPr>
                <w:rFonts w:hint="eastAsia" w:ascii="宋体" w:hAnsi="宋体" w:cs="宋体"/>
                <w:sz w:val="28"/>
                <w:szCs w:val="20"/>
              </w:rPr>
            </w:pPr>
          </w:p>
        </w:tc>
        <w:tc>
          <w:tcPr>
            <w:tcW w:w="1880" w:type="dxa"/>
            <w:vAlign w:val="center"/>
          </w:tcPr>
          <w:p w14:paraId="3A8200AF">
            <w:pPr>
              <w:spacing w:line="560" w:lineRule="exact"/>
              <w:jc w:val="center"/>
              <w:rPr>
                <w:rFonts w:hint="eastAsia" w:ascii="宋体" w:hAnsi="宋体" w:cs="宋体"/>
                <w:sz w:val="28"/>
                <w:szCs w:val="20"/>
              </w:rPr>
            </w:pPr>
          </w:p>
        </w:tc>
      </w:tr>
      <w:tr w14:paraId="24E9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2CD13699">
            <w:pPr>
              <w:spacing w:line="560" w:lineRule="exact"/>
              <w:jc w:val="center"/>
              <w:rPr>
                <w:rFonts w:hint="eastAsia" w:ascii="宋体" w:hAnsi="宋体" w:cs="宋体"/>
                <w:sz w:val="28"/>
                <w:szCs w:val="20"/>
              </w:rPr>
            </w:pPr>
          </w:p>
        </w:tc>
        <w:tc>
          <w:tcPr>
            <w:tcW w:w="1559" w:type="dxa"/>
            <w:vAlign w:val="center"/>
          </w:tcPr>
          <w:p w14:paraId="71285C47">
            <w:pPr>
              <w:spacing w:line="560" w:lineRule="exact"/>
              <w:jc w:val="center"/>
              <w:rPr>
                <w:rFonts w:hint="eastAsia" w:ascii="宋体" w:hAnsi="宋体" w:cs="宋体"/>
                <w:sz w:val="28"/>
                <w:szCs w:val="20"/>
              </w:rPr>
            </w:pPr>
          </w:p>
        </w:tc>
        <w:tc>
          <w:tcPr>
            <w:tcW w:w="1134" w:type="dxa"/>
            <w:vAlign w:val="center"/>
          </w:tcPr>
          <w:p w14:paraId="346901AF">
            <w:pPr>
              <w:spacing w:line="560" w:lineRule="exact"/>
              <w:jc w:val="center"/>
              <w:rPr>
                <w:rFonts w:hint="eastAsia" w:ascii="宋体" w:hAnsi="宋体" w:cs="宋体"/>
                <w:sz w:val="28"/>
                <w:szCs w:val="20"/>
              </w:rPr>
            </w:pPr>
          </w:p>
        </w:tc>
        <w:tc>
          <w:tcPr>
            <w:tcW w:w="1433" w:type="dxa"/>
            <w:vAlign w:val="center"/>
          </w:tcPr>
          <w:p w14:paraId="3B727403">
            <w:pPr>
              <w:spacing w:line="560" w:lineRule="exact"/>
              <w:jc w:val="center"/>
              <w:rPr>
                <w:rFonts w:hint="eastAsia" w:ascii="宋体" w:hAnsi="宋体" w:cs="宋体"/>
                <w:sz w:val="28"/>
                <w:szCs w:val="20"/>
              </w:rPr>
            </w:pPr>
          </w:p>
        </w:tc>
        <w:tc>
          <w:tcPr>
            <w:tcW w:w="1880" w:type="dxa"/>
            <w:vAlign w:val="center"/>
          </w:tcPr>
          <w:p w14:paraId="30D95DF9">
            <w:pPr>
              <w:spacing w:line="560" w:lineRule="exact"/>
              <w:jc w:val="center"/>
              <w:rPr>
                <w:rFonts w:hint="eastAsia" w:ascii="宋体" w:hAnsi="宋体" w:cs="宋体"/>
                <w:sz w:val="28"/>
                <w:szCs w:val="20"/>
              </w:rPr>
            </w:pPr>
          </w:p>
        </w:tc>
        <w:tc>
          <w:tcPr>
            <w:tcW w:w="1880" w:type="dxa"/>
            <w:vAlign w:val="center"/>
          </w:tcPr>
          <w:p w14:paraId="1DF6ECDB">
            <w:pPr>
              <w:spacing w:line="560" w:lineRule="exact"/>
              <w:jc w:val="center"/>
              <w:rPr>
                <w:rFonts w:hint="eastAsia" w:ascii="宋体" w:hAnsi="宋体" w:cs="宋体"/>
                <w:sz w:val="28"/>
                <w:szCs w:val="20"/>
              </w:rPr>
            </w:pPr>
          </w:p>
        </w:tc>
      </w:tr>
      <w:tr w14:paraId="3DD8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24651CF3">
            <w:pPr>
              <w:spacing w:line="560" w:lineRule="exact"/>
              <w:jc w:val="center"/>
              <w:rPr>
                <w:rFonts w:hint="eastAsia" w:ascii="宋体" w:hAnsi="宋体" w:cs="宋体"/>
                <w:sz w:val="28"/>
                <w:szCs w:val="20"/>
              </w:rPr>
            </w:pPr>
          </w:p>
        </w:tc>
        <w:tc>
          <w:tcPr>
            <w:tcW w:w="1559" w:type="dxa"/>
            <w:vAlign w:val="center"/>
          </w:tcPr>
          <w:p w14:paraId="56146AA5">
            <w:pPr>
              <w:spacing w:line="560" w:lineRule="exact"/>
              <w:jc w:val="center"/>
              <w:rPr>
                <w:rFonts w:hint="eastAsia" w:ascii="宋体" w:hAnsi="宋体" w:cs="宋体"/>
                <w:sz w:val="28"/>
                <w:szCs w:val="20"/>
              </w:rPr>
            </w:pPr>
          </w:p>
        </w:tc>
        <w:tc>
          <w:tcPr>
            <w:tcW w:w="1134" w:type="dxa"/>
            <w:vAlign w:val="center"/>
          </w:tcPr>
          <w:p w14:paraId="684C2A02">
            <w:pPr>
              <w:spacing w:line="560" w:lineRule="exact"/>
              <w:jc w:val="center"/>
              <w:rPr>
                <w:rFonts w:hint="eastAsia" w:ascii="宋体" w:hAnsi="宋体" w:cs="宋体"/>
                <w:sz w:val="28"/>
                <w:szCs w:val="20"/>
              </w:rPr>
            </w:pPr>
          </w:p>
        </w:tc>
        <w:tc>
          <w:tcPr>
            <w:tcW w:w="1433" w:type="dxa"/>
            <w:vAlign w:val="center"/>
          </w:tcPr>
          <w:p w14:paraId="4CF48869">
            <w:pPr>
              <w:spacing w:line="560" w:lineRule="exact"/>
              <w:jc w:val="center"/>
              <w:rPr>
                <w:rFonts w:hint="eastAsia" w:ascii="宋体" w:hAnsi="宋体" w:cs="宋体"/>
                <w:sz w:val="28"/>
                <w:szCs w:val="20"/>
              </w:rPr>
            </w:pPr>
          </w:p>
        </w:tc>
        <w:tc>
          <w:tcPr>
            <w:tcW w:w="1880" w:type="dxa"/>
            <w:vAlign w:val="center"/>
          </w:tcPr>
          <w:p w14:paraId="5C21FD62">
            <w:pPr>
              <w:spacing w:line="560" w:lineRule="exact"/>
              <w:jc w:val="center"/>
              <w:rPr>
                <w:rFonts w:hint="eastAsia" w:ascii="宋体" w:hAnsi="宋体" w:cs="宋体"/>
                <w:sz w:val="28"/>
                <w:szCs w:val="20"/>
              </w:rPr>
            </w:pPr>
          </w:p>
        </w:tc>
        <w:tc>
          <w:tcPr>
            <w:tcW w:w="1880" w:type="dxa"/>
            <w:vAlign w:val="center"/>
          </w:tcPr>
          <w:p w14:paraId="1F027F41">
            <w:pPr>
              <w:spacing w:line="560" w:lineRule="exact"/>
              <w:jc w:val="center"/>
              <w:rPr>
                <w:rFonts w:hint="eastAsia" w:ascii="宋体" w:hAnsi="宋体" w:cs="宋体"/>
                <w:sz w:val="28"/>
                <w:szCs w:val="20"/>
              </w:rPr>
            </w:pPr>
          </w:p>
        </w:tc>
      </w:tr>
      <w:tr w14:paraId="2BC0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3D958FE6">
            <w:pPr>
              <w:spacing w:line="560" w:lineRule="exact"/>
              <w:jc w:val="center"/>
              <w:rPr>
                <w:rFonts w:hint="eastAsia" w:ascii="宋体" w:hAnsi="宋体" w:cs="宋体"/>
                <w:sz w:val="28"/>
                <w:szCs w:val="20"/>
              </w:rPr>
            </w:pPr>
          </w:p>
        </w:tc>
        <w:tc>
          <w:tcPr>
            <w:tcW w:w="1559" w:type="dxa"/>
            <w:vAlign w:val="center"/>
          </w:tcPr>
          <w:p w14:paraId="2DBE527B">
            <w:pPr>
              <w:spacing w:line="560" w:lineRule="exact"/>
              <w:jc w:val="center"/>
              <w:rPr>
                <w:rFonts w:hint="eastAsia" w:ascii="宋体" w:hAnsi="宋体" w:cs="宋体"/>
                <w:sz w:val="28"/>
                <w:szCs w:val="20"/>
              </w:rPr>
            </w:pPr>
          </w:p>
        </w:tc>
        <w:tc>
          <w:tcPr>
            <w:tcW w:w="1134" w:type="dxa"/>
            <w:vAlign w:val="center"/>
          </w:tcPr>
          <w:p w14:paraId="796F100C">
            <w:pPr>
              <w:spacing w:line="560" w:lineRule="exact"/>
              <w:jc w:val="center"/>
              <w:rPr>
                <w:rFonts w:hint="eastAsia" w:ascii="宋体" w:hAnsi="宋体" w:cs="宋体"/>
                <w:sz w:val="28"/>
                <w:szCs w:val="20"/>
              </w:rPr>
            </w:pPr>
          </w:p>
        </w:tc>
        <w:tc>
          <w:tcPr>
            <w:tcW w:w="1433" w:type="dxa"/>
            <w:vAlign w:val="center"/>
          </w:tcPr>
          <w:p w14:paraId="34C7949F">
            <w:pPr>
              <w:spacing w:line="560" w:lineRule="exact"/>
              <w:jc w:val="center"/>
              <w:rPr>
                <w:rFonts w:hint="eastAsia" w:ascii="宋体" w:hAnsi="宋体" w:cs="宋体"/>
                <w:sz w:val="28"/>
                <w:szCs w:val="20"/>
              </w:rPr>
            </w:pPr>
          </w:p>
        </w:tc>
        <w:tc>
          <w:tcPr>
            <w:tcW w:w="1880" w:type="dxa"/>
            <w:vAlign w:val="center"/>
          </w:tcPr>
          <w:p w14:paraId="679D5FC4">
            <w:pPr>
              <w:spacing w:line="560" w:lineRule="exact"/>
              <w:jc w:val="center"/>
              <w:rPr>
                <w:rFonts w:hint="eastAsia" w:ascii="宋体" w:hAnsi="宋体" w:cs="宋体"/>
                <w:sz w:val="28"/>
                <w:szCs w:val="20"/>
              </w:rPr>
            </w:pPr>
          </w:p>
        </w:tc>
        <w:tc>
          <w:tcPr>
            <w:tcW w:w="1880" w:type="dxa"/>
            <w:vAlign w:val="center"/>
          </w:tcPr>
          <w:p w14:paraId="1B6FD166">
            <w:pPr>
              <w:spacing w:line="560" w:lineRule="exact"/>
              <w:jc w:val="center"/>
              <w:rPr>
                <w:rFonts w:hint="eastAsia" w:ascii="宋体" w:hAnsi="宋体" w:cs="宋体"/>
                <w:sz w:val="28"/>
                <w:szCs w:val="20"/>
              </w:rPr>
            </w:pPr>
          </w:p>
        </w:tc>
      </w:tr>
      <w:tr w14:paraId="387E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25FC335A">
            <w:pPr>
              <w:spacing w:line="560" w:lineRule="exact"/>
              <w:jc w:val="center"/>
              <w:rPr>
                <w:rFonts w:hint="eastAsia" w:ascii="宋体" w:hAnsi="宋体" w:cs="宋体"/>
                <w:sz w:val="28"/>
                <w:szCs w:val="20"/>
              </w:rPr>
            </w:pPr>
          </w:p>
        </w:tc>
        <w:tc>
          <w:tcPr>
            <w:tcW w:w="1559" w:type="dxa"/>
            <w:vAlign w:val="center"/>
          </w:tcPr>
          <w:p w14:paraId="574AC99A">
            <w:pPr>
              <w:spacing w:line="560" w:lineRule="exact"/>
              <w:jc w:val="center"/>
              <w:rPr>
                <w:rFonts w:hint="eastAsia" w:ascii="宋体" w:hAnsi="宋体" w:cs="宋体"/>
                <w:sz w:val="28"/>
                <w:szCs w:val="20"/>
              </w:rPr>
            </w:pPr>
          </w:p>
        </w:tc>
        <w:tc>
          <w:tcPr>
            <w:tcW w:w="1134" w:type="dxa"/>
            <w:vAlign w:val="center"/>
          </w:tcPr>
          <w:p w14:paraId="6B2504D7">
            <w:pPr>
              <w:spacing w:line="560" w:lineRule="exact"/>
              <w:jc w:val="center"/>
              <w:rPr>
                <w:rFonts w:hint="eastAsia" w:ascii="宋体" w:hAnsi="宋体" w:cs="宋体"/>
                <w:sz w:val="28"/>
                <w:szCs w:val="20"/>
              </w:rPr>
            </w:pPr>
          </w:p>
        </w:tc>
        <w:tc>
          <w:tcPr>
            <w:tcW w:w="1433" w:type="dxa"/>
            <w:vAlign w:val="center"/>
          </w:tcPr>
          <w:p w14:paraId="06379B87">
            <w:pPr>
              <w:spacing w:line="560" w:lineRule="exact"/>
              <w:jc w:val="center"/>
              <w:rPr>
                <w:rFonts w:hint="eastAsia" w:ascii="宋体" w:hAnsi="宋体" w:cs="宋体"/>
                <w:sz w:val="28"/>
                <w:szCs w:val="20"/>
              </w:rPr>
            </w:pPr>
          </w:p>
        </w:tc>
        <w:tc>
          <w:tcPr>
            <w:tcW w:w="1880" w:type="dxa"/>
            <w:vAlign w:val="center"/>
          </w:tcPr>
          <w:p w14:paraId="1E56416B">
            <w:pPr>
              <w:spacing w:line="560" w:lineRule="exact"/>
              <w:jc w:val="center"/>
              <w:rPr>
                <w:rFonts w:hint="eastAsia" w:ascii="宋体" w:hAnsi="宋体" w:cs="宋体"/>
                <w:sz w:val="28"/>
                <w:szCs w:val="20"/>
              </w:rPr>
            </w:pPr>
          </w:p>
        </w:tc>
        <w:tc>
          <w:tcPr>
            <w:tcW w:w="1880" w:type="dxa"/>
            <w:vAlign w:val="center"/>
          </w:tcPr>
          <w:p w14:paraId="6E186243">
            <w:pPr>
              <w:spacing w:line="560" w:lineRule="exact"/>
              <w:jc w:val="center"/>
              <w:rPr>
                <w:rFonts w:hint="eastAsia" w:ascii="宋体" w:hAnsi="宋体" w:cs="宋体"/>
                <w:sz w:val="28"/>
                <w:szCs w:val="20"/>
              </w:rPr>
            </w:pPr>
          </w:p>
        </w:tc>
      </w:tr>
      <w:tr w14:paraId="5DAB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526" w:type="dxa"/>
            <w:vAlign w:val="center"/>
          </w:tcPr>
          <w:p w14:paraId="6A0BA1D0">
            <w:pPr>
              <w:spacing w:line="560" w:lineRule="exact"/>
              <w:jc w:val="center"/>
              <w:rPr>
                <w:rFonts w:hint="eastAsia" w:ascii="宋体" w:hAnsi="宋体" w:cs="宋体"/>
                <w:sz w:val="28"/>
                <w:szCs w:val="20"/>
              </w:rPr>
            </w:pPr>
          </w:p>
        </w:tc>
        <w:tc>
          <w:tcPr>
            <w:tcW w:w="1559" w:type="dxa"/>
            <w:vAlign w:val="center"/>
          </w:tcPr>
          <w:p w14:paraId="5B4BAA56">
            <w:pPr>
              <w:spacing w:line="560" w:lineRule="exact"/>
              <w:jc w:val="center"/>
              <w:rPr>
                <w:rFonts w:hint="eastAsia" w:ascii="宋体" w:hAnsi="宋体" w:cs="宋体"/>
                <w:sz w:val="28"/>
                <w:szCs w:val="20"/>
              </w:rPr>
            </w:pPr>
          </w:p>
        </w:tc>
        <w:tc>
          <w:tcPr>
            <w:tcW w:w="1134" w:type="dxa"/>
            <w:vAlign w:val="center"/>
          </w:tcPr>
          <w:p w14:paraId="00D2962A">
            <w:pPr>
              <w:spacing w:line="560" w:lineRule="exact"/>
              <w:jc w:val="center"/>
              <w:rPr>
                <w:rFonts w:hint="eastAsia" w:ascii="宋体" w:hAnsi="宋体" w:cs="宋体"/>
                <w:sz w:val="28"/>
                <w:szCs w:val="20"/>
              </w:rPr>
            </w:pPr>
          </w:p>
        </w:tc>
        <w:tc>
          <w:tcPr>
            <w:tcW w:w="1433" w:type="dxa"/>
            <w:vAlign w:val="center"/>
          </w:tcPr>
          <w:p w14:paraId="29D77278">
            <w:pPr>
              <w:spacing w:line="560" w:lineRule="exact"/>
              <w:jc w:val="center"/>
              <w:rPr>
                <w:rFonts w:hint="eastAsia" w:ascii="宋体" w:hAnsi="宋体" w:cs="宋体"/>
                <w:sz w:val="28"/>
                <w:szCs w:val="20"/>
              </w:rPr>
            </w:pPr>
          </w:p>
        </w:tc>
        <w:tc>
          <w:tcPr>
            <w:tcW w:w="1880" w:type="dxa"/>
            <w:vAlign w:val="center"/>
          </w:tcPr>
          <w:p w14:paraId="494F3BB0">
            <w:pPr>
              <w:spacing w:line="560" w:lineRule="exact"/>
              <w:jc w:val="center"/>
              <w:rPr>
                <w:rFonts w:hint="eastAsia" w:ascii="宋体" w:hAnsi="宋体" w:cs="宋体"/>
                <w:sz w:val="28"/>
                <w:szCs w:val="20"/>
              </w:rPr>
            </w:pPr>
          </w:p>
        </w:tc>
        <w:tc>
          <w:tcPr>
            <w:tcW w:w="1880" w:type="dxa"/>
            <w:vAlign w:val="center"/>
          </w:tcPr>
          <w:p w14:paraId="7FB1A8F6">
            <w:pPr>
              <w:spacing w:line="560" w:lineRule="exact"/>
              <w:jc w:val="center"/>
              <w:rPr>
                <w:rFonts w:hint="eastAsia" w:ascii="宋体" w:hAnsi="宋体" w:cs="宋体"/>
                <w:sz w:val="28"/>
                <w:szCs w:val="20"/>
              </w:rPr>
            </w:pPr>
          </w:p>
        </w:tc>
      </w:tr>
    </w:tbl>
    <w:p w14:paraId="25149510">
      <w:pPr>
        <w:spacing w:line="560" w:lineRule="exact"/>
        <w:ind w:right="105" w:rightChars="50"/>
        <w:rPr>
          <w:rFonts w:hint="eastAsia" w:ascii="宋体" w:hAnsi="宋体" w:cs="宋体"/>
          <w:sz w:val="32"/>
          <w:szCs w:val="20"/>
        </w:rPr>
      </w:pPr>
      <w:r>
        <w:rPr>
          <w:rFonts w:hint="eastAsia" w:ascii="宋体" w:hAnsi="宋体" w:cs="宋体"/>
          <w:sz w:val="24"/>
          <w:szCs w:val="24"/>
        </w:rPr>
        <w:t>注：附人员注册证书或学历等有效证明材料。</w:t>
      </w:r>
    </w:p>
    <w:p w14:paraId="21A752CB">
      <w:pPr>
        <w:spacing w:line="360" w:lineRule="auto"/>
        <w:rPr>
          <w:rFonts w:hint="eastAsia" w:ascii="宋体" w:hAnsi="宋体" w:cs="宋体"/>
          <w:b/>
          <w:bCs/>
          <w:sz w:val="24"/>
          <w:szCs w:val="24"/>
        </w:rPr>
      </w:pPr>
    </w:p>
    <w:p w14:paraId="2B1FF044">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0351353A">
      <w:pPr>
        <w:spacing w:line="360" w:lineRule="auto"/>
        <w:ind w:firstLine="4200" w:firstLineChars="1750"/>
        <w:rPr>
          <w:rFonts w:hint="eastAsia" w:ascii="宋体" w:hAnsi="宋体" w:cs="宋体"/>
          <w:sz w:val="24"/>
          <w:szCs w:val="24"/>
          <w:u w:val="single"/>
        </w:rPr>
      </w:pPr>
      <w:r>
        <w:rPr>
          <w:rFonts w:hint="eastAsia" w:ascii="宋体" w:hAnsi="宋体" w:cs="宋体"/>
          <w:sz w:val="24"/>
          <w:szCs w:val="24"/>
        </w:rPr>
        <w:t>法定代表人或其委托代理人(签字或盖章)：</w:t>
      </w:r>
    </w:p>
    <w:p w14:paraId="5D73A159">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3801C4C7">
      <w:pPr>
        <w:spacing w:line="360" w:lineRule="auto"/>
        <w:rPr>
          <w:rFonts w:hint="eastAsia" w:ascii="宋体" w:hAnsi="宋体" w:cs="宋体"/>
          <w:b/>
          <w:bCs/>
          <w:sz w:val="24"/>
          <w:szCs w:val="24"/>
        </w:rPr>
      </w:pPr>
    </w:p>
    <w:p w14:paraId="36E6D0EC">
      <w:pPr>
        <w:spacing w:line="360" w:lineRule="auto"/>
        <w:rPr>
          <w:rFonts w:hint="eastAsia" w:ascii="宋体" w:hAnsi="宋体" w:cs="宋体"/>
          <w:b/>
          <w:bCs/>
          <w:sz w:val="24"/>
          <w:szCs w:val="24"/>
        </w:rPr>
      </w:pPr>
    </w:p>
    <w:p w14:paraId="4FE9C447">
      <w:pPr>
        <w:spacing w:line="360" w:lineRule="auto"/>
        <w:rPr>
          <w:rFonts w:hint="eastAsia" w:ascii="宋体" w:hAnsi="宋体" w:cs="宋体"/>
          <w:b/>
          <w:bCs/>
          <w:sz w:val="24"/>
          <w:szCs w:val="24"/>
        </w:rPr>
      </w:pPr>
    </w:p>
    <w:p w14:paraId="561BA9C3">
      <w:pPr>
        <w:spacing w:line="360" w:lineRule="auto"/>
        <w:rPr>
          <w:rFonts w:hint="eastAsia" w:ascii="宋体" w:hAnsi="宋体" w:cs="宋体"/>
          <w:b/>
          <w:bCs/>
          <w:sz w:val="24"/>
          <w:szCs w:val="24"/>
        </w:rPr>
      </w:pPr>
    </w:p>
    <w:p w14:paraId="7E4C9319">
      <w:pPr>
        <w:spacing w:line="360" w:lineRule="auto"/>
        <w:rPr>
          <w:rFonts w:hint="eastAsia" w:ascii="宋体" w:hAnsi="宋体" w:cs="宋体"/>
          <w:b/>
          <w:bCs/>
          <w:sz w:val="24"/>
          <w:szCs w:val="24"/>
        </w:rPr>
      </w:pPr>
    </w:p>
    <w:p w14:paraId="5AB4308C">
      <w:pPr>
        <w:spacing w:line="360" w:lineRule="auto"/>
        <w:rPr>
          <w:rFonts w:hint="eastAsia" w:ascii="宋体" w:hAnsi="宋体" w:cs="宋体"/>
          <w:b/>
          <w:bCs/>
          <w:sz w:val="24"/>
          <w:szCs w:val="24"/>
        </w:rPr>
      </w:pPr>
    </w:p>
    <w:p w14:paraId="4DB75E79">
      <w:pPr>
        <w:spacing w:line="360" w:lineRule="auto"/>
        <w:rPr>
          <w:rFonts w:hint="eastAsia" w:ascii="宋体" w:hAnsi="宋体" w:cs="宋体"/>
          <w:b/>
          <w:bCs/>
          <w:sz w:val="24"/>
          <w:szCs w:val="24"/>
        </w:rPr>
      </w:pPr>
    </w:p>
    <w:p w14:paraId="0EB02C37">
      <w:pPr>
        <w:spacing w:line="360" w:lineRule="auto"/>
        <w:rPr>
          <w:rFonts w:hint="eastAsia" w:ascii="宋体" w:hAnsi="宋体" w:cs="宋体"/>
          <w:b/>
          <w:bCs/>
          <w:sz w:val="24"/>
          <w:szCs w:val="24"/>
        </w:rPr>
      </w:pPr>
    </w:p>
    <w:p w14:paraId="179CEECF">
      <w:pPr>
        <w:pStyle w:val="12"/>
        <w:rPr>
          <w:rFonts w:hint="eastAsia" w:ascii="宋体" w:hAnsi="宋体" w:eastAsia="宋体"/>
        </w:rPr>
      </w:pPr>
    </w:p>
    <w:p w14:paraId="7A8230D8">
      <w:pPr>
        <w:spacing w:line="360" w:lineRule="auto"/>
        <w:rPr>
          <w:rFonts w:hint="eastAsia" w:ascii="宋体" w:hAnsi="宋体" w:cs="宋体"/>
          <w:b/>
          <w:bCs/>
          <w:sz w:val="24"/>
          <w:szCs w:val="24"/>
        </w:rPr>
      </w:pPr>
      <w:r>
        <w:rPr>
          <w:rFonts w:hint="eastAsia" w:ascii="宋体" w:hAnsi="宋体" w:cs="宋体"/>
          <w:b/>
          <w:bCs/>
          <w:sz w:val="24"/>
          <w:szCs w:val="24"/>
        </w:rPr>
        <w:t>附件：</w:t>
      </w:r>
    </w:p>
    <w:p w14:paraId="6F98D0C4">
      <w:pPr>
        <w:widowControl/>
        <w:jc w:val="center"/>
        <w:rPr>
          <w:rFonts w:hint="eastAsia" w:ascii="宋体" w:hAnsi="宋体" w:cs="宋体"/>
          <w:sz w:val="24"/>
          <w:szCs w:val="24"/>
        </w:rPr>
      </w:pPr>
      <w:r>
        <w:rPr>
          <w:rFonts w:hint="eastAsia" w:ascii="宋体" w:hAnsi="宋体" w:cs="宋体"/>
          <w:b/>
          <w:sz w:val="24"/>
          <w:szCs w:val="24"/>
        </w:rPr>
        <w:t>无商业贿赂和不正当竞争行为承诺书</w:t>
      </w:r>
    </w:p>
    <w:p w14:paraId="548DEA9C">
      <w:pPr>
        <w:widowControl/>
        <w:spacing w:line="480" w:lineRule="exact"/>
        <w:jc w:val="left"/>
        <w:rPr>
          <w:rFonts w:hint="eastAsia" w:ascii="宋体" w:hAnsi="宋体" w:cs="宋体"/>
          <w:sz w:val="24"/>
          <w:szCs w:val="24"/>
        </w:rPr>
      </w:pPr>
    </w:p>
    <w:p w14:paraId="636E42CE">
      <w:pPr>
        <w:widowControl/>
        <w:spacing w:line="480" w:lineRule="exact"/>
        <w:jc w:val="left"/>
        <w:rPr>
          <w:rFonts w:hint="eastAsia" w:ascii="宋体" w:hAnsi="宋体" w:cs="宋体"/>
          <w:sz w:val="24"/>
          <w:szCs w:val="24"/>
        </w:rPr>
      </w:pPr>
      <w:r>
        <w:rPr>
          <w:rFonts w:hint="eastAsia" w:ascii="宋体" w:hAnsi="宋体" w:cs="宋体"/>
          <w:sz w:val="24"/>
          <w:szCs w:val="24"/>
        </w:rPr>
        <w:t>我公司承诺：</w:t>
      </w:r>
    </w:p>
    <w:p w14:paraId="1805B467">
      <w:pPr>
        <w:widowControl/>
        <w:spacing w:line="480" w:lineRule="exact"/>
        <w:ind w:firstLine="465"/>
        <w:jc w:val="left"/>
        <w:rPr>
          <w:rFonts w:hint="eastAsia" w:ascii="宋体" w:hAnsi="宋体" w:cs="宋体"/>
          <w:sz w:val="24"/>
          <w:szCs w:val="24"/>
        </w:rPr>
      </w:pPr>
      <w:r>
        <w:rPr>
          <w:rFonts w:hint="eastAsia" w:ascii="宋体" w:hAnsi="宋体" w:cs="宋体"/>
          <w:sz w:val="24"/>
          <w:szCs w:val="24"/>
        </w:rPr>
        <w:t>一、我公司自成立以来，在参与政府采购活动中，从无商业贿赂和不正当竞争行为。</w:t>
      </w:r>
    </w:p>
    <w:p w14:paraId="2DE6858C">
      <w:pPr>
        <w:widowControl/>
        <w:spacing w:line="480" w:lineRule="exact"/>
        <w:ind w:firstLine="465"/>
        <w:jc w:val="left"/>
        <w:rPr>
          <w:rFonts w:hint="eastAsia" w:ascii="宋体" w:hAnsi="宋体" w:cs="宋体"/>
          <w:sz w:val="24"/>
          <w:szCs w:val="24"/>
        </w:rPr>
      </w:pPr>
      <w:r>
        <w:rPr>
          <w:rFonts w:hint="eastAsia" w:ascii="宋体" w:hAnsi="宋体" w:cs="宋体"/>
          <w:sz w:val="24"/>
          <w:szCs w:val="24"/>
        </w:rPr>
        <w:t>二、公平竞争参加本次采购活动。</w:t>
      </w:r>
    </w:p>
    <w:p w14:paraId="7F9E1330">
      <w:pPr>
        <w:widowControl/>
        <w:spacing w:line="480" w:lineRule="exact"/>
        <w:ind w:firstLine="465"/>
        <w:jc w:val="left"/>
        <w:rPr>
          <w:rFonts w:hint="eastAsia" w:ascii="宋体" w:hAnsi="宋体" w:cs="宋体"/>
          <w:sz w:val="24"/>
          <w:szCs w:val="24"/>
        </w:rPr>
      </w:pPr>
      <w:r>
        <w:rPr>
          <w:rFonts w:hint="eastAsia" w:ascii="宋体" w:hAnsi="宋体" w:cs="宋体"/>
          <w:sz w:val="24"/>
          <w:szCs w:val="24"/>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6E5315A4">
      <w:pPr>
        <w:widowControl/>
        <w:spacing w:line="480" w:lineRule="exact"/>
        <w:ind w:firstLine="465"/>
        <w:jc w:val="left"/>
        <w:rPr>
          <w:rFonts w:hint="eastAsia" w:ascii="宋体" w:hAnsi="宋体" w:cs="宋体"/>
          <w:sz w:val="24"/>
          <w:szCs w:val="24"/>
        </w:rPr>
      </w:pPr>
      <w:r>
        <w:rPr>
          <w:rFonts w:hint="eastAsia" w:ascii="宋体" w:hAnsi="宋体" w:cs="宋体"/>
          <w:sz w:val="24"/>
          <w:szCs w:val="24"/>
        </w:rPr>
        <w:t>四、坚持投标独立性，保证不以任何手段了解或意图了解其他投标参与人情况及其报价信息。除公开渠道获取相关信息外，保证不以其它方式刺探或意图刺探贵司评标、议标信息及其进展。</w:t>
      </w:r>
    </w:p>
    <w:p w14:paraId="04722280">
      <w:pPr>
        <w:widowControl/>
        <w:spacing w:line="480" w:lineRule="exact"/>
        <w:ind w:firstLine="465"/>
        <w:jc w:val="left"/>
        <w:rPr>
          <w:rFonts w:hint="eastAsia" w:ascii="宋体" w:hAnsi="宋体" w:cs="宋体"/>
          <w:sz w:val="24"/>
          <w:szCs w:val="24"/>
        </w:rPr>
      </w:pPr>
      <w:r>
        <w:rPr>
          <w:rFonts w:hint="eastAsia" w:ascii="宋体" w:hAnsi="宋体" w:cs="宋体"/>
          <w:sz w:val="24"/>
          <w:szCs w:val="24"/>
        </w:rPr>
        <w:t>五、若出现上述行为，与投标的工作人员愿意接受按照国家法律法规等有关规定给子的处罚。</w:t>
      </w:r>
    </w:p>
    <w:p w14:paraId="29A24DF6">
      <w:pPr>
        <w:widowControl/>
        <w:spacing w:line="480" w:lineRule="exact"/>
        <w:ind w:firstLine="465"/>
        <w:jc w:val="left"/>
        <w:rPr>
          <w:rFonts w:hint="eastAsia" w:ascii="宋体" w:hAnsi="宋体" w:cs="宋体"/>
          <w:sz w:val="24"/>
          <w:szCs w:val="24"/>
        </w:rPr>
      </w:pPr>
      <w:r>
        <w:rPr>
          <w:rFonts w:hint="eastAsia" w:ascii="宋体" w:hAnsi="宋体" w:cs="宋体"/>
          <w:sz w:val="24"/>
          <w:szCs w:val="24"/>
        </w:rPr>
        <w:t>特此承诺！</w:t>
      </w:r>
    </w:p>
    <w:p w14:paraId="52959874">
      <w:pPr>
        <w:spacing w:after="120"/>
        <w:ind w:firstLine="200" w:firstLineChars="100"/>
        <w:rPr>
          <w:rFonts w:hint="eastAsia" w:ascii="宋体" w:hAnsi="宋体" w:cs="宋体"/>
          <w:kern w:val="0"/>
          <w:sz w:val="20"/>
        </w:rPr>
      </w:pPr>
    </w:p>
    <w:p w14:paraId="50067BEC">
      <w:pPr>
        <w:spacing w:after="120"/>
        <w:ind w:firstLine="200" w:firstLineChars="100"/>
        <w:rPr>
          <w:rFonts w:hint="eastAsia" w:ascii="宋体" w:hAnsi="宋体" w:cs="宋体"/>
          <w:kern w:val="0"/>
          <w:sz w:val="20"/>
        </w:rPr>
      </w:pPr>
    </w:p>
    <w:p w14:paraId="23CCE826">
      <w:pPr>
        <w:spacing w:line="360" w:lineRule="auto"/>
        <w:ind w:firstLine="4200" w:firstLineChars="1750"/>
        <w:rPr>
          <w:rFonts w:hint="eastAsia" w:ascii="宋体" w:hAnsi="宋体" w:cs="宋体"/>
          <w:sz w:val="24"/>
          <w:szCs w:val="24"/>
        </w:rPr>
      </w:pPr>
      <w:r>
        <w:rPr>
          <w:rFonts w:hint="eastAsia" w:ascii="宋体" w:hAnsi="宋体" w:cs="宋体"/>
          <w:sz w:val="24"/>
          <w:szCs w:val="24"/>
        </w:rPr>
        <w:t xml:space="preserve"> 投标供应商(盖章)：</w:t>
      </w:r>
    </w:p>
    <w:p w14:paraId="06F2C45D">
      <w:pPr>
        <w:spacing w:line="360" w:lineRule="auto"/>
        <w:ind w:firstLine="4200" w:firstLineChars="1750"/>
        <w:rPr>
          <w:rFonts w:hint="eastAsia" w:ascii="宋体" w:hAnsi="宋体" w:cs="宋体"/>
          <w:sz w:val="24"/>
          <w:szCs w:val="24"/>
          <w:u w:val="single"/>
        </w:rPr>
      </w:pPr>
      <w:r>
        <w:rPr>
          <w:rFonts w:hint="eastAsia" w:ascii="宋体" w:hAnsi="宋体" w:cs="宋体"/>
          <w:sz w:val="24"/>
          <w:szCs w:val="24"/>
        </w:rPr>
        <w:t>法定代表人或其委托代理人(签字或盖章)：</w:t>
      </w:r>
    </w:p>
    <w:p w14:paraId="2A63CCFF">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51BC28BB">
      <w:pPr>
        <w:spacing w:line="480" w:lineRule="auto"/>
        <w:jc w:val="left"/>
        <w:rPr>
          <w:rFonts w:hint="eastAsia" w:ascii="宋体" w:hAnsi="宋体" w:cs="宋体"/>
          <w:b/>
          <w:bCs/>
          <w:sz w:val="24"/>
          <w:szCs w:val="24"/>
        </w:rPr>
      </w:pPr>
      <w:r>
        <w:rPr>
          <w:rFonts w:hint="eastAsia" w:ascii="宋体" w:hAnsi="宋体" w:cs="宋体"/>
          <w:b/>
          <w:bCs/>
          <w:sz w:val="32"/>
          <w:szCs w:val="32"/>
        </w:rPr>
        <w:br w:type="page"/>
      </w:r>
      <w:r>
        <w:rPr>
          <w:rFonts w:hint="eastAsia" w:ascii="宋体" w:hAnsi="宋体" w:cs="宋体"/>
          <w:b/>
          <w:bCs/>
          <w:sz w:val="24"/>
          <w:szCs w:val="24"/>
        </w:rPr>
        <w:t>附件：</w:t>
      </w:r>
    </w:p>
    <w:p w14:paraId="3A735C76">
      <w:pPr>
        <w:spacing w:line="360" w:lineRule="auto"/>
        <w:jc w:val="center"/>
        <w:rPr>
          <w:rFonts w:hint="eastAsia" w:ascii="宋体" w:hAnsi="宋体" w:cs="宋体"/>
          <w:b/>
          <w:bCs/>
          <w:sz w:val="24"/>
          <w:szCs w:val="24"/>
        </w:rPr>
      </w:pPr>
      <w:r>
        <w:rPr>
          <w:rFonts w:hint="eastAsia" w:ascii="宋体" w:hAnsi="宋体" w:cs="宋体"/>
          <w:b/>
          <w:bCs/>
          <w:sz w:val="24"/>
          <w:szCs w:val="24"/>
        </w:rPr>
        <w:t>满足《中华人民共和国政府采购法》第二十二条规定的承诺书</w:t>
      </w:r>
    </w:p>
    <w:p w14:paraId="76AEDC20">
      <w:pPr>
        <w:spacing w:line="360" w:lineRule="auto"/>
        <w:rPr>
          <w:rFonts w:hint="eastAsia" w:ascii="宋体" w:hAnsi="宋体" w:cs="宋体"/>
          <w:sz w:val="24"/>
          <w:szCs w:val="24"/>
        </w:rPr>
      </w:pPr>
      <w:r>
        <w:rPr>
          <w:rFonts w:hint="eastAsia" w:ascii="宋体" w:hAnsi="宋体" w:cs="宋体"/>
          <w:sz w:val="24"/>
          <w:szCs w:val="24"/>
        </w:rPr>
        <w:t>致（采购单位）：</w:t>
      </w:r>
    </w:p>
    <w:p w14:paraId="2D3FBFD9">
      <w:pPr>
        <w:spacing w:line="500" w:lineRule="exact"/>
        <w:ind w:firstLine="480" w:firstLineChars="200"/>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我单位自愿参加本次采购活动，严格遵守《中华人民共和国政府采购法》及相关法律法规，依法诚信经营，依法遵守本次政府采购活动的各项规定。我单位郑重承诺声明如下：</w:t>
      </w:r>
    </w:p>
    <w:p w14:paraId="01AFA401">
      <w:pPr>
        <w:spacing w:line="500" w:lineRule="exact"/>
        <w:ind w:firstLine="480" w:firstLineChars="200"/>
        <w:rPr>
          <w:rFonts w:hint="eastAsia" w:ascii="宋体" w:hAnsi="宋体" w:cs="宋体"/>
          <w:sz w:val="24"/>
          <w:szCs w:val="24"/>
        </w:rPr>
      </w:pPr>
      <w:r>
        <w:rPr>
          <w:rFonts w:hint="eastAsia" w:ascii="宋体" w:hAnsi="宋体" w:cs="宋体"/>
          <w:sz w:val="24"/>
          <w:szCs w:val="24"/>
        </w:rPr>
        <w:t>一、我单位全称为    ，注册地点为，统一社会信用代码为， 法定代表人（主要负责人）为 ， 联系方式为 。</w:t>
      </w:r>
    </w:p>
    <w:p w14:paraId="4A33685E">
      <w:pPr>
        <w:spacing w:line="500" w:lineRule="exact"/>
        <w:ind w:firstLine="480" w:firstLineChars="200"/>
        <w:rPr>
          <w:rFonts w:hint="eastAsia" w:ascii="宋体" w:hAnsi="宋体" w:cs="宋体"/>
          <w:sz w:val="24"/>
          <w:szCs w:val="24"/>
        </w:rPr>
      </w:pPr>
      <w:r>
        <w:rPr>
          <w:rFonts w:hint="eastAsia" w:ascii="宋体" w:hAnsi="宋体" w:cs="宋体"/>
          <w:sz w:val="24"/>
          <w:szCs w:val="24"/>
        </w:rPr>
        <w:t>二、我单位具有良好的商业信誉和健全的财务会计制度。</w:t>
      </w:r>
    </w:p>
    <w:p w14:paraId="3137CC39">
      <w:pPr>
        <w:spacing w:line="500" w:lineRule="exact"/>
        <w:ind w:firstLine="480" w:firstLineChars="200"/>
        <w:rPr>
          <w:rFonts w:hint="eastAsia" w:ascii="宋体" w:hAnsi="宋体" w:cs="宋体"/>
          <w:sz w:val="24"/>
          <w:szCs w:val="24"/>
        </w:rPr>
      </w:pPr>
      <w:r>
        <w:rPr>
          <w:rFonts w:hint="eastAsia" w:ascii="宋体" w:hAnsi="宋体" w:cs="宋体"/>
          <w:sz w:val="24"/>
          <w:szCs w:val="24"/>
        </w:rPr>
        <w:t>三、我单位具有履行合同所必需的设备和专业技术能力。</w:t>
      </w:r>
    </w:p>
    <w:p w14:paraId="44A26AAB">
      <w:pPr>
        <w:spacing w:line="500" w:lineRule="exact"/>
        <w:ind w:firstLine="480" w:firstLineChars="200"/>
        <w:rPr>
          <w:rFonts w:hint="eastAsia" w:ascii="宋体" w:hAnsi="宋体" w:cs="宋体"/>
          <w:sz w:val="24"/>
          <w:szCs w:val="24"/>
        </w:rPr>
      </w:pPr>
      <w:r>
        <w:rPr>
          <w:rFonts w:hint="eastAsia" w:ascii="宋体" w:hAnsi="宋体" w:cs="宋体"/>
          <w:sz w:val="24"/>
          <w:szCs w:val="24"/>
        </w:rPr>
        <w:t>四、我单位有依法缴纳税收和社会保障资金的良好记录。</w:t>
      </w:r>
    </w:p>
    <w:p w14:paraId="25E2F24C">
      <w:pPr>
        <w:spacing w:line="500" w:lineRule="exact"/>
        <w:ind w:firstLine="480" w:firstLineChars="200"/>
        <w:rPr>
          <w:rFonts w:hint="eastAsia" w:ascii="宋体" w:hAnsi="宋体" w:cs="宋体"/>
          <w:sz w:val="24"/>
          <w:szCs w:val="24"/>
        </w:rPr>
      </w:pPr>
      <w:r>
        <w:rPr>
          <w:rFonts w:hint="eastAsia" w:ascii="宋体" w:hAnsi="宋体" w:cs="宋体"/>
          <w:sz w:val="24"/>
          <w:szCs w:val="24"/>
        </w:rPr>
        <w:t>五、我单位参加政府采购活动前三年内，在经营活动中没有重大违法记录。（重大违法记录，是指供应商因违法经营受到刑事处罚或者责令停产停业、吊销许可证或者执照、较大数额罚款等行政处罚。）</w:t>
      </w:r>
    </w:p>
    <w:p w14:paraId="0E760EBA">
      <w:pPr>
        <w:spacing w:line="500" w:lineRule="exact"/>
        <w:ind w:firstLine="480" w:firstLineChars="200"/>
        <w:rPr>
          <w:rFonts w:hint="eastAsia" w:ascii="宋体" w:hAnsi="宋体" w:cs="宋体"/>
          <w:sz w:val="24"/>
          <w:szCs w:val="24"/>
        </w:rPr>
      </w:pPr>
      <w:r>
        <w:rPr>
          <w:rFonts w:hint="eastAsia" w:ascii="宋体" w:hAnsi="宋体" w:cs="宋体"/>
          <w:sz w:val="24"/>
          <w:szCs w:val="24"/>
        </w:rPr>
        <w:t>六、我单位具备法律、行政法规规定的其他条件。</w:t>
      </w:r>
    </w:p>
    <w:p w14:paraId="621FA320">
      <w:pPr>
        <w:spacing w:line="500" w:lineRule="exact"/>
        <w:ind w:firstLine="480" w:firstLineChars="200"/>
        <w:rPr>
          <w:rFonts w:hint="eastAsia" w:ascii="宋体" w:hAnsi="宋体" w:cs="宋体"/>
          <w:sz w:val="24"/>
          <w:szCs w:val="24"/>
        </w:rPr>
      </w:pPr>
      <w:r>
        <w:rPr>
          <w:rFonts w:hint="eastAsia" w:ascii="宋体" w:hAnsi="宋体" w:cs="宋体"/>
          <w:sz w:val="24"/>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72C1ED3F">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14B775F0">
      <w:pPr>
        <w:spacing w:line="360" w:lineRule="auto"/>
        <w:ind w:firstLine="4200" w:firstLineChars="1750"/>
        <w:rPr>
          <w:rFonts w:hint="eastAsia" w:ascii="宋体" w:hAnsi="宋体" w:cs="宋体"/>
          <w:sz w:val="24"/>
          <w:szCs w:val="24"/>
          <w:u w:val="single"/>
        </w:rPr>
      </w:pPr>
      <w:r>
        <w:rPr>
          <w:rFonts w:hint="eastAsia" w:ascii="宋体" w:hAnsi="宋体" w:cs="宋体"/>
          <w:sz w:val="24"/>
          <w:szCs w:val="24"/>
        </w:rPr>
        <w:t>法定代表人或其委托代理人(签字或盖章)：</w:t>
      </w:r>
    </w:p>
    <w:p w14:paraId="5D3428F7">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35146F16">
      <w:pPr>
        <w:spacing w:line="276" w:lineRule="auto"/>
        <w:rPr>
          <w:rFonts w:hint="eastAsia" w:ascii="宋体" w:hAnsi="宋体" w:cs="宋体"/>
          <w:sz w:val="24"/>
          <w:szCs w:val="24"/>
        </w:rPr>
      </w:pPr>
      <w:r>
        <w:rPr>
          <w:rFonts w:hint="eastAsia" w:ascii="宋体" w:hAnsi="宋体" w:cs="宋体"/>
          <w:sz w:val="24"/>
          <w:szCs w:val="24"/>
        </w:rPr>
        <w:t>注：1.供应商须在投标文件中按此模板提供承诺函，未提供视为未实质性响应招标文件要求，按无效投标处理。</w:t>
      </w:r>
    </w:p>
    <w:p w14:paraId="6BF67349">
      <w:pPr>
        <w:spacing w:line="480" w:lineRule="auto"/>
        <w:jc w:val="center"/>
        <w:rPr>
          <w:rFonts w:hint="eastAsia" w:ascii="宋体" w:hAnsi="宋体" w:cs="宋体"/>
          <w:sz w:val="24"/>
          <w:szCs w:val="24"/>
        </w:rPr>
      </w:pPr>
      <w:r>
        <w:rPr>
          <w:rFonts w:hint="eastAsia" w:ascii="宋体" w:hAnsi="宋体" w:cs="宋体"/>
          <w:sz w:val="24"/>
          <w:szCs w:val="24"/>
        </w:rPr>
        <w:t>2.供应商的法定代表人（主要负责人）或者授权代表的签字或盖章应真实、有效。</w:t>
      </w:r>
    </w:p>
    <w:p w14:paraId="68B19E9E">
      <w:pPr>
        <w:spacing w:line="480" w:lineRule="auto"/>
        <w:jc w:val="center"/>
        <w:rPr>
          <w:rFonts w:hint="eastAsia" w:ascii="宋体" w:hAnsi="宋体" w:cs="宋体"/>
          <w:sz w:val="24"/>
          <w:szCs w:val="24"/>
        </w:rPr>
      </w:pPr>
    </w:p>
    <w:p w14:paraId="011F1135">
      <w:pPr>
        <w:spacing w:line="480" w:lineRule="auto"/>
        <w:jc w:val="center"/>
        <w:rPr>
          <w:rFonts w:hint="eastAsia" w:ascii="宋体" w:hAnsi="宋体" w:cs="宋体"/>
          <w:sz w:val="24"/>
          <w:szCs w:val="24"/>
        </w:rPr>
      </w:pPr>
    </w:p>
    <w:p w14:paraId="1FE3D0C2">
      <w:pPr>
        <w:spacing w:line="480" w:lineRule="auto"/>
        <w:jc w:val="center"/>
        <w:rPr>
          <w:rFonts w:hint="eastAsia" w:ascii="宋体" w:hAnsi="宋体" w:cs="宋体"/>
          <w:b/>
          <w:bCs/>
          <w:kern w:val="0"/>
          <w:sz w:val="28"/>
          <w:szCs w:val="28"/>
        </w:rPr>
      </w:pPr>
      <w:r>
        <w:rPr>
          <w:rFonts w:hint="eastAsia" w:ascii="宋体" w:hAnsi="宋体" w:cs="宋体"/>
          <w:b/>
          <w:sz w:val="32"/>
          <w:szCs w:val="32"/>
        </w:rPr>
        <w:br w:type="page"/>
      </w:r>
      <w:r>
        <w:rPr>
          <w:rFonts w:hint="eastAsia" w:ascii="宋体" w:hAnsi="宋体" w:cs="宋体"/>
          <w:b/>
          <w:bCs/>
          <w:sz w:val="30"/>
          <w:szCs w:val="30"/>
        </w:rPr>
        <w:t>六</w:t>
      </w:r>
      <w:r>
        <w:rPr>
          <w:rFonts w:hint="eastAsia" w:ascii="宋体" w:hAnsi="宋体" w:cs="宋体"/>
          <w:b/>
          <w:bCs/>
          <w:sz w:val="28"/>
          <w:szCs w:val="28"/>
        </w:rPr>
        <w:t>、</w:t>
      </w:r>
      <w:r>
        <w:rPr>
          <w:rFonts w:hint="eastAsia" w:ascii="宋体" w:hAnsi="宋体" w:cs="宋体"/>
          <w:b/>
          <w:bCs/>
          <w:kern w:val="0"/>
          <w:sz w:val="28"/>
          <w:szCs w:val="28"/>
        </w:rPr>
        <w:t>中小企业声明函</w:t>
      </w:r>
    </w:p>
    <w:p w14:paraId="01CC664B">
      <w:pPr>
        <w:snapToGrid w:val="0"/>
        <w:spacing w:line="360" w:lineRule="auto"/>
        <w:ind w:right="482"/>
        <w:jc w:val="left"/>
        <w:rPr>
          <w:rFonts w:hint="eastAsia" w:ascii="宋体" w:hAnsi="宋体" w:cs="宋体"/>
          <w:sz w:val="24"/>
          <w:szCs w:val="20"/>
        </w:rPr>
      </w:pPr>
    </w:p>
    <w:p w14:paraId="197CF2A0">
      <w:pPr>
        <w:spacing w:line="500" w:lineRule="exact"/>
        <w:ind w:firstLine="480" w:firstLineChars="200"/>
        <w:rPr>
          <w:rFonts w:hint="eastAsia" w:ascii="宋体" w:hAnsi="宋体" w:cs="宋体"/>
          <w:sz w:val="24"/>
        </w:rPr>
      </w:pPr>
      <w:r>
        <w:rPr>
          <w:rFonts w:hint="eastAsia" w:ascii="宋体" w:hAnsi="宋体" w:cs="宋体"/>
          <w:sz w:val="24"/>
        </w:rPr>
        <w:t>本公司（联合体）郑重声明，参考《政府采购促进中小企业发展管理办法》（财库﹝2020﹞46号）的规定，本公司（联合体）参加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采购活动，工程的施工单位全部为符合政策要求的中小企业。相关企业（含联合体中的中小企业、签订分包意向协议的中小企业）的具体情况如下：</w:t>
      </w:r>
    </w:p>
    <w:p w14:paraId="697495C4">
      <w:pPr>
        <w:spacing w:line="500" w:lineRule="exact"/>
        <w:ind w:firstLine="480" w:firstLineChars="200"/>
        <w:rPr>
          <w:rFonts w:hint="eastAsia" w:ascii="宋体" w:hAnsi="宋体" w:cs="宋体"/>
          <w:sz w:val="24"/>
        </w:rPr>
      </w:pP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vertAlign w:val="superscript"/>
        </w:rPr>
        <w:t>1</w:t>
      </w:r>
      <w:r>
        <w:rPr>
          <w:rFonts w:hint="eastAsia" w:ascii="宋体" w:hAnsi="宋体" w:cs="宋体"/>
          <w:sz w:val="24"/>
        </w:rPr>
        <w:t>，属于</w:t>
      </w:r>
      <w:r>
        <w:rPr>
          <w:rFonts w:hint="eastAsia" w:ascii="宋体" w:hAnsi="宋体" w:cs="宋体"/>
          <w:sz w:val="24"/>
          <w:u w:val="single"/>
        </w:rPr>
        <w:t>（中型企业、小型企业、微型企业）</w:t>
      </w:r>
      <w:r>
        <w:rPr>
          <w:rFonts w:hint="eastAsia" w:ascii="宋体" w:hAnsi="宋体" w:cs="宋体"/>
          <w:sz w:val="24"/>
        </w:rPr>
        <w:t xml:space="preserve">； </w:t>
      </w:r>
    </w:p>
    <w:p w14:paraId="38A26ACA">
      <w:pPr>
        <w:spacing w:line="500" w:lineRule="exact"/>
        <w:ind w:firstLine="480" w:firstLineChars="200"/>
        <w:rPr>
          <w:rFonts w:hint="eastAsia" w:ascii="宋体" w:hAnsi="宋体" w:cs="宋体"/>
          <w:sz w:val="24"/>
        </w:rPr>
      </w:pPr>
      <w:r>
        <w:rPr>
          <w:rFonts w:hint="eastAsia" w:ascii="宋体" w:hAnsi="宋体" w:cs="宋体"/>
          <w:sz w:val="24"/>
        </w:rPr>
        <w:t xml:space="preserve">以上企业，不属于大企业的分支机构，不存在控股股东为大企业的情形，也不存在与大企业的负责人为同一人的情 形。 </w:t>
      </w:r>
    </w:p>
    <w:p w14:paraId="49E79CCD">
      <w:pPr>
        <w:spacing w:line="500" w:lineRule="exact"/>
        <w:ind w:firstLine="480" w:firstLineChars="200"/>
        <w:rPr>
          <w:rFonts w:hint="eastAsia" w:ascii="宋体" w:hAnsi="宋体" w:cs="宋体"/>
          <w:sz w:val="24"/>
        </w:rPr>
      </w:pPr>
      <w:r>
        <w:rPr>
          <w:rFonts w:hint="eastAsia" w:ascii="宋体" w:hAnsi="宋体" w:cs="宋体"/>
          <w:sz w:val="24"/>
        </w:rPr>
        <w:t>本企业对上述声明内容的真实性负责。如有虚假，将依 法承担相应责任。</w:t>
      </w:r>
    </w:p>
    <w:p w14:paraId="55774102">
      <w:pPr>
        <w:spacing w:line="500" w:lineRule="exact"/>
        <w:ind w:firstLine="6240" w:firstLineChars="2600"/>
        <w:rPr>
          <w:rFonts w:hint="eastAsia" w:ascii="宋体" w:hAnsi="宋体" w:cs="宋体"/>
          <w:sz w:val="24"/>
        </w:rPr>
      </w:pPr>
      <w:r>
        <w:rPr>
          <w:rFonts w:hint="eastAsia" w:ascii="宋体" w:hAnsi="宋体" w:cs="宋体"/>
          <w:sz w:val="24"/>
        </w:rPr>
        <w:t>企业名称（盖单位公章）：</w:t>
      </w:r>
    </w:p>
    <w:p w14:paraId="5B05D014">
      <w:pPr>
        <w:spacing w:line="500" w:lineRule="exact"/>
        <w:ind w:firstLine="6240" w:firstLineChars="2600"/>
        <w:rPr>
          <w:rFonts w:hint="eastAsia" w:ascii="宋体" w:hAnsi="宋体" w:cs="宋体"/>
          <w:sz w:val="24"/>
        </w:rPr>
      </w:pPr>
      <w:r>
        <w:rPr>
          <w:rFonts w:hint="eastAsia" w:ascii="宋体" w:hAnsi="宋体" w:cs="宋体"/>
          <w:sz w:val="24"/>
        </w:rPr>
        <w:t>日 期：</w:t>
      </w:r>
    </w:p>
    <w:p w14:paraId="090C6DC1">
      <w:pPr>
        <w:spacing w:line="500" w:lineRule="exact"/>
        <w:ind w:firstLine="480" w:firstLineChars="200"/>
        <w:rPr>
          <w:rFonts w:hint="eastAsia" w:ascii="宋体" w:hAnsi="宋体" w:cs="宋体"/>
          <w:sz w:val="24"/>
        </w:rPr>
      </w:pPr>
    </w:p>
    <w:p w14:paraId="3CDB3A76">
      <w:pPr>
        <w:spacing w:line="500" w:lineRule="exact"/>
        <w:ind w:firstLine="480" w:firstLineChars="200"/>
        <w:rPr>
          <w:rFonts w:hint="eastAsia" w:ascii="宋体" w:hAnsi="宋体" w:cs="宋体"/>
          <w:sz w:val="24"/>
        </w:rPr>
      </w:pPr>
      <w:r>
        <w:rPr>
          <w:rFonts w:hint="eastAsia" w:ascii="宋体" w:hAnsi="宋体" w:cs="宋体"/>
          <w:sz w:val="24"/>
        </w:rPr>
        <w:t>注：从业人员、 营业收入、 资产总额填报上一年度数据， 无上一年度数据的新成立企业可不填报。</w:t>
      </w:r>
    </w:p>
    <w:p w14:paraId="415EA74B">
      <w:pPr>
        <w:pStyle w:val="12"/>
        <w:rPr>
          <w:rFonts w:hint="eastAsia" w:ascii="宋体" w:hAnsi="宋体" w:eastAsia="宋体"/>
        </w:rPr>
      </w:pPr>
    </w:p>
    <w:p w14:paraId="6744CDB2">
      <w:pPr>
        <w:spacing w:line="360" w:lineRule="auto"/>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5594239E">
      <w:pPr>
        <w:spacing w:line="360" w:lineRule="auto"/>
        <w:ind w:firstLine="482" w:firstLineChars="200"/>
        <w:rPr>
          <w:rFonts w:hint="eastAsia" w:ascii="宋体" w:hAnsi="宋体" w:cs="宋体"/>
          <w:b/>
          <w:bCs/>
          <w:sz w:val="24"/>
          <w:szCs w:val="20"/>
        </w:rPr>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p>
    <w:p w14:paraId="2F274B34">
      <w:pPr>
        <w:spacing w:line="360" w:lineRule="auto"/>
        <w:ind w:firstLine="482" w:firstLineChars="200"/>
        <w:rPr>
          <w:rFonts w:hint="eastAsia" w:ascii="宋体" w:hAnsi="宋体" w:cs="宋体"/>
          <w:b/>
          <w:bCs/>
          <w:sz w:val="24"/>
          <w:szCs w:val="20"/>
        </w:rPr>
      </w:pPr>
      <w:r>
        <w:rPr>
          <w:rFonts w:hint="eastAsia" w:ascii="宋体" w:hAnsi="宋体" w:cs="宋体"/>
          <w:b/>
          <w:bCs/>
          <w:sz w:val="24"/>
          <w:szCs w:val="20"/>
        </w:rPr>
        <w:t>3、本次采购标的对应的中小企业划分标准所属行业：其他服务业。</w:t>
      </w:r>
    </w:p>
    <w:p w14:paraId="117CC576">
      <w:pPr>
        <w:spacing w:line="276" w:lineRule="auto"/>
        <w:jc w:val="center"/>
        <w:rPr>
          <w:rFonts w:hint="eastAsia" w:ascii="宋体" w:hAnsi="宋体" w:cs="宋体"/>
          <w:b/>
          <w:bCs/>
          <w:kern w:val="0"/>
          <w:sz w:val="32"/>
          <w:szCs w:val="32"/>
        </w:rPr>
      </w:pPr>
      <w:r>
        <w:rPr>
          <w:rFonts w:hint="eastAsia" w:ascii="宋体" w:hAnsi="宋体" w:cs="宋体"/>
          <w:bCs/>
          <w:sz w:val="24"/>
          <w:szCs w:val="24"/>
        </w:rPr>
        <w:br w:type="page"/>
      </w:r>
    </w:p>
    <w:p w14:paraId="7AB002DA">
      <w:pPr>
        <w:spacing w:line="360" w:lineRule="auto"/>
        <w:jc w:val="center"/>
        <w:rPr>
          <w:rFonts w:hint="eastAsia" w:ascii="宋体" w:hAnsi="宋体" w:cs="宋体"/>
          <w:b/>
          <w:bCs/>
          <w:sz w:val="28"/>
          <w:szCs w:val="28"/>
        </w:rPr>
      </w:pPr>
      <w:r>
        <w:rPr>
          <w:rFonts w:hint="eastAsia" w:ascii="宋体" w:hAnsi="宋体" w:cs="宋体"/>
          <w:b/>
          <w:bCs/>
          <w:sz w:val="28"/>
          <w:szCs w:val="28"/>
        </w:rPr>
        <w:t>七、投标承诺函</w:t>
      </w:r>
    </w:p>
    <w:p w14:paraId="4D6A4DDF">
      <w:pPr>
        <w:spacing w:line="360" w:lineRule="auto"/>
        <w:rPr>
          <w:rFonts w:hint="eastAsia" w:ascii="宋体" w:hAnsi="宋体" w:cs="宋体"/>
          <w:b/>
          <w:sz w:val="28"/>
          <w:szCs w:val="28"/>
        </w:rPr>
      </w:pPr>
      <w:r>
        <w:rPr>
          <w:rFonts w:hint="eastAsia" w:ascii="宋体" w:hAnsi="宋体" w:cs="宋体"/>
          <w:sz w:val="24"/>
        </w:rPr>
        <w:t>致：</w:t>
      </w:r>
      <w:r>
        <w:rPr>
          <w:rFonts w:hint="eastAsia" w:ascii="宋体" w:hAnsi="宋体" w:cs="宋体"/>
          <w:sz w:val="24"/>
          <w:u w:val="single"/>
        </w:rPr>
        <w:t>（采购人名称）</w:t>
      </w:r>
    </w:p>
    <w:p w14:paraId="023A346A">
      <w:pPr>
        <w:spacing w:line="360" w:lineRule="auto"/>
        <w:ind w:firstLine="480" w:firstLineChars="200"/>
        <w:rPr>
          <w:rFonts w:hint="eastAsia" w:ascii="宋体" w:hAnsi="宋体" w:cs="宋体"/>
          <w:sz w:val="24"/>
        </w:rPr>
      </w:pPr>
      <w:r>
        <w:rPr>
          <w:rFonts w:hint="eastAsia" w:ascii="宋体" w:hAnsi="宋体" w:cs="宋体"/>
          <w:sz w:val="24"/>
        </w:rPr>
        <w:t>我公司作为本次采购项目的投标供应商，根据招标文件要求，现郑重承诺如下：</w:t>
      </w:r>
    </w:p>
    <w:p w14:paraId="0DF9762A">
      <w:pPr>
        <w:spacing w:line="360" w:lineRule="auto"/>
        <w:ind w:firstLine="480"/>
        <w:rPr>
          <w:rFonts w:hint="eastAsia" w:ascii="宋体" w:hAnsi="宋体" w:cs="宋体"/>
          <w:sz w:val="24"/>
          <w:szCs w:val="24"/>
        </w:rPr>
      </w:pPr>
      <w:r>
        <w:rPr>
          <w:rFonts w:hint="eastAsia" w:ascii="宋体" w:hAnsi="宋体" w:cs="宋体"/>
          <w:sz w:val="24"/>
          <w:szCs w:val="24"/>
        </w:rPr>
        <w:t>1.我方完全接受和满足本项目招标文件中规定的实质性要求，不存在对招标文件有异议的同时参加本次采购活动。</w:t>
      </w:r>
    </w:p>
    <w:p w14:paraId="3636F0D1">
      <w:pPr>
        <w:spacing w:line="360" w:lineRule="auto"/>
        <w:ind w:firstLine="480"/>
        <w:rPr>
          <w:rFonts w:hint="eastAsia" w:ascii="宋体" w:hAnsi="宋体" w:cs="宋体"/>
          <w:sz w:val="24"/>
          <w:szCs w:val="24"/>
        </w:rPr>
      </w:pPr>
      <w:r>
        <w:rPr>
          <w:rFonts w:hint="eastAsia" w:ascii="宋体" w:hAnsi="宋体" w:cs="宋体"/>
          <w:sz w:val="24"/>
          <w:szCs w:val="24"/>
        </w:rPr>
        <w:t>2.参加本次采购活动，不存在与单位负责人为同一人或者存在直接控股、管理关系的其他供应商参与同一合同项下的政府采购活动的行为。</w:t>
      </w:r>
    </w:p>
    <w:p w14:paraId="74C15E4F">
      <w:pPr>
        <w:spacing w:line="360" w:lineRule="auto"/>
        <w:ind w:firstLine="480"/>
        <w:rPr>
          <w:rFonts w:hint="eastAsia" w:ascii="宋体" w:hAnsi="宋体" w:cs="宋体"/>
          <w:sz w:val="24"/>
          <w:szCs w:val="24"/>
        </w:rPr>
      </w:pPr>
      <w:r>
        <w:rPr>
          <w:rFonts w:hint="eastAsia" w:ascii="宋体" w:hAnsi="宋体" w:cs="宋体"/>
          <w:sz w:val="24"/>
          <w:szCs w:val="24"/>
        </w:rPr>
        <w:t>3.我方参加政府采购活动无商业贿赂和不正当竞争行为。</w:t>
      </w:r>
    </w:p>
    <w:p w14:paraId="394BFB7B">
      <w:pPr>
        <w:spacing w:line="360" w:lineRule="auto"/>
        <w:rPr>
          <w:rFonts w:hint="eastAsia" w:ascii="宋体" w:hAnsi="宋体" w:cs="宋体"/>
          <w:sz w:val="24"/>
          <w:szCs w:val="24"/>
        </w:rPr>
      </w:pPr>
      <w:r>
        <w:rPr>
          <w:rFonts w:hint="eastAsia" w:ascii="宋体" w:hAnsi="宋体" w:cs="宋体"/>
          <w:sz w:val="24"/>
          <w:szCs w:val="24"/>
        </w:rPr>
        <w:t>   4.存在以下行为之一的愿意接受相关部门的处理：</w:t>
      </w:r>
    </w:p>
    <w:p w14:paraId="32FB5E0C">
      <w:pPr>
        <w:spacing w:line="360" w:lineRule="auto"/>
        <w:ind w:firstLine="480"/>
        <w:rPr>
          <w:rFonts w:hint="eastAsia" w:ascii="宋体" w:hAnsi="宋体" w:cs="宋体"/>
          <w:sz w:val="24"/>
          <w:szCs w:val="24"/>
        </w:rPr>
      </w:pPr>
      <w:r>
        <w:rPr>
          <w:rFonts w:hint="eastAsia" w:ascii="宋体" w:hAnsi="宋体" w:cs="宋体"/>
          <w:sz w:val="24"/>
          <w:szCs w:val="24"/>
        </w:rPr>
        <w:t>（1）投标有效期内撤回投标文件的；</w:t>
      </w:r>
    </w:p>
    <w:p w14:paraId="7053CD52">
      <w:pPr>
        <w:spacing w:line="360" w:lineRule="auto"/>
        <w:ind w:firstLine="480"/>
        <w:rPr>
          <w:rFonts w:hint="eastAsia" w:ascii="宋体" w:hAnsi="宋体" w:cs="宋体"/>
          <w:sz w:val="24"/>
          <w:szCs w:val="24"/>
        </w:rPr>
      </w:pPr>
      <w:r>
        <w:rPr>
          <w:rFonts w:hint="eastAsia" w:ascii="宋体" w:hAnsi="宋体" w:cs="宋体"/>
          <w:sz w:val="24"/>
          <w:szCs w:val="24"/>
        </w:rPr>
        <w:t>（2）在采购人确定中标供应商以前放弃中标候选资格的；</w:t>
      </w:r>
    </w:p>
    <w:p w14:paraId="59F8B042">
      <w:pPr>
        <w:spacing w:line="360" w:lineRule="auto"/>
        <w:ind w:firstLine="480"/>
        <w:rPr>
          <w:rFonts w:hint="eastAsia" w:ascii="宋体" w:hAnsi="宋体" w:cs="宋体"/>
          <w:sz w:val="24"/>
          <w:szCs w:val="24"/>
        </w:rPr>
      </w:pPr>
      <w:r>
        <w:rPr>
          <w:rFonts w:hint="eastAsia" w:ascii="宋体" w:hAnsi="宋体" w:cs="宋体"/>
          <w:sz w:val="24"/>
          <w:szCs w:val="24"/>
        </w:rPr>
        <w:t>（3）除不可抗力的因素外，由于中标供应商的原因未能按照招标文件的规定与采购人签订合同；</w:t>
      </w:r>
    </w:p>
    <w:p w14:paraId="348EBC5A">
      <w:pPr>
        <w:spacing w:line="360" w:lineRule="auto"/>
        <w:ind w:firstLine="480"/>
        <w:rPr>
          <w:rFonts w:hint="eastAsia" w:ascii="宋体" w:hAnsi="宋体" w:cs="宋体"/>
          <w:sz w:val="24"/>
          <w:szCs w:val="24"/>
        </w:rPr>
      </w:pPr>
      <w:r>
        <w:rPr>
          <w:rFonts w:hint="eastAsia" w:ascii="宋体" w:hAnsi="宋体" w:cs="宋体"/>
          <w:sz w:val="24"/>
          <w:szCs w:val="24"/>
        </w:rPr>
        <w:t>（4）在招标文件中提供虚假材料谋取中标；</w:t>
      </w:r>
    </w:p>
    <w:p w14:paraId="62DCA382">
      <w:pPr>
        <w:spacing w:line="360" w:lineRule="auto"/>
        <w:ind w:firstLine="480"/>
        <w:rPr>
          <w:rFonts w:hint="eastAsia" w:ascii="宋体" w:hAnsi="宋体" w:cs="宋体"/>
          <w:sz w:val="24"/>
          <w:szCs w:val="24"/>
        </w:rPr>
      </w:pPr>
      <w:r>
        <w:rPr>
          <w:rFonts w:hint="eastAsia" w:ascii="宋体" w:hAnsi="宋体" w:cs="宋体"/>
          <w:sz w:val="24"/>
          <w:szCs w:val="24"/>
        </w:rPr>
        <w:t>（5）与采购人、其他供应商或者采购代理机构恶意串通的；</w:t>
      </w:r>
    </w:p>
    <w:p w14:paraId="457991C3">
      <w:pPr>
        <w:spacing w:line="360" w:lineRule="auto"/>
        <w:ind w:firstLine="480"/>
        <w:rPr>
          <w:rFonts w:hint="eastAsia" w:ascii="宋体" w:hAnsi="宋体" w:cs="宋体"/>
          <w:sz w:val="24"/>
          <w:szCs w:val="24"/>
        </w:rPr>
      </w:pPr>
      <w:r>
        <w:rPr>
          <w:rFonts w:hint="eastAsia" w:ascii="宋体" w:hAnsi="宋体" w:cs="宋体"/>
          <w:sz w:val="24"/>
          <w:szCs w:val="24"/>
        </w:rPr>
        <w:t>（6）投标有效期内，投标供应商在政府采购活动中有违法、违规、违纪行为。</w:t>
      </w:r>
    </w:p>
    <w:p w14:paraId="63D9B004">
      <w:pPr>
        <w:spacing w:line="360" w:lineRule="auto"/>
        <w:ind w:firstLine="480"/>
        <w:rPr>
          <w:rFonts w:hint="eastAsia" w:ascii="宋体" w:hAnsi="宋体" w:cs="宋体"/>
          <w:sz w:val="24"/>
          <w:szCs w:val="24"/>
        </w:rPr>
      </w:pPr>
      <w:r>
        <w:rPr>
          <w:rFonts w:hint="eastAsia" w:ascii="宋体" w:hAnsi="宋体" w:cs="宋体"/>
          <w:sz w:val="24"/>
          <w:szCs w:val="24"/>
        </w:rPr>
        <w:t>由此产生的一切法律后果和责任由我公司承担。我公司声明放弃对此提出任何异议和追索的权利。</w:t>
      </w:r>
    </w:p>
    <w:p w14:paraId="314282EA">
      <w:pPr>
        <w:spacing w:line="360" w:lineRule="auto"/>
        <w:ind w:firstLine="480"/>
        <w:rPr>
          <w:rFonts w:hint="eastAsia" w:ascii="宋体" w:hAnsi="宋体" w:cs="宋体"/>
          <w:b/>
          <w:bCs/>
          <w:kern w:val="0"/>
          <w:sz w:val="30"/>
          <w:shd w:val="clear" w:color="auto" w:fill="FFFFFF"/>
        </w:rPr>
      </w:pPr>
      <w:r>
        <w:rPr>
          <w:rFonts w:hint="eastAsia" w:ascii="宋体" w:hAnsi="宋体" w:cs="宋体"/>
          <w:sz w:val="24"/>
          <w:szCs w:val="24"/>
        </w:rPr>
        <w:t>本公司对上述承诺的内容事项真实性负责。如经查实上述承诺的内容事项存在虚假，我公司愿意接受以提供虚假材料谋取中标追究法律责任。 </w:t>
      </w:r>
      <w:r>
        <w:rPr>
          <w:rFonts w:hint="eastAsia" w:ascii="宋体" w:hAnsi="宋体" w:cs="宋体"/>
          <w:kern w:val="1"/>
          <w:sz w:val="24"/>
        </w:rPr>
        <w:t>   </w:t>
      </w:r>
    </w:p>
    <w:p w14:paraId="5FA50F57">
      <w:pPr>
        <w:spacing w:line="360" w:lineRule="auto"/>
        <w:jc w:val="center"/>
        <w:rPr>
          <w:rFonts w:hint="eastAsia" w:ascii="宋体" w:hAnsi="宋体" w:cs="宋体"/>
          <w:b/>
          <w:bCs/>
          <w:sz w:val="24"/>
          <w:szCs w:val="24"/>
        </w:rPr>
      </w:pPr>
    </w:p>
    <w:p w14:paraId="5A4A6F9E">
      <w:pPr>
        <w:spacing w:line="360" w:lineRule="auto"/>
        <w:ind w:firstLine="4200" w:firstLineChars="1750"/>
        <w:rPr>
          <w:rFonts w:hint="eastAsia" w:ascii="宋体" w:hAnsi="宋体" w:cs="宋体"/>
          <w:sz w:val="24"/>
          <w:szCs w:val="24"/>
        </w:rPr>
      </w:pPr>
      <w:r>
        <w:rPr>
          <w:rFonts w:hint="eastAsia" w:ascii="宋体" w:hAnsi="宋体" w:cs="宋体"/>
          <w:sz w:val="24"/>
          <w:szCs w:val="24"/>
        </w:rPr>
        <w:t>投标供应商(盖章)：</w:t>
      </w:r>
    </w:p>
    <w:p w14:paraId="74A8F9A1">
      <w:pPr>
        <w:spacing w:line="360" w:lineRule="auto"/>
        <w:ind w:firstLine="4200" w:firstLineChars="1750"/>
        <w:rPr>
          <w:rFonts w:hint="eastAsia" w:ascii="宋体" w:hAnsi="宋体" w:cs="宋体"/>
          <w:sz w:val="24"/>
          <w:szCs w:val="24"/>
        </w:rPr>
      </w:pPr>
      <w:r>
        <w:rPr>
          <w:rFonts w:hint="eastAsia" w:ascii="宋体" w:hAnsi="宋体" w:cs="宋体"/>
          <w:sz w:val="24"/>
          <w:szCs w:val="24"/>
        </w:rPr>
        <w:t>法定代表人或其委托代理人(签字或盖章)：</w:t>
      </w:r>
    </w:p>
    <w:p w14:paraId="117D91A6">
      <w:pPr>
        <w:spacing w:line="360" w:lineRule="auto"/>
        <w:ind w:firstLine="4200" w:firstLineChars="1750"/>
        <w:rPr>
          <w:rFonts w:hint="eastAsia" w:ascii="宋体" w:hAnsi="宋体" w:cs="宋体"/>
          <w:sz w:val="24"/>
          <w:szCs w:val="24"/>
        </w:rPr>
      </w:pPr>
      <w:r>
        <w:rPr>
          <w:rFonts w:hint="eastAsia" w:ascii="宋体" w:hAnsi="宋体" w:cs="宋体"/>
          <w:sz w:val="24"/>
          <w:szCs w:val="24"/>
        </w:rPr>
        <w:t>日期：年月日</w:t>
      </w:r>
    </w:p>
    <w:p w14:paraId="19494009">
      <w:pPr>
        <w:spacing w:line="500" w:lineRule="exact"/>
        <w:jc w:val="left"/>
        <w:rPr>
          <w:rFonts w:hint="eastAsia" w:ascii="宋体" w:hAnsi="宋体" w:cs="宋体"/>
          <w:b/>
          <w:sz w:val="24"/>
          <w:szCs w:val="24"/>
        </w:rPr>
      </w:pPr>
    </w:p>
    <w:p w14:paraId="2A2A4B9F">
      <w:pPr>
        <w:spacing w:line="500" w:lineRule="exact"/>
        <w:jc w:val="left"/>
        <w:rPr>
          <w:rFonts w:hint="eastAsia" w:ascii="宋体" w:hAnsi="宋体" w:cs="宋体"/>
          <w:b/>
          <w:sz w:val="24"/>
          <w:szCs w:val="24"/>
        </w:rPr>
      </w:pPr>
    </w:p>
    <w:p w14:paraId="33A3EF00">
      <w:pPr>
        <w:spacing w:after="120"/>
        <w:ind w:firstLine="200" w:firstLineChars="100"/>
        <w:rPr>
          <w:rFonts w:hint="eastAsia" w:ascii="宋体" w:hAnsi="宋体" w:cs="宋体"/>
          <w:kern w:val="0"/>
          <w:sz w:val="20"/>
        </w:rPr>
      </w:pPr>
    </w:p>
    <w:p w14:paraId="33149D7B">
      <w:pPr>
        <w:rPr>
          <w:rFonts w:hint="eastAsia" w:ascii="宋体" w:hAnsi="宋体" w:cs="宋体"/>
        </w:rPr>
      </w:pPr>
    </w:p>
    <w:p w14:paraId="38EA404A">
      <w:pPr>
        <w:pStyle w:val="3"/>
        <w:spacing w:line="240" w:lineRule="exact"/>
        <w:jc w:val="center"/>
        <w:rPr>
          <w:rFonts w:hint="eastAsia" w:hAnsi="宋体"/>
        </w:rPr>
      </w:pPr>
      <w:bookmarkStart w:id="283" w:name="_Toc13436"/>
      <w:r>
        <w:rPr>
          <w:rFonts w:hint="eastAsia" w:hAnsi="宋体"/>
        </w:rPr>
        <w:t>八、供应商认为需要提供的其他材料</w:t>
      </w:r>
      <w:bookmarkEnd w:id="283"/>
    </w:p>
    <w:p w14:paraId="0DB1311A">
      <w:pPr>
        <w:spacing w:line="360" w:lineRule="auto"/>
        <w:jc w:val="center"/>
        <w:rPr>
          <w:rFonts w:hint="eastAsia" w:ascii="宋体" w:hAnsi="宋体" w:cs="宋体"/>
          <w:b/>
          <w:bCs/>
          <w:sz w:val="24"/>
          <w:szCs w:val="24"/>
        </w:rPr>
      </w:pPr>
    </w:p>
    <w:p w14:paraId="61B55A3B">
      <w:pPr>
        <w:spacing w:line="360" w:lineRule="auto"/>
        <w:jc w:val="center"/>
        <w:rPr>
          <w:rFonts w:hint="eastAsia" w:ascii="宋体" w:hAnsi="宋体" w:cs="宋体"/>
          <w:b/>
          <w:bCs/>
          <w:sz w:val="24"/>
          <w:szCs w:val="24"/>
        </w:rPr>
      </w:pPr>
    </w:p>
    <w:p w14:paraId="05537496">
      <w:pPr>
        <w:spacing w:line="360" w:lineRule="auto"/>
        <w:jc w:val="center"/>
        <w:rPr>
          <w:rFonts w:hint="eastAsia" w:ascii="宋体" w:hAnsi="宋体" w:cs="宋体"/>
          <w:b/>
          <w:bCs/>
          <w:sz w:val="24"/>
          <w:szCs w:val="24"/>
        </w:rPr>
      </w:pPr>
    </w:p>
    <w:p w14:paraId="6DAC483A">
      <w:pPr>
        <w:spacing w:line="360" w:lineRule="auto"/>
        <w:jc w:val="center"/>
        <w:rPr>
          <w:rFonts w:hint="eastAsia" w:ascii="宋体" w:hAnsi="宋体" w:cs="宋体"/>
          <w:b/>
          <w:bCs/>
          <w:sz w:val="24"/>
          <w:szCs w:val="24"/>
        </w:rPr>
      </w:pPr>
    </w:p>
    <w:p w14:paraId="055BB995">
      <w:pPr>
        <w:spacing w:line="360" w:lineRule="auto"/>
        <w:jc w:val="center"/>
        <w:rPr>
          <w:rFonts w:hint="eastAsia" w:ascii="宋体" w:hAnsi="宋体" w:cs="宋体"/>
          <w:b/>
          <w:bCs/>
          <w:sz w:val="24"/>
          <w:szCs w:val="24"/>
        </w:rPr>
      </w:pPr>
    </w:p>
    <w:p w14:paraId="2AEB3ACF">
      <w:pPr>
        <w:spacing w:line="360" w:lineRule="auto"/>
        <w:jc w:val="center"/>
        <w:rPr>
          <w:rFonts w:hint="eastAsia" w:ascii="宋体" w:hAnsi="宋体" w:cs="宋体"/>
          <w:b/>
          <w:bCs/>
          <w:sz w:val="24"/>
          <w:szCs w:val="24"/>
        </w:rPr>
      </w:pPr>
    </w:p>
    <w:p w14:paraId="1D3BDB16">
      <w:pPr>
        <w:spacing w:line="360" w:lineRule="auto"/>
        <w:jc w:val="center"/>
        <w:rPr>
          <w:rFonts w:hint="eastAsia" w:ascii="宋体" w:hAnsi="宋体" w:cs="宋体"/>
          <w:b/>
          <w:bCs/>
          <w:sz w:val="24"/>
          <w:szCs w:val="24"/>
        </w:rPr>
      </w:pPr>
    </w:p>
    <w:p w14:paraId="1C50A433">
      <w:pPr>
        <w:spacing w:line="480" w:lineRule="auto"/>
        <w:ind w:left="-28" w:leftChars="-95" w:right="452" w:hanging="171" w:hangingChars="67"/>
        <w:jc w:val="center"/>
        <w:rPr>
          <w:rFonts w:hint="eastAsia" w:ascii="宋体" w:hAnsi="宋体" w:cs="宋体"/>
          <w:spacing w:val="8"/>
          <w:sz w:val="24"/>
          <w:szCs w:val="24"/>
        </w:rPr>
      </w:pPr>
    </w:p>
    <w:p w14:paraId="5CB7FDC2">
      <w:pPr>
        <w:rPr>
          <w:rFonts w:hint="eastAsia" w:ascii="宋体" w:hAnsi="宋体" w:cs="宋体"/>
        </w:rPr>
      </w:pPr>
    </w:p>
    <w:p w14:paraId="198EF563">
      <w:pPr>
        <w:pStyle w:val="12"/>
        <w:rPr>
          <w:rFonts w:hint="eastAsia" w:ascii="宋体" w:hAnsi="宋体" w:eastAsia="宋体"/>
        </w:rPr>
      </w:pPr>
    </w:p>
    <w:p w14:paraId="1C689EC0">
      <w:pPr>
        <w:pStyle w:val="13"/>
        <w:rPr>
          <w:rFonts w:hint="eastAsia" w:ascii="宋体" w:hAnsi="宋体" w:cs="宋体"/>
        </w:rPr>
      </w:pPr>
    </w:p>
    <w:p w14:paraId="749EDFAC">
      <w:pPr>
        <w:rPr>
          <w:rFonts w:hint="eastAsia" w:ascii="宋体" w:hAnsi="宋体" w:cs="宋体"/>
        </w:rPr>
      </w:pPr>
    </w:p>
    <w:p w14:paraId="0DF7C4F8">
      <w:pPr>
        <w:pStyle w:val="12"/>
        <w:rPr>
          <w:rFonts w:hint="eastAsia" w:ascii="宋体" w:hAnsi="宋体" w:eastAsia="宋体"/>
        </w:rPr>
      </w:pPr>
    </w:p>
    <w:p w14:paraId="754C1EC1">
      <w:pPr>
        <w:pStyle w:val="13"/>
        <w:rPr>
          <w:rFonts w:hint="eastAsia" w:ascii="宋体" w:hAnsi="宋体" w:cs="宋体"/>
        </w:rPr>
      </w:pPr>
    </w:p>
    <w:p w14:paraId="0444C8F4">
      <w:pPr>
        <w:rPr>
          <w:rFonts w:hint="eastAsia" w:ascii="宋体" w:hAnsi="宋体" w:cs="宋体"/>
        </w:rPr>
      </w:pPr>
    </w:p>
    <w:p w14:paraId="5DDDEF69">
      <w:pPr>
        <w:pStyle w:val="12"/>
        <w:rPr>
          <w:rFonts w:hint="eastAsia" w:ascii="宋体" w:hAnsi="宋体" w:eastAsia="宋体"/>
        </w:rPr>
      </w:pPr>
    </w:p>
    <w:p w14:paraId="263686E2">
      <w:pPr>
        <w:pStyle w:val="13"/>
        <w:rPr>
          <w:rFonts w:hint="eastAsia" w:ascii="宋体" w:hAnsi="宋体" w:cs="宋体"/>
        </w:rPr>
      </w:pPr>
    </w:p>
    <w:p w14:paraId="14E1499F">
      <w:pPr>
        <w:rPr>
          <w:rFonts w:hint="eastAsia" w:ascii="宋体" w:hAnsi="宋体" w:cs="宋体"/>
        </w:rPr>
      </w:pPr>
    </w:p>
    <w:p w14:paraId="21D2111C">
      <w:pPr>
        <w:pStyle w:val="12"/>
        <w:rPr>
          <w:rFonts w:hint="eastAsia" w:ascii="宋体" w:hAnsi="宋体" w:eastAsia="宋体"/>
        </w:rPr>
      </w:pPr>
    </w:p>
    <w:p w14:paraId="12E7296E">
      <w:pPr>
        <w:pStyle w:val="13"/>
        <w:rPr>
          <w:rFonts w:hint="eastAsia" w:ascii="宋体" w:hAnsi="宋体" w:cs="宋体"/>
        </w:rPr>
      </w:pPr>
    </w:p>
    <w:p w14:paraId="492D14A9">
      <w:pPr>
        <w:rPr>
          <w:rFonts w:hint="eastAsia" w:ascii="宋体" w:hAnsi="宋体" w:cs="宋体"/>
        </w:rPr>
      </w:pPr>
    </w:p>
    <w:p w14:paraId="617E7DF8">
      <w:pPr>
        <w:pStyle w:val="12"/>
        <w:rPr>
          <w:rFonts w:hint="eastAsia" w:ascii="宋体" w:hAnsi="宋体" w:eastAsia="宋体"/>
        </w:rPr>
      </w:pPr>
    </w:p>
    <w:p w14:paraId="4CB3867C">
      <w:pPr>
        <w:pStyle w:val="13"/>
        <w:rPr>
          <w:rFonts w:hint="eastAsia" w:ascii="宋体" w:hAnsi="宋体" w:cs="宋体"/>
        </w:rPr>
      </w:pPr>
    </w:p>
    <w:p w14:paraId="1E3B1266">
      <w:pPr>
        <w:rPr>
          <w:rFonts w:hint="eastAsia" w:ascii="宋体" w:hAnsi="宋体" w:cs="宋体"/>
        </w:rPr>
      </w:pPr>
    </w:p>
    <w:p w14:paraId="5B3D943E">
      <w:pPr>
        <w:pStyle w:val="12"/>
        <w:rPr>
          <w:rFonts w:hint="eastAsia" w:ascii="宋体" w:hAnsi="宋体" w:eastAsia="宋体"/>
        </w:rPr>
      </w:pPr>
    </w:p>
    <w:p w14:paraId="646CE969">
      <w:pPr>
        <w:pStyle w:val="13"/>
        <w:rPr>
          <w:rFonts w:hint="eastAsia" w:ascii="宋体" w:hAnsi="宋体" w:cs="宋体"/>
        </w:rPr>
      </w:pPr>
    </w:p>
    <w:p w14:paraId="414347A6">
      <w:pPr>
        <w:rPr>
          <w:rFonts w:hint="eastAsia" w:ascii="宋体" w:hAnsi="宋体" w:cs="宋体"/>
        </w:rPr>
      </w:pPr>
    </w:p>
    <w:p w14:paraId="4D20715D">
      <w:pPr>
        <w:pStyle w:val="12"/>
        <w:rPr>
          <w:rFonts w:hint="eastAsia" w:ascii="宋体" w:hAnsi="宋体" w:eastAsia="宋体"/>
        </w:rPr>
      </w:pPr>
    </w:p>
    <w:p w14:paraId="70A9D041">
      <w:pPr>
        <w:pStyle w:val="13"/>
        <w:rPr>
          <w:rFonts w:hint="eastAsia" w:ascii="宋体" w:hAnsi="宋体" w:cs="宋体"/>
        </w:rPr>
      </w:pPr>
    </w:p>
    <w:p w14:paraId="3DA734CA">
      <w:pPr>
        <w:rPr>
          <w:rFonts w:hint="eastAsia" w:ascii="宋体" w:hAnsi="宋体" w:cs="宋体"/>
        </w:rPr>
      </w:pPr>
    </w:p>
    <w:p w14:paraId="52A107DE">
      <w:pPr>
        <w:pStyle w:val="12"/>
        <w:rPr>
          <w:rFonts w:hint="eastAsia" w:ascii="宋体" w:hAnsi="宋体" w:eastAsia="宋体"/>
        </w:rPr>
      </w:pPr>
    </w:p>
    <w:p w14:paraId="06B7AB5D">
      <w:pPr>
        <w:rPr>
          <w:rFonts w:hint="eastAsia" w:ascii="宋体" w:hAnsi="宋体" w:cs="宋体"/>
        </w:rPr>
      </w:pPr>
    </w:p>
    <w:sectPr>
      <w:headerReference r:id="rId9" w:type="default"/>
      <w:footerReference r:id="rId10" w:type="default"/>
      <w:pgSz w:w="11900" w:h="16838"/>
      <w:pgMar w:top="1134" w:right="1270" w:bottom="992" w:left="1559" w:header="567" w:footer="567" w:gutter="0"/>
      <w:pgNumType w:start="1"/>
      <w:cols w:space="0" w:num="1"/>
      <w:docGrid w:type="lines" w:linePitch="3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002E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63795"/>
      <w:showingPlcHdr/>
    </w:sdtPr>
    <w:sdtContent>
      <w:p w14:paraId="1F591B3F">
        <w:pPr>
          <w:pStyle w:val="14"/>
        </w:pPr>
        <w:r>
          <w:rPr>
            <w:rFonts w:hint="eastAsia"/>
          </w:rPr>
          <w:t xml:space="preserve">     </w:t>
        </w:r>
      </w:p>
    </w:sdtContent>
  </w:sdt>
  <w:p w14:paraId="3876F57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F6F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4C1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592"/>
                          </w:sdtPr>
                          <w:sdtContent>
                            <w:p w14:paraId="0AF02F13">
                              <w:pPr>
                                <w:pStyle w:val="14"/>
                              </w:pPr>
                              <w:r>
                                <w:fldChar w:fldCharType="begin"/>
                              </w:r>
                              <w:r>
                                <w:instrText xml:space="preserve"> PAGE   \* MERGEFORMAT </w:instrText>
                              </w:r>
                              <w:r>
                                <w:fldChar w:fldCharType="separate"/>
                              </w:r>
                              <w:r>
                                <w:rPr>
                                  <w:lang w:val="zh-CN"/>
                                </w:rPr>
                                <w:t>54</w:t>
                              </w:r>
                              <w:r>
                                <w:rPr>
                                  <w:lang w:val="zh-CN"/>
                                </w:rPr>
                                <w:fldChar w:fldCharType="end"/>
                              </w:r>
                            </w:p>
                          </w:sdtContent>
                        </w:sdt>
                        <w:p w14:paraId="3B4AB52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83592"/>
                    </w:sdtPr>
                    <w:sdtContent>
                      <w:p w14:paraId="0AF02F13">
                        <w:pPr>
                          <w:pStyle w:val="14"/>
                        </w:pPr>
                        <w:r>
                          <w:fldChar w:fldCharType="begin"/>
                        </w:r>
                        <w:r>
                          <w:instrText xml:space="preserve"> PAGE   \* MERGEFORMAT </w:instrText>
                        </w:r>
                        <w:r>
                          <w:fldChar w:fldCharType="separate"/>
                        </w:r>
                        <w:r>
                          <w:rPr>
                            <w:lang w:val="zh-CN"/>
                          </w:rPr>
                          <w:t>54</w:t>
                        </w:r>
                        <w:r>
                          <w:rPr>
                            <w:lang w:val="zh-CN"/>
                          </w:rPr>
                          <w:fldChar w:fldCharType="end"/>
                        </w:r>
                      </w:p>
                    </w:sdtContent>
                  </w:sdt>
                  <w:p w14:paraId="3B4AB52F"/>
                </w:txbxContent>
              </v:textbox>
            </v:shape>
          </w:pict>
        </mc:Fallback>
      </mc:AlternateContent>
    </w:r>
  </w:p>
  <w:p w14:paraId="6AC2284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FF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11F2">
    <w:pPr>
      <w:pStyle w:val="15"/>
      <w:pBdr>
        <w:bottom w:val="none" w:color="auto" w:sz="0" w:space="1"/>
      </w:pBd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DED4">
    <w:pPr>
      <w:pStyle w:val="15"/>
      <w:pBdr>
        <w:bottom w:val="none" w:color="auto" w:sz="0" w:space="1"/>
      </w:pBdr>
      <w:ind w:right="-512" w:rightChars="-244"/>
      <w:jc w:val="left"/>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60A7">
    <w:pPr>
      <w:pStyle w:val="15"/>
      <w:pBdr>
        <w:bottom w:val="none" w:color="auto" w:sz="0" w:space="1"/>
      </w:pBdr>
      <w:ind w:right="-512" w:rightChars="-244"/>
      <w:jc w:val="left"/>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gUtYjIscron0lxbVjDB9c8KeokU=" w:salt="1sqiaIOWZ+feV2NlXzzX7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MTA1NDUyZjA4Nzk5ZjBiNzYwNjVjY2ZhZWU2MmIifQ=="/>
  </w:docVars>
  <w:rsids>
    <w:rsidRoot w:val="00C26BC2"/>
    <w:rsid w:val="00016A63"/>
    <w:rsid w:val="001343AD"/>
    <w:rsid w:val="001E1015"/>
    <w:rsid w:val="002111EB"/>
    <w:rsid w:val="00321323"/>
    <w:rsid w:val="00397832"/>
    <w:rsid w:val="003D4CE7"/>
    <w:rsid w:val="00463D13"/>
    <w:rsid w:val="004C3BAE"/>
    <w:rsid w:val="00523F92"/>
    <w:rsid w:val="00546A38"/>
    <w:rsid w:val="00560F3B"/>
    <w:rsid w:val="00626BE3"/>
    <w:rsid w:val="00680E89"/>
    <w:rsid w:val="007121A1"/>
    <w:rsid w:val="00787C11"/>
    <w:rsid w:val="00801E61"/>
    <w:rsid w:val="00814473"/>
    <w:rsid w:val="00851841"/>
    <w:rsid w:val="008B6B60"/>
    <w:rsid w:val="009316FA"/>
    <w:rsid w:val="0094479D"/>
    <w:rsid w:val="00965D52"/>
    <w:rsid w:val="009C6C44"/>
    <w:rsid w:val="00A560B8"/>
    <w:rsid w:val="00A6271C"/>
    <w:rsid w:val="00B04E1C"/>
    <w:rsid w:val="00B169D6"/>
    <w:rsid w:val="00B235AE"/>
    <w:rsid w:val="00B55F1F"/>
    <w:rsid w:val="00BA3C7B"/>
    <w:rsid w:val="00BE2E29"/>
    <w:rsid w:val="00C26BC2"/>
    <w:rsid w:val="00D40B6F"/>
    <w:rsid w:val="00E04BA7"/>
    <w:rsid w:val="00E22A49"/>
    <w:rsid w:val="00E76617"/>
    <w:rsid w:val="00E972B6"/>
    <w:rsid w:val="00EF0248"/>
    <w:rsid w:val="00F75418"/>
    <w:rsid w:val="016F283F"/>
    <w:rsid w:val="01D37380"/>
    <w:rsid w:val="02985DC6"/>
    <w:rsid w:val="03391357"/>
    <w:rsid w:val="03D35307"/>
    <w:rsid w:val="04446205"/>
    <w:rsid w:val="04E2157A"/>
    <w:rsid w:val="04EE7F1F"/>
    <w:rsid w:val="050E0C3E"/>
    <w:rsid w:val="059E7B97"/>
    <w:rsid w:val="060F639F"/>
    <w:rsid w:val="063C49FB"/>
    <w:rsid w:val="06497B03"/>
    <w:rsid w:val="064E6C2D"/>
    <w:rsid w:val="07016D9B"/>
    <w:rsid w:val="07660241"/>
    <w:rsid w:val="081952B3"/>
    <w:rsid w:val="098175B4"/>
    <w:rsid w:val="0A3D79E6"/>
    <w:rsid w:val="0ABE59E3"/>
    <w:rsid w:val="0AEC5C0C"/>
    <w:rsid w:val="0B5C6BAD"/>
    <w:rsid w:val="0BBB7B89"/>
    <w:rsid w:val="0C2C3633"/>
    <w:rsid w:val="0C3C3C66"/>
    <w:rsid w:val="0D202A1E"/>
    <w:rsid w:val="0DBC2166"/>
    <w:rsid w:val="0F744C35"/>
    <w:rsid w:val="106A45B6"/>
    <w:rsid w:val="10DD6D2D"/>
    <w:rsid w:val="110D3206"/>
    <w:rsid w:val="112D6EFE"/>
    <w:rsid w:val="12027A45"/>
    <w:rsid w:val="12AE56E9"/>
    <w:rsid w:val="12B53F9B"/>
    <w:rsid w:val="136E2957"/>
    <w:rsid w:val="13BC5DB8"/>
    <w:rsid w:val="142C45C0"/>
    <w:rsid w:val="14971F9A"/>
    <w:rsid w:val="15296F23"/>
    <w:rsid w:val="160A26DF"/>
    <w:rsid w:val="16954590"/>
    <w:rsid w:val="16D96AA0"/>
    <w:rsid w:val="19671BD7"/>
    <w:rsid w:val="19D45CE4"/>
    <w:rsid w:val="19E54C91"/>
    <w:rsid w:val="1A6B0F32"/>
    <w:rsid w:val="1ABF1CEA"/>
    <w:rsid w:val="1B1732F0"/>
    <w:rsid w:val="1B755389"/>
    <w:rsid w:val="1C557FB5"/>
    <w:rsid w:val="1C8F393E"/>
    <w:rsid w:val="1E71779F"/>
    <w:rsid w:val="1EB8717C"/>
    <w:rsid w:val="1EC2624D"/>
    <w:rsid w:val="1F0B19A2"/>
    <w:rsid w:val="1F3E441B"/>
    <w:rsid w:val="1F5C044F"/>
    <w:rsid w:val="1F6E421F"/>
    <w:rsid w:val="212333A6"/>
    <w:rsid w:val="21DC23B8"/>
    <w:rsid w:val="21DE6A8B"/>
    <w:rsid w:val="236478D2"/>
    <w:rsid w:val="2373257F"/>
    <w:rsid w:val="23E71828"/>
    <w:rsid w:val="241412F8"/>
    <w:rsid w:val="24305A06"/>
    <w:rsid w:val="249C4E4A"/>
    <w:rsid w:val="261A696E"/>
    <w:rsid w:val="26620572"/>
    <w:rsid w:val="26DD7622"/>
    <w:rsid w:val="273B2E8D"/>
    <w:rsid w:val="287C56BE"/>
    <w:rsid w:val="28FA113C"/>
    <w:rsid w:val="293164A9"/>
    <w:rsid w:val="29617CDC"/>
    <w:rsid w:val="29B82726"/>
    <w:rsid w:val="29F0060D"/>
    <w:rsid w:val="2AB02FCA"/>
    <w:rsid w:val="2B1C0A93"/>
    <w:rsid w:val="2B6F32B8"/>
    <w:rsid w:val="2B7761AA"/>
    <w:rsid w:val="2B7F799F"/>
    <w:rsid w:val="2C182A6F"/>
    <w:rsid w:val="2C4B45E7"/>
    <w:rsid w:val="2D53241D"/>
    <w:rsid w:val="2D9708A4"/>
    <w:rsid w:val="2E333E50"/>
    <w:rsid w:val="2EE96D84"/>
    <w:rsid w:val="2EF725B1"/>
    <w:rsid w:val="2F510483"/>
    <w:rsid w:val="2F600B4C"/>
    <w:rsid w:val="31D64091"/>
    <w:rsid w:val="31DE3C7B"/>
    <w:rsid w:val="32D27A9B"/>
    <w:rsid w:val="32F10A57"/>
    <w:rsid w:val="33511EDF"/>
    <w:rsid w:val="339D4A97"/>
    <w:rsid w:val="33CB0A00"/>
    <w:rsid w:val="340071A3"/>
    <w:rsid w:val="34572B3B"/>
    <w:rsid w:val="347968DF"/>
    <w:rsid w:val="34FD7B87"/>
    <w:rsid w:val="35831E3A"/>
    <w:rsid w:val="358E506D"/>
    <w:rsid w:val="35942299"/>
    <w:rsid w:val="360F18B9"/>
    <w:rsid w:val="365E28A7"/>
    <w:rsid w:val="36C73FA8"/>
    <w:rsid w:val="36F75D8C"/>
    <w:rsid w:val="372207DC"/>
    <w:rsid w:val="37CA04F1"/>
    <w:rsid w:val="37F91C46"/>
    <w:rsid w:val="39916AF0"/>
    <w:rsid w:val="39CA1274"/>
    <w:rsid w:val="39D324A8"/>
    <w:rsid w:val="39FE4F4D"/>
    <w:rsid w:val="3B110C3A"/>
    <w:rsid w:val="3B4756B8"/>
    <w:rsid w:val="3B8E778B"/>
    <w:rsid w:val="3BE20006"/>
    <w:rsid w:val="3D235CB1"/>
    <w:rsid w:val="3DCC6348"/>
    <w:rsid w:val="3DDD0555"/>
    <w:rsid w:val="3DE609BC"/>
    <w:rsid w:val="3E7F160D"/>
    <w:rsid w:val="3EAE5A4E"/>
    <w:rsid w:val="3EEC6CA2"/>
    <w:rsid w:val="3F6F51DD"/>
    <w:rsid w:val="4080158C"/>
    <w:rsid w:val="41456B3D"/>
    <w:rsid w:val="4174038F"/>
    <w:rsid w:val="417967E7"/>
    <w:rsid w:val="41A01E0D"/>
    <w:rsid w:val="42D737C5"/>
    <w:rsid w:val="42EA799C"/>
    <w:rsid w:val="43252782"/>
    <w:rsid w:val="436A4694"/>
    <w:rsid w:val="4380739B"/>
    <w:rsid w:val="43917E18"/>
    <w:rsid w:val="43AC6A00"/>
    <w:rsid w:val="453E76D1"/>
    <w:rsid w:val="4541761C"/>
    <w:rsid w:val="45C51FFB"/>
    <w:rsid w:val="4615589C"/>
    <w:rsid w:val="464949DA"/>
    <w:rsid w:val="464C44CA"/>
    <w:rsid w:val="46595B26"/>
    <w:rsid w:val="466B2BA2"/>
    <w:rsid w:val="46C87FF5"/>
    <w:rsid w:val="479E0D55"/>
    <w:rsid w:val="482448EB"/>
    <w:rsid w:val="48256D81"/>
    <w:rsid w:val="48403496"/>
    <w:rsid w:val="4977360C"/>
    <w:rsid w:val="49C94153"/>
    <w:rsid w:val="4A7A0D20"/>
    <w:rsid w:val="4BC470E1"/>
    <w:rsid w:val="4BF24EAD"/>
    <w:rsid w:val="4C9C7AC9"/>
    <w:rsid w:val="4D4C4D9A"/>
    <w:rsid w:val="4D8B1D7C"/>
    <w:rsid w:val="4E590352"/>
    <w:rsid w:val="4F8E5B72"/>
    <w:rsid w:val="4FD8449C"/>
    <w:rsid w:val="50903205"/>
    <w:rsid w:val="509C604E"/>
    <w:rsid w:val="50A13664"/>
    <w:rsid w:val="50FE4613"/>
    <w:rsid w:val="511A58F1"/>
    <w:rsid w:val="51E97071"/>
    <w:rsid w:val="521340EE"/>
    <w:rsid w:val="525265DA"/>
    <w:rsid w:val="52DE64AA"/>
    <w:rsid w:val="535F3A8F"/>
    <w:rsid w:val="536538FB"/>
    <w:rsid w:val="54F3555A"/>
    <w:rsid w:val="55741E73"/>
    <w:rsid w:val="56596873"/>
    <w:rsid w:val="57990BC1"/>
    <w:rsid w:val="58EF1411"/>
    <w:rsid w:val="596C0CB3"/>
    <w:rsid w:val="5A0A5DD6"/>
    <w:rsid w:val="5AA1498D"/>
    <w:rsid w:val="5AAC6348"/>
    <w:rsid w:val="5B5D0D51"/>
    <w:rsid w:val="5B8E560C"/>
    <w:rsid w:val="5BE72873"/>
    <w:rsid w:val="5C0351D3"/>
    <w:rsid w:val="5C483CC2"/>
    <w:rsid w:val="5CA5563C"/>
    <w:rsid w:val="5CBF10FA"/>
    <w:rsid w:val="5CEA4D48"/>
    <w:rsid w:val="5D276C9F"/>
    <w:rsid w:val="5DB76275"/>
    <w:rsid w:val="5E02528F"/>
    <w:rsid w:val="5F683CCB"/>
    <w:rsid w:val="6083364B"/>
    <w:rsid w:val="61494DA3"/>
    <w:rsid w:val="61785D1C"/>
    <w:rsid w:val="61811608"/>
    <w:rsid w:val="620D0B5A"/>
    <w:rsid w:val="62660BBD"/>
    <w:rsid w:val="629C6F07"/>
    <w:rsid w:val="62BD14FF"/>
    <w:rsid w:val="62EA7FB0"/>
    <w:rsid w:val="63A44570"/>
    <w:rsid w:val="63B709CC"/>
    <w:rsid w:val="63F1024E"/>
    <w:rsid w:val="64591E34"/>
    <w:rsid w:val="64B47E58"/>
    <w:rsid w:val="64C32E5E"/>
    <w:rsid w:val="651838A9"/>
    <w:rsid w:val="6535464F"/>
    <w:rsid w:val="65AB40B3"/>
    <w:rsid w:val="663568D1"/>
    <w:rsid w:val="66F61D60"/>
    <w:rsid w:val="678E0047"/>
    <w:rsid w:val="681C0C44"/>
    <w:rsid w:val="6865349E"/>
    <w:rsid w:val="6A0A1458"/>
    <w:rsid w:val="6A4E7F61"/>
    <w:rsid w:val="6A6652AB"/>
    <w:rsid w:val="6A793230"/>
    <w:rsid w:val="6ACF10A2"/>
    <w:rsid w:val="6AF06C9C"/>
    <w:rsid w:val="6B861106"/>
    <w:rsid w:val="6C2F7568"/>
    <w:rsid w:val="6DBB315B"/>
    <w:rsid w:val="6E0A1697"/>
    <w:rsid w:val="6E113433"/>
    <w:rsid w:val="6E5F3A6E"/>
    <w:rsid w:val="6F953A54"/>
    <w:rsid w:val="700E441B"/>
    <w:rsid w:val="70BB7893"/>
    <w:rsid w:val="70BF4B91"/>
    <w:rsid w:val="70C828DF"/>
    <w:rsid w:val="70F52EE5"/>
    <w:rsid w:val="726C4EFD"/>
    <w:rsid w:val="72E53543"/>
    <w:rsid w:val="7309711B"/>
    <w:rsid w:val="73DC4F16"/>
    <w:rsid w:val="73E547B6"/>
    <w:rsid w:val="749D3FBF"/>
    <w:rsid w:val="75262126"/>
    <w:rsid w:val="75FF61F1"/>
    <w:rsid w:val="76096D74"/>
    <w:rsid w:val="7759201E"/>
    <w:rsid w:val="77BA1E2B"/>
    <w:rsid w:val="7807485A"/>
    <w:rsid w:val="78C95383"/>
    <w:rsid w:val="79210E38"/>
    <w:rsid w:val="799A7E44"/>
    <w:rsid w:val="79AB0A6A"/>
    <w:rsid w:val="79D833A4"/>
    <w:rsid w:val="7A915723"/>
    <w:rsid w:val="7B7910FD"/>
    <w:rsid w:val="7BAB16E3"/>
    <w:rsid w:val="7BB51BEE"/>
    <w:rsid w:val="7CAB4D9F"/>
    <w:rsid w:val="7CFF2B50"/>
    <w:rsid w:val="7DF52776"/>
    <w:rsid w:val="7E153D01"/>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autoRedefine/>
    <w:qFormat/>
    <w:uiPriority w:val="0"/>
    <w:pPr>
      <w:keepNext/>
      <w:keepLines/>
      <w:spacing w:before="340" w:after="330" w:line="576" w:lineRule="auto"/>
      <w:outlineLvl w:val="0"/>
    </w:pPr>
    <w:rPr>
      <w:b/>
      <w:bCs/>
      <w:kern w:val="44"/>
      <w:sz w:val="44"/>
      <w:szCs w:val="44"/>
    </w:rPr>
  </w:style>
  <w:style w:type="paragraph" w:styleId="3">
    <w:name w:val="heading 2"/>
    <w:basedOn w:val="2"/>
    <w:next w:val="1"/>
    <w:qFormat/>
    <w:uiPriority w:val="9"/>
    <w:pPr>
      <w:spacing w:before="60" w:after="60"/>
      <w:outlineLvl w:val="1"/>
    </w:pPr>
    <w:rPr>
      <w:rFonts w:ascii="宋体" w:hAnsi="Arial" w:cs="宋体"/>
      <w:sz w:val="28"/>
      <w:szCs w:val="28"/>
    </w:rPr>
  </w:style>
  <w:style w:type="paragraph" w:styleId="4">
    <w:name w:val="heading 3"/>
    <w:basedOn w:val="1"/>
    <w:next w:val="1"/>
    <w:autoRedefine/>
    <w:qFormat/>
    <w:uiPriority w:val="0"/>
    <w:pPr>
      <w:keepNext/>
      <w:keepLines/>
      <w:spacing w:before="120" w:after="120"/>
      <w:ind w:firstLine="480"/>
      <w:outlineLvl w:val="2"/>
    </w:pPr>
    <w:rPr>
      <w:sz w:val="24"/>
      <w:szCs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autoRedefine/>
    <w:qFormat/>
    <w:uiPriority w:val="35"/>
    <w:pPr>
      <w:widowControl/>
      <w:ind w:firstLine="360"/>
    </w:pPr>
    <w:rPr>
      <w:b/>
      <w:bCs/>
      <w:kern w:val="0"/>
      <w:sz w:val="18"/>
      <w:szCs w:val="18"/>
      <w:lang w:eastAsia="en-US" w:bidi="en-US"/>
    </w:rPr>
  </w:style>
  <w:style w:type="paragraph" w:styleId="6">
    <w:name w:val="annotation text"/>
    <w:basedOn w:val="1"/>
    <w:qFormat/>
    <w:uiPriority w:val="0"/>
    <w:pPr>
      <w:jc w:val="left"/>
    </w:pPr>
  </w:style>
  <w:style w:type="paragraph" w:styleId="7">
    <w:name w:val="Body Text"/>
    <w:basedOn w:val="1"/>
    <w:next w:val="8"/>
    <w:autoRedefine/>
    <w:qFormat/>
    <w:uiPriority w:val="0"/>
    <w:pPr>
      <w:spacing w:line="276" w:lineRule="auto"/>
      <w:ind w:firstLine="474" w:firstLineChars="200"/>
    </w:pPr>
    <w:rPr>
      <w:rFonts w:cs="Mangal" w:asciiTheme="minorEastAsia" w:hAnsiTheme="minorEastAsia" w:eastAsiaTheme="minorEastAsia"/>
      <w:b/>
      <w:spacing w:val="-2"/>
      <w:sz w:val="24"/>
      <w:szCs w:val="24"/>
      <w:lang w:eastAsia="hi-IN" w:bidi="hi-IN"/>
    </w:rPr>
  </w:style>
  <w:style w:type="paragraph" w:customStyle="1" w:styleId="8">
    <w:name w:val="Default"/>
    <w:autoRedefine/>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styleId="9">
    <w:name w:val="Body Text Indent"/>
    <w:basedOn w:val="1"/>
    <w:next w:val="10"/>
    <w:autoRedefine/>
    <w:unhideWhenUsed/>
    <w:qFormat/>
    <w:uiPriority w:val="99"/>
    <w:pPr>
      <w:spacing w:after="120"/>
      <w:ind w:left="420" w:leftChars="200"/>
    </w:p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next w:val="13"/>
    <w:autoRedefine/>
    <w:unhideWhenUsed/>
    <w:qFormat/>
    <w:uiPriority w:val="0"/>
    <w:pPr>
      <w:spacing w:line="276" w:lineRule="auto"/>
      <w:ind w:firstLine="470" w:firstLineChars="196"/>
      <w:jc w:val="center"/>
    </w:pPr>
    <w:rPr>
      <w:rFonts w:cs="宋体" w:asciiTheme="minorEastAsia" w:hAnsiTheme="minorEastAsia" w:eastAsiaTheme="minorEastAsia"/>
      <w:sz w:val="24"/>
      <w:szCs w:val="24"/>
    </w:rPr>
  </w:style>
  <w:style w:type="paragraph" w:styleId="13">
    <w:name w:val="index 9"/>
    <w:basedOn w:val="1"/>
    <w:next w:val="1"/>
    <w:autoRedefine/>
    <w:qFormat/>
    <w:uiPriority w:val="99"/>
    <w:pPr>
      <w:ind w:left="3360"/>
    </w:pPr>
    <w:rPr>
      <w:rFonts w:cs="等线"/>
    </w:rPr>
  </w:style>
  <w:style w:type="paragraph" w:styleId="14">
    <w:name w:val="footer"/>
    <w:basedOn w:val="1"/>
    <w:unhideWhenUsed/>
    <w:qFormat/>
    <w:uiPriority w:val="99"/>
    <w:pPr>
      <w:snapToGrid w:val="0"/>
      <w:jc w:val="center"/>
    </w:pPr>
    <w:rPr>
      <w:sz w:val="18"/>
      <w:szCs w:val="18"/>
    </w:rPr>
  </w:style>
  <w:style w:type="paragraph" w:styleId="15">
    <w:name w:val="header"/>
    <w:basedOn w:val="1"/>
    <w:autoRedefine/>
    <w:unhideWhenUsed/>
    <w:qFormat/>
    <w:uiPriority w:val="99"/>
    <w:pPr>
      <w:pBdr>
        <w:bottom w:val="single" w:color="auto" w:sz="6" w:space="1"/>
      </w:pBdr>
      <w:snapToGrid w:val="0"/>
      <w:jc w:val="center"/>
    </w:pPr>
    <w:rPr>
      <w:sz w:val="18"/>
      <w:szCs w:val="18"/>
    </w:rPr>
  </w:style>
  <w:style w:type="paragraph" w:styleId="16">
    <w:name w:val="toc 1"/>
    <w:basedOn w:val="1"/>
    <w:next w:val="1"/>
    <w:autoRedefine/>
    <w:unhideWhenUsed/>
    <w:qFormat/>
    <w:uiPriority w:val="39"/>
    <w:pPr>
      <w:spacing w:line="400" w:lineRule="exact"/>
      <w:jc w:val="left"/>
    </w:pPr>
    <w:rPr>
      <w:rFonts w:ascii="宋体" w:hAnsi="宋体" w:cs="宋体"/>
      <w:b/>
      <w:bCs/>
      <w:caps/>
      <w:color w:val="000000"/>
    </w:rPr>
  </w:style>
  <w:style w:type="paragraph" w:styleId="17">
    <w:name w:val="toc 2"/>
    <w:basedOn w:val="1"/>
    <w:next w:val="1"/>
    <w:autoRedefine/>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1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9">
    <w:name w:val="Normal (Web)"/>
    <w:basedOn w:val="1"/>
    <w:autoRedefine/>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20">
    <w:name w:val="Body Text First Indent"/>
    <w:basedOn w:val="7"/>
    <w:next w:val="21"/>
    <w:autoRedefine/>
    <w:unhideWhenUsed/>
    <w:qFormat/>
    <w:uiPriority w:val="99"/>
    <w:pPr>
      <w:ind w:firstLine="420" w:firstLineChars="100"/>
    </w:pPr>
  </w:style>
  <w:style w:type="paragraph" w:styleId="21">
    <w:name w:val="Body Text First Indent 2"/>
    <w:basedOn w:val="9"/>
    <w:next w:val="20"/>
    <w:autoRedefine/>
    <w:qFormat/>
    <w:uiPriority w:val="0"/>
    <w:pPr>
      <w:widowControl/>
      <w:adjustRightInd w:val="0"/>
      <w:snapToGrid w:val="0"/>
      <w:ind w:firstLine="420" w:firstLineChars="200"/>
      <w:jc w:val="left"/>
    </w:pPr>
    <w:rPr>
      <w:rFonts w:ascii="Tahoma" w:hAnsi="Tahoma" w:eastAsia="微软雅黑"/>
      <w:kern w:val="0"/>
      <w:sz w:val="22"/>
      <w:szCs w:val="22"/>
    </w:rPr>
  </w:style>
  <w:style w:type="character" w:styleId="24">
    <w:name w:val="Hyperlink"/>
    <w:basedOn w:val="23"/>
    <w:autoRedefine/>
    <w:unhideWhenUsed/>
    <w:qFormat/>
    <w:uiPriority w:val="99"/>
    <w:rPr>
      <w:color w:val="000000"/>
      <w:sz w:val="16"/>
      <w:szCs w:val="16"/>
      <w:u w:val="none"/>
    </w:rPr>
  </w:style>
  <w:style w:type="paragraph" w:customStyle="1" w:styleId="25">
    <w:name w:val="无间隔1"/>
    <w:basedOn w:val="1"/>
    <w:autoRedefine/>
    <w:qFormat/>
    <w:uiPriority w:val="0"/>
    <w:pPr>
      <w:spacing w:line="400" w:lineRule="exact"/>
    </w:pPr>
    <w:rPr>
      <w:sz w:val="24"/>
    </w:rPr>
  </w:style>
  <w:style w:type="paragraph" w:customStyle="1" w:styleId="26">
    <w:name w:val="_Style 2"/>
    <w:basedOn w:val="1"/>
    <w:autoRedefine/>
    <w:qFormat/>
    <w:uiPriority w:val="0"/>
    <w:rPr>
      <w:sz w:val="24"/>
    </w:rPr>
  </w:style>
  <w:style w:type="paragraph" w:customStyle="1" w:styleId="2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rPr>
  </w:style>
  <w:style w:type="paragraph" w:customStyle="1" w:styleId="28">
    <w:name w:val="_Style 43"/>
    <w:qFormat/>
    <w:uiPriority w:val="0"/>
    <w:pPr>
      <w:jc w:val="center"/>
    </w:pPr>
    <w:rPr>
      <w:rFonts w:ascii="Times New Roman" w:hAnsi="Times New Roman" w:eastAsia="宋体" w:cs="Times New Roman"/>
      <w:b/>
      <w:sz w:val="32"/>
      <w:lang w:val="en-US" w:eastAsia="zh-CN" w:bidi="ar-SA"/>
    </w:rPr>
  </w:style>
  <w:style w:type="paragraph" w:customStyle="1" w:styleId="29">
    <w:name w:val="样式 标题 3 + (中文) 黑体 小四 非加粗 段前: 7.8 磅 段后: 0 磅 行距: 固定值 20 磅"/>
    <w:basedOn w:val="4"/>
    <w:autoRedefine/>
    <w:qFormat/>
    <w:uiPriority w:val="0"/>
    <w:pPr>
      <w:spacing w:before="0" w:after="0" w:line="400" w:lineRule="exact"/>
      <w:ind w:firstLine="0"/>
    </w:pPr>
    <w:rPr>
      <w:rFonts w:eastAsia="黑体" w:cs="宋体"/>
    </w:rPr>
  </w:style>
  <w:style w:type="character" w:customStyle="1" w:styleId="30">
    <w:name w:val="标题 1 字符"/>
    <w:basedOn w:val="23"/>
    <w:link w:val="2"/>
    <w:autoRedefine/>
    <w:qFormat/>
    <w:uiPriority w:val="0"/>
    <w:rPr>
      <w:b/>
      <w:bCs/>
      <w:kern w:val="44"/>
      <w:sz w:val="44"/>
      <w:szCs w:val="44"/>
    </w:rPr>
  </w:style>
  <w:style w:type="character" w:customStyle="1" w:styleId="31">
    <w:name w:val="未处理的提及1"/>
    <w:basedOn w:val="23"/>
    <w:autoRedefine/>
    <w:semiHidden/>
    <w:unhideWhenUsed/>
    <w:qFormat/>
    <w:uiPriority w:val="99"/>
    <w:rPr>
      <w:color w:val="605E5C"/>
      <w:shd w:val="clear" w:color="auto" w:fill="E1DFDD"/>
    </w:rPr>
  </w:style>
  <w:style w:type="paragraph" w:customStyle="1" w:styleId="32">
    <w:name w:val="Table Text"/>
    <w:basedOn w:val="1"/>
    <w:semiHidden/>
    <w:qFormat/>
    <w:uiPriority w:val="0"/>
    <w:rPr>
      <w:rFonts w:ascii="宋体" w:hAnsi="宋体" w:cs="宋体"/>
      <w:lang w:eastAsia="en-US"/>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正文"/>
    <w:basedOn w:val="1"/>
    <w:next w:val="1"/>
    <w:autoRedefine/>
    <w:qFormat/>
    <w:uiPriority w:val="0"/>
    <w:pPr>
      <w:widowControl/>
      <w:jc w:val="center"/>
    </w:pPr>
    <w:rPr>
      <w:rFonts w:ascii="宋体" w:hAnsi="宋体"/>
    </w:rPr>
  </w:style>
  <w:style w:type="paragraph" w:customStyle="1" w:styleId="35">
    <w:name w:val="Revision"/>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37678</Words>
  <Characters>40620</Characters>
  <Lines>1744</Lines>
  <Paragraphs>1542</Paragraphs>
  <TotalTime>18</TotalTime>
  <ScaleCrop>false</ScaleCrop>
  <LinksUpToDate>false</LinksUpToDate>
  <CharactersWithSpaces>41052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2025-10-21T01:07:00Z</dcterms:created>
  <dc:creator>52837</dc:creator>
  <cp:lastModifiedBy>Administrator</cp:lastModifiedBy>
  <dcterms:modified xsi:type="dcterms:W3CDTF">2025-10-21T09:10:09Z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eyJoZGlkIjoiMDJkZjdmZDgwYmUyOWE3ODE3OTQ2NmYzNGQ3M2QwMmQiLCJ1c2VySWQiOiI4MjI4NTE1MzQifQ==</vt:lpwstr>
  </property>
  <property fmtid="{D5CDD505-2E9C-101B-9397-08002B2CF9AE}" pid="4" name="ICV">
    <vt:lpwstr>730EE02204D64283B29ED83A40D04A7B_13</vt:lpwstr>
  </property>
</Properties>
</file>