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20" w:line="700" w:lineRule="exact"/>
        <w:jc w:val="center"/>
        <w:textAlignment w:val="baseline"/>
        <w:rPr>
          <w:rFonts w:hint="eastAsia" w:ascii="宋体" w:hAnsi="宋体" w:eastAsia="宋体" w:cs="黑体"/>
          <w:b/>
          <w:color w:val="auto"/>
          <w:sz w:val="28"/>
          <w:szCs w:val="28"/>
          <w:highlight w:val="none"/>
          <w:lang w:eastAsia="zh-CN"/>
        </w:rPr>
      </w:pPr>
      <w:bookmarkStart w:id="217" w:name="_GoBack"/>
      <w:bookmarkEnd w:id="217"/>
      <w:r>
        <w:rPr>
          <w:rFonts w:hint="eastAsia" w:ascii="宋体" w:hAnsi="宋体" w:cs="黑体"/>
          <w:b/>
          <w:color w:val="auto"/>
          <w:sz w:val="56"/>
          <w:szCs w:val="56"/>
          <w:highlight w:val="none"/>
          <w:lang w:eastAsia="zh-CN"/>
        </w:rPr>
        <w:t>卢氏县五里川河污泥鉴定项目（二次）</w:t>
      </w:r>
    </w:p>
    <w:p>
      <w:pPr>
        <w:snapToGrid w:val="0"/>
        <w:spacing w:after="120" w:line="500" w:lineRule="exact"/>
        <w:ind w:firstLine="2249" w:firstLineChars="800"/>
        <w:jc w:val="both"/>
        <w:textAlignment w:val="baseline"/>
        <w:rPr>
          <w:rFonts w:ascii="宋体" w:hAnsi="宋体" w:cs="黑体"/>
          <w:b/>
          <w:color w:val="auto"/>
          <w:sz w:val="28"/>
          <w:szCs w:val="28"/>
          <w:highlight w:val="none"/>
        </w:rPr>
      </w:pPr>
    </w:p>
    <w:p>
      <w:pPr>
        <w:snapToGrid w:val="0"/>
        <w:spacing w:after="120" w:line="700" w:lineRule="exact"/>
        <w:jc w:val="center"/>
        <w:textAlignment w:val="baseline"/>
        <w:rPr>
          <w:rFonts w:hint="eastAsia" w:ascii="宋体" w:hAnsi="宋体" w:eastAsia="宋体" w:cs="黑体"/>
          <w:b/>
          <w:color w:val="auto"/>
          <w:sz w:val="52"/>
          <w:szCs w:val="52"/>
          <w:highlight w:val="none"/>
        </w:rPr>
      </w:pPr>
      <w:r>
        <w:rPr>
          <w:rFonts w:hint="eastAsia" w:ascii="宋体" w:hAnsi="宋体" w:eastAsia="宋体" w:cs="黑体"/>
          <w:b/>
          <w:color w:val="auto"/>
          <w:sz w:val="52"/>
          <w:szCs w:val="52"/>
          <w:highlight w:val="none"/>
        </w:rPr>
        <w:t>竞争性磋商文件</w:t>
      </w:r>
    </w:p>
    <w:p>
      <w:pPr>
        <w:pStyle w:val="31"/>
        <w:rPr>
          <w:rFonts w:hint="eastAsia" w:ascii="宋体" w:hAnsi="宋体" w:eastAsia="宋体" w:cs="宋体"/>
          <w:b/>
          <w:bCs/>
          <w:color w:val="auto"/>
          <w:sz w:val="32"/>
          <w:szCs w:val="32"/>
          <w:highlight w:val="none"/>
          <w:lang w:val="en-US" w:eastAsia="zh-CN"/>
        </w:rPr>
      </w:pPr>
    </w:p>
    <w:p>
      <w:pPr>
        <w:pStyle w:val="31"/>
        <w:rPr>
          <w:rFonts w:hint="eastAsia"/>
          <w:color w:val="auto"/>
          <w:highlight w:val="none"/>
          <w:lang w:val="en-US" w:eastAsia="zh-CN"/>
        </w:rPr>
      </w:pPr>
      <w:r>
        <w:rPr>
          <w:rFonts w:hint="eastAsia" w:ascii="宋体" w:hAnsi="宋体" w:eastAsia="宋体" w:cs="宋体"/>
          <w:b/>
          <w:bCs/>
          <w:color w:val="auto"/>
          <w:sz w:val="32"/>
          <w:szCs w:val="32"/>
          <w:highlight w:val="none"/>
          <w:lang w:val="en-US" w:eastAsia="zh-CN"/>
        </w:rPr>
        <w:t>项目编号：</w:t>
      </w:r>
      <w:r>
        <w:rPr>
          <w:rFonts w:hint="eastAsia" w:ascii="宋体" w:hAnsi="宋体" w:cs="宋体"/>
          <w:b/>
          <w:bCs/>
          <w:color w:val="auto"/>
          <w:sz w:val="32"/>
          <w:szCs w:val="32"/>
          <w:highlight w:val="none"/>
          <w:lang w:val="en-US" w:eastAsia="zh-CN"/>
        </w:rPr>
        <w:t>三卢竞磋采购-2025-114</w:t>
      </w: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LSGZ[2025]343-ZC197</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both"/>
        <w:rPr>
          <w:rFonts w:hint="eastAsia" w:ascii="宋体" w:hAnsi="宋体" w:eastAsia="宋体" w:cs="宋体"/>
          <w:color w:val="auto"/>
          <w:sz w:val="32"/>
          <w:szCs w:val="32"/>
          <w:highlight w:val="none"/>
          <w:lang w:eastAsia="zh-CN"/>
        </w:rPr>
      </w:pPr>
    </w:p>
    <w:p>
      <w:pPr>
        <w:snapToGrid w:val="0"/>
        <w:spacing w:line="500" w:lineRule="exact"/>
        <w:jc w:val="center"/>
        <w:textAlignment w:val="baseline"/>
        <w:rPr>
          <w:rFonts w:ascii="仿宋_GB2312" w:eastAsia="仿宋_GB2312"/>
          <w:color w:val="auto"/>
          <w:sz w:val="18"/>
          <w:highlight w:val="none"/>
        </w:rPr>
      </w:pPr>
    </w:p>
    <w:p>
      <w:pPr>
        <w:snapToGrid w:val="0"/>
        <w:spacing w:line="500" w:lineRule="exact"/>
        <w:jc w:val="center"/>
        <w:textAlignment w:val="baseline"/>
        <w:rPr>
          <w:rFonts w:ascii="仿宋_GB2312" w:eastAsia="仿宋_GB2312"/>
          <w:color w:val="auto"/>
          <w:sz w:val="18"/>
          <w:highlight w:val="none"/>
        </w:rPr>
      </w:pPr>
    </w:p>
    <w:p>
      <w:pPr>
        <w:snapToGrid w:val="0"/>
        <w:spacing w:line="500" w:lineRule="exact"/>
        <w:jc w:val="center"/>
        <w:textAlignment w:val="baseline"/>
        <w:rPr>
          <w:rFonts w:ascii="宋体" w:hAnsi="宋体" w:cs="黑体"/>
          <w:color w:val="auto"/>
          <w:sz w:val="28"/>
          <w:szCs w:val="28"/>
          <w:highlight w:val="none"/>
        </w:rPr>
      </w:pPr>
    </w:p>
    <w:p>
      <w:pPr>
        <w:snapToGrid w:val="0"/>
        <w:spacing w:line="500" w:lineRule="exact"/>
        <w:jc w:val="center"/>
        <w:textAlignment w:val="baseline"/>
        <w:rPr>
          <w:rFonts w:cs="黑体"/>
          <w:b/>
          <w:bCs/>
          <w:color w:val="auto"/>
          <w:sz w:val="36"/>
          <w:szCs w:val="36"/>
          <w:highlight w:val="none"/>
        </w:rPr>
      </w:pPr>
      <w:r>
        <w:rPr>
          <w:color w:val="auto"/>
          <w:highlight w:val="none"/>
        </w:rPr>
        <w:drawing>
          <wp:anchor distT="0" distB="0" distL="114300" distR="114300" simplePos="0" relativeHeight="251659264" behindDoc="1" locked="0" layoutInCell="1" allowOverlap="1">
            <wp:simplePos x="0" y="0"/>
            <wp:positionH relativeFrom="column">
              <wp:posOffset>1274445</wp:posOffset>
            </wp:positionH>
            <wp:positionV relativeFrom="paragraph">
              <wp:posOffset>-252730</wp:posOffset>
            </wp:positionV>
            <wp:extent cx="3874770" cy="2137410"/>
            <wp:effectExtent l="0" t="0" r="11430" b="15240"/>
            <wp:wrapTight wrapText="bothSides">
              <wp:wrapPolygon>
                <wp:start x="0" y="0"/>
                <wp:lineTo x="0" y="21369"/>
                <wp:lineTo x="21451" y="21369"/>
                <wp:lineTo x="2145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874770" cy="2137410"/>
                    </a:xfrm>
                    <a:prstGeom prst="rect">
                      <a:avLst/>
                    </a:prstGeom>
                    <a:noFill/>
                    <a:ln>
                      <a:noFill/>
                    </a:ln>
                  </pic:spPr>
                </pic:pic>
              </a:graphicData>
            </a:graphic>
          </wp:anchor>
        </w:drawing>
      </w:r>
    </w:p>
    <w:p>
      <w:pPr>
        <w:snapToGrid w:val="0"/>
        <w:spacing w:line="500" w:lineRule="exact"/>
        <w:ind w:firstLine="2570" w:firstLineChars="800"/>
        <w:jc w:val="both"/>
        <w:textAlignment w:val="baseline"/>
        <w:rPr>
          <w:rFonts w:cs="黑体"/>
          <w:b/>
          <w:bCs/>
          <w:color w:val="auto"/>
          <w:sz w:val="32"/>
          <w:szCs w:val="32"/>
          <w:highlight w:val="none"/>
        </w:rPr>
      </w:pPr>
    </w:p>
    <w:p>
      <w:pPr>
        <w:snapToGrid w:val="0"/>
        <w:spacing w:line="500" w:lineRule="exact"/>
        <w:ind w:firstLine="2570" w:firstLineChars="800"/>
        <w:jc w:val="both"/>
        <w:textAlignment w:val="baseline"/>
        <w:rPr>
          <w:rFonts w:cs="黑体"/>
          <w:b/>
          <w:bCs/>
          <w:color w:val="auto"/>
          <w:sz w:val="32"/>
          <w:szCs w:val="32"/>
          <w:highlight w:val="none"/>
        </w:rPr>
      </w:pPr>
    </w:p>
    <w:p>
      <w:pPr>
        <w:snapToGrid w:val="0"/>
        <w:spacing w:line="500" w:lineRule="exact"/>
        <w:ind w:firstLine="2570" w:firstLineChars="800"/>
        <w:jc w:val="both"/>
        <w:textAlignment w:val="baseline"/>
        <w:rPr>
          <w:rFonts w:cs="黑体"/>
          <w:b/>
          <w:bCs/>
          <w:color w:val="auto"/>
          <w:sz w:val="32"/>
          <w:szCs w:val="32"/>
          <w:highlight w:val="none"/>
        </w:rPr>
      </w:pPr>
    </w:p>
    <w:p>
      <w:pPr>
        <w:snapToGrid w:val="0"/>
        <w:spacing w:line="500" w:lineRule="exact"/>
        <w:ind w:firstLine="2570" w:firstLineChars="800"/>
        <w:jc w:val="both"/>
        <w:textAlignment w:val="baseline"/>
        <w:rPr>
          <w:rFonts w:cs="黑体"/>
          <w:b/>
          <w:bCs/>
          <w:color w:val="auto"/>
          <w:sz w:val="32"/>
          <w:szCs w:val="32"/>
          <w:highlight w:val="none"/>
        </w:rPr>
      </w:pPr>
    </w:p>
    <w:p>
      <w:pPr>
        <w:snapToGrid w:val="0"/>
        <w:spacing w:line="500" w:lineRule="exact"/>
        <w:ind w:firstLine="2570" w:firstLineChars="800"/>
        <w:jc w:val="both"/>
        <w:textAlignment w:val="baseline"/>
        <w:rPr>
          <w:rFonts w:cs="黑体"/>
          <w:b/>
          <w:bCs/>
          <w:color w:val="auto"/>
          <w:sz w:val="32"/>
          <w:szCs w:val="32"/>
          <w:highlight w:val="none"/>
        </w:rPr>
      </w:pPr>
    </w:p>
    <w:p>
      <w:pPr>
        <w:snapToGrid w:val="0"/>
        <w:spacing w:line="500" w:lineRule="exact"/>
        <w:ind w:firstLine="2570" w:firstLineChars="800"/>
        <w:jc w:val="both"/>
        <w:textAlignment w:val="baseline"/>
        <w:rPr>
          <w:rFonts w:cs="黑体"/>
          <w:b/>
          <w:bCs/>
          <w:color w:val="auto"/>
          <w:sz w:val="32"/>
          <w:szCs w:val="32"/>
          <w:highlight w:val="none"/>
        </w:rPr>
      </w:pPr>
    </w:p>
    <w:p>
      <w:pPr>
        <w:snapToGrid w:val="0"/>
        <w:spacing w:line="500" w:lineRule="exact"/>
        <w:ind w:firstLine="2570" w:firstLineChars="800"/>
        <w:jc w:val="both"/>
        <w:textAlignment w:val="baseline"/>
        <w:rPr>
          <w:rFonts w:cs="黑体"/>
          <w:b/>
          <w:bCs/>
          <w:color w:val="auto"/>
          <w:sz w:val="32"/>
          <w:szCs w:val="32"/>
          <w:highlight w:val="none"/>
        </w:rPr>
      </w:pPr>
    </w:p>
    <w:p>
      <w:pPr>
        <w:snapToGrid w:val="0"/>
        <w:spacing w:line="500" w:lineRule="exact"/>
        <w:ind w:firstLine="2570" w:firstLineChars="800"/>
        <w:jc w:val="both"/>
        <w:textAlignment w:val="baseline"/>
        <w:rPr>
          <w:rFonts w:cs="黑体"/>
          <w:b/>
          <w:bCs/>
          <w:color w:val="auto"/>
          <w:sz w:val="32"/>
          <w:szCs w:val="32"/>
          <w:highlight w:val="none"/>
        </w:rPr>
      </w:pPr>
    </w:p>
    <w:p>
      <w:pPr>
        <w:snapToGrid w:val="0"/>
        <w:spacing w:line="800" w:lineRule="exact"/>
        <w:jc w:val="center"/>
        <w:textAlignment w:val="baseline"/>
        <w:outlineLvl w:val="0"/>
        <w:rPr>
          <w:rFonts w:cs="黑体"/>
          <w:b/>
          <w:bCs/>
          <w:color w:val="auto"/>
          <w:sz w:val="32"/>
          <w:szCs w:val="32"/>
          <w:highlight w:val="none"/>
        </w:rPr>
      </w:pPr>
      <w:bookmarkStart w:id="0" w:name="_Toc1794"/>
      <w:bookmarkStart w:id="1" w:name="_Toc2192"/>
      <w:r>
        <w:rPr>
          <w:rFonts w:hint="eastAsia" w:cs="黑体"/>
          <w:b/>
          <w:bCs/>
          <w:color w:val="auto"/>
          <w:sz w:val="32"/>
          <w:szCs w:val="32"/>
          <w:highlight w:val="none"/>
        </w:rPr>
        <w:t>采购人：三门峡市生态环境局卢氏分局</w:t>
      </w:r>
      <w:bookmarkEnd w:id="0"/>
      <w:bookmarkEnd w:id="1"/>
    </w:p>
    <w:p>
      <w:pPr>
        <w:keepNext w:val="0"/>
        <w:keepLines w:val="0"/>
        <w:pageBreakBefore w:val="0"/>
        <w:widowControl w:val="0"/>
        <w:kinsoku/>
        <w:wordWrap/>
        <w:overflowPunct/>
        <w:topLinePunct w:val="0"/>
        <w:autoSpaceDE/>
        <w:autoSpaceDN/>
        <w:bidi w:val="0"/>
        <w:adjustRightInd/>
        <w:snapToGrid w:val="0"/>
        <w:spacing w:line="860" w:lineRule="exact"/>
        <w:jc w:val="center"/>
        <w:textAlignment w:val="baseline"/>
        <w:outlineLvl w:val="0"/>
        <w:rPr>
          <w:rFonts w:cs="黑体"/>
          <w:b/>
          <w:bCs/>
          <w:color w:val="auto"/>
          <w:sz w:val="32"/>
          <w:szCs w:val="32"/>
          <w:highlight w:val="none"/>
        </w:rPr>
      </w:pPr>
      <w:bookmarkStart w:id="2" w:name="_Toc14198"/>
      <w:bookmarkStart w:id="3" w:name="_Toc23140"/>
      <w:r>
        <w:rPr>
          <w:rFonts w:hint="eastAsia" w:cs="黑体"/>
          <w:b/>
          <w:bCs/>
          <w:color w:val="auto"/>
          <w:sz w:val="32"/>
          <w:szCs w:val="32"/>
          <w:highlight w:val="none"/>
        </w:rPr>
        <w:t>代理机构：</w:t>
      </w:r>
      <w:r>
        <w:rPr>
          <w:rFonts w:hint="eastAsia" w:ascii="宋体" w:hAnsi="宋体"/>
          <w:b/>
          <w:color w:val="auto"/>
          <w:sz w:val="32"/>
          <w:highlight w:val="none"/>
        </w:rPr>
        <w:t>河南高誉工程咨询有限公司</w:t>
      </w:r>
      <w:bookmarkEnd w:id="2"/>
      <w:bookmarkEnd w:id="3"/>
    </w:p>
    <w:p>
      <w:pPr>
        <w:snapToGrid w:val="0"/>
        <w:spacing w:line="800" w:lineRule="exact"/>
        <w:jc w:val="center"/>
        <w:textAlignment w:val="baseline"/>
        <w:rPr>
          <w:rFonts w:cs="黑体"/>
          <w:b/>
          <w:bCs/>
          <w:color w:val="auto"/>
          <w:sz w:val="32"/>
          <w:szCs w:val="32"/>
          <w:highlight w:val="none"/>
        </w:rPr>
      </w:pPr>
      <w:r>
        <w:rPr>
          <w:rFonts w:hint="eastAsia" w:cs="黑体"/>
          <w:b/>
          <w:bCs/>
          <w:color w:val="auto"/>
          <w:sz w:val="32"/>
          <w:szCs w:val="32"/>
          <w:highlight w:val="none"/>
          <w:lang w:val="en-US" w:eastAsia="zh-CN"/>
        </w:rPr>
        <w:t xml:space="preserve">  </w:t>
      </w:r>
      <w:r>
        <w:rPr>
          <w:rFonts w:hint="eastAsia" w:cs="黑体"/>
          <w:b/>
          <w:bCs/>
          <w:color w:val="auto"/>
          <w:sz w:val="32"/>
          <w:szCs w:val="32"/>
          <w:highlight w:val="none"/>
        </w:rPr>
        <w:t>日期：二零二</w:t>
      </w:r>
      <w:r>
        <w:rPr>
          <w:rFonts w:hint="eastAsia" w:cs="黑体"/>
          <w:b/>
          <w:bCs/>
          <w:color w:val="auto"/>
          <w:sz w:val="32"/>
          <w:szCs w:val="32"/>
          <w:highlight w:val="none"/>
          <w:lang w:eastAsia="zh-CN"/>
        </w:rPr>
        <w:t>五</w:t>
      </w:r>
      <w:r>
        <w:rPr>
          <w:rFonts w:hint="eastAsia" w:cs="黑体"/>
          <w:b/>
          <w:bCs/>
          <w:color w:val="auto"/>
          <w:sz w:val="32"/>
          <w:szCs w:val="32"/>
          <w:highlight w:val="none"/>
        </w:rPr>
        <w:t>年</w:t>
      </w:r>
      <w:r>
        <w:rPr>
          <w:rFonts w:hint="eastAsia" w:cs="黑体"/>
          <w:b/>
          <w:bCs/>
          <w:color w:val="auto"/>
          <w:sz w:val="32"/>
          <w:szCs w:val="32"/>
          <w:highlight w:val="none"/>
          <w:lang w:eastAsia="zh-CN"/>
        </w:rPr>
        <w:t>十一</w:t>
      </w:r>
      <w:r>
        <w:rPr>
          <w:rFonts w:hint="eastAsia" w:cs="黑体"/>
          <w:b/>
          <w:bCs/>
          <w:color w:val="auto"/>
          <w:sz w:val="32"/>
          <w:szCs w:val="32"/>
          <w:highlight w:val="none"/>
        </w:rPr>
        <w:t>月</w:t>
      </w:r>
    </w:p>
    <w:p>
      <w:pPr>
        <w:spacing w:beforeAutospacing="0" w:afterAutospacing="0" w:line="360" w:lineRule="auto"/>
        <w:ind w:firstLine="1606" w:firstLineChars="500"/>
        <w:jc w:val="left"/>
        <w:rPr>
          <w:rFonts w:hint="eastAsia" w:ascii="宋体" w:hAnsi="宋体" w:eastAsia="宋体"/>
          <w:b/>
          <w:bCs/>
          <w:color w:val="auto"/>
          <w:sz w:val="32"/>
          <w:szCs w:val="28"/>
          <w:highlight w:val="none"/>
        </w:rPr>
        <w:sectPr>
          <w:headerReference r:id="rId5" w:type="first"/>
          <w:headerReference r:id="rId3" w:type="default"/>
          <w:footerReference r:id="rId6" w:type="default"/>
          <w:headerReference r:id="rId4" w:type="even"/>
          <w:footerReference r:id="rId7" w:type="even"/>
          <w:pgSz w:w="11906" w:h="16838"/>
          <w:pgMar w:top="1463" w:right="1026" w:bottom="1157" w:left="1080" w:header="1361" w:footer="1134" w:gutter="0"/>
          <w:pgNumType w:fmt="numberInDash" w:start="1"/>
          <w:cols w:space="720" w:num="1"/>
          <w:docGrid w:type="lines" w:linePitch="312" w:charSpace="0"/>
        </w:sectPr>
      </w:pPr>
    </w:p>
    <w:p>
      <w:pPr>
        <w:snapToGrid w:val="0"/>
        <w:spacing w:beforeAutospacing="0" w:afterAutospacing="0" w:line="360" w:lineRule="auto"/>
        <w:jc w:val="center"/>
        <w:rPr>
          <w:rFonts w:hint="eastAsia" w:ascii="宋体" w:hAnsi="宋体" w:eastAsia="宋体"/>
          <w:b/>
          <w:color w:val="auto"/>
          <w:sz w:val="44"/>
          <w:szCs w:val="44"/>
          <w:highlight w:val="none"/>
        </w:rPr>
      </w:pPr>
    </w:p>
    <w:p>
      <w:pPr>
        <w:snapToGrid w:val="0"/>
        <w:spacing w:beforeAutospacing="0" w:afterAutospacing="0" w:line="360" w:lineRule="auto"/>
        <w:jc w:val="center"/>
        <w:rPr>
          <w:rFonts w:hint="eastAsia" w:ascii="宋体" w:hAnsi="宋体" w:eastAsia="宋体"/>
          <w:b/>
          <w:color w:val="auto"/>
          <w:sz w:val="44"/>
          <w:szCs w:val="44"/>
          <w:highlight w:val="none"/>
        </w:rPr>
      </w:pPr>
      <w:r>
        <w:rPr>
          <w:rFonts w:hint="eastAsia" w:ascii="宋体" w:hAnsi="宋体" w:eastAsia="宋体"/>
          <w:b/>
          <w:color w:val="auto"/>
          <w:sz w:val="44"/>
          <w:szCs w:val="44"/>
          <w:highlight w:val="none"/>
        </w:rPr>
        <w:t>目   录</w:t>
      </w:r>
    </w:p>
    <w:p>
      <w:pPr>
        <w:pStyle w:val="10"/>
        <w:keepNext w:val="0"/>
        <w:keepLines w:val="0"/>
        <w:pageBreakBefore w:val="0"/>
        <w:widowControl w:val="0"/>
        <w:tabs>
          <w:tab w:val="right" w:leader="dot" w:pos="9752"/>
        </w:tabs>
        <w:kinsoku/>
        <w:wordWrap/>
        <w:overflowPunct/>
        <w:topLinePunct w:val="0"/>
        <w:autoSpaceDE/>
        <w:autoSpaceDN/>
        <w:bidi w:val="0"/>
        <w:adjustRightInd/>
        <w:spacing w:line="720" w:lineRule="auto"/>
        <w:textAlignment w:val="auto"/>
        <w:rPr>
          <w:color w:val="auto"/>
          <w:sz w:val="28"/>
          <w:szCs w:val="28"/>
          <w:highlight w:val="none"/>
        </w:rPr>
      </w:pPr>
      <w:bookmarkStart w:id="4" w:name="_Toc300834927"/>
      <w:r>
        <w:rPr>
          <w:rFonts w:ascii="宋体" w:hAnsi="宋体" w:eastAsia="宋体"/>
          <w:b/>
          <w:caps/>
          <w:color w:val="auto"/>
          <w:sz w:val="28"/>
          <w:szCs w:val="28"/>
          <w:highlight w:val="none"/>
        </w:rPr>
        <w:fldChar w:fldCharType="begin"/>
      </w:r>
      <w:r>
        <w:rPr>
          <w:rFonts w:hint="eastAsia" w:ascii="宋体" w:hAnsi="宋体" w:eastAsia="宋体"/>
          <w:b/>
          <w:caps/>
          <w:color w:val="auto"/>
          <w:sz w:val="28"/>
          <w:szCs w:val="28"/>
          <w:highlight w:val="none"/>
        </w:rPr>
        <w:instrText xml:space="preserve">TOC \o "1-3" \h \z \u</w:instrText>
      </w:r>
      <w:r>
        <w:rPr>
          <w:rFonts w:ascii="宋体" w:hAnsi="宋体" w:eastAsia="宋体"/>
          <w:b/>
          <w:caps/>
          <w:color w:val="auto"/>
          <w:sz w:val="28"/>
          <w:szCs w:val="28"/>
          <w:highlight w:val="none"/>
        </w:rPr>
        <w:fldChar w:fldCharType="separate"/>
      </w:r>
      <w:bookmarkEnd w:id="4"/>
      <w:bookmarkStart w:id="5" w:name="_Toc247527534"/>
      <w:bookmarkStart w:id="6" w:name="_Toc247513933"/>
      <w:bookmarkStart w:id="7" w:name="_Toc300834928"/>
      <w:bookmarkStart w:id="8" w:name="_Toc529947706"/>
      <w:bookmarkStart w:id="9" w:name="_Toc20826"/>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_Toc25128 </w:instrText>
      </w:r>
      <w:r>
        <w:rPr>
          <w:rFonts w:ascii="宋体" w:hAnsi="宋体" w:eastAsia="宋体"/>
          <w:caps/>
          <w:color w:val="auto"/>
          <w:sz w:val="28"/>
          <w:szCs w:val="28"/>
          <w:highlight w:val="none"/>
        </w:rPr>
        <w:fldChar w:fldCharType="separate"/>
      </w:r>
      <w:r>
        <w:rPr>
          <w:rFonts w:hint="eastAsia" w:ascii="宋体" w:hAnsi="宋体" w:eastAsia="宋体"/>
          <w:bCs/>
          <w:color w:val="auto"/>
          <w:sz w:val="28"/>
          <w:szCs w:val="28"/>
          <w:highlight w:val="none"/>
        </w:rPr>
        <w:t xml:space="preserve">第一章 </w:t>
      </w:r>
      <w:r>
        <w:rPr>
          <w:rFonts w:hint="eastAsia" w:ascii="宋体" w:hAnsi="宋体"/>
          <w:bCs/>
          <w:color w:val="auto"/>
          <w:sz w:val="28"/>
          <w:szCs w:val="28"/>
          <w:highlight w:val="none"/>
          <w:lang w:val="en-US" w:eastAsia="zh-CN"/>
        </w:rPr>
        <w:t xml:space="preserve"> </w:t>
      </w:r>
      <w:r>
        <w:rPr>
          <w:rFonts w:hint="eastAsia" w:ascii="宋体" w:hAnsi="宋体" w:eastAsia="宋体"/>
          <w:bCs/>
          <w:color w:val="auto"/>
          <w:sz w:val="28"/>
          <w:szCs w:val="28"/>
          <w:highlight w:val="none"/>
        </w:rPr>
        <w:t>竞争性磋商公告</w:t>
      </w:r>
      <w:r>
        <w:rPr>
          <w:color w:val="auto"/>
          <w:sz w:val="28"/>
          <w:szCs w:val="28"/>
          <w:highlight w:val="none"/>
        </w:rPr>
        <w:tab/>
      </w:r>
      <w:r>
        <w:rPr>
          <w:rFonts w:hint="eastAsia" w:ascii="宋体" w:hAnsi="宋体"/>
          <w:caps/>
          <w:color w:val="auto"/>
          <w:sz w:val="28"/>
          <w:szCs w:val="28"/>
          <w:highlight w:val="none"/>
          <w:lang w:val="en-US" w:eastAsia="zh-CN"/>
        </w:rPr>
        <w:t>2</w:t>
      </w:r>
      <w:r>
        <w:rPr>
          <w:rFonts w:ascii="宋体" w:hAnsi="宋体" w:eastAsia="宋体"/>
          <w:caps/>
          <w:color w:val="auto"/>
          <w:sz w:val="28"/>
          <w:szCs w:val="28"/>
          <w:highlight w:val="none"/>
        </w:rPr>
        <w:fldChar w:fldCharType="end"/>
      </w:r>
    </w:p>
    <w:p>
      <w:pPr>
        <w:pStyle w:val="10"/>
        <w:keepNext w:val="0"/>
        <w:keepLines w:val="0"/>
        <w:pageBreakBefore w:val="0"/>
        <w:widowControl w:val="0"/>
        <w:tabs>
          <w:tab w:val="right" w:leader="dot" w:pos="9752"/>
        </w:tabs>
        <w:kinsoku/>
        <w:wordWrap/>
        <w:overflowPunct/>
        <w:topLinePunct w:val="0"/>
        <w:autoSpaceDE/>
        <w:autoSpaceDN/>
        <w:bidi w:val="0"/>
        <w:adjustRightInd/>
        <w:spacing w:line="720" w:lineRule="auto"/>
        <w:textAlignment w:val="auto"/>
        <w:rPr>
          <w:color w:val="auto"/>
          <w:sz w:val="28"/>
          <w:szCs w:val="28"/>
          <w:highlight w:val="none"/>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_Toc29675 </w:instrText>
      </w:r>
      <w:r>
        <w:rPr>
          <w:rFonts w:ascii="宋体" w:hAnsi="宋体" w:eastAsia="宋体"/>
          <w:caps/>
          <w:color w:val="auto"/>
          <w:sz w:val="28"/>
          <w:szCs w:val="28"/>
          <w:highlight w:val="none"/>
        </w:rPr>
        <w:fldChar w:fldCharType="separate"/>
      </w:r>
      <w:r>
        <w:rPr>
          <w:rFonts w:hint="eastAsia" w:ascii="宋体" w:hAnsi="宋体" w:eastAsia="宋体"/>
          <w:bCs/>
          <w:color w:val="auto"/>
          <w:kern w:val="0"/>
          <w:sz w:val="28"/>
          <w:szCs w:val="28"/>
          <w:highlight w:val="none"/>
        </w:rPr>
        <w:t>第二章</w:t>
      </w:r>
      <w:r>
        <w:rPr>
          <w:rFonts w:hint="eastAsia" w:ascii="宋体" w:hAnsi="宋体"/>
          <w:bCs/>
          <w:color w:val="auto"/>
          <w:kern w:val="0"/>
          <w:sz w:val="28"/>
          <w:szCs w:val="28"/>
          <w:highlight w:val="none"/>
          <w:lang w:val="en-US" w:eastAsia="zh-CN"/>
        </w:rPr>
        <w:t xml:space="preserve">  </w:t>
      </w:r>
      <w:r>
        <w:rPr>
          <w:rFonts w:hint="eastAsia" w:ascii="宋体" w:hAnsi="宋体" w:eastAsia="宋体"/>
          <w:bCs/>
          <w:color w:val="auto"/>
          <w:sz w:val="28"/>
          <w:szCs w:val="28"/>
          <w:highlight w:val="none"/>
        </w:rPr>
        <w:t>供应商须知前附表</w:t>
      </w:r>
      <w:r>
        <w:rPr>
          <w:color w:val="auto"/>
          <w:sz w:val="28"/>
          <w:szCs w:val="28"/>
          <w:highlight w:val="none"/>
        </w:rPr>
        <w:tab/>
      </w:r>
      <w:r>
        <w:rPr>
          <w:rFonts w:hint="eastAsia" w:ascii="宋体" w:hAnsi="宋体"/>
          <w:bCs/>
          <w:color w:val="auto"/>
          <w:sz w:val="28"/>
          <w:szCs w:val="28"/>
          <w:highlight w:val="none"/>
          <w:lang w:val="en-US" w:eastAsia="zh-CN"/>
        </w:rPr>
        <w:t>6</w:t>
      </w:r>
      <w:r>
        <w:rPr>
          <w:rFonts w:ascii="宋体" w:hAnsi="宋体" w:eastAsia="宋体"/>
          <w:caps/>
          <w:color w:val="auto"/>
          <w:sz w:val="28"/>
          <w:szCs w:val="28"/>
          <w:highlight w:val="none"/>
        </w:rPr>
        <w:fldChar w:fldCharType="end"/>
      </w:r>
    </w:p>
    <w:p>
      <w:pPr>
        <w:pStyle w:val="10"/>
        <w:keepNext w:val="0"/>
        <w:keepLines w:val="0"/>
        <w:pageBreakBefore w:val="0"/>
        <w:widowControl w:val="0"/>
        <w:tabs>
          <w:tab w:val="right" w:leader="dot" w:pos="9752"/>
        </w:tabs>
        <w:kinsoku/>
        <w:wordWrap/>
        <w:overflowPunct/>
        <w:topLinePunct w:val="0"/>
        <w:autoSpaceDE/>
        <w:autoSpaceDN/>
        <w:bidi w:val="0"/>
        <w:adjustRightInd/>
        <w:spacing w:line="720" w:lineRule="auto"/>
        <w:textAlignment w:val="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_Toc18333 </w:instrText>
      </w:r>
      <w:r>
        <w:rPr>
          <w:rFonts w:ascii="宋体" w:hAnsi="宋体" w:eastAsia="宋体"/>
          <w:caps/>
          <w:color w:val="auto"/>
          <w:sz w:val="28"/>
          <w:szCs w:val="28"/>
          <w:highlight w:val="none"/>
        </w:rPr>
        <w:fldChar w:fldCharType="separate"/>
      </w:r>
      <w:r>
        <w:rPr>
          <w:rFonts w:hint="eastAsia" w:ascii="宋体" w:hAnsi="宋体"/>
          <w:bCs/>
          <w:color w:val="auto"/>
          <w:kern w:val="0"/>
          <w:sz w:val="28"/>
          <w:szCs w:val="28"/>
          <w:highlight w:val="none"/>
          <w:lang w:eastAsia="zh-CN"/>
        </w:rPr>
        <w:t>第三章</w:t>
      </w:r>
      <w:r>
        <w:rPr>
          <w:rFonts w:hint="eastAsia" w:ascii="宋体" w:hAnsi="宋体"/>
          <w:bCs/>
          <w:color w:val="auto"/>
          <w:kern w:val="0"/>
          <w:sz w:val="28"/>
          <w:szCs w:val="28"/>
          <w:highlight w:val="none"/>
          <w:lang w:val="en-US" w:eastAsia="zh-CN"/>
        </w:rPr>
        <w:t xml:space="preserve">  </w:t>
      </w:r>
      <w:r>
        <w:rPr>
          <w:rFonts w:hint="eastAsia" w:ascii="宋体" w:hAnsi="宋体" w:eastAsia="宋体"/>
          <w:bCs/>
          <w:color w:val="auto"/>
          <w:kern w:val="0"/>
          <w:sz w:val="28"/>
          <w:szCs w:val="28"/>
          <w:highlight w:val="none"/>
        </w:rPr>
        <w:t>服务</w:t>
      </w:r>
      <w:r>
        <w:rPr>
          <w:rFonts w:hint="eastAsia" w:ascii="宋体" w:hAnsi="宋体"/>
          <w:bCs/>
          <w:color w:val="auto"/>
          <w:kern w:val="0"/>
          <w:sz w:val="28"/>
          <w:szCs w:val="28"/>
          <w:highlight w:val="none"/>
          <w:lang w:eastAsia="zh-CN"/>
        </w:rPr>
        <w:t>内容</w:t>
      </w:r>
      <w:r>
        <w:rPr>
          <w:color w:val="auto"/>
          <w:sz w:val="28"/>
          <w:szCs w:val="28"/>
          <w:highlight w:val="none"/>
        </w:rPr>
        <w:tab/>
      </w:r>
      <w:r>
        <w:rPr>
          <w:rFonts w:hint="eastAsia" w:ascii="宋体" w:hAnsi="宋体"/>
          <w:caps/>
          <w:color w:val="auto"/>
          <w:sz w:val="28"/>
          <w:szCs w:val="28"/>
          <w:highlight w:val="none"/>
          <w:lang w:val="en-US" w:eastAsia="zh-CN"/>
        </w:rPr>
        <w:t>2</w:t>
      </w:r>
      <w:r>
        <w:rPr>
          <w:rFonts w:ascii="宋体" w:hAnsi="宋体" w:eastAsia="宋体"/>
          <w:caps/>
          <w:color w:val="auto"/>
          <w:sz w:val="28"/>
          <w:szCs w:val="28"/>
          <w:highlight w:val="none"/>
        </w:rPr>
        <w:fldChar w:fldCharType="end"/>
      </w:r>
      <w:r>
        <w:rPr>
          <w:rFonts w:hint="eastAsia" w:ascii="宋体" w:hAnsi="宋体"/>
          <w:caps/>
          <w:color w:val="auto"/>
          <w:sz w:val="28"/>
          <w:szCs w:val="28"/>
          <w:highlight w:val="none"/>
          <w:lang w:val="en-US" w:eastAsia="zh-CN"/>
        </w:rPr>
        <w:t>5</w:t>
      </w:r>
    </w:p>
    <w:p>
      <w:pPr>
        <w:pStyle w:val="10"/>
        <w:keepNext w:val="0"/>
        <w:keepLines w:val="0"/>
        <w:pageBreakBefore w:val="0"/>
        <w:widowControl w:val="0"/>
        <w:tabs>
          <w:tab w:val="right" w:leader="dot" w:pos="9752"/>
        </w:tabs>
        <w:kinsoku/>
        <w:wordWrap/>
        <w:overflowPunct/>
        <w:topLinePunct w:val="0"/>
        <w:autoSpaceDE/>
        <w:autoSpaceDN/>
        <w:bidi w:val="0"/>
        <w:adjustRightInd/>
        <w:spacing w:line="720" w:lineRule="auto"/>
        <w:textAlignment w:val="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_Toc19915 </w:instrText>
      </w:r>
      <w:r>
        <w:rPr>
          <w:rFonts w:ascii="宋体" w:hAnsi="宋体" w:eastAsia="宋体"/>
          <w:caps/>
          <w:color w:val="auto"/>
          <w:sz w:val="28"/>
          <w:szCs w:val="28"/>
          <w:highlight w:val="none"/>
        </w:rPr>
        <w:fldChar w:fldCharType="separate"/>
      </w:r>
      <w:r>
        <w:rPr>
          <w:rFonts w:hint="eastAsia" w:ascii="宋体" w:hAnsi="宋体" w:eastAsia="宋体"/>
          <w:bCs/>
          <w:color w:val="auto"/>
          <w:sz w:val="28"/>
          <w:szCs w:val="28"/>
          <w:highlight w:val="none"/>
        </w:rPr>
        <w:t>第</w:t>
      </w:r>
      <w:r>
        <w:rPr>
          <w:rFonts w:hint="eastAsia" w:ascii="宋体" w:hAnsi="宋体"/>
          <w:bCs/>
          <w:color w:val="auto"/>
          <w:sz w:val="28"/>
          <w:szCs w:val="28"/>
          <w:highlight w:val="none"/>
          <w:lang w:eastAsia="zh-CN"/>
        </w:rPr>
        <w:t>四</w:t>
      </w:r>
      <w:r>
        <w:rPr>
          <w:rFonts w:hint="eastAsia" w:ascii="宋体" w:hAnsi="宋体" w:eastAsia="宋体"/>
          <w:bCs/>
          <w:color w:val="auto"/>
          <w:sz w:val="28"/>
          <w:szCs w:val="28"/>
          <w:highlight w:val="none"/>
        </w:rPr>
        <w:t>章  评审标准</w:t>
      </w:r>
      <w:r>
        <w:rPr>
          <w:color w:val="auto"/>
          <w:sz w:val="28"/>
          <w:szCs w:val="28"/>
          <w:highlight w:val="none"/>
        </w:rPr>
        <w:tab/>
      </w:r>
      <w:r>
        <w:rPr>
          <w:rFonts w:hint="eastAsia" w:ascii="宋体" w:hAnsi="宋体"/>
          <w:caps/>
          <w:color w:val="auto"/>
          <w:sz w:val="28"/>
          <w:szCs w:val="28"/>
          <w:highlight w:val="none"/>
          <w:lang w:val="en-US" w:eastAsia="zh-CN"/>
        </w:rPr>
        <w:t>2</w:t>
      </w:r>
      <w:r>
        <w:rPr>
          <w:rFonts w:ascii="宋体" w:hAnsi="宋体" w:eastAsia="宋体"/>
          <w:caps/>
          <w:color w:val="auto"/>
          <w:sz w:val="28"/>
          <w:szCs w:val="28"/>
          <w:highlight w:val="none"/>
        </w:rPr>
        <w:fldChar w:fldCharType="end"/>
      </w:r>
      <w:r>
        <w:rPr>
          <w:rFonts w:hint="eastAsia" w:ascii="宋体" w:hAnsi="宋体"/>
          <w:caps/>
          <w:color w:val="auto"/>
          <w:sz w:val="28"/>
          <w:szCs w:val="28"/>
          <w:highlight w:val="none"/>
          <w:lang w:val="en-US" w:eastAsia="zh-CN"/>
        </w:rPr>
        <w:t>6</w:t>
      </w:r>
    </w:p>
    <w:p>
      <w:pPr>
        <w:pStyle w:val="10"/>
        <w:keepNext w:val="0"/>
        <w:keepLines w:val="0"/>
        <w:pageBreakBefore w:val="0"/>
        <w:widowControl w:val="0"/>
        <w:tabs>
          <w:tab w:val="right" w:leader="dot" w:pos="9752"/>
        </w:tabs>
        <w:kinsoku/>
        <w:wordWrap/>
        <w:overflowPunct/>
        <w:topLinePunct w:val="0"/>
        <w:autoSpaceDE/>
        <w:autoSpaceDN/>
        <w:bidi w:val="0"/>
        <w:adjustRightInd/>
        <w:spacing w:line="720" w:lineRule="auto"/>
        <w:textAlignment w:val="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_Toc8932 </w:instrText>
      </w:r>
      <w:r>
        <w:rPr>
          <w:rFonts w:ascii="宋体" w:hAnsi="宋体" w:eastAsia="宋体"/>
          <w:caps/>
          <w:color w:val="auto"/>
          <w:sz w:val="28"/>
          <w:szCs w:val="28"/>
          <w:highlight w:val="none"/>
        </w:rPr>
        <w:fldChar w:fldCharType="separate"/>
      </w:r>
      <w:r>
        <w:rPr>
          <w:rFonts w:hint="eastAsia" w:ascii="宋体" w:hAnsi="宋体" w:eastAsia="宋体"/>
          <w:bCs/>
          <w:color w:val="auto"/>
          <w:kern w:val="44"/>
          <w:sz w:val="28"/>
          <w:szCs w:val="28"/>
          <w:highlight w:val="none"/>
        </w:rPr>
        <w:t>第</w:t>
      </w:r>
      <w:r>
        <w:rPr>
          <w:rFonts w:hint="eastAsia" w:ascii="宋体" w:hAnsi="宋体"/>
          <w:bCs/>
          <w:color w:val="auto"/>
          <w:kern w:val="44"/>
          <w:sz w:val="28"/>
          <w:szCs w:val="28"/>
          <w:highlight w:val="none"/>
          <w:lang w:eastAsia="zh-CN"/>
        </w:rPr>
        <w:t>五</w:t>
      </w:r>
      <w:r>
        <w:rPr>
          <w:rFonts w:hint="eastAsia" w:ascii="宋体" w:hAnsi="宋体" w:eastAsia="宋体"/>
          <w:bCs/>
          <w:color w:val="auto"/>
          <w:kern w:val="44"/>
          <w:sz w:val="28"/>
          <w:szCs w:val="28"/>
          <w:highlight w:val="none"/>
        </w:rPr>
        <w:t xml:space="preserve">章 </w:t>
      </w:r>
      <w:r>
        <w:rPr>
          <w:rFonts w:hint="eastAsia" w:ascii="宋体" w:hAnsi="宋体"/>
          <w:bCs/>
          <w:color w:val="auto"/>
          <w:kern w:val="44"/>
          <w:sz w:val="28"/>
          <w:szCs w:val="28"/>
          <w:highlight w:val="none"/>
          <w:lang w:val="en-US" w:eastAsia="zh-CN"/>
        </w:rPr>
        <w:t xml:space="preserve"> </w:t>
      </w:r>
      <w:r>
        <w:rPr>
          <w:rFonts w:hint="eastAsia" w:ascii="宋体" w:hAnsi="宋体" w:eastAsia="宋体"/>
          <w:bCs/>
          <w:color w:val="auto"/>
          <w:kern w:val="44"/>
          <w:sz w:val="28"/>
          <w:szCs w:val="28"/>
          <w:highlight w:val="none"/>
        </w:rPr>
        <w:t>合同条款及格式</w:t>
      </w:r>
      <w:r>
        <w:rPr>
          <w:color w:val="auto"/>
          <w:sz w:val="28"/>
          <w:szCs w:val="28"/>
          <w:highlight w:val="none"/>
        </w:rPr>
        <w:tab/>
      </w:r>
      <w:r>
        <w:rPr>
          <w:rFonts w:hint="eastAsia" w:ascii="宋体" w:hAnsi="宋体"/>
          <w:caps/>
          <w:color w:val="auto"/>
          <w:sz w:val="28"/>
          <w:szCs w:val="28"/>
          <w:highlight w:val="none"/>
          <w:lang w:val="en-US" w:eastAsia="zh-CN"/>
        </w:rPr>
        <w:t>3</w:t>
      </w:r>
      <w:r>
        <w:rPr>
          <w:rFonts w:ascii="宋体" w:hAnsi="宋体" w:eastAsia="宋体"/>
          <w:caps/>
          <w:color w:val="auto"/>
          <w:sz w:val="28"/>
          <w:szCs w:val="28"/>
          <w:highlight w:val="none"/>
        </w:rPr>
        <w:fldChar w:fldCharType="end"/>
      </w:r>
      <w:r>
        <w:rPr>
          <w:rFonts w:hint="eastAsia" w:ascii="宋体" w:hAnsi="宋体"/>
          <w:caps/>
          <w:color w:val="auto"/>
          <w:sz w:val="28"/>
          <w:szCs w:val="28"/>
          <w:highlight w:val="none"/>
          <w:lang w:val="en-US" w:eastAsia="zh-CN"/>
        </w:rPr>
        <w:t>2</w:t>
      </w:r>
    </w:p>
    <w:p>
      <w:pPr>
        <w:pStyle w:val="10"/>
        <w:keepNext w:val="0"/>
        <w:keepLines w:val="0"/>
        <w:pageBreakBefore w:val="0"/>
        <w:widowControl w:val="0"/>
        <w:tabs>
          <w:tab w:val="right" w:leader="dot" w:pos="9752"/>
        </w:tabs>
        <w:kinsoku/>
        <w:wordWrap/>
        <w:overflowPunct/>
        <w:topLinePunct w:val="0"/>
        <w:autoSpaceDE/>
        <w:autoSpaceDN/>
        <w:bidi w:val="0"/>
        <w:adjustRightInd/>
        <w:spacing w:line="720" w:lineRule="auto"/>
        <w:textAlignment w:val="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_Toc1678 </w:instrText>
      </w:r>
      <w:r>
        <w:rPr>
          <w:rFonts w:ascii="宋体" w:hAnsi="宋体" w:eastAsia="宋体"/>
          <w:caps/>
          <w:color w:val="auto"/>
          <w:sz w:val="28"/>
          <w:szCs w:val="28"/>
          <w:highlight w:val="none"/>
        </w:rPr>
        <w:fldChar w:fldCharType="separate"/>
      </w:r>
      <w:r>
        <w:rPr>
          <w:rFonts w:hint="eastAsia" w:ascii="宋体" w:hAnsi="宋体" w:eastAsia="宋体"/>
          <w:color w:val="auto"/>
          <w:kern w:val="44"/>
          <w:sz w:val="28"/>
          <w:szCs w:val="28"/>
          <w:highlight w:val="none"/>
        </w:rPr>
        <w:t>第</w:t>
      </w:r>
      <w:r>
        <w:rPr>
          <w:rFonts w:hint="eastAsia" w:ascii="宋体" w:hAnsi="宋体"/>
          <w:color w:val="auto"/>
          <w:kern w:val="44"/>
          <w:sz w:val="28"/>
          <w:szCs w:val="28"/>
          <w:highlight w:val="none"/>
          <w:lang w:eastAsia="zh-CN"/>
        </w:rPr>
        <w:t>六</w:t>
      </w:r>
      <w:r>
        <w:rPr>
          <w:rFonts w:hint="eastAsia" w:ascii="宋体" w:hAnsi="宋体" w:eastAsia="宋体"/>
          <w:color w:val="auto"/>
          <w:kern w:val="44"/>
          <w:sz w:val="28"/>
          <w:szCs w:val="28"/>
          <w:highlight w:val="none"/>
        </w:rPr>
        <w:t>章  磋商响应文件格式</w:t>
      </w:r>
      <w:r>
        <w:rPr>
          <w:color w:val="auto"/>
          <w:sz w:val="28"/>
          <w:szCs w:val="28"/>
          <w:highlight w:val="none"/>
        </w:rPr>
        <w:tab/>
      </w:r>
      <w:r>
        <w:rPr>
          <w:rFonts w:hint="eastAsia" w:ascii="宋体" w:hAnsi="宋体"/>
          <w:caps/>
          <w:color w:val="auto"/>
          <w:sz w:val="28"/>
          <w:szCs w:val="28"/>
          <w:highlight w:val="none"/>
          <w:lang w:val="en-US" w:eastAsia="zh-CN"/>
        </w:rPr>
        <w:t>3</w:t>
      </w:r>
      <w:r>
        <w:rPr>
          <w:rFonts w:ascii="宋体" w:hAnsi="宋体" w:eastAsia="宋体"/>
          <w:caps/>
          <w:color w:val="auto"/>
          <w:sz w:val="28"/>
          <w:szCs w:val="28"/>
          <w:highlight w:val="none"/>
        </w:rPr>
        <w:fldChar w:fldCharType="end"/>
      </w:r>
      <w:r>
        <w:rPr>
          <w:rFonts w:hint="eastAsia" w:ascii="宋体" w:hAnsi="宋体"/>
          <w:caps/>
          <w:color w:val="auto"/>
          <w:sz w:val="28"/>
          <w:szCs w:val="28"/>
          <w:highlight w:val="none"/>
          <w:lang w:val="en-US" w:eastAsia="zh-CN"/>
        </w:rPr>
        <w:t>5</w:t>
      </w:r>
    </w:p>
    <w:p>
      <w:pPr>
        <w:keepNext w:val="0"/>
        <w:keepLines w:val="0"/>
        <w:pageBreakBefore w:val="0"/>
        <w:widowControl w:val="0"/>
        <w:kinsoku/>
        <w:wordWrap/>
        <w:overflowPunct/>
        <w:topLinePunct w:val="0"/>
        <w:autoSpaceDE/>
        <w:autoSpaceDN/>
        <w:bidi w:val="0"/>
        <w:adjustRightInd/>
        <w:snapToGrid w:val="0"/>
        <w:spacing w:beforeAutospacing="0" w:afterAutospacing="0" w:line="720" w:lineRule="auto"/>
        <w:jc w:val="center"/>
        <w:textAlignment w:val="auto"/>
        <w:rPr>
          <w:rFonts w:ascii="宋体" w:hAnsi="宋体" w:eastAsia="宋体"/>
          <w:b/>
          <w:caps/>
          <w:color w:val="auto"/>
          <w:sz w:val="36"/>
          <w:szCs w:val="36"/>
          <w:highlight w:val="none"/>
        </w:rPr>
      </w:pPr>
      <w:r>
        <w:rPr>
          <w:rFonts w:ascii="宋体" w:hAnsi="宋体" w:eastAsia="宋体"/>
          <w:caps/>
          <w:color w:val="auto"/>
          <w:sz w:val="28"/>
          <w:szCs w:val="28"/>
          <w:highlight w:val="none"/>
        </w:rPr>
        <w:fldChar w:fldCharType="end"/>
      </w:r>
    </w:p>
    <w:p>
      <w:pPr>
        <w:snapToGrid w:val="0"/>
        <w:spacing w:beforeAutospacing="0" w:afterAutospacing="0" w:line="360" w:lineRule="auto"/>
        <w:jc w:val="center"/>
        <w:rPr>
          <w:rFonts w:ascii="宋体" w:hAnsi="宋体" w:eastAsia="宋体"/>
          <w:b/>
          <w:caps/>
          <w:color w:val="auto"/>
          <w:sz w:val="36"/>
          <w:szCs w:val="36"/>
          <w:highlight w:val="none"/>
        </w:rPr>
      </w:pPr>
    </w:p>
    <w:p>
      <w:pPr>
        <w:snapToGrid w:val="0"/>
        <w:spacing w:beforeAutospacing="0" w:afterAutospacing="0" w:line="360" w:lineRule="auto"/>
        <w:jc w:val="center"/>
        <w:rPr>
          <w:rFonts w:ascii="宋体" w:hAnsi="宋体" w:eastAsia="宋体"/>
          <w:b/>
          <w:caps/>
          <w:color w:val="auto"/>
          <w:sz w:val="36"/>
          <w:szCs w:val="36"/>
          <w:highlight w:val="none"/>
        </w:rPr>
      </w:pPr>
    </w:p>
    <w:p>
      <w:pPr>
        <w:snapToGrid w:val="0"/>
        <w:spacing w:beforeAutospacing="0" w:afterAutospacing="0" w:line="360" w:lineRule="auto"/>
        <w:jc w:val="center"/>
        <w:rPr>
          <w:rFonts w:ascii="宋体" w:hAnsi="宋体" w:eastAsia="宋体"/>
          <w:b/>
          <w:caps/>
          <w:color w:val="auto"/>
          <w:sz w:val="36"/>
          <w:szCs w:val="36"/>
          <w:highlight w:val="none"/>
        </w:rPr>
      </w:pPr>
    </w:p>
    <w:p>
      <w:pPr>
        <w:snapToGrid w:val="0"/>
        <w:spacing w:beforeAutospacing="0" w:afterAutospacing="0" w:line="360" w:lineRule="auto"/>
        <w:jc w:val="center"/>
        <w:rPr>
          <w:rFonts w:ascii="宋体" w:hAnsi="宋体" w:eastAsia="宋体"/>
          <w:b/>
          <w:caps/>
          <w:color w:val="auto"/>
          <w:sz w:val="36"/>
          <w:szCs w:val="36"/>
          <w:highlight w:val="none"/>
        </w:rPr>
      </w:pPr>
    </w:p>
    <w:p>
      <w:pPr>
        <w:snapToGrid w:val="0"/>
        <w:spacing w:beforeAutospacing="0" w:afterAutospacing="0" w:line="360" w:lineRule="auto"/>
        <w:jc w:val="center"/>
        <w:rPr>
          <w:rFonts w:ascii="宋体" w:hAnsi="宋体" w:eastAsia="宋体"/>
          <w:b/>
          <w:caps/>
          <w:color w:val="auto"/>
          <w:sz w:val="36"/>
          <w:szCs w:val="36"/>
          <w:highlight w:val="none"/>
        </w:rPr>
      </w:pPr>
    </w:p>
    <w:p>
      <w:pPr>
        <w:snapToGrid w:val="0"/>
        <w:spacing w:beforeAutospacing="0" w:afterAutospacing="0" w:line="360" w:lineRule="auto"/>
        <w:jc w:val="center"/>
        <w:rPr>
          <w:rFonts w:ascii="宋体" w:hAnsi="宋体" w:eastAsia="宋体"/>
          <w:b/>
          <w:caps/>
          <w:color w:val="auto"/>
          <w:sz w:val="36"/>
          <w:szCs w:val="36"/>
          <w:highlight w:val="none"/>
        </w:rPr>
      </w:pPr>
    </w:p>
    <w:p>
      <w:pPr>
        <w:spacing w:before="260" w:beforeAutospacing="0" w:after="260" w:afterAutospacing="0" w:line="416" w:lineRule="auto"/>
        <w:outlineLvl w:val="9"/>
        <w:rPr>
          <w:rFonts w:ascii="宋体" w:hAnsi="宋体" w:eastAsia="宋体"/>
          <w:bCs/>
          <w:caps/>
          <w:color w:val="auto"/>
          <w:sz w:val="36"/>
          <w:szCs w:val="36"/>
          <w:highlight w:val="none"/>
        </w:rPr>
      </w:pPr>
    </w:p>
    <w:p>
      <w:pPr>
        <w:snapToGrid w:val="0"/>
        <w:spacing w:beforeAutospacing="0" w:afterAutospacing="0" w:line="360" w:lineRule="auto"/>
        <w:jc w:val="center"/>
        <w:outlineLvl w:val="0"/>
        <w:rPr>
          <w:rFonts w:hint="eastAsia" w:ascii="宋体" w:hAnsi="宋体" w:eastAsia="宋体"/>
          <w:b/>
          <w:bCs/>
          <w:color w:val="auto"/>
          <w:sz w:val="36"/>
          <w:szCs w:val="36"/>
          <w:highlight w:val="none"/>
        </w:rPr>
      </w:pPr>
      <w:bookmarkStart w:id="10" w:name="_Toc25128"/>
      <w:r>
        <w:rPr>
          <w:rFonts w:hint="eastAsia" w:ascii="宋体" w:hAnsi="宋体" w:eastAsia="宋体"/>
          <w:b/>
          <w:bCs/>
          <w:color w:val="auto"/>
          <w:sz w:val="36"/>
          <w:szCs w:val="36"/>
          <w:highlight w:val="none"/>
        </w:rPr>
        <w:t>第一章 竞争性磋商公告</w:t>
      </w:r>
      <w:bookmarkEnd w:id="10"/>
    </w:p>
    <w:bookmarkEnd w:id="5"/>
    <w:bookmarkEnd w:id="6"/>
    <w:bookmarkEnd w:id="7"/>
    <w:bookmarkEnd w:id="8"/>
    <w:bookmarkEnd w:id="9"/>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1"/>
          <w:highlight w:val="none"/>
          <w:lang w:eastAsia="zh-CN"/>
        </w:rPr>
      </w:pPr>
      <w:bookmarkStart w:id="11" w:name="_Toc144974495"/>
      <w:bookmarkStart w:id="12" w:name="_Toc152045527"/>
      <w:bookmarkStart w:id="13" w:name="_Toc2243"/>
      <w:bookmarkStart w:id="14" w:name="_Toc247527551"/>
      <w:bookmarkStart w:id="15" w:name="_Toc247513950"/>
      <w:bookmarkStart w:id="16" w:name="_Toc300834947"/>
      <w:bookmarkStart w:id="17" w:name="_Toc152042303"/>
      <w:bookmarkStart w:id="18" w:name="_Toc136676025"/>
      <w:r>
        <w:rPr>
          <w:rFonts w:hint="eastAsia" w:ascii="宋体" w:hAnsi="宋体"/>
          <w:bCs/>
          <w:color w:val="auto"/>
          <w:kern w:val="0"/>
          <w:sz w:val="24"/>
          <w:szCs w:val="21"/>
          <w:highlight w:val="none"/>
          <w:lang w:eastAsia="zh-CN"/>
        </w:rPr>
        <w:t>河南高誉工程咨询有限公司</w:t>
      </w:r>
      <w:r>
        <w:rPr>
          <w:rFonts w:hint="eastAsia" w:ascii="宋体" w:hAnsi="宋体" w:eastAsia="宋体"/>
          <w:bCs/>
          <w:color w:val="auto"/>
          <w:kern w:val="0"/>
          <w:sz w:val="24"/>
          <w:szCs w:val="21"/>
          <w:highlight w:val="none"/>
        </w:rPr>
        <w:t>受</w:t>
      </w:r>
      <w:r>
        <w:rPr>
          <w:rFonts w:hint="eastAsia" w:ascii="宋体" w:hAnsi="宋体"/>
          <w:bCs/>
          <w:color w:val="auto"/>
          <w:kern w:val="0"/>
          <w:sz w:val="24"/>
          <w:szCs w:val="21"/>
          <w:highlight w:val="none"/>
          <w:lang w:eastAsia="zh-CN"/>
        </w:rPr>
        <w:t>三门峡市生态环境局卢氏分局</w:t>
      </w:r>
      <w:r>
        <w:rPr>
          <w:rFonts w:hint="eastAsia" w:ascii="宋体" w:hAnsi="宋体" w:eastAsia="宋体"/>
          <w:bCs/>
          <w:color w:val="auto"/>
          <w:kern w:val="0"/>
          <w:sz w:val="24"/>
          <w:szCs w:val="21"/>
          <w:highlight w:val="none"/>
        </w:rPr>
        <w:t>的委托</w:t>
      </w:r>
      <w:r>
        <w:rPr>
          <w:rFonts w:hint="eastAsia" w:ascii="宋体" w:hAnsi="宋体"/>
          <w:bCs/>
          <w:color w:val="auto"/>
          <w:kern w:val="0"/>
          <w:sz w:val="24"/>
          <w:szCs w:val="21"/>
          <w:highlight w:val="none"/>
          <w:lang w:eastAsia="zh-CN"/>
        </w:rPr>
        <w:t>，就卢氏县五里川河污泥鉴定项目（</w:t>
      </w:r>
      <w:r>
        <w:rPr>
          <w:rFonts w:hint="eastAsia" w:ascii="宋体" w:hAnsi="宋体"/>
          <w:bCs/>
          <w:color w:val="auto"/>
          <w:kern w:val="0"/>
          <w:sz w:val="24"/>
          <w:szCs w:val="21"/>
          <w:highlight w:val="none"/>
          <w:lang w:val="en-US" w:eastAsia="zh-CN"/>
        </w:rPr>
        <w:t>二次</w:t>
      </w:r>
      <w:r>
        <w:rPr>
          <w:rFonts w:hint="eastAsia" w:ascii="宋体" w:hAnsi="宋体"/>
          <w:bCs/>
          <w:color w:val="auto"/>
          <w:kern w:val="0"/>
          <w:sz w:val="24"/>
          <w:szCs w:val="21"/>
          <w:highlight w:val="none"/>
          <w:lang w:eastAsia="zh-CN"/>
        </w:rPr>
        <w:t>）进行竞争性磋商</w:t>
      </w:r>
      <w:r>
        <w:rPr>
          <w:rFonts w:hint="eastAsia" w:ascii="宋体" w:hAnsi="宋体" w:eastAsia="宋体"/>
          <w:bCs/>
          <w:color w:val="auto"/>
          <w:kern w:val="0"/>
          <w:sz w:val="24"/>
          <w:szCs w:val="21"/>
          <w:highlight w:val="none"/>
        </w:rPr>
        <w:t>，该项目已具备磋商条件,欢迎符合资格条件的供应商参加。</w:t>
      </w:r>
    </w:p>
    <w:p>
      <w:pPr>
        <w:keepNext w:val="0"/>
        <w:keepLines w:val="0"/>
        <w:pageBreakBefore w:val="0"/>
        <w:widowControl w:val="0"/>
        <w:numPr>
          <w:ilvl w:val="0"/>
          <w:numId w:val="1"/>
        </w:numPr>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rPr>
      </w:pPr>
      <w:r>
        <w:rPr>
          <w:rFonts w:hint="eastAsia" w:ascii="宋体" w:hAnsi="宋体" w:eastAsia="宋体"/>
          <w:bCs/>
          <w:color w:val="auto"/>
          <w:sz w:val="24"/>
          <w:szCs w:val="21"/>
          <w:highlight w:val="none"/>
        </w:rPr>
        <w:t>项目概括及磋商范围：</w:t>
      </w:r>
    </w:p>
    <w:p>
      <w:pPr>
        <w:keepNext w:val="0"/>
        <w:keepLines w:val="0"/>
        <w:pageBreakBefore w:val="0"/>
        <w:widowControl w:val="0"/>
        <w:numPr>
          <w:ilvl w:val="0"/>
          <w:numId w:val="0"/>
        </w:numPr>
        <w:kinsoku/>
        <w:overflowPunct/>
        <w:topLinePunct w:val="0"/>
        <w:autoSpaceDE/>
        <w:autoSpaceDN/>
        <w:bidi w:val="0"/>
        <w:adjustRightInd/>
        <w:snapToGrid/>
        <w:spacing w:beforeAutospacing="0" w:afterAutospacing="0" w:line="360" w:lineRule="auto"/>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 xml:space="preserve">    1、采购人：</w:t>
      </w:r>
      <w:r>
        <w:rPr>
          <w:rFonts w:hint="eastAsia" w:ascii="宋体" w:hAnsi="宋体"/>
          <w:bCs/>
          <w:color w:val="auto"/>
          <w:sz w:val="24"/>
          <w:szCs w:val="21"/>
          <w:highlight w:val="none"/>
          <w:lang w:val="en-US" w:eastAsia="zh-CN"/>
        </w:rPr>
        <w:t>三门峡市生态环境局卢氏分局</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2</w:t>
      </w:r>
      <w:r>
        <w:rPr>
          <w:rFonts w:hint="eastAsia" w:ascii="宋体" w:hAnsi="宋体" w:eastAsia="宋体"/>
          <w:bCs/>
          <w:color w:val="auto"/>
          <w:sz w:val="24"/>
          <w:szCs w:val="21"/>
          <w:highlight w:val="none"/>
        </w:rPr>
        <w:t>、项目名称：</w:t>
      </w:r>
      <w:r>
        <w:rPr>
          <w:rFonts w:hint="eastAsia" w:ascii="宋体" w:hAnsi="宋体"/>
          <w:bCs/>
          <w:color w:val="auto"/>
          <w:sz w:val="24"/>
          <w:szCs w:val="21"/>
          <w:highlight w:val="none"/>
          <w:lang w:eastAsia="zh-CN"/>
        </w:rPr>
        <w:t>卢氏县五里川河污泥鉴定项目（</w:t>
      </w:r>
      <w:r>
        <w:rPr>
          <w:rFonts w:hint="eastAsia" w:ascii="宋体" w:hAnsi="宋体"/>
          <w:bCs/>
          <w:color w:val="auto"/>
          <w:sz w:val="24"/>
          <w:szCs w:val="21"/>
          <w:highlight w:val="none"/>
          <w:lang w:val="en-US" w:eastAsia="zh-CN"/>
        </w:rPr>
        <w:t>二次</w:t>
      </w:r>
      <w:r>
        <w:rPr>
          <w:rFonts w:hint="eastAsia" w:ascii="宋体" w:hAnsi="宋体"/>
          <w:bCs/>
          <w:color w:val="auto"/>
          <w:sz w:val="24"/>
          <w:szCs w:val="21"/>
          <w:highlight w:val="none"/>
          <w:lang w:eastAsia="zh-CN"/>
        </w:rPr>
        <w:t>）</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3</w:t>
      </w:r>
      <w:r>
        <w:rPr>
          <w:rFonts w:hint="eastAsia" w:ascii="宋体" w:hAnsi="宋体" w:eastAsia="宋体"/>
          <w:bCs/>
          <w:color w:val="auto"/>
          <w:sz w:val="24"/>
          <w:szCs w:val="21"/>
          <w:highlight w:val="none"/>
        </w:rPr>
        <w:t>、项目编号：</w:t>
      </w:r>
      <w:r>
        <w:rPr>
          <w:rFonts w:hint="eastAsia" w:ascii="宋体" w:hAnsi="宋体"/>
          <w:bCs/>
          <w:color w:val="auto"/>
          <w:sz w:val="24"/>
          <w:szCs w:val="21"/>
          <w:highlight w:val="none"/>
          <w:lang w:val="en-US" w:eastAsia="zh-CN"/>
        </w:rPr>
        <w:t>三卢竞磋采购-2025-114、LSGZ[2025]343-ZC197</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4</w:t>
      </w:r>
      <w:r>
        <w:rPr>
          <w:rFonts w:hint="eastAsia" w:ascii="宋体" w:hAnsi="宋体" w:eastAsia="宋体"/>
          <w:bCs/>
          <w:color w:val="auto"/>
          <w:sz w:val="24"/>
          <w:szCs w:val="21"/>
          <w:highlight w:val="none"/>
        </w:rPr>
        <w:t>、服务内容：</w:t>
      </w:r>
      <w:r>
        <w:rPr>
          <w:rFonts w:hint="eastAsia" w:ascii="宋体" w:hAnsi="宋体"/>
          <w:bCs/>
          <w:color w:val="auto"/>
          <w:sz w:val="24"/>
          <w:szCs w:val="21"/>
          <w:highlight w:val="none"/>
          <w:lang w:eastAsia="zh-CN"/>
        </w:rPr>
        <w:t>主要内容为</w:t>
      </w:r>
      <w:r>
        <w:rPr>
          <w:rFonts w:hint="eastAsia" w:ascii="宋体" w:hAnsi="宋体"/>
          <w:color w:val="auto"/>
          <w:sz w:val="24"/>
          <w:szCs w:val="24"/>
          <w:highlight w:val="none"/>
          <w:lang w:eastAsia="zh-CN"/>
        </w:rPr>
        <w:t>完成指定的污泥进行类别鉴定，出具鉴定报告，并通过专家评审</w:t>
      </w:r>
      <w:r>
        <w:rPr>
          <w:rFonts w:hint="eastAsia" w:ascii="宋体" w:hAnsi="宋体"/>
          <w:bCs/>
          <w:color w:val="auto"/>
          <w:sz w:val="24"/>
          <w:szCs w:val="21"/>
          <w:highlight w:val="none"/>
          <w:lang w:eastAsia="zh-CN"/>
        </w:rPr>
        <w:t>。</w:t>
      </w:r>
      <w:r>
        <w:rPr>
          <w:rFonts w:hint="eastAsia" w:ascii="宋体" w:hAnsi="宋体"/>
          <w:bCs/>
          <w:color w:val="auto"/>
          <w:sz w:val="24"/>
          <w:szCs w:val="21"/>
          <w:highlight w:val="none"/>
          <w:lang w:val="en-US" w:eastAsia="zh-CN"/>
        </w:rPr>
        <w:t>(具体内容详见第三章)</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1"/>
          <w:highlight w:val="none"/>
          <w:lang w:val="en-US" w:eastAsia="zh-CN"/>
        </w:rPr>
      </w:pPr>
      <w:r>
        <w:rPr>
          <w:rFonts w:hint="eastAsia" w:ascii="宋体" w:hAnsi="宋体" w:eastAsia="宋体"/>
          <w:bCs/>
          <w:color w:val="auto"/>
          <w:kern w:val="0"/>
          <w:sz w:val="24"/>
          <w:szCs w:val="21"/>
          <w:highlight w:val="none"/>
          <w:lang w:val="en-US" w:eastAsia="zh-CN"/>
        </w:rPr>
        <w:t>5</w:t>
      </w:r>
      <w:r>
        <w:rPr>
          <w:rFonts w:hint="eastAsia" w:ascii="宋体" w:hAnsi="宋体" w:eastAsia="宋体"/>
          <w:bCs/>
          <w:color w:val="auto"/>
          <w:kern w:val="0"/>
          <w:sz w:val="24"/>
          <w:szCs w:val="21"/>
          <w:highlight w:val="none"/>
        </w:rPr>
        <w:t>、</w:t>
      </w:r>
      <w:r>
        <w:rPr>
          <w:rFonts w:hint="eastAsia" w:ascii="宋体" w:hAnsi="宋体" w:eastAsia="宋体"/>
          <w:bCs/>
          <w:color w:val="auto"/>
          <w:kern w:val="0"/>
          <w:sz w:val="24"/>
          <w:szCs w:val="21"/>
          <w:highlight w:val="none"/>
          <w:lang w:val="en-US" w:eastAsia="zh-CN"/>
        </w:rPr>
        <w:t>采购预算</w:t>
      </w:r>
      <w:r>
        <w:rPr>
          <w:rFonts w:hint="eastAsia" w:ascii="宋体" w:hAnsi="宋体" w:eastAsia="宋体"/>
          <w:bCs/>
          <w:color w:val="auto"/>
          <w:kern w:val="0"/>
          <w:sz w:val="24"/>
          <w:szCs w:val="21"/>
          <w:highlight w:val="none"/>
        </w:rPr>
        <w:t>：</w:t>
      </w:r>
      <w:r>
        <w:rPr>
          <w:rFonts w:hint="eastAsia" w:ascii="宋体" w:hAnsi="宋体"/>
          <w:color w:val="auto"/>
          <w:sz w:val="24"/>
          <w:szCs w:val="32"/>
          <w:highlight w:val="none"/>
          <w:lang w:val="en-US" w:eastAsia="zh-CN"/>
        </w:rPr>
        <w:t>551000.00</w:t>
      </w:r>
      <w:r>
        <w:rPr>
          <w:rFonts w:hint="eastAsia" w:ascii="宋体" w:hAnsi="宋体"/>
          <w:color w:val="auto"/>
          <w:sz w:val="24"/>
          <w:szCs w:val="32"/>
          <w:highlight w:val="none"/>
        </w:rPr>
        <w:t>元</w:t>
      </w:r>
    </w:p>
    <w:p>
      <w:pPr>
        <w:keepNext w:val="0"/>
        <w:keepLines w:val="0"/>
        <w:pageBreakBefore w:val="0"/>
        <w:widowControl w:val="0"/>
        <w:tabs>
          <w:tab w:val="center" w:pos="5255"/>
        </w:tabs>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6</w:t>
      </w:r>
      <w:r>
        <w:rPr>
          <w:rFonts w:hint="eastAsia" w:ascii="宋体" w:hAnsi="宋体" w:eastAsia="宋体"/>
          <w:bCs/>
          <w:color w:val="auto"/>
          <w:sz w:val="24"/>
          <w:szCs w:val="21"/>
          <w:highlight w:val="none"/>
        </w:rPr>
        <w:t>、资金来源：财政资金，已落实。</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7</w:t>
      </w:r>
      <w:r>
        <w:rPr>
          <w:rFonts w:hint="eastAsia" w:ascii="宋体" w:hAnsi="宋体" w:eastAsia="宋体"/>
          <w:bCs/>
          <w:color w:val="auto"/>
          <w:sz w:val="24"/>
          <w:szCs w:val="21"/>
          <w:highlight w:val="none"/>
        </w:rPr>
        <w:t>、标段划分：一个标段。</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8</w:t>
      </w:r>
      <w:r>
        <w:rPr>
          <w:rFonts w:hint="eastAsia" w:ascii="宋体" w:hAnsi="宋体" w:eastAsia="宋体"/>
          <w:bCs/>
          <w:color w:val="auto"/>
          <w:sz w:val="24"/>
          <w:szCs w:val="21"/>
          <w:highlight w:val="none"/>
        </w:rPr>
        <w:t>、质量要求：</w:t>
      </w:r>
      <w:r>
        <w:rPr>
          <w:rFonts w:hint="eastAsia" w:ascii="宋体" w:hAnsi="宋体" w:eastAsia="宋体"/>
          <w:bCs/>
          <w:color w:val="auto"/>
          <w:sz w:val="24"/>
          <w:szCs w:val="21"/>
          <w:highlight w:val="none"/>
          <w:lang w:eastAsia="zh-CN"/>
        </w:rPr>
        <w:t>符合国家相关技术规范和质控要求</w:t>
      </w:r>
      <w:r>
        <w:rPr>
          <w:rFonts w:hint="eastAsia" w:ascii="宋体" w:hAnsi="宋体"/>
          <w:bCs/>
          <w:color w:val="auto"/>
          <w:sz w:val="24"/>
          <w:szCs w:val="21"/>
          <w:highlight w:val="none"/>
          <w:lang w:eastAsia="zh-CN"/>
        </w:rPr>
        <w:t>。</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bCs/>
          <w:color w:val="auto"/>
          <w:sz w:val="24"/>
          <w:szCs w:val="21"/>
          <w:highlight w:val="none"/>
          <w:lang w:val="en-US" w:eastAsia="zh-CN"/>
        </w:rPr>
      </w:pPr>
      <w:r>
        <w:rPr>
          <w:rFonts w:hint="eastAsia" w:ascii="宋体" w:hAnsi="宋体"/>
          <w:bCs/>
          <w:color w:val="auto"/>
          <w:sz w:val="24"/>
          <w:szCs w:val="21"/>
          <w:highlight w:val="none"/>
          <w:lang w:val="en-US" w:eastAsia="zh-CN"/>
        </w:rPr>
        <w:t>9</w:t>
      </w:r>
      <w:r>
        <w:rPr>
          <w:rFonts w:hint="eastAsia" w:ascii="宋体" w:hAnsi="宋体"/>
          <w:bCs/>
          <w:color w:val="auto"/>
          <w:sz w:val="24"/>
          <w:szCs w:val="21"/>
          <w:highlight w:val="none"/>
        </w:rPr>
        <w:t>、服务周期：</w:t>
      </w:r>
      <w:r>
        <w:rPr>
          <w:rFonts w:hint="eastAsia" w:ascii="宋体" w:hAnsi="宋体"/>
          <w:bCs/>
          <w:color w:val="auto"/>
          <w:sz w:val="24"/>
          <w:szCs w:val="21"/>
          <w:highlight w:val="none"/>
          <w:lang w:val="en-US" w:eastAsia="zh-CN"/>
        </w:rPr>
        <w:t xml:space="preserve"> </w:t>
      </w:r>
      <w:r>
        <w:rPr>
          <w:rFonts w:hint="eastAsia" w:ascii="宋体" w:hAnsi="宋体" w:eastAsia="宋体" w:cs="宋体"/>
          <w:color w:val="auto"/>
          <w:kern w:val="0"/>
          <w:sz w:val="24"/>
          <w:szCs w:val="24"/>
          <w:highlight w:val="none"/>
        </w:rPr>
        <w:t>合同签订后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日历天内完成</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10、项目地点：卢氏县境内。</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zh-CN" w:eastAsia="zh-CN"/>
        </w:rPr>
        <w:t>11、</w:t>
      </w:r>
      <w:r>
        <w:rPr>
          <w:rFonts w:hint="eastAsia" w:ascii="宋体" w:hAnsi="宋体" w:eastAsia="宋体"/>
          <w:bCs/>
          <w:color w:val="auto"/>
          <w:sz w:val="24"/>
          <w:szCs w:val="21"/>
          <w:highlight w:val="none"/>
          <w:lang w:val="en-US" w:eastAsia="zh-CN"/>
        </w:rPr>
        <w:t>是否接受进口产品：否</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rPr>
      </w:pPr>
      <w:r>
        <w:rPr>
          <w:rFonts w:hint="eastAsia" w:ascii="宋体" w:hAnsi="宋体" w:eastAsia="宋体"/>
          <w:bCs/>
          <w:color w:val="auto"/>
          <w:sz w:val="24"/>
          <w:szCs w:val="21"/>
          <w:highlight w:val="none"/>
        </w:rPr>
        <w:t>二、供应商资格要求：</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after="0" w:line="520" w:lineRule="exact"/>
        <w:ind w:leftChars="0" w:firstLine="480" w:firstLineChars="200"/>
        <w:textAlignment w:val="auto"/>
        <w:rPr>
          <w:rFonts w:hint="eastAsia"/>
          <w:color w:val="auto"/>
          <w:sz w:val="24"/>
          <w:szCs w:val="24"/>
          <w:highlight w:val="none"/>
        </w:rPr>
      </w:pPr>
      <w:r>
        <w:rPr>
          <w:rFonts w:hint="eastAsia"/>
          <w:color w:val="auto"/>
          <w:sz w:val="24"/>
          <w:szCs w:val="24"/>
          <w:highlight w:val="none"/>
          <w:lang w:eastAsia="zh-CN"/>
        </w:rPr>
        <w:t>（一）</w:t>
      </w:r>
      <w:r>
        <w:rPr>
          <w:rFonts w:hint="eastAsia"/>
          <w:color w:val="auto"/>
          <w:sz w:val="24"/>
          <w:szCs w:val="24"/>
          <w:highlight w:val="none"/>
          <w:lang w:val="en-US" w:eastAsia="zh-CN"/>
        </w:rPr>
        <w:t>落实政府采购政策满足的资格要求：本项目执行促进中小型企业发展政策（残疾人福利性企业、监狱企业视同小微企业）、优先采购节能环保产品等政府采购政策。</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rPr>
      </w:pPr>
      <w:r>
        <w:rPr>
          <w:rFonts w:hint="eastAsia"/>
          <w:color w:val="auto"/>
          <w:sz w:val="24"/>
          <w:szCs w:val="24"/>
          <w:highlight w:val="none"/>
          <w:lang w:val="en-US" w:eastAsia="zh-CN"/>
        </w:rPr>
        <w:t>（二）</w:t>
      </w:r>
      <w:r>
        <w:rPr>
          <w:rFonts w:hint="eastAsia" w:ascii="宋体" w:hAnsi="宋体" w:eastAsia="宋体"/>
          <w:bCs/>
          <w:color w:val="auto"/>
          <w:sz w:val="24"/>
          <w:szCs w:val="21"/>
          <w:highlight w:val="none"/>
        </w:rPr>
        <w:t>供应商参加本次政府采购活动必须符合《中华人民共和国政府采购法》第二十二条的规定并同时具备下列条件：</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1、供应商必须是在中华人民共和国境内注册的能够独立承担民事责任的独立法人或其他组织，具有有效的营业执照或事业单位法人证书；</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2、具有省级及以上质量技术监督部门颁发的检验检测机构资质认定证书；</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3、具有履行本项目采购内容所必须的设备和专业技术服务能力（提供承诺书或证明材料，格式自拟）；</w:t>
      </w:r>
    </w:p>
    <w:p>
      <w:pPr>
        <w:spacing w:line="360" w:lineRule="auto"/>
        <w:ind w:firstLine="480" w:firstLineChars="200"/>
        <w:rPr>
          <w:rFonts w:hint="eastAsia" w:ascii="宋体" w:hAnsi="宋体" w:eastAsia="宋体"/>
          <w:bCs/>
          <w:color w:val="auto"/>
          <w:sz w:val="24"/>
          <w:szCs w:val="21"/>
          <w:highlight w:val="none"/>
        </w:rPr>
      </w:pPr>
      <w:r>
        <w:rPr>
          <w:rFonts w:hint="eastAsia" w:ascii="宋体" w:hAnsi="宋体"/>
          <w:bCs/>
          <w:color w:val="auto"/>
          <w:sz w:val="24"/>
          <w:szCs w:val="21"/>
          <w:highlight w:val="none"/>
          <w:lang w:val="en-US" w:eastAsia="zh-CN"/>
        </w:rPr>
        <w:t>4</w:t>
      </w:r>
      <w:r>
        <w:rPr>
          <w:rFonts w:hint="eastAsia" w:ascii="宋体" w:hAnsi="宋体" w:eastAsia="宋体"/>
          <w:bCs/>
          <w:color w:val="auto"/>
          <w:sz w:val="24"/>
          <w:szCs w:val="21"/>
          <w:highlight w:val="none"/>
        </w:rPr>
        <w:t>、</w:t>
      </w:r>
      <w:r>
        <w:rPr>
          <w:rFonts w:hint="eastAsia" w:ascii="宋体" w:hAnsi="宋体"/>
          <w:bCs/>
          <w:color w:val="auto"/>
          <w:sz w:val="24"/>
          <w:szCs w:val="21"/>
          <w:highlight w:val="none"/>
          <w:lang w:val="en-US" w:eastAsia="zh-CN"/>
        </w:rPr>
        <w:t>具有良好的商业信誉和健全的财务会计制度，提供近三年任意一年度财务审计报告（成立不足一年，可以提供近期财务报表）；</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both"/>
        <w:textAlignment w:val="baseline"/>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5</w:t>
      </w:r>
      <w:r>
        <w:rPr>
          <w:rFonts w:hint="eastAsia" w:ascii="宋体" w:hAnsi="宋体" w:eastAsia="宋体"/>
          <w:bCs/>
          <w:color w:val="auto"/>
          <w:sz w:val="24"/>
          <w:szCs w:val="21"/>
          <w:highlight w:val="none"/>
        </w:rPr>
        <w:t>、</w:t>
      </w:r>
      <w:r>
        <w:rPr>
          <w:rFonts w:hint="eastAsia"/>
          <w:bCs/>
          <w:color w:val="auto"/>
          <w:sz w:val="24"/>
          <w:szCs w:val="24"/>
          <w:highlight w:val="none"/>
          <w:lang w:val="en-US"/>
        </w:rPr>
        <w:t>须提供企业近半年任意连续三个月依法缴纳税收的证明资料（新成立的企业从成立之日起计算）主要是指缴纳增值税或企业所得税或企业附加税的缴费证明，依法免税的投标响应人，应提供相应文件证明其依法免税；同时需提供</w:t>
      </w:r>
      <w:r>
        <w:rPr>
          <w:rFonts w:hint="eastAsia" w:asciiTheme="minorEastAsia" w:hAnsiTheme="minorEastAsia" w:eastAsiaTheme="minorEastAsia" w:cstheme="minorEastAsia"/>
          <w:bCs/>
          <w:color w:val="auto"/>
          <w:sz w:val="24"/>
          <w:szCs w:val="24"/>
          <w:highlight w:val="none"/>
        </w:rPr>
        <w:t>项目负责人</w:t>
      </w:r>
      <w:r>
        <w:rPr>
          <w:rFonts w:hint="eastAsia"/>
          <w:bCs/>
          <w:color w:val="auto"/>
          <w:sz w:val="24"/>
          <w:szCs w:val="24"/>
          <w:highlight w:val="none"/>
          <w:lang w:val="en-US"/>
        </w:rPr>
        <w:t>近半年任意连续三个月参加社会养老保险的缴费证明（新成立企业从成立之日起计算）</w:t>
      </w:r>
      <w:r>
        <w:rPr>
          <w:rFonts w:hint="eastAsia" w:ascii="宋体" w:hAnsi="宋体"/>
          <w:bCs/>
          <w:color w:val="auto"/>
          <w:sz w:val="24"/>
          <w:szCs w:val="21"/>
          <w:highlight w:val="none"/>
          <w:lang w:eastAsia="zh-CN"/>
        </w:rPr>
        <w:t>；</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6</w:t>
      </w:r>
      <w:r>
        <w:rPr>
          <w:rFonts w:hint="eastAsia" w:ascii="宋体" w:hAnsi="宋体" w:eastAsia="宋体"/>
          <w:bCs/>
          <w:color w:val="auto"/>
          <w:sz w:val="24"/>
          <w:szCs w:val="21"/>
          <w:highlight w:val="none"/>
        </w:rPr>
        <w:t>、参加政府采购活动前3年内无行贿犯罪记录商业贿赂、不正当竞争行为、骗取中标、严重违约及重大工程质量等问题；开标时提供投标企业出具无行贿犯罪记录在中国裁判文书网自行查询或自行承诺（查询对象为企业、法定代表人）及企业注册地工商管理部门出具的无商业贿赂和不正当竞争证明（开具时间在有效期内），若当地工商管理部门不办理此项业务，供应商须自行出具本企业无商业贿赂和不正当竞争行为承诺书；</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7</w:t>
      </w:r>
      <w:r>
        <w:rPr>
          <w:rFonts w:hint="eastAsia" w:ascii="宋体" w:hAnsi="宋体" w:eastAsia="宋体"/>
          <w:bCs/>
          <w:color w:val="auto"/>
          <w:sz w:val="24"/>
          <w:szCs w:val="21"/>
          <w:highlight w:val="none"/>
          <w:lang w:val="en-US" w:eastAsia="zh-CN"/>
        </w:rPr>
        <w:t>、根据《关于在政府采购活动中查询及使用信用记录有关问题的通知》(财库[2016]125</w:t>
      </w:r>
      <w:r>
        <w:rPr>
          <w:rFonts w:hint="eastAsia"/>
          <w:b w:val="0"/>
          <w:bCs/>
          <w:color w:val="auto"/>
          <w:sz w:val="24"/>
          <w:szCs w:val="24"/>
          <w:highlight w:val="none"/>
        </w:rPr>
        <w:t>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信息截图或打印页，查询结果清晰可见)；</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lang w:val="en-US" w:eastAsia="zh-CN"/>
        </w:rPr>
      </w:pPr>
      <w:r>
        <w:rPr>
          <w:rFonts w:hint="eastAsia" w:ascii="宋体" w:hAnsi="宋体" w:cstheme="minorBidi"/>
          <w:bCs/>
          <w:color w:val="auto"/>
          <w:sz w:val="24"/>
          <w:szCs w:val="21"/>
          <w:highlight w:val="none"/>
          <w:lang w:val="en-US" w:eastAsia="zh-CN"/>
        </w:rPr>
        <w:t>8</w:t>
      </w:r>
      <w:r>
        <w:rPr>
          <w:rFonts w:hint="eastAsia" w:ascii="宋体" w:hAnsi="宋体" w:eastAsia="宋体" w:cstheme="minorBidi"/>
          <w:bCs/>
          <w:color w:val="auto"/>
          <w:sz w:val="24"/>
          <w:szCs w:val="21"/>
          <w:highlight w:val="none"/>
        </w:rPr>
        <w:t>、本次磋商不接受联合体投标；</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rPr>
      </w:pPr>
      <w:r>
        <w:rPr>
          <w:rFonts w:hint="eastAsia" w:ascii="宋体" w:hAnsi="宋体"/>
          <w:bCs/>
          <w:color w:val="auto"/>
          <w:sz w:val="24"/>
          <w:szCs w:val="21"/>
          <w:highlight w:val="none"/>
          <w:lang w:val="en-US" w:eastAsia="zh-CN"/>
        </w:rPr>
        <w:t>9</w:t>
      </w:r>
      <w:r>
        <w:rPr>
          <w:rFonts w:hint="eastAsia" w:ascii="宋体" w:hAnsi="宋体" w:eastAsia="宋体"/>
          <w:bCs/>
          <w:color w:val="auto"/>
          <w:sz w:val="24"/>
          <w:szCs w:val="21"/>
          <w:highlight w:val="none"/>
        </w:rPr>
        <w:t>、本次磋商实行资格后审。</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cs="宋体"/>
          <w:bCs/>
          <w:color w:val="auto"/>
          <w:sz w:val="24"/>
          <w:szCs w:val="21"/>
          <w:highlight w:val="none"/>
        </w:rPr>
        <w:t>注：被列入失信被执行人及重大税收违法失信主体的企业做无效标处理。采购人或采购代理机构有权对供应商信用记录进行甄别和复查。</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三、报名及磋商文件的获取方式：</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1、本项目没有报名环节，投标人凭CA数字证书通过三门峡市公共资源交易中心网（网址：http://www.smxgzjy.org），点击交易平台选择“交易主体登录”，在所参与项目右侧点击参与投标，即可直接下载本项目招标文件（招标文件中包含清单等投标所需一切内容）。</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2、文件下载时间：202</w:t>
      </w:r>
      <w:r>
        <w:rPr>
          <w:rFonts w:hint="eastAsia" w:ascii="宋体" w:hAnsi="宋体" w:cstheme="minorBidi"/>
          <w:bCs/>
          <w:color w:val="auto"/>
          <w:sz w:val="24"/>
          <w:szCs w:val="21"/>
          <w:highlight w:val="none"/>
          <w:lang w:val="en-US" w:eastAsia="zh-CN"/>
        </w:rPr>
        <w:t>5</w:t>
      </w:r>
      <w:r>
        <w:rPr>
          <w:rFonts w:hint="eastAsia" w:ascii="宋体" w:hAnsi="宋体" w:eastAsia="宋体" w:cstheme="minorBidi"/>
          <w:bCs/>
          <w:color w:val="auto"/>
          <w:sz w:val="24"/>
          <w:szCs w:val="21"/>
          <w:highlight w:val="none"/>
        </w:rPr>
        <w:t>年</w:t>
      </w:r>
      <w:r>
        <w:rPr>
          <w:rFonts w:hint="eastAsia" w:ascii="宋体" w:hAnsi="宋体" w:cstheme="minorBidi"/>
          <w:bCs/>
          <w:color w:val="auto"/>
          <w:sz w:val="24"/>
          <w:szCs w:val="21"/>
          <w:highlight w:val="none"/>
          <w:lang w:val="en-US" w:eastAsia="zh-CN"/>
        </w:rPr>
        <w:t>11</w:t>
      </w:r>
      <w:r>
        <w:rPr>
          <w:rFonts w:hint="eastAsia" w:ascii="宋体" w:hAnsi="宋体" w:eastAsia="宋体" w:cstheme="minorBidi"/>
          <w:bCs/>
          <w:color w:val="auto"/>
          <w:sz w:val="24"/>
          <w:szCs w:val="21"/>
          <w:highlight w:val="none"/>
        </w:rPr>
        <w:t>月</w:t>
      </w:r>
      <w:r>
        <w:rPr>
          <w:rFonts w:hint="eastAsia" w:ascii="宋体" w:hAnsi="宋体" w:cstheme="minorBidi"/>
          <w:bCs/>
          <w:color w:val="auto"/>
          <w:sz w:val="24"/>
          <w:szCs w:val="21"/>
          <w:highlight w:val="none"/>
          <w:lang w:val="en-US" w:eastAsia="zh-CN"/>
        </w:rPr>
        <w:t>22</w:t>
      </w:r>
      <w:r>
        <w:rPr>
          <w:rFonts w:hint="eastAsia" w:ascii="宋体" w:hAnsi="宋体" w:eastAsia="宋体" w:cstheme="minorBidi"/>
          <w:bCs/>
          <w:color w:val="auto"/>
          <w:sz w:val="24"/>
          <w:szCs w:val="21"/>
          <w:highlight w:val="none"/>
        </w:rPr>
        <w:t>日08时00分至</w:t>
      </w:r>
      <w:r>
        <w:rPr>
          <w:rFonts w:hint="eastAsia" w:ascii="宋体" w:hAnsi="宋体" w:cstheme="minorBidi"/>
          <w:bCs/>
          <w:color w:val="auto"/>
          <w:sz w:val="24"/>
          <w:szCs w:val="21"/>
          <w:highlight w:val="none"/>
          <w:lang w:eastAsia="zh-CN"/>
        </w:rPr>
        <w:t>202</w:t>
      </w:r>
      <w:r>
        <w:rPr>
          <w:rFonts w:hint="eastAsia" w:ascii="宋体" w:hAnsi="宋体" w:cstheme="minorBidi"/>
          <w:bCs/>
          <w:color w:val="auto"/>
          <w:sz w:val="24"/>
          <w:szCs w:val="21"/>
          <w:highlight w:val="none"/>
          <w:lang w:val="en-US" w:eastAsia="zh-CN"/>
        </w:rPr>
        <w:t>5</w:t>
      </w:r>
      <w:r>
        <w:rPr>
          <w:rFonts w:hint="eastAsia" w:ascii="宋体" w:hAnsi="宋体" w:cstheme="minorBidi"/>
          <w:bCs/>
          <w:color w:val="auto"/>
          <w:sz w:val="24"/>
          <w:szCs w:val="21"/>
          <w:highlight w:val="none"/>
          <w:lang w:eastAsia="zh-CN"/>
        </w:rPr>
        <w:t>年</w:t>
      </w:r>
      <w:r>
        <w:rPr>
          <w:rFonts w:hint="eastAsia" w:ascii="宋体" w:hAnsi="宋体" w:cstheme="minorBidi"/>
          <w:bCs/>
          <w:color w:val="auto"/>
          <w:sz w:val="24"/>
          <w:szCs w:val="21"/>
          <w:highlight w:val="none"/>
          <w:lang w:val="en-US" w:eastAsia="zh-CN"/>
        </w:rPr>
        <w:t>12</w:t>
      </w:r>
      <w:r>
        <w:rPr>
          <w:rFonts w:hint="eastAsia" w:ascii="宋体" w:hAnsi="宋体" w:cstheme="minorBidi"/>
          <w:bCs/>
          <w:color w:val="auto"/>
          <w:sz w:val="24"/>
          <w:szCs w:val="21"/>
          <w:highlight w:val="none"/>
          <w:lang w:eastAsia="zh-CN"/>
        </w:rPr>
        <w:t>月</w:t>
      </w:r>
      <w:r>
        <w:rPr>
          <w:rFonts w:hint="eastAsia" w:ascii="宋体" w:hAnsi="宋体" w:cstheme="minorBidi"/>
          <w:bCs/>
          <w:color w:val="auto"/>
          <w:sz w:val="24"/>
          <w:szCs w:val="21"/>
          <w:highlight w:val="none"/>
          <w:lang w:val="en-US" w:eastAsia="zh-CN"/>
        </w:rPr>
        <w:t>05</w:t>
      </w:r>
      <w:r>
        <w:rPr>
          <w:rFonts w:hint="eastAsia" w:ascii="宋体" w:hAnsi="宋体" w:cstheme="minorBidi"/>
          <w:bCs/>
          <w:color w:val="auto"/>
          <w:sz w:val="24"/>
          <w:szCs w:val="21"/>
          <w:highlight w:val="none"/>
          <w:lang w:eastAsia="zh-CN"/>
        </w:rPr>
        <w:t>日</w:t>
      </w:r>
      <w:r>
        <w:rPr>
          <w:rFonts w:hint="eastAsia" w:ascii="宋体" w:hAnsi="宋体" w:eastAsia="宋体" w:cstheme="minorBidi"/>
          <w:bCs/>
          <w:color w:val="auto"/>
          <w:sz w:val="24"/>
          <w:szCs w:val="21"/>
          <w:highlight w:val="none"/>
        </w:rPr>
        <w:t>08时40分；</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4、本项目为全电子招标，不再收取磋商文件费用。</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四、供应商资料的提交</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lang w:val="en-US" w:eastAsia="en-US"/>
        </w:rPr>
      </w:pPr>
      <w:r>
        <w:rPr>
          <w:rFonts w:hint="eastAsia" w:ascii="宋体" w:hAnsi="宋体" w:eastAsia="宋体"/>
          <w:b w:val="0"/>
          <w:bCs w:val="0"/>
          <w:color w:val="auto"/>
          <w:sz w:val="24"/>
          <w:szCs w:val="24"/>
          <w:highlight w:val="none"/>
          <w:lang w:val="en-US" w:eastAsia="en-US"/>
        </w:rPr>
        <w:t>本项目实行资格后审，审查内容以投标截止时间前在三门峡市公共资源交易</w:t>
      </w:r>
      <w:r>
        <w:rPr>
          <w:rFonts w:hint="eastAsia" w:ascii="宋体" w:hAnsi="宋体" w:eastAsia="宋体"/>
          <w:b w:val="0"/>
          <w:bCs w:val="0"/>
          <w:color w:val="auto"/>
          <w:sz w:val="24"/>
          <w:szCs w:val="24"/>
          <w:highlight w:val="none"/>
          <w:lang w:val="en-US" w:eastAsia="zh-CN"/>
        </w:rPr>
        <w:t>中心网提交投标文件</w:t>
      </w:r>
      <w:r>
        <w:rPr>
          <w:rFonts w:hint="eastAsia" w:ascii="宋体" w:hAnsi="宋体" w:eastAsia="宋体"/>
          <w:b w:val="0"/>
          <w:bCs w:val="0"/>
          <w:color w:val="auto"/>
          <w:sz w:val="24"/>
          <w:szCs w:val="24"/>
          <w:highlight w:val="none"/>
          <w:lang w:val="en-US" w:eastAsia="en-US"/>
        </w:rPr>
        <w:t>的信息为准。其上传资料真实性由投标人自行承担</w:t>
      </w:r>
      <w:r>
        <w:rPr>
          <w:rFonts w:hint="eastAsia" w:ascii="宋体" w:hAnsi="宋体" w:eastAsia="宋体"/>
          <w:b w:val="0"/>
          <w:bCs w:val="0"/>
          <w:color w:val="auto"/>
          <w:sz w:val="24"/>
          <w:szCs w:val="24"/>
          <w:highlight w:val="none"/>
          <w:lang w:val="en-US" w:eastAsia="zh-CN"/>
        </w:rPr>
        <w:t>，同时，投标人要完善主体库</w:t>
      </w:r>
      <w:r>
        <w:rPr>
          <w:rFonts w:hint="eastAsia" w:ascii="宋体" w:hAnsi="宋体" w:eastAsia="宋体"/>
          <w:b w:val="0"/>
          <w:bCs w:val="0"/>
          <w:color w:val="auto"/>
          <w:sz w:val="24"/>
          <w:szCs w:val="24"/>
          <w:highlight w:val="none"/>
          <w:lang w:val="en-US" w:eastAsia="en-US"/>
        </w:rPr>
        <w:t>。原件扫描件清晰可辨。否则，由此造成应得分而未得分或资格审查不合格等情况的，由投标人承担责任。</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lang w:val="en-US" w:eastAsia="en-US"/>
        </w:rPr>
      </w:pPr>
      <w:r>
        <w:rPr>
          <w:rFonts w:hint="eastAsia" w:ascii="宋体" w:hAnsi="宋体" w:eastAsia="宋体"/>
          <w:b w:val="0"/>
          <w:bCs w:val="0"/>
          <w:color w:val="auto"/>
          <w:sz w:val="24"/>
          <w:szCs w:val="24"/>
          <w:highlight w:val="none"/>
          <w:lang w:val="en-US" w:eastAsia="en-US"/>
        </w:rPr>
        <w:t>温馨提示：本项目为电子化、无纸化交易项目，开标时不再接受任何纸质资料，为保证您能开标成功，请需仔细阅读</w:t>
      </w:r>
      <w:r>
        <w:rPr>
          <w:rFonts w:hint="eastAsia" w:ascii="宋体" w:hAnsi="宋体" w:eastAsia="宋体"/>
          <w:b w:val="0"/>
          <w:bCs w:val="0"/>
          <w:color w:val="auto"/>
          <w:sz w:val="24"/>
          <w:szCs w:val="24"/>
          <w:highlight w:val="none"/>
          <w:lang w:val="en-US" w:eastAsia="zh-CN"/>
        </w:rPr>
        <w:t>招标文件</w:t>
      </w:r>
      <w:r>
        <w:rPr>
          <w:rFonts w:hint="eastAsia" w:ascii="宋体" w:hAnsi="宋体" w:eastAsia="宋体"/>
          <w:b w:val="0"/>
          <w:bCs w:val="0"/>
          <w:color w:val="auto"/>
          <w:sz w:val="24"/>
          <w:szCs w:val="24"/>
          <w:highlight w:val="none"/>
          <w:lang w:val="en-US" w:eastAsia="en-US"/>
        </w:rPr>
        <w:t>和三门峡市公共资源交易中心官网业务办理指南。</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五、投标保证金</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按照《河南省财政厅关于优化政府采购营商环境有关问题的通知》（豫财购[2019]4号文）的要求本项目不再收取投标保证金。</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六、磋商文件的递交</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1、磋商文件递交的截止时间（开标时间）为202</w:t>
      </w:r>
      <w:r>
        <w:rPr>
          <w:rFonts w:hint="eastAsia" w:ascii="宋体" w:hAnsi="宋体"/>
          <w:bCs/>
          <w:color w:val="auto"/>
          <w:sz w:val="24"/>
          <w:szCs w:val="24"/>
          <w:highlight w:val="none"/>
          <w:lang w:val="en-US" w:eastAsia="zh-CN"/>
        </w:rPr>
        <w:t>5</w:t>
      </w:r>
      <w:r>
        <w:rPr>
          <w:rFonts w:hint="eastAsia" w:ascii="宋体" w:hAnsi="宋体" w:eastAsia="宋体"/>
          <w:bCs/>
          <w:color w:val="auto"/>
          <w:sz w:val="24"/>
          <w:szCs w:val="24"/>
          <w:highlight w:val="none"/>
        </w:rPr>
        <w:t>年</w:t>
      </w:r>
      <w:r>
        <w:rPr>
          <w:rFonts w:hint="eastAsia" w:ascii="宋体" w:hAnsi="宋体"/>
          <w:bCs/>
          <w:color w:val="auto"/>
          <w:sz w:val="24"/>
          <w:szCs w:val="24"/>
          <w:highlight w:val="none"/>
          <w:lang w:val="en-US" w:eastAsia="zh-CN"/>
        </w:rPr>
        <w:t>12</w:t>
      </w:r>
      <w:r>
        <w:rPr>
          <w:rFonts w:hint="eastAsia" w:ascii="宋体" w:hAnsi="宋体" w:eastAsia="宋体"/>
          <w:bCs/>
          <w:color w:val="auto"/>
          <w:sz w:val="24"/>
          <w:szCs w:val="24"/>
          <w:highlight w:val="none"/>
        </w:rPr>
        <w:t>月</w:t>
      </w:r>
      <w:r>
        <w:rPr>
          <w:rFonts w:hint="eastAsia" w:ascii="宋体" w:hAnsi="宋体"/>
          <w:bCs/>
          <w:color w:val="auto"/>
          <w:sz w:val="24"/>
          <w:szCs w:val="24"/>
          <w:highlight w:val="none"/>
          <w:lang w:val="en-US" w:eastAsia="zh-CN"/>
        </w:rPr>
        <w:t>05</w:t>
      </w:r>
      <w:r>
        <w:rPr>
          <w:rFonts w:hint="eastAsia" w:ascii="宋体" w:hAnsi="宋体" w:eastAsia="宋体"/>
          <w:bCs/>
          <w:color w:val="auto"/>
          <w:sz w:val="24"/>
          <w:szCs w:val="24"/>
          <w:highlight w:val="none"/>
        </w:rPr>
        <w:t>日08时</w:t>
      </w:r>
      <w:r>
        <w:rPr>
          <w:rFonts w:hint="eastAsia" w:ascii="宋体" w:hAnsi="宋体"/>
          <w:bCs/>
          <w:color w:val="auto"/>
          <w:sz w:val="24"/>
          <w:szCs w:val="24"/>
          <w:highlight w:val="none"/>
          <w:lang w:val="en-US" w:eastAsia="zh-CN"/>
        </w:rPr>
        <w:t>4</w:t>
      </w:r>
      <w:r>
        <w:rPr>
          <w:rFonts w:hint="eastAsia" w:ascii="宋体" w:hAnsi="宋体" w:eastAsia="宋体"/>
          <w:bCs/>
          <w:color w:val="auto"/>
          <w:sz w:val="24"/>
          <w:szCs w:val="24"/>
          <w:highlight w:val="none"/>
        </w:rPr>
        <w:t>0分；</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2</w:t>
      </w:r>
      <w:r>
        <w:rPr>
          <w:rFonts w:hint="eastAsia" w:ascii="宋体" w:hAnsi="宋体" w:eastAsia="宋体"/>
          <w:bCs/>
          <w:color w:val="auto"/>
          <w:sz w:val="24"/>
          <w:szCs w:val="24"/>
          <w:highlight w:val="none"/>
        </w:rPr>
        <w:t>、开标地点：卢氏县公共资源交易中心</w:t>
      </w:r>
      <w:r>
        <w:rPr>
          <w:rFonts w:hint="eastAsia" w:ascii="宋体" w:hAnsi="宋体"/>
          <w:bCs/>
          <w:color w:val="auto"/>
          <w:sz w:val="24"/>
          <w:szCs w:val="24"/>
          <w:highlight w:val="none"/>
          <w:lang w:eastAsia="zh-CN"/>
        </w:rPr>
        <w:t>四</w:t>
      </w:r>
      <w:r>
        <w:rPr>
          <w:rFonts w:hint="eastAsia" w:ascii="宋体" w:hAnsi="宋体" w:eastAsia="宋体"/>
          <w:bCs/>
          <w:color w:val="auto"/>
          <w:sz w:val="24"/>
          <w:szCs w:val="24"/>
          <w:highlight w:val="none"/>
        </w:rPr>
        <w:t>楼第</w:t>
      </w:r>
      <w:r>
        <w:rPr>
          <w:rFonts w:hint="eastAsia" w:ascii="宋体" w:hAnsi="宋体"/>
          <w:bCs/>
          <w:color w:val="auto"/>
          <w:sz w:val="24"/>
          <w:szCs w:val="24"/>
          <w:highlight w:val="none"/>
          <w:lang w:eastAsia="zh-CN"/>
        </w:rPr>
        <w:t>一</w:t>
      </w:r>
      <w:r>
        <w:rPr>
          <w:rFonts w:hint="eastAsia" w:ascii="宋体" w:hAnsi="宋体" w:eastAsia="宋体"/>
          <w:bCs/>
          <w:color w:val="auto"/>
          <w:sz w:val="24"/>
          <w:szCs w:val="24"/>
          <w:highlight w:val="none"/>
        </w:rPr>
        <w:t>开标室。</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3</w:t>
      </w:r>
      <w:r>
        <w:rPr>
          <w:rFonts w:hint="eastAsia" w:ascii="宋体" w:hAnsi="宋体" w:eastAsia="宋体"/>
          <w:bCs/>
          <w:color w:val="auto"/>
          <w:sz w:val="24"/>
          <w:szCs w:val="24"/>
          <w:highlight w:val="none"/>
        </w:rPr>
        <w:t>、评标地点：卢氏县公共资源交易中心二楼第</w:t>
      </w:r>
      <w:r>
        <w:rPr>
          <w:rFonts w:hint="eastAsia" w:ascii="宋体" w:hAnsi="宋体"/>
          <w:bCs/>
          <w:color w:val="auto"/>
          <w:sz w:val="24"/>
          <w:szCs w:val="24"/>
          <w:highlight w:val="none"/>
          <w:lang w:val="en-US" w:eastAsia="zh-CN"/>
        </w:rPr>
        <w:t>一</w:t>
      </w:r>
      <w:r>
        <w:rPr>
          <w:rFonts w:hint="eastAsia" w:ascii="宋体" w:hAnsi="宋体" w:eastAsia="宋体"/>
          <w:bCs/>
          <w:color w:val="auto"/>
          <w:sz w:val="24"/>
          <w:szCs w:val="24"/>
          <w:highlight w:val="none"/>
        </w:rPr>
        <w:t>评标室。</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七、其他事项</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供应商应仔细阅读操作手册，在本公告中要求的截止时间前完成网上报名等工作。并充分考虑人为操作和银行异地跨行转账到账的时间等因素，因供应商操作不当或银行到账时间等问题造成的无法下载磋商文件、无法投标等一切后果，由供应商自行承担。</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2、招标人不组织供应商踏勘现场。</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3、响应人递交的响应文件不论中标与否均不予退还。</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4、投标人（供应商）在投标前，一定先登录到三门峡公共资源中心中心主体库内，检查其“单位类型”栏选择为“企业”，且统一社会信用代码号是否完整且准确无误。</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温馨提示：本项目为电子化、无纸化交易项目，开标时不再接受任何纸质资料，为保证您能投标成功，请需仔细阅读磋商文件和三门峡市公共资源交易中心官网业务办理指南。</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八、发布公告的媒介</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本次磋商公告同时在</w:t>
      </w:r>
      <w:r>
        <w:rPr>
          <w:rFonts w:hint="eastAsia" w:ascii="宋体" w:hAnsi="宋体"/>
          <w:bCs/>
          <w:color w:val="auto"/>
          <w:kern w:val="0"/>
          <w:sz w:val="24"/>
          <w:szCs w:val="24"/>
          <w:highlight w:val="none"/>
          <w:lang w:val="en-US" w:eastAsia="zh-CN"/>
        </w:rPr>
        <w:t>《河南省政府采购网》、《三门峡市公共资源交易平台》、</w:t>
      </w:r>
      <w:r>
        <w:rPr>
          <w:rFonts w:hint="eastAsia" w:ascii="宋体" w:hAnsi="宋体" w:cs="宋体"/>
          <w:bCs/>
          <w:color w:val="auto"/>
          <w:szCs w:val="21"/>
          <w:highlight w:val="none"/>
        </w:rPr>
        <w:t>《</w:t>
      </w:r>
      <w:r>
        <w:rPr>
          <w:rFonts w:hint="eastAsia" w:ascii="宋体" w:hAnsi="宋体"/>
          <w:bCs/>
          <w:color w:val="auto"/>
          <w:kern w:val="0"/>
          <w:sz w:val="24"/>
          <w:szCs w:val="24"/>
          <w:highlight w:val="none"/>
          <w:lang w:val="en-US" w:eastAsia="zh-CN"/>
        </w:rPr>
        <w:t>中国招标投标公共服务平台》</w:t>
      </w:r>
      <w:r>
        <w:rPr>
          <w:rFonts w:hint="eastAsia" w:ascii="宋体" w:hAnsi="宋体" w:eastAsia="宋体"/>
          <w:bCs/>
          <w:color w:val="auto"/>
          <w:kern w:val="0"/>
          <w:sz w:val="24"/>
          <w:szCs w:val="24"/>
          <w:highlight w:val="none"/>
          <w:lang w:val="en-US" w:eastAsia="zh-CN"/>
        </w:rPr>
        <w:t>上发布。</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color w:val="auto"/>
          <w:sz w:val="24"/>
          <w:szCs w:val="21"/>
          <w:highlight w:val="none"/>
        </w:rPr>
      </w:pPr>
      <w:r>
        <w:rPr>
          <w:rFonts w:hint="eastAsia" w:ascii="宋体" w:hAnsi="宋体" w:eastAsia="宋体"/>
          <w:b w:val="0"/>
          <w:bCs/>
          <w:color w:val="auto"/>
          <w:sz w:val="24"/>
          <w:szCs w:val="21"/>
          <w:highlight w:val="none"/>
        </w:rPr>
        <w:t>九、联系方式</w:t>
      </w:r>
    </w:p>
    <w:bookmarkEnd w:id="11"/>
    <w:bookmarkEnd w:id="12"/>
    <w:bookmarkEnd w:id="13"/>
    <w:bookmarkEnd w:id="14"/>
    <w:bookmarkEnd w:id="15"/>
    <w:bookmarkEnd w:id="16"/>
    <w:bookmarkEnd w:id="17"/>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监督单位：卢氏县政府采购办公室</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cs="Times New Roman"/>
          <w:color w:val="auto"/>
          <w:sz w:val="24"/>
          <w:highlight w:val="none"/>
          <w:lang w:val="en-US" w:bidi="ar"/>
        </w:rPr>
        <w:t>联系人：郭伟静</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电话：0398-7863556</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地址：卢氏县城关镇解放路中段</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监督单位：三门峡市生态环境局卢氏分局</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联系人：沈媛</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default"/>
          <w:color w:val="auto"/>
          <w:highlight w:val="none"/>
          <w:lang w:val="en-US" w:eastAsia="zh-CN"/>
        </w:rPr>
      </w:pPr>
      <w:r>
        <w:rPr>
          <w:rFonts w:hint="eastAsia" w:ascii="宋体" w:hAnsi="宋体"/>
          <w:bCs/>
          <w:color w:val="auto"/>
          <w:kern w:val="0"/>
          <w:sz w:val="24"/>
          <w:szCs w:val="24"/>
          <w:highlight w:val="none"/>
          <w:lang w:val="en-US" w:eastAsia="zh-CN"/>
        </w:rPr>
        <w:t>电话：15936862870、0398-7873774</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地址：</w:t>
      </w:r>
      <w:r>
        <w:rPr>
          <w:rFonts w:hint="eastAsia" w:ascii="宋体" w:hAnsi="宋体" w:eastAsia="宋体"/>
          <w:bCs/>
          <w:color w:val="auto"/>
          <w:kern w:val="0"/>
          <w:sz w:val="24"/>
          <w:szCs w:val="24"/>
          <w:highlight w:val="none"/>
          <w:lang w:val="en-US" w:eastAsia="zh-CN"/>
        </w:rPr>
        <w:t>卢氏县莘源路</w:t>
      </w:r>
      <w:r>
        <w:rPr>
          <w:rFonts w:hint="eastAsia" w:ascii="宋体" w:hAnsi="宋体"/>
          <w:bCs/>
          <w:color w:val="auto"/>
          <w:kern w:val="0"/>
          <w:sz w:val="24"/>
          <w:szCs w:val="24"/>
          <w:highlight w:val="none"/>
          <w:lang w:val="en-US" w:eastAsia="zh-CN"/>
        </w:rPr>
        <w:t>西段</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采购人</w:t>
      </w:r>
      <w:r>
        <w:rPr>
          <w:rFonts w:hint="eastAsia" w:ascii="宋体" w:hAnsi="宋体" w:eastAsia="宋体"/>
          <w:bCs/>
          <w:color w:val="auto"/>
          <w:kern w:val="0"/>
          <w:sz w:val="24"/>
          <w:szCs w:val="24"/>
          <w:highlight w:val="none"/>
        </w:rPr>
        <w:t>：</w:t>
      </w:r>
      <w:r>
        <w:rPr>
          <w:rFonts w:hint="eastAsia" w:ascii="宋体" w:hAnsi="宋体"/>
          <w:bCs/>
          <w:color w:val="auto"/>
          <w:kern w:val="0"/>
          <w:sz w:val="24"/>
          <w:szCs w:val="24"/>
          <w:highlight w:val="none"/>
          <w:lang w:eastAsia="zh-CN"/>
        </w:rPr>
        <w:t>三门峡市生态环境局卢氏分局</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联系人：</w:t>
      </w:r>
      <w:r>
        <w:rPr>
          <w:rFonts w:hint="eastAsia" w:ascii="宋体" w:hAnsi="宋体"/>
          <w:bCs/>
          <w:color w:val="auto"/>
          <w:kern w:val="0"/>
          <w:sz w:val="24"/>
          <w:szCs w:val="24"/>
          <w:highlight w:val="none"/>
          <w:lang w:val="en-US" w:eastAsia="zh-CN"/>
        </w:rPr>
        <w:t>顾文辉</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电话：</w:t>
      </w:r>
      <w:r>
        <w:rPr>
          <w:rFonts w:hint="eastAsia" w:ascii="宋体" w:hAnsi="宋体"/>
          <w:bCs/>
          <w:color w:val="auto"/>
          <w:kern w:val="0"/>
          <w:sz w:val="24"/>
          <w:szCs w:val="24"/>
          <w:highlight w:val="none"/>
          <w:lang w:val="en-US" w:eastAsia="zh-CN"/>
        </w:rPr>
        <w:t>18239885655、0398-7873774</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地址：</w:t>
      </w:r>
      <w:r>
        <w:rPr>
          <w:rFonts w:hint="eastAsia" w:ascii="宋体" w:hAnsi="宋体" w:eastAsia="宋体"/>
          <w:bCs/>
          <w:color w:val="auto"/>
          <w:kern w:val="0"/>
          <w:sz w:val="24"/>
          <w:szCs w:val="24"/>
          <w:highlight w:val="none"/>
          <w:lang w:val="en-US" w:eastAsia="zh-CN"/>
        </w:rPr>
        <w:t>卢氏县莘源路</w:t>
      </w:r>
      <w:r>
        <w:rPr>
          <w:rFonts w:hint="eastAsia" w:ascii="宋体" w:hAnsi="宋体"/>
          <w:bCs/>
          <w:color w:val="auto"/>
          <w:kern w:val="0"/>
          <w:sz w:val="24"/>
          <w:szCs w:val="24"/>
          <w:highlight w:val="none"/>
          <w:lang w:val="en-US" w:eastAsia="zh-CN"/>
        </w:rPr>
        <w:t>西段</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招标代理：河南高誉工程咨询有限公司</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联系人：姚琳</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电话：18039927130、17956206995</w:t>
      </w:r>
    </w:p>
    <w:p>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地址：河南省新乡市向阳路丰华街林溪湾5号楼801</w:t>
      </w:r>
    </w:p>
    <w:p>
      <w:pPr>
        <w:spacing w:beforeAutospacing="0" w:afterAutospacing="0" w:line="400" w:lineRule="exact"/>
        <w:jc w:val="center"/>
        <w:outlineLvl w:val="9"/>
        <w:rPr>
          <w:rFonts w:ascii="宋体" w:hAnsi="宋体" w:eastAsia="宋体"/>
          <w:b/>
          <w:bCs/>
          <w:color w:val="auto"/>
          <w:kern w:val="44"/>
          <w:sz w:val="32"/>
          <w:szCs w:val="36"/>
          <w:highlight w:val="none"/>
        </w:rPr>
      </w:pPr>
    </w:p>
    <w:p>
      <w:pPr>
        <w:spacing w:beforeAutospacing="0" w:afterAutospacing="0" w:line="400" w:lineRule="exact"/>
        <w:jc w:val="center"/>
        <w:outlineLvl w:val="9"/>
        <w:rPr>
          <w:rFonts w:ascii="宋体" w:hAnsi="宋体" w:eastAsia="宋体"/>
          <w:b/>
          <w:bCs/>
          <w:color w:val="auto"/>
          <w:kern w:val="44"/>
          <w:sz w:val="32"/>
          <w:szCs w:val="36"/>
          <w:highlight w:val="none"/>
        </w:rPr>
      </w:pPr>
    </w:p>
    <w:p>
      <w:pPr>
        <w:pStyle w:val="37"/>
        <w:rPr>
          <w:rFonts w:ascii="宋体" w:hAnsi="宋体" w:eastAsia="宋体"/>
          <w:b/>
          <w:bCs/>
          <w:color w:val="auto"/>
          <w:kern w:val="44"/>
          <w:sz w:val="32"/>
          <w:szCs w:val="36"/>
          <w:highlight w:val="none"/>
        </w:rPr>
      </w:pPr>
    </w:p>
    <w:bookmarkEnd w:id="18"/>
    <w:p>
      <w:pPr>
        <w:snapToGrid w:val="0"/>
        <w:spacing w:beforeAutospacing="0" w:afterAutospacing="0" w:line="360" w:lineRule="auto"/>
        <w:jc w:val="center"/>
        <w:outlineLvl w:val="0"/>
        <w:rPr>
          <w:rFonts w:hint="eastAsia" w:ascii="宋体" w:hAnsi="宋体" w:eastAsia="宋体"/>
          <w:b/>
          <w:bCs/>
          <w:color w:val="auto"/>
          <w:kern w:val="0"/>
          <w:sz w:val="44"/>
          <w:szCs w:val="44"/>
          <w:highlight w:val="none"/>
        </w:rPr>
      </w:pPr>
      <w:bookmarkStart w:id="19" w:name="磋商供应商须知"/>
      <w:bookmarkEnd w:id="19"/>
      <w:r>
        <w:rPr>
          <w:rFonts w:hint="eastAsia" w:ascii="宋体" w:hAnsi="宋体" w:eastAsia="宋体"/>
          <w:b/>
          <w:bCs/>
          <w:color w:val="auto"/>
          <w:kern w:val="0"/>
          <w:sz w:val="44"/>
          <w:szCs w:val="44"/>
          <w:highlight w:val="none"/>
        </w:rPr>
        <w:br w:type="page"/>
      </w:r>
      <w:bookmarkStart w:id="20" w:name="_Toc29675"/>
      <w:r>
        <w:rPr>
          <w:rFonts w:hint="eastAsia" w:ascii="宋体" w:hAnsi="宋体" w:eastAsia="宋体"/>
          <w:b/>
          <w:bCs/>
          <w:color w:val="auto"/>
          <w:kern w:val="0"/>
          <w:sz w:val="44"/>
          <w:szCs w:val="44"/>
          <w:highlight w:val="none"/>
        </w:rPr>
        <w:t>第二章</w:t>
      </w:r>
      <w:r>
        <w:rPr>
          <w:rFonts w:hint="eastAsia" w:ascii="宋体" w:hAnsi="宋体"/>
          <w:b/>
          <w:bCs/>
          <w:color w:val="auto"/>
          <w:kern w:val="0"/>
          <w:sz w:val="44"/>
          <w:szCs w:val="44"/>
          <w:highlight w:val="none"/>
          <w:lang w:val="en-US" w:eastAsia="zh-CN"/>
        </w:rPr>
        <w:t xml:space="preserve"> </w:t>
      </w:r>
      <w:r>
        <w:rPr>
          <w:rFonts w:hint="eastAsia" w:ascii="宋体" w:hAnsi="宋体"/>
          <w:b/>
          <w:bCs/>
          <w:color w:val="auto"/>
          <w:kern w:val="0"/>
          <w:sz w:val="44"/>
          <w:szCs w:val="44"/>
          <w:highlight w:val="none"/>
          <w:lang w:eastAsia="zh-CN"/>
        </w:rPr>
        <w:t>、</w:t>
      </w:r>
      <w:r>
        <w:rPr>
          <w:rFonts w:hint="eastAsia" w:ascii="宋体" w:hAnsi="宋体" w:eastAsia="宋体"/>
          <w:b/>
          <w:bCs/>
          <w:color w:val="auto"/>
          <w:kern w:val="0"/>
          <w:sz w:val="44"/>
          <w:szCs w:val="44"/>
          <w:highlight w:val="none"/>
        </w:rPr>
        <w:t>供应商须知</w:t>
      </w:r>
      <w:bookmarkEnd w:id="20"/>
      <w:r>
        <w:rPr>
          <w:rFonts w:hint="eastAsia" w:ascii="宋体" w:hAnsi="宋体" w:eastAsia="宋体"/>
          <w:b/>
          <w:bCs/>
          <w:color w:val="auto"/>
          <w:kern w:val="0"/>
          <w:sz w:val="44"/>
          <w:szCs w:val="44"/>
          <w:highlight w:val="none"/>
        </w:rPr>
        <w:t>前附表</w:t>
      </w:r>
    </w:p>
    <w:tbl>
      <w:tblPr>
        <w:tblStyle w:val="16"/>
        <w:tblW w:w="0" w:type="auto"/>
        <w:jc w:val="center"/>
        <w:tblLayout w:type="fixed"/>
        <w:tblCellMar>
          <w:top w:w="0" w:type="dxa"/>
          <w:left w:w="108" w:type="dxa"/>
          <w:bottom w:w="0" w:type="dxa"/>
          <w:right w:w="108" w:type="dxa"/>
        </w:tblCellMar>
      </w:tblPr>
      <w:tblGrid>
        <w:gridCol w:w="754"/>
        <w:gridCol w:w="1712"/>
        <w:gridCol w:w="7472"/>
      </w:tblGrid>
      <w:tr>
        <w:tblPrEx>
          <w:tblCellMar>
            <w:top w:w="0" w:type="dxa"/>
            <w:left w:w="108" w:type="dxa"/>
            <w:bottom w:w="0" w:type="dxa"/>
            <w:right w:w="108" w:type="dxa"/>
          </w:tblCellMar>
        </w:tblPrEx>
        <w:trPr>
          <w:trHeight w:val="682"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条款号</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条款名称</w:t>
            </w:r>
          </w:p>
        </w:tc>
        <w:tc>
          <w:tcPr>
            <w:tcW w:w="747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编列内容</w:t>
            </w:r>
          </w:p>
        </w:tc>
      </w:tr>
      <w:tr>
        <w:tblPrEx>
          <w:tblCellMar>
            <w:top w:w="0" w:type="dxa"/>
            <w:left w:w="108" w:type="dxa"/>
            <w:bottom w:w="0" w:type="dxa"/>
            <w:right w:w="108" w:type="dxa"/>
          </w:tblCellMar>
        </w:tblPrEx>
        <w:trPr>
          <w:trHeight w:val="453" w:hRule="atLeast"/>
          <w:jc w:val="center"/>
        </w:trPr>
        <w:tc>
          <w:tcPr>
            <w:tcW w:w="754" w:type="dxa"/>
            <w:tcBorders>
              <w:top w:val="nil"/>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w:t>
            </w:r>
          </w:p>
        </w:tc>
        <w:tc>
          <w:tcPr>
            <w:tcW w:w="1712" w:type="dxa"/>
            <w:tcBorders>
              <w:top w:val="nil"/>
              <w:left w:val="nil"/>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采购人</w:t>
            </w:r>
          </w:p>
        </w:tc>
        <w:tc>
          <w:tcPr>
            <w:tcW w:w="7472" w:type="dxa"/>
            <w:tcBorders>
              <w:top w:val="single" w:color="000000" w:sz="4" w:space="0"/>
              <w:left w:val="nil"/>
              <w:bottom w:val="single" w:color="000000" w:sz="6" w:space="0"/>
              <w:right w:val="single" w:color="000000" w:sz="4" w:space="0"/>
            </w:tcBorders>
            <w:vAlign w:val="center"/>
          </w:tcPr>
          <w:p>
            <w:pPr>
              <w:spacing w:beforeAutospacing="0" w:afterAutospacing="0" w:line="360" w:lineRule="auto"/>
              <w:jc w:val="left"/>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采购人</w:t>
            </w:r>
            <w:r>
              <w:rPr>
                <w:rFonts w:hint="eastAsia" w:ascii="宋体" w:hAnsi="宋体" w:eastAsia="宋体"/>
                <w:color w:val="auto"/>
                <w:kern w:val="0"/>
                <w:sz w:val="24"/>
                <w:szCs w:val="24"/>
                <w:highlight w:val="none"/>
              </w:rPr>
              <w:t>：</w:t>
            </w:r>
            <w:r>
              <w:rPr>
                <w:rFonts w:hint="eastAsia" w:ascii="宋体" w:hAnsi="宋体" w:eastAsia="宋体"/>
                <w:color w:val="auto"/>
                <w:kern w:val="0"/>
                <w:sz w:val="24"/>
                <w:szCs w:val="24"/>
                <w:highlight w:val="none"/>
                <w:lang w:eastAsia="zh-CN"/>
              </w:rPr>
              <w:t>三门峡市生态环境局卢氏分局</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联系人：</w:t>
            </w:r>
            <w:r>
              <w:rPr>
                <w:rFonts w:hint="eastAsia" w:ascii="宋体" w:hAnsi="宋体" w:eastAsia="宋体"/>
                <w:color w:val="auto"/>
                <w:kern w:val="0"/>
                <w:sz w:val="24"/>
                <w:szCs w:val="24"/>
                <w:highlight w:val="none"/>
                <w:lang w:val="en-US" w:eastAsia="zh-CN"/>
              </w:rPr>
              <w:t>顾文辉</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电话：</w:t>
            </w:r>
            <w:r>
              <w:rPr>
                <w:rFonts w:hint="eastAsia" w:ascii="宋体" w:hAnsi="宋体" w:eastAsia="宋体"/>
                <w:color w:val="auto"/>
                <w:kern w:val="0"/>
                <w:sz w:val="24"/>
                <w:szCs w:val="24"/>
                <w:highlight w:val="none"/>
                <w:lang w:val="en-US" w:eastAsia="zh-CN"/>
              </w:rPr>
              <w:t>18239885655</w:t>
            </w:r>
            <w:r>
              <w:rPr>
                <w:rFonts w:hint="eastAsia" w:ascii="宋体" w:hAnsi="宋体"/>
                <w:color w:val="auto"/>
                <w:kern w:val="0"/>
                <w:sz w:val="24"/>
                <w:szCs w:val="24"/>
                <w:highlight w:val="none"/>
                <w:lang w:val="en-US" w:eastAsia="zh-CN"/>
              </w:rPr>
              <w:t>、</w:t>
            </w:r>
            <w:r>
              <w:rPr>
                <w:rFonts w:hint="eastAsia" w:ascii="宋体" w:hAnsi="宋体"/>
                <w:bCs/>
                <w:color w:val="auto"/>
                <w:kern w:val="0"/>
                <w:sz w:val="24"/>
                <w:szCs w:val="24"/>
                <w:highlight w:val="none"/>
                <w:lang w:val="en-US" w:eastAsia="zh-CN"/>
              </w:rPr>
              <w:t>0398-7873774</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地址：</w:t>
            </w:r>
            <w:r>
              <w:rPr>
                <w:rFonts w:hint="eastAsia" w:ascii="宋体" w:hAnsi="宋体" w:eastAsia="宋体"/>
                <w:color w:val="auto"/>
                <w:kern w:val="0"/>
                <w:sz w:val="24"/>
                <w:szCs w:val="24"/>
                <w:highlight w:val="none"/>
                <w:lang w:val="en-US" w:eastAsia="zh-CN"/>
              </w:rPr>
              <w:t>卢氏县莘源路西段</w:t>
            </w:r>
          </w:p>
        </w:tc>
      </w:tr>
      <w:tr>
        <w:tblPrEx>
          <w:tblCellMar>
            <w:top w:w="0" w:type="dxa"/>
            <w:left w:w="108" w:type="dxa"/>
            <w:bottom w:w="0" w:type="dxa"/>
            <w:right w:w="108" w:type="dxa"/>
          </w:tblCellMar>
        </w:tblPrEx>
        <w:trPr>
          <w:trHeight w:val="141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招标代理机构</w:t>
            </w:r>
          </w:p>
        </w:tc>
        <w:tc>
          <w:tcPr>
            <w:tcW w:w="7472" w:type="dxa"/>
            <w:tcBorders>
              <w:top w:val="single" w:color="000000" w:sz="4" w:space="0"/>
              <w:left w:val="nil"/>
              <w:bottom w:val="single" w:color="000000" w:sz="4" w:space="0"/>
              <w:right w:val="single" w:color="000000" w:sz="4" w:space="0"/>
            </w:tcBorders>
            <w:vAlign w:val="center"/>
          </w:tcPr>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代理机构：河南高誉工程咨询有限公司</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联系人：姚琳</w:t>
            </w:r>
          </w:p>
          <w:p>
            <w:pPr>
              <w:spacing w:line="360" w:lineRule="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电话：18039927130</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17956206995</w:t>
            </w:r>
          </w:p>
          <w:p>
            <w:pPr>
              <w:snapToGrid w:val="0"/>
              <w:spacing w:line="500" w:lineRule="exact"/>
              <w:jc w:val="both"/>
              <w:rPr>
                <w:rFonts w:hint="eastAsia" w:ascii="宋体" w:hAnsi="宋体"/>
                <w:color w:val="auto"/>
                <w:sz w:val="24"/>
                <w:szCs w:val="24"/>
                <w:highlight w:val="none"/>
                <w:lang w:val="en-US" w:eastAsia="zh-CN"/>
              </w:rPr>
            </w:pPr>
            <w:r>
              <w:rPr>
                <w:rFonts w:hint="eastAsia" w:asciiTheme="minorEastAsia" w:hAnsiTheme="minorEastAsia" w:eastAsiaTheme="minorEastAsia"/>
                <w:color w:val="auto"/>
                <w:sz w:val="24"/>
                <w:szCs w:val="24"/>
                <w:highlight w:val="none"/>
              </w:rPr>
              <w:t>地址：河南省新乡市向阳路丰华街林溪湾5号楼801</w:t>
            </w:r>
          </w:p>
        </w:tc>
      </w:tr>
      <w:tr>
        <w:tblPrEx>
          <w:tblCellMar>
            <w:top w:w="0" w:type="dxa"/>
            <w:left w:w="108" w:type="dxa"/>
            <w:bottom w:w="0" w:type="dxa"/>
            <w:right w:w="108" w:type="dxa"/>
          </w:tblCellMar>
        </w:tblPrEx>
        <w:trPr>
          <w:trHeight w:val="39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项目名称</w:t>
            </w:r>
          </w:p>
        </w:tc>
        <w:tc>
          <w:tcPr>
            <w:tcW w:w="7472" w:type="dxa"/>
            <w:tcBorders>
              <w:top w:val="nil"/>
              <w:left w:val="nil"/>
              <w:bottom w:val="single" w:color="000000" w:sz="4" w:space="0"/>
              <w:right w:val="single" w:color="000000" w:sz="4" w:space="0"/>
            </w:tcBorders>
            <w:vAlign w:val="center"/>
          </w:tcPr>
          <w:p>
            <w:pPr>
              <w:spacing w:beforeAutospacing="0" w:afterAutospacing="0" w:line="360" w:lineRule="auto"/>
              <w:ind w:left="-283" w:leftChars="-135" w:right="-483" w:rightChars="-230" w:firstLine="240" w:firstLineChars="100"/>
              <w:jc w:val="left"/>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eastAsia="zh-CN"/>
              </w:rPr>
              <w:t>卢氏县五里川河污泥鉴定项目（</w:t>
            </w:r>
            <w:r>
              <w:rPr>
                <w:rFonts w:hint="eastAsia" w:ascii="宋体" w:hAnsi="宋体"/>
                <w:color w:val="auto"/>
                <w:kern w:val="0"/>
                <w:sz w:val="24"/>
                <w:szCs w:val="24"/>
                <w:highlight w:val="none"/>
                <w:lang w:val="en-US" w:eastAsia="zh-CN"/>
              </w:rPr>
              <w:t>二次</w:t>
            </w:r>
            <w:r>
              <w:rPr>
                <w:rFonts w:hint="eastAsia" w:ascii="宋体" w:hAnsi="宋体"/>
                <w:color w:val="auto"/>
                <w:kern w:val="0"/>
                <w:sz w:val="24"/>
                <w:szCs w:val="24"/>
                <w:highlight w:val="none"/>
                <w:lang w:eastAsia="zh-CN"/>
              </w:rPr>
              <w:t>）</w:t>
            </w:r>
          </w:p>
        </w:tc>
      </w:tr>
      <w:tr>
        <w:tblPrEx>
          <w:tblCellMar>
            <w:top w:w="0" w:type="dxa"/>
            <w:left w:w="108" w:type="dxa"/>
            <w:bottom w:w="0" w:type="dxa"/>
            <w:right w:w="108" w:type="dxa"/>
          </w:tblCellMar>
        </w:tblPrEx>
        <w:trPr>
          <w:trHeight w:val="785"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4</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项目编号</w:t>
            </w:r>
          </w:p>
        </w:tc>
        <w:tc>
          <w:tcPr>
            <w:tcW w:w="7472" w:type="dxa"/>
            <w:tcBorders>
              <w:top w:val="nil"/>
              <w:left w:val="nil"/>
              <w:bottom w:val="single" w:color="000000" w:sz="4" w:space="0"/>
              <w:right w:val="single" w:color="000000" w:sz="4" w:space="0"/>
            </w:tcBorders>
            <w:vAlign w:val="center"/>
          </w:tcPr>
          <w:p>
            <w:pPr>
              <w:spacing w:beforeAutospacing="0" w:afterAutospacing="0" w:line="360" w:lineRule="auto"/>
              <w:ind w:left="-283" w:leftChars="-135" w:right="-483" w:rightChars="-230" w:firstLine="240" w:firstLineChars="100"/>
              <w:jc w:val="left"/>
              <w:rPr>
                <w:rFonts w:hint="eastAsia" w:ascii="宋体" w:hAnsi="宋体" w:eastAsia="宋体"/>
                <w:color w:val="auto"/>
                <w:kern w:val="0"/>
                <w:sz w:val="24"/>
                <w:szCs w:val="24"/>
                <w:highlight w:val="none"/>
                <w:lang w:val="en-US" w:eastAsia="zh-CN"/>
              </w:rPr>
            </w:pPr>
            <w:r>
              <w:rPr>
                <w:rFonts w:hint="eastAsia" w:ascii="宋体" w:hAnsi="宋体"/>
                <w:bCs/>
                <w:color w:val="auto"/>
                <w:sz w:val="24"/>
                <w:szCs w:val="21"/>
                <w:highlight w:val="none"/>
                <w:lang w:val="en-US" w:eastAsia="zh-CN"/>
              </w:rPr>
              <w:t>三卢竞磋采购-2025-114、LSGZ[2025]343-ZC197</w:t>
            </w:r>
          </w:p>
        </w:tc>
      </w:tr>
      <w:tr>
        <w:tblPrEx>
          <w:tblCellMar>
            <w:top w:w="0" w:type="dxa"/>
            <w:left w:w="108" w:type="dxa"/>
            <w:bottom w:w="0" w:type="dxa"/>
            <w:right w:w="108" w:type="dxa"/>
          </w:tblCellMar>
        </w:tblPrEx>
        <w:trPr>
          <w:trHeight w:val="450" w:hRule="atLeast"/>
          <w:jc w:val="center"/>
        </w:trPr>
        <w:tc>
          <w:tcPr>
            <w:tcW w:w="754" w:type="dxa"/>
            <w:tcBorders>
              <w:top w:val="nil"/>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5</w:t>
            </w:r>
          </w:p>
        </w:tc>
        <w:tc>
          <w:tcPr>
            <w:tcW w:w="1712" w:type="dxa"/>
            <w:tcBorders>
              <w:top w:val="nil"/>
              <w:left w:val="nil"/>
              <w:bottom w:val="single" w:color="000000" w:sz="4" w:space="0"/>
              <w:right w:val="single" w:color="000000" w:sz="4" w:space="0"/>
            </w:tcBorders>
            <w:vAlign w:val="center"/>
          </w:tcPr>
          <w:p>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服务周期</w:t>
            </w:r>
          </w:p>
        </w:tc>
        <w:tc>
          <w:tcPr>
            <w:tcW w:w="7472" w:type="dxa"/>
            <w:tcBorders>
              <w:top w:val="nil"/>
              <w:left w:val="nil"/>
              <w:bottom w:val="single" w:color="000000" w:sz="4" w:space="0"/>
              <w:right w:val="single" w:color="000000" w:sz="4" w:space="0"/>
            </w:tcBorders>
            <w:vAlign w:val="center"/>
          </w:tcPr>
          <w:p>
            <w:pPr>
              <w:spacing w:beforeAutospacing="0" w:afterAutospacing="0" w:line="360" w:lineRule="auto"/>
              <w:jc w:val="left"/>
              <w:rPr>
                <w:rFonts w:hint="eastAsia" w:ascii="宋体" w:hAnsi="宋体" w:eastAsia="宋体"/>
                <w:color w:val="auto"/>
                <w:sz w:val="24"/>
                <w:szCs w:val="24"/>
                <w:highlight w:val="none"/>
                <w:lang w:val="en-US" w:eastAsia="zh-CN"/>
              </w:rPr>
            </w:pPr>
            <w:r>
              <w:rPr>
                <w:rFonts w:hint="eastAsia" w:ascii="宋体" w:hAnsi="宋体" w:eastAsia="宋体" w:cs="宋体"/>
                <w:color w:val="auto"/>
                <w:kern w:val="0"/>
                <w:sz w:val="24"/>
                <w:szCs w:val="24"/>
                <w:highlight w:val="none"/>
              </w:rPr>
              <w:t>合同签订后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日历天内完成</w:t>
            </w:r>
          </w:p>
        </w:tc>
      </w:tr>
      <w:tr>
        <w:tblPrEx>
          <w:tblCellMar>
            <w:top w:w="0" w:type="dxa"/>
            <w:left w:w="108" w:type="dxa"/>
            <w:bottom w:w="0" w:type="dxa"/>
            <w:right w:w="108" w:type="dxa"/>
          </w:tblCellMar>
        </w:tblPrEx>
        <w:trPr>
          <w:trHeight w:val="445" w:hRule="atLeast"/>
          <w:jc w:val="center"/>
        </w:trPr>
        <w:tc>
          <w:tcPr>
            <w:tcW w:w="754" w:type="dxa"/>
            <w:tcBorders>
              <w:top w:val="nil"/>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6</w:t>
            </w:r>
          </w:p>
        </w:tc>
        <w:tc>
          <w:tcPr>
            <w:tcW w:w="1712" w:type="dxa"/>
            <w:tcBorders>
              <w:top w:val="nil"/>
              <w:left w:val="nil"/>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资金来源</w:t>
            </w:r>
          </w:p>
        </w:tc>
        <w:tc>
          <w:tcPr>
            <w:tcW w:w="7472" w:type="dxa"/>
            <w:tcBorders>
              <w:top w:val="nil"/>
              <w:left w:val="nil"/>
              <w:bottom w:val="single" w:color="000000" w:sz="4" w:space="0"/>
              <w:right w:val="single" w:color="000000" w:sz="4" w:space="0"/>
            </w:tcBorders>
            <w:vAlign w:val="center"/>
          </w:tcPr>
          <w:p>
            <w:pPr>
              <w:spacing w:beforeAutospacing="0" w:afterAutospacing="0" w:line="360" w:lineRule="auto"/>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财政资金</w:t>
            </w:r>
            <w:r>
              <w:rPr>
                <w:rFonts w:hint="eastAsia" w:ascii="宋体" w:hAnsi="宋体"/>
                <w:color w:val="auto"/>
                <w:sz w:val="24"/>
                <w:szCs w:val="24"/>
                <w:highlight w:val="none"/>
                <w:lang w:eastAsia="zh-CN"/>
              </w:rPr>
              <w:t>，已落实。</w:t>
            </w:r>
          </w:p>
        </w:tc>
      </w:tr>
      <w:tr>
        <w:tblPrEx>
          <w:tblCellMar>
            <w:top w:w="0" w:type="dxa"/>
            <w:left w:w="108" w:type="dxa"/>
            <w:bottom w:w="0" w:type="dxa"/>
            <w:right w:w="108" w:type="dxa"/>
          </w:tblCellMar>
        </w:tblPrEx>
        <w:trPr>
          <w:trHeight w:val="79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7</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服务内容</w:t>
            </w:r>
          </w:p>
        </w:tc>
        <w:tc>
          <w:tcPr>
            <w:tcW w:w="7472" w:type="dxa"/>
            <w:tcBorders>
              <w:top w:val="single" w:color="000000" w:sz="4" w:space="0"/>
              <w:left w:val="nil"/>
              <w:bottom w:val="single" w:color="000000" w:sz="4" w:space="0"/>
              <w:right w:val="single" w:color="000000" w:sz="4" w:space="0"/>
            </w:tcBorders>
            <w:vAlign w:val="center"/>
          </w:tcPr>
          <w:p>
            <w:pPr>
              <w:spacing w:beforeAutospacing="0" w:after="100" w:afterAutospacing="0" w:line="360" w:lineRule="auto"/>
              <w:rPr>
                <w:rFonts w:hint="eastAsia" w:ascii="宋体" w:hAnsi="宋体" w:eastAsia="宋体"/>
                <w:color w:val="auto"/>
                <w:sz w:val="24"/>
                <w:szCs w:val="24"/>
                <w:highlight w:val="none"/>
                <w:lang w:val="en-US" w:eastAsia="zh-CN"/>
              </w:rPr>
            </w:pPr>
            <w:r>
              <w:rPr>
                <w:rFonts w:hint="eastAsia" w:ascii="宋体" w:hAnsi="宋体"/>
                <w:bCs/>
                <w:color w:val="auto"/>
                <w:sz w:val="24"/>
                <w:szCs w:val="21"/>
                <w:highlight w:val="none"/>
                <w:lang w:eastAsia="zh-CN"/>
              </w:rPr>
              <w:t>主要内容为</w:t>
            </w:r>
            <w:r>
              <w:rPr>
                <w:rFonts w:hint="eastAsia" w:ascii="宋体" w:hAnsi="宋体"/>
                <w:color w:val="auto"/>
                <w:sz w:val="24"/>
                <w:szCs w:val="24"/>
                <w:highlight w:val="none"/>
                <w:lang w:eastAsia="zh-CN"/>
              </w:rPr>
              <w:t>完成指定的污泥进行类别鉴定，出具鉴定报告，并通过专家评审</w:t>
            </w:r>
            <w:r>
              <w:rPr>
                <w:rFonts w:hint="eastAsia" w:ascii="宋体" w:hAnsi="宋体"/>
                <w:bCs/>
                <w:color w:val="auto"/>
                <w:sz w:val="24"/>
                <w:szCs w:val="21"/>
                <w:highlight w:val="none"/>
                <w:lang w:eastAsia="zh-CN"/>
              </w:rPr>
              <w:t>。</w:t>
            </w:r>
            <w:r>
              <w:rPr>
                <w:rFonts w:hint="eastAsia" w:ascii="宋体" w:hAnsi="宋体"/>
                <w:bCs/>
                <w:color w:val="auto"/>
                <w:sz w:val="24"/>
                <w:szCs w:val="21"/>
                <w:highlight w:val="none"/>
                <w:lang w:val="en-US" w:eastAsia="zh-CN"/>
              </w:rPr>
              <w:t>(具体内容详见第三章)</w:t>
            </w:r>
          </w:p>
        </w:tc>
      </w:tr>
      <w:tr>
        <w:tblPrEx>
          <w:tblCellMar>
            <w:top w:w="0" w:type="dxa"/>
            <w:left w:w="108" w:type="dxa"/>
            <w:bottom w:w="0" w:type="dxa"/>
            <w:right w:w="108" w:type="dxa"/>
          </w:tblCellMar>
        </w:tblPrEx>
        <w:trPr>
          <w:trHeight w:val="79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8</w:t>
            </w:r>
          </w:p>
        </w:tc>
        <w:tc>
          <w:tcPr>
            <w:tcW w:w="1712" w:type="dxa"/>
            <w:tcBorders>
              <w:top w:val="single" w:color="000000" w:sz="4" w:space="0"/>
              <w:left w:val="nil"/>
              <w:bottom w:val="single" w:color="000000" w:sz="4" w:space="0"/>
              <w:right w:val="single" w:color="000000" w:sz="4" w:space="0"/>
            </w:tcBorders>
            <w:vAlign w:val="center"/>
          </w:tcPr>
          <w:p>
            <w:pPr>
              <w:spacing w:beforeAutospacing="0" w:after="100" w:afterAutospacing="0" w:line="360" w:lineRule="auto"/>
              <w:jc w:val="center"/>
              <w:rPr>
                <w:rFonts w:ascii="宋体" w:hAnsi="宋体" w:eastAsia="宋体"/>
                <w:color w:val="auto"/>
                <w:kern w:val="0"/>
                <w:sz w:val="24"/>
                <w:szCs w:val="24"/>
                <w:highlight w:val="none"/>
              </w:rPr>
            </w:pPr>
            <w:r>
              <w:rPr>
                <w:rFonts w:hint="eastAsia" w:ascii="宋体" w:hAnsi="宋体" w:eastAsia="宋体"/>
                <w:bCs/>
                <w:color w:val="auto"/>
                <w:sz w:val="24"/>
                <w:szCs w:val="21"/>
                <w:highlight w:val="none"/>
              </w:rPr>
              <w:t>质量要求</w:t>
            </w:r>
          </w:p>
        </w:tc>
        <w:tc>
          <w:tcPr>
            <w:tcW w:w="7472" w:type="dxa"/>
            <w:tcBorders>
              <w:top w:val="single" w:color="000000" w:sz="4" w:space="0"/>
              <w:left w:val="nil"/>
              <w:bottom w:val="single" w:color="000000" w:sz="4" w:space="0"/>
              <w:right w:val="single" w:color="000000" w:sz="4" w:space="0"/>
            </w:tcBorders>
            <w:vAlign w:val="center"/>
          </w:tcPr>
          <w:p>
            <w:pPr>
              <w:spacing w:beforeAutospacing="0" w:after="100" w:afterAutospacing="0" w:line="360" w:lineRule="auto"/>
              <w:rPr>
                <w:rFonts w:hint="eastAsia" w:ascii="宋体" w:hAnsi="宋体" w:eastAsia="宋体"/>
                <w:color w:val="auto"/>
                <w:sz w:val="24"/>
                <w:szCs w:val="24"/>
                <w:highlight w:val="none"/>
              </w:rPr>
            </w:pPr>
            <w:r>
              <w:rPr>
                <w:rFonts w:hint="eastAsia" w:ascii="宋体" w:hAnsi="宋体" w:eastAsia="宋体"/>
                <w:bCs/>
                <w:color w:val="auto"/>
                <w:sz w:val="24"/>
                <w:szCs w:val="21"/>
                <w:highlight w:val="none"/>
                <w:lang w:eastAsia="zh-CN"/>
              </w:rPr>
              <w:t>符合国家相关技术规范和质控要求</w:t>
            </w:r>
          </w:p>
        </w:tc>
      </w:tr>
      <w:tr>
        <w:tblPrEx>
          <w:tblCellMar>
            <w:top w:w="0" w:type="dxa"/>
            <w:left w:w="108" w:type="dxa"/>
            <w:bottom w:w="0" w:type="dxa"/>
            <w:right w:w="108" w:type="dxa"/>
          </w:tblCellMar>
        </w:tblPrEx>
        <w:trPr>
          <w:trHeight w:val="665"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9</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磋商供应商资质要求</w:t>
            </w:r>
          </w:p>
        </w:tc>
        <w:tc>
          <w:tcPr>
            <w:tcW w:w="74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beforeAutospacing="0" w:afterAutospacing="0" w:line="360" w:lineRule="auto"/>
              <w:textAlignment w:val="auto"/>
              <w:rPr>
                <w:rFonts w:hint="eastAsia" w:ascii="宋体" w:hAnsi="宋体"/>
                <w:bCs/>
                <w:color w:val="auto"/>
                <w:sz w:val="24"/>
                <w:szCs w:val="21"/>
                <w:highlight w:val="none"/>
                <w:lang w:val="en-US" w:eastAsia="zh-CN"/>
              </w:rPr>
            </w:pPr>
            <w:r>
              <w:rPr>
                <w:rFonts w:hint="eastAsia" w:ascii="宋体" w:hAnsi="宋体" w:eastAsia="宋体" w:cs="宋体"/>
                <w:color w:val="auto"/>
                <w:spacing w:val="-3"/>
                <w:sz w:val="24"/>
                <w:szCs w:val="24"/>
                <w:highlight w:val="none"/>
                <w:lang w:val="en-US" w:eastAsia="zh-CN"/>
              </w:rPr>
              <w:t>详见竞争性磋商公告</w:t>
            </w:r>
          </w:p>
        </w:tc>
      </w:tr>
      <w:tr>
        <w:tblPrEx>
          <w:tblCellMar>
            <w:top w:w="0" w:type="dxa"/>
            <w:left w:w="108" w:type="dxa"/>
            <w:bottom w:w="0" w:type="dxa"/>
            <w:right w:w="108" w:type="dxa"/>
          </w:tblCellMar>
        </w:tblPrEx>
        <w:trPr>
          <w:trHeight w:val="43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10</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竞争性磋商</w:t>
            </w:r>
            <w:r>
              <w:rPr>
                <w:rFonts w:hint="eastAsia" w:ascii="宋体" w:hAnsi="宋体" w:eastAsia="宋体"/>
                <w:color w:val="auto"/>
                <w:kern w:val="0"/>
                <w:sz w:val="24"/>
                <w:szCs w:val="24"/>
                <w:highlight w:val="none"/>
              </w:rPr>
              <w:t>有效期</w:t>
            </w:r>
          </w:p>
        </w:tc>
        <w:tc>
          <w:tcPr>
            <w:tcW w:w="747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eastAsia="zh-CN"/>
              </w:rPr>
              <w:t>投标截止之日起</w:t>
            </w:r>
            <w:r>
              <w:rPr>
                <w:rFonts w:hint="eastAsia" w:ascii="宋体" w:hAnsi="宋体" w:eastAsia="宋体"/>
                <w:color w:val="auto"/>
                <w:kern w:val="0"/>
                <w:sz w:val="24"/>
                <w:szCs w:val="24"/>
                <w:highlight w:val="none"/>
              </w:rPr>
              <w:t>60日历天</w:t>
            </w:r>
          </w:p>
        </w:tc>
      </w:tr>
      <w:tr>
        <w:tblPrEx>
          <w:tblCellMar>
            <w:top w:w="0" w:type="dxa"/>
            <w:left w:w="108" w:type="dxa"/>
            <w:bottom w:w="0" w:type="dxa"/>
            <w:right w:w="108" w:type="dxa"/>
          </w:tblCellMar>
        </w:tblPrEx>
        <w:trPr>
          <w:trHeight w:val="41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11</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竞争性磋商保证金</w:t>
            </w:r>
          </w:p>
        </w:tc>
        <w:tc>
          <w:tcPr>
            <w:tcW w:w="747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不</w:t>
            </w:r>
            <w:r>
              <w:rPr>
                <w:rFonts w:hint="eastAsia" w:ascii="宋体" w:hAnsi="宋体" w:eastAsia="宋体"/>
                <w:bCs/>
                <w:color w:val="auto"/>
                <w:kern w:val="0"/>
                <w:sz w:val="24"/>
                <w:szCs w:val="24"/>
                <w:highlight w:val="none"/>
                <w:lang w:val="en-US" w:eastAsia="zh-CN"/>
              </w:rPr>
              <w:t>再</w:t>
            </w:r>
            <w:r>
              <w:rPr>
                <w:rFonts w:hint="eastAsia" w:ascii="宋体" w:hAnsi="宋体" w:eastAsia="宋体"/>
                <w:bCs/>
                <w:color w:val="auto"/>
                <w:kern w:val="0"/>
                <w:sz w:val="24"/>
                <w:szCs w:val="24"/>
                <w:highlight w:val="none"/>
              </w:rPr>
              <w:t>收取磋商保证金</w:t>
            </w:r>
          </w:p>
        </w:tc>
      </w:tr>
      <w:tr>
        <w:tblPrEx>
          <w:tblCellMar>
            <w:top w:w="0" w:type="dxa"/>
            <w:left w:w="108" w:type="dxa"/>
            <w:bottom w:w="0" w:type="dxa"/>
            <w:right w:w="108" w:type="dxa"/>
          </w:tblCellMar>
        </w:tblPrEx>
        <w:trPr>
          <w:trHeight w:val="505"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1</w:t>
            </w:r>
            <w:r>
              <w:rPr>
                <w:rFonts w:hint="eastAsia" w:ascii="宋体" w:hAnsi="宋体"/>
                <w:color w:val="auto"/>
                <w:kern w:val="0"/>
                <w:sz w:val="24"/>
                <w:szCs w:val="24"/>
                <w:highlight w:val="none"/>
                <w:lang w:val="en-US" w:eastAsia="zh-CN"/>
              </w:rPr>
              <w:t>2</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rPr>
              <w:t>磋商</w:t>
            </w:r>
            <w:r>
              <w:rPr>
                <w:rFonts w:hint="eastAsia" w:ascii="宋体" w:hAnsi="宋体"/>
                <w:color w:val="auto"/>
                <w:kern w:val="0"/>
                <w:sz w:val="24"/>
                <w:szCs w:val="24"/>
                <w:highlight w:val="none"/>
                <w:lang w:eastAsia="zh-CN"/>
              </w:rPr>
              <w:t>时间和地点</w:t>
            </w:r>
          </w:p>
        </w:tc>
        <w:tc>
          <w:tcPr>
            <w:tcW w:w="747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时间：</w:t>
            </w:r>
            <w:r>
              <w:rPr>
                <w:rFonts w:hint="eastAsia" w:ascii="宋体" w:hAnsi="宋体"/>
                <w:color w:val="auto"/>
                <w:kern w:val="0"/>
                <w:sz w:val="24"/>
                <w:szCs w:val="24"/>
                <w:highlight w:val="none"/>
                <w:lang w:eastAsia="zh-CN"/>
              </w:rPr>
              <w:t>202</w:t>
            </w: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lang w:eastAsia="zh-CN"/>
              </w:rPr>
              <w:t>年</w:t>
            </w:r>
            <w:r>
              <w:rPr>
                <w:rFonts w:hint="eastAsia" w:ascii="宋体" w:hAnsi="宋体"/>
                <w:color w:val="auto"/>
                <w:kern w:val="0"/>
                <w:sz w:val="24"/>
                <w:szCs w:val="24"/>
                <w:highlight w:val="none"/>
                <w:lang w:val="en-US" w:eastAsia="zh-CN"/>
              </w:rPr>
              <w:t>12</w:t>
            </w:r>
            <w:r>
              <w:rPr>
                <w:rFonts w:hint="eastAsia" w:ascii="宋体" w:hAnsi="宋体"/>
                <w:color w:val="auto"/>
                <w:kern w:val="0"/>
                <w:sz w:val="24"/>
                <w:szCs w:val="24"/>
                <w:highlight w:val="none"/>
                <w:lang w:eastAsia="zh-CN"/>
              </w:rPr>
              <w:t>月</w:t>
            </w:r>
            <w:r>
              <w:rPr>
                <w:rFonts w:hint="eastAsia" w:ascii="宋体" w:hAnsi="宋体"/>
                <w:color w:val="auto"/>
                <w:kern w:val="0"/>
                <w:sz w:val="24"/>
                <w:szCs w:val="24"/>
                <w:highlight w:val="none"/>
                <w:lang w:val="en-US" w:eastAsia="zh-CN"/>
              </w:rPr>
              <w:t>05</w:t>
            </w:r>
            <w:r>
              <w:rPr>
                <w:rFonts w:hint="eastAsia" w:ascii="宋体" w:hAnsi="宋体"/>
                <w:color w:val="auto"/>
                <w:kern w:val="0"/>
                <w:sz w:val="24"/>
                <w:szCs w:val="24"/>
                <w:highlight w:val="none"/>
                <w:lang w:eastAsia="zh-CN"/>
              </w:rPr>
              <w:t>日</w:t>
            </w:r>
            <w:r>
              <w:rPr>
                <w:rFonts w:hint="eastAsia" w:ascii="宋体" w:hAnsi="宋体" w:eastAsia="宋体"/>
                <w:color w:val="auto"/>
                <w:kern w:val="0"/>
                <w:sz w:val="24"/>
                <w:szCs w:val="24"/>
                <w:highlight w:val="none"/>
              </w:rPr>
              <w:t>08</w:t>
            </w:r>
            <w:r>
              <w:rPr>
                <w:rFonts w:ascii="宋体" w:hAnsi="宋体" w:eastAsia="宋体"/>
                <w:color w:val="auto"/>
                <w:kern w:val="0"/>
                <w:sz w:val="24"/>
                <w:szCs w:val="24"/>
                <w:highlight w:val="none"/>
              </w:rPr>
              <w:t>时</w:t>
            </w:r>
            <w:r>
              <w:rPr>
                <w:rFonts w:hint="eastAsia" w:ascii="宋体" w:hAnsi="宋体"/>
                <w:color w:val="auto"/>
                <w:kern w:val="0"/>
                <w:sz w:val="24"/>
                <w:szCs w:val="24"/>
                <w:highlight w:val="none"/>
                <w:lang w:val="en-US" w:eastAsia="zh-CN"/>
              </w:rPr>
              <w:t>4</w:t>
            </w:r>
            <w:r>
              <w:rPr>
                <w:rFonts w:ascii="宋体" w:hAnsi="宋体" w:eastAsia="宋体"/>
                <w:color w:val="auto"/>
                <w:kern w:val="0"/>
                <w:sz w:val="24"/>
                <w:szCs w:val="24"/>
                <w:highlight w:val="none"/>
              </w:rPr>
              <w:t>0分</w:t>
            </w:r>
          </w:p>
          <w:p>
            <w:pPr>
              <w:spacing w:beforeAutospacing="0" w:afterAutospacing="0" w:line="360" w:lineRule="auto"/>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地点：</w:t>
            </w:r>
            <w:r>
              <w:rPr>
                <w:rFonts w:hint="eastAsia" w:ascii="宋体" w:hAnsi="宋体" w:eastAsia="宋体"/>
                <w:color w:val="auto"/>
                <w:kern w:val="0"/>
                <w:sz w:val="24"/>
                <w:szCs w:val="24"/>
                <w:highlight w:val="none"/>
              </w:rPr>
              <w:t>卢氏县公共资源交易中心</w:t>
            </w:r>
            <w:r>
              <w:rPr>
                <w:rFonts w:hint="eastAsia" w:ascii="宋体" w:hAnsi="宋体"/>
                <w:color w:val="auto"/>
                <w:kern w:val="0"/>
                <w:sz w:val="24"/>
                <w:szCs w:val="24"/>
                <w:highlight w:val="none"/>
                <w:lang w:eastAsia="zh-CN"/>
              </w:rPr>
              <w:t>四</w:t>
            </w:r>
            <w:r>
              <w:rPr>
                <w:rFonts w:hint="eastAsia" w:ascii="宋体" w:hAnsi="宋体" w:eastAsia="宋体"/>
                <w:color w:val="auto"/>
                <w:kern w:val="0"/>
                <w:sz w:val="24"/>
                <w:szCs w:val="24"/>
                <w:highlight w:val="none"/>
              </w:rPr>
              <w:t>楼第</w:t>
            </w:r>
            <w:r>
              <w:rPr>
                <w:rFonts w:hint="eastAsia" w:ascii="宋体" w:hAnsi="宋体"/>
                <w:color w:val="auto"/>
                <w:kern w:val="0"/>
                <w:sz w:val="24"/>
                <w:szCs w:val="24"/>
                <w:highlight w:val="none"/>
                <w:lang w:val="en-US" w:eastAsia="zh-CN"/>
              </w:rPr>
              <w:t>一</w:t>
            </w:r>
            <w:r>
              <w:rPr>
                <w:rFonts w:hint="eastAsia" w:ascii="宋体" w:hAnsi="宋体" w:eastAsia="宋体"/>
                <w:color w:val="auto"/>
                <w:kern w:val="0"/>
                <w:sz w:val="24"/>
                <w:szCs w:val="24"/>
                <w:highlight w:val="none"/>
              </w:rPr>
              <w:t>开标室</w:t>
            </w:r>
          </w:p>
        </w:tc>
      </w:tr>
      <w:tr>
        <w:tblPrEx>
          <w:tblCellMar>
            <w:top w:w="0" w:type="dxa"/>
            <w:left w:w="108" w:type="dxa"/>
            <w:bottom w:w="0" w:type="dxa"/>
            <w:right w:w="108" w:type="dxa"/>
          </w:tblCellMar>
        </w:tblPrEx>
        <w:trPr>
          <w:trHeight w:val="6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1</w:t>
            </w:r>
            <w:r>
              <w:rPr>
                <w:rFonts w:hint="eastAsia" w:ascii="宋体" w:hAnsi="宋体"/>
                <w:color w:val="auto"/>
                <w:kern w:val="0"/>
                <w:sz w:val="24"/>
                <w:szCs w:val="24"/>
                <w:highlight w:val="none"/>
                <w:lang w:val="en-US" w:eastAsia="zh-CN"/>
              </w:rPr>
              <w:t>3</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磋商小组的组建</w:t>
            </w:r>
          </w:p>
        </w:tc>
        <w:tc>
          <w:tcPr>
            <w:tcW w:w="747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磋商小组成员为3人，</w:t>
            </w:r>
            <w:r>
              <w:rPr>
                <w:rFonts w:hint="eastAsia" w:ascii="宋体" w:hAnsi="宋体"/>
                <w:color w:val="auto"/>
                <w:kern w:val="0"/>
                <w:sz w:val="24"/>
                <w:szCs w:val="24"/>
                <w:highlight w:val="none"/>
                <w:lang w:val="en-US" w:eastAsia="zh-CN"/>
              </w:rPr>
              <w:t>开标后</w:t>
            </w:r>
            <w:r>
              <w:rPr>
                <w:rFonts w:ascii="宋体" w:hAnsi="宋体" w:eastAsia="宋体"/>
                <w:color w:val="auto"/>
                <w:kern w:val="0"/>
                <w:sz w:val="24"/>
                <w:szCs w:val="24"/>
                <w:highlight w:val="none"/>
              </w:rPr>
              <w:t>从三门峡市公共资源交易中心评标专家库中随机抽取。</w:t>
            </w:r>
          </w:p>
        </w:tc>
      </w:tr>
      <w:tr>
        <w:tblPrEx>
          <w:tblCellMar>
            <w:top w:w="0" w:type="dxa"/>
            <w:left w:w="108" w:type="dxa"/>
            <w:bottom w:w="0" w:type="dxa"/>
            <w:right w:w="108" w:type="dxa"/>
          </w:tblCellMar>
        </w:tblPrEx>
        <w:trPr>
          <w:trHeight w:val="36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1</w:t>
            </w:r>
            <w:r>
              <w:rPr>
                <w:rFonts w:hint="eastAsia" w:ascii="宋体" w:hAnsi="宋体"/>
                <w:color w:val="auto"/>
                <w:kern w:val="0"/>
                <w:sz w:val="24"/>
                <w:szCs w:val="24"/>
                <w:highlight w:val="none"/>
                <w:lang w:val="en-US" w:eastAsia="zh-CN"/>
              </w:rPr>
              <w:t>4</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评标标</w:t>
            </w:r>
          </w:p>
          <w:p>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准及方法</w:t>
            </w:r>
          </w:p>
        </w:tc>
        <w:tc>
          <w:tcPr>
            <w:tcW w:w="747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评定办法：由磋商小组采用综合评分法对提交最后报价的磋商供应商的响应文件和最后报价进行综合评分。综合评分法，是指响应文件满足磋商文件全部实质性要求且按评审因素的量化指标评审得分最高的磋商供应商为成交候选磋商供应商的评审方法。</w:t>
            </w:r>
          </w:p>
        </w:tc>
      </w:tr>
      <w:tr>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left"/>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1</w:t>
            </w:r>
            <w:r>
              <w:rPr>
                <w:rFonts w:hint="eastAsia" w:ascii="宋体" w:hAnsi="宋体" w:eastAsia="宋体"/>
                <w:color w:val="auto"/>
                <w:kern w:val="0"/>
                <w:sz w:val="24"/>
                <w:szCs w:val="24"/>
                <w:highlight w:val="none"/>
                <w:lang w:val="en-US" w:eastAsia="zh-CN"/>
              </w:rPr>
              <w:t>5</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付款方式</w:t>
            </w:r>
          </w:p>
        </w:tc>
        <w:tc>
          <w:tcPr>
            <w:tcW w:w="7472" w:type="dxa"/>
            <w:tcBorders>
              <w:top w:val="single" w:color="000000" w:sz="4" w:space="0"/>
              <w:left w:val="nil"/>
              <w:right w:val="single" w:color="000000" w:sz="4" w:space="0"/>
            </w:tcBorders>
            <w:vAlign w:val="top"/>
          </w:tcPr>
          <w:p>
            <w:pPr>
              <w:spacing w:beforeAutospacing="0" w:afterAutospacing="0" w:line="360" w:lineRule="auto"/>
              <w:jc w:val="left"/>
              <w:rPr>
                <w:rFonts w:hint="default"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合同签订后，</w:t>
            </w:r>
            <w:r>
              <w:rPr>
                <w:rFonts w:hint="eastAsia" w:ascii="宋体" w:hAnsi="宋体"/>
                <w:color w:val="auto"/>
                <w:kern w:val="0"/>
                <w:sz w:val="24"/>
                <w:szCs w:val="24"/>
                <w:highlight w:val="none"/>
                <w:lang w:val="en-US" w:eastAsia="zh-CN"/>
              </w:rPr>
              <w:t>支付合同金额30%，完成鉴定报告支付合同金额30%，通过专家评审后支付合同金额40%。</w:t>
            </w:r>
          </w:p>
        </w:tc>
      </w:tr>
      <w:tr>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16</w:t>
            </w:r>
          </w:p>
        </w:tc>
        <w:tc>
          <w:tcPr>
            <w:tcW w:w="1712" w:type="dxa"/>
            <w:tcBorders>
              <w:top w:val="single" w:color="000000" w:sz="4" w:space="0"/>
              <w:left w:val="nil"/>
              <w:bottom w:val="single" w:color="000000" w:sz="4" w:space="0"/>
              <w:right w:val="single" w:color="000000" w:sz="4" w:space="0"/>
            </w:tcBorders>
            <w:vAlign w:val="center"/>
          </w:tcPr>
          <w:p>
            <w:pPr>
              <w:spacing w:line="500" w:lineRule="exact"/>
              <w:jc w:val="center"/>
              <w:rPr>
                <w:rFonts w:ascii="宋体" w:hAnsi="宋体" w:eastAsia="宋体"/>
                <w:color w:val="auto"/>
                <w:kern w:val="0"/>
                <w:sz w:val="24"/>
                <w:szCs w:val="24"/>
                <w:highlight w:val="none"/>
              </w:rPr>
            </w:pPr>
            <w:r>
              <w:rPr>
                <w:rFonts w:ascii="宋体" w:hAnsi="宋体" w:cs="宋体"/>
                <w:color w:val="auto"/>
                <w:spacing w:val="6"/>
                <w:sz w:val="24"/>
                <w:szCs w:val="24"/>
                <w:highlight w:val="none"/>
              </w:rPr>
              <w:t>偏离</w:t>
            </w:r>
          </w:p>
        </w:tc>
        <w:tc>
          <w:tcPr>
            <w:tcW w:w="7472" w:type="dxa"/>
            <w:tcBorders>
              <w:top w:val="single" w:color="000000" w:sz="4" w:space="0"/>
              <w:left w:val="nil"/>
              <w:right w:val="single" w:color="000000" w:sz="4" w:space="0"/>
            </w:tcBorders>
            <w:vAlign w:val="center"/>
          </w:tcPr>
          <w:p>
            <w:pPr>
              <w:widowControl w:val="0"/>
              <w:spacing w:line="500" w:lineRule="exact"/>
              <w:jc w:val="both"/>
              <w:rPr>
                <w:rFonts w:ascii="宋体" w:hAnsi="宋体" w:eastAsia="宋体"/>
                <w:color w:val="auto"/>
                <w:sz w:val="24"/>
                <w:szCs w:val="24"/>
                <w:highlight w:val="none"/>
                <w:lang w:val="en-US" w:eastAsia="zh-CN"/>
              </w:rPr>
            </w:pPr>
            <w:r>
              <w:rPr>
                <w:rFonts w:hint="eastAsia" w:ascii="宋体" w:hAnsi="宋体" w:cs="宋体"/>
                <w:color w:val="auto"/>
                <w:kern w:val="2"/>
                <w:sz w:val="24"/>
                <w:szCs w:val="24"/>
                <w:highlight w:val="none"/>
              </w:rPr>
              <w:t>允许正偏离</w:t>
            </w:r>
          </w:p>
        </w:tc>
      </w:tr>
      <w:tr>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17</w:t>
            </w:r>
          </w:p>
        </w:tc>
        <w:tc>
          <w:tcPr>
            <w:tcW w:w="1712" w:type="dxa"/>
            <w:tcBorders>
              <w:top w:val="single" w:color="000000" w:sz="4" w:space="0"/>
              <w:left w:val="nil"/>
              <w:bottom w:val="single" w:color="000000" w:sz="4" w:space="0"/>
              <w:right w:val="single" w:color="000000" w:sz="4" w:space="0"/>
            </w:tcBorders>
            <w:vAlign w:val="center"/>
          </w:tcPr>
          <w:p>
            <w:pPr>
              <w:spacing w:line="360" w:lineRule="exact"/>
              <w:jc w:val="center"/>
              <w:rPr>
                <w:rFonts w:ascii="宋体" w:hAnsi="宋体" w:cs="宋体"/>
                <w:color w:val="auto"/>
                <w:spacing w:val="6"/>
                <w:sz w:val="24"/>
                <w:szCs w:val="24"/>
                <w:highlight w:val="none"/>
              </w:rPr>
            </w:pPr>
            <w:r>
              <w:rPr>
                <w:rFonts w:hint="eastAsia" w:asciiTheme="minorEastAsia" w:hAnsiTheme="minorEastAsia" w:eastAsiaTheme="minorEastAsia" w:cstheme="minorEastAsia"/>
                <w:color w:val="auto"/>
                <w:sz w:val="21"/>
                <w:szCs w:val="21"/>
                <w:highlight w:val="none"/>
              </w:rPr>
              <w:t>采购标的所属行业</w:t>
            </w:r>
          </w:p>
        </w:tc>
        <w:tc>
          <w:tcPr>
            <w:tcW w:w="7472" w:type="dxa"/>
            <w:tcBorders>
              <w:top w:val="single" w:color="000000" w:sz="4" w:space="0"/>
              <w:left w:val="nil"/>
              <w:right w:val="single" w:color="000000" w:sz="4" w:space="0"/>
            </w:tcBorders>
            <w:vAlign w:val="center"/>
          </w:tcPr>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本项目为服务类采购项目</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采购标的所属行业:其他未列明行业(包括科学研究和技术服务业，水利、环境和公共设施管理业，居民服务、修理和其他服务业，社会工作，文化、体育和娱乐业等)</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划定标准为:《工业和信息化部、国家统计局、国家发展和改革委员会、财政部关于印发&lt;中小企业划型标准规定的通知&gt;(工信部联企业(2011)300号)规定的划分标准为依据。</w:t>
            </w:r>
          </w:p>
        </w:tc>
      </w:tr>
      <w:tr>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18</w:t>
            </w:r>
          </w:p>
        </w:tc>
        <w:tc>
          <w:tcPr>
            <w:tcW w:w="1712" w:type="dxa"/>
            <w:tcBorders>
              <w:top w:val="single" w:color="000000" w:sz="4" w:space="0"/>
              <w:left w:val="nil"/>
              <w:bottom w:val="single" w:color="000000" w:sz="4" w:space="0"/>
              <w:right w:val="single" w:color="000000" w:sz="4" w:space="0"/>
            </w:tcBorders>
            <w:vAlign w:val="center"/>
          </w:tcPr>
          <w:p>
            <w:pPr>
              <w:widowControl w:val="0"/>
              <w:adjustRightInd w:val="0"/>
              <w:spacing w:line="500" w:lineRule="exact"/>
              <w:jc w:val="center"/>
              <w:rPr>
                <w:rFonts w:ascii="宋体" w:hAnsi="宋体" w:eastAsia="宋体"/>
                <w:color w:val="auto"/>
                <w:kern w:val="0"/>
                <w:sz w:val="24"/>
                <w:szCs w:val="24"/>
                <w:highlight w:val="none"/>
              </w:rPr>
            </w:pPr>
            <w:r>
              <w:rPr>
                <w:rFonts w:hint="eastAsia" w:ascii="宋体" w:hAnsi="宋体" w:cs="宋体"/>
                <w:color w:val="auto"/>
                <w:spacing w:val="6"/>
                <w:sz w:val="24"/>
                <w:szCs w:val="24"/>
                <w:highlight w:val="none"/>
              </w:rPr>
              <w:t>履约保证金</w:t>
            </w:r>
          </w:p>
        </w:tc>
        <w:tc>
          <w:tcPr>
            <w:tcW w:w="7472" w:type="dxa"/>
            <w:tcBorders>
              <w:top w:val="single" w:color="000000" w:sz="4" w:space="0"/>
              <w:left w:val="nil"/>
              <w:right w:val="single" w:color="000000" w:sz="4" w:space="0"/>
            </w:tcBorders>
            <w:vAlign w:val="center"/>
          </w:tcPr>
          <w:p>
            <w:pPr>
              <w:widowControl w:val="0"/>
              <w:snapToGrid w:val="0"/>
              <w:spacing w:line="500" w:lineRule="exact"/>
              <w:jc w:val="both"/>
              <w:rPr>
                <w:rFonts w:ascii="宋体" w:hAnsi="宋体" w:eastAsia="宋体"/>
                <w:color w:val="auto"/>
                <w:sz w:val="24"/>
                <w:szCs w:val="24"/>
                <w:highlight w:val="none"/>
                <w:lang w:val="en-US" w:eastAsia="zh-CN"/>
              </w:rPr>
            </w:pPr>
            <w:r>
              <w:rPr>
                <w:rFonts w:hint="eastAsia" w:ascii="宋体" w:hAnsi="宋体" w:cs="宋体"/>
                <w:color w:val="auto"/>
                <w:sz w:val="24"/>
                <w:highlight w:val="none"/>
              </w:rPr>
              <w:t>无</w:t>
            </w:r>
          </w:p>
        </w:tc>
      </w:tr>
      <w:tr>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19</w:t>
            </w:r>
          </w:p>
        </w:tc>
        <w:tc>
          <w:tcPr>
            <w:tcW w:w="1712"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olor w:val="auto"/>
                <w:kern w:val="0"/>
                <w:sz w:val="24"/>
                <w:szCs w:val="24"/>
                <w:highlight w:val="none"/>
              </w:rPr>
            </w:pPr>
            <w:r>
              <w:rPr>
                <w:rFonts w:hint="eastAsia" w:ascii="宋体" w:hAnsi="宋体" w:cs="宋体"/>
                <w:color w:val="auto"/>
                <w:sz w:val="24"/>
                <w:szCs w:val="24"/>
                <w:highlight w:val="none"/>
              </w:rPr>
              <w:t>重新招标的其他情形</w:t>
            </w:r>
          </w:p>
        </w:tc>
        <w:tc>
          <w:tcPr>
            <w:tcW w:w="7472" w:type="dxa"/>
            <w:tcBorders>
              <w:top w:val="single" w:color="000000" w:sz="4" w:space="0"/>
              <w:left w:val="nil"/>
              <w:right w:val="single" w:color="000000" w:sz="4" w:space="0"/>
            </w:tcBorders>
            <w:vAlign w:val="center"/>
          </w:tcPr>
          <w:p>
            <w:pPr>
              <w:spacing w:line="360" w:lineRule="auto"/>
              <w:rPr>
                <w:rFonts w:ascii="宋体" w:hAnsi="宋体" w:eastAsia="宋体"/>
                <w:color w:val="auto"/>
                <w:sz w:val="24"/>
                <w:szCs w:val="24"/>
                <w:highlight w:val="none"/>
                <w:lang w:val="en-US" w:eastAsia="zh-CN"/>
              </w:rPr>
            </w:pPr>
            <w:r>
              <w:rPr>
                <w:rFonts w:hint="eastAsia" w:ascii="宋体" w:hAnsi="宋体" w:cs="宋体"/>
                <w:color w:val="auto"/>
                <w:sz w:val="24"/>
                <w:szCs w:val="24"/>
                <w:highlight w:val="none"/>
              </w:rPr>
              <w:t>除投标人须知正文规定的情形外，除非已经产生中标候选人，在投标有效期内同意延长投标有效期的投标人少于三个的，招标人应当依法重新招标。</w:t>
            </w:r>
          </w:p>
        </w:tc>
      </w:tr>
      <w:tr>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20</w:t>
            </w:r>
          </w:p>
        </w:tc>
        <w:tc>
          <w:tcPr>
            <w:tcW w:w="1712" w:type="dxa"/>
            <w:tcBorders>
              <w:top w:val="single" w:color="000000" w:sz="4" w:space="0"/>
              <w:left w:val="nil"/>
              <w:bottom w:val="single" w:color="000000" w:sz="4" w:space="0"/>
              <w:right w:val="single" w:color="000000" w:sz="4" w:space="0"/>
            </w:tcBorders>
            <w:vAlign w:val="center"/>
          </w:tcPr>
          <w:p>
            <w:pPr>
              <w:widowControl w:val="0"/>
              <w:adjustRightInd w:val="0"/>
              <w:spacing w:line="500" w:lineRule="exact"/>
              <w:jc w:val="center"/>
              <w:rPr>
                <w:rFonts w:ascii="宋体" w:hAnsi="宋体" w:eastAsia="宋体"/>
                <w:color w:val="auto"/>
                <w:kern w:val="0"/>
                <w:sz w:val="24"/>
                <w:szCs w:val="24"/>
                <w:highlight w:val="none"/>
              </w:rPr>
            </w:pPr>
            <w:r>
              <w:rPr>
                <w:rFonts w:hint="eastAsia" w:ascii="宋体" w:hAnsi="宋体" w:cs="宋体"/>
                <w:color w:val="auto"/>
                <w:spacing w:val="6"/>
                <w:sz w:val="24"/>
                <w:szCs w:val="24"/>
                <w:highlight w:val="none"/>
              </w:rPr>
              <w:t>代理费收取</w:t>
            </w:r>
          </w:p>
        </w:tc>
        <w:tc>
          <w:tcPr>
            <w:tcW w:w="7472" w:type="dxa"/>
            <w:tcBorders>
              <w:top w:val="single" w:color="000000" w:sz="4" w:space="0"/>
              <w:left w:val="nil"/>
              <w:right w:val="single" w:color="000000" w:sz="4" w:space="0"/>
            </w:tcBorders>
            <w:vAlign w:val="center"/>
          </w:tcPr>
          <w:p>
            <w:pPr>
              <w:spacing w:line="520" w:lineRule="exact"/>
              <w:rPr>
                <w:rFonts w:ascii="宋体" w:hAnsi="宋体" w:eastAsia="宋体"/>
                <w:color w:val="auto"/>
                <w:sz w:val="24"/>
                <w:szCs w:val="24"/>
                <w:highlight w:val="none"/>
                <w:lang w:val="en-US" w:eastAsia="zh-CN"/>
              </w:rPr>
            </w:pPr>
            <w:r>
              <w:rPr>
                <w:rFonts w:hint="eastAsia" w:ascii="宋体" w:hAnsi="宋体"/>
                <w:color w:val="auto"/>
                <w:sz w:val="24"/>
                <w:szCs w:val="24"/>
                <w:highlight w:val="none"/>
              </w:rPr>
              <w:t>招标代理服务收费参照豫招协[2023]002号河南省招标投标协会关于印发《河南省招标代理服务收费指导意见》规定的收费标准收取中标服务费。由中标人领取中标通知书时支付。</w:t>
            </w:r>
            <w:r>
              <w:rPr>
                <w:rFonts w:hint="eastAsia"/>
                <w:color w:val="auto"/>
                <w:sz w:val="24"/>
                <w:highlight w:val="none"/>
              </w:rPr>
              <w:t>本项目为政府采购</w:t>
            </w:r>
            <w:r>
              <w:rPr>
                <w:rFonts w:hint="eastAsia"/>
                <w:color w:val="auto"/>
                <w:sz w:val="24"/>
                <w:highlight w:val="none"/>
                <w:lang w:eastAsia="zh-CN"/>
              </w:rPr>
              <w:t>服务</w:t>
            </w:r>
            <w:r>
              <w:rPr>
                <w:rFonts w:hint="eastAsia"/>
                <w:color w:val="auto"/>
                <w:sz w:val="24"/>
                <w:highlight w:val="none"/>
              </w:rPr>
              <w:t>类</w:t>
            </w:r>
            <w:r>
              <w:rPr>
                <w:rFonts w:hint="eastAsia"/>
                <w:color w:val="auto"/>
                <w:sz w:val="24"/>
                <w:highlight w:val="none"/>
                <w:lang w:eastAsia="zh-CN"/>
              </w:rPr>
              <w:t>。</w:t>
            </w:r>
            <w:r>
              <w:rPr>
                <w:rFonts w:hint="eastAsia"/>
                <w:color w:val="auto"/>
                <w:sz w:val="24"/>
                <w:highlight w:val="none"/>
              </w:rPr>
              <w:t>收费标准</w:t>
            </w:r>
            <w:r>
              <w:rPr>
                <w:rFonts w:hint="eastAsia"/>
                <w:color w:val="auto"/>
                <w:sz w:val="24"/>
                <w:highlight w:val="none"/>
                <w:lang w:val="en-US" w:eastAsia="zh-CN"/>
              </w:rPr>
              <w:t>计算方式详见第二章供应商须知第33条</w:t>
            </w:r>
            <w:r>
              <w:rPr>
                <w:rFonts w:hint="eastAsia"/>
                <w:color w:val="auto"/>
                <w:sz w:val="24"/>
                <w:highlight w:val="none"/>
              </w:rPr>
              <w:t>。</w:t>
            </w:r>
          </w:p>
        </w:tc>
      </w:tr>
      <w:tr>
        <w:tblPrEx>
          <w:tblCellMar>
            <w:top w:w="0" w:type="dxa"/>
            <w:left w:w="108" w:type="dxa"/>
            <w:bottom w:w="0" w:type="dxa"/>
            <w:right w:w="108" w:type="dxa"/>
          </w:tblCellMar>
        </w:tblPrEx>
        <w:trPr>
          <w:trHeight w:val="6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21</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近年完成的类似项目的业绩年份要求</w:t>
            </w:r>
          </w:p>
        </w:tc>
        <w:tc>
          <w:tcPr>
            <w:tcW w:w="747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both"/>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2021年1月1日以来</w:t>
            </w:r>
          </w:p>
        </w:tc>
      </w:tr>
      <w:tr>
        <w:tblPrEx>
          <w:tblCellMar>
            <w:top w:w="0" w:type="dxa"/>
            <w:left w:w="108" w:type="dxa"/>
            <w:bottom w:w="0" w:type="dxa"/>
            <w:right w:w="108" w:type="dxa"/>
          </w:tblCellMar>
        </w:tblPrEx>
        <w:trPr>
          <w:trHeight w:val="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22</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预算资金</w:t>
            </w:r>
          </w:p>
        </w:tc>
        <w:tc>
          <w:tcPr>
            <w:tcW w:w="747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项目总预算：</w:t>
            </w:r>
            <w:r>
              <w:rPr>
                <w:rFonts w:hint="eastAsia" w:ascii="宋体" w:hAnsi="宋体"/>
                <w:color w:val="auto"/>
                <w:sz w:val="24"/>
                <w:szCs w:val="24"/>
                <w:highlight w:val="none"/>
                <w:lang w:val="en-US" w:eastAsia="zh-CN"/>
              </w:rPr>
              <w:t>551000.00</w:t>
            </w:r>
            <w:r>
              <w:rPr>
                <w:rFonts w:hint="eastAsia" w:ascii="宋体" w:hAnsi="宋体" w:eastAsia="宋体"/>
                <w:color w:val="auto"/>
                <w:sz w:val="24"/>
                <w:szCs w:val="24"/>
                <w:highlight w:val="none"/>
              </w:rPr>
              <w:t>元</w:t>
            </w:r>
          </w:p>
          <w:p>
            <w:pPr>
              <w:spacing w:beforeAutospacing="0" w:afterAutospacing="0"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供应商的磋商</w:t>
            </w:r>
            <w:r>
              <w:rPr>
                <w:rFonts w:hint="eastAsia" w:ascii="宋体" w:hAnsi="宋体"/>
                <w:color w:val="auto"/>
                <w:sz w:val="24"/>
                <w:highlight w:val="none"/>
                <w:lang w:val="en-US" w:eastAsia="zh-CN"/>
              </w:rPr>
              <w:t>报</w:t>
            </w:r>
            <w:r>
              <w:rPr>
                <w:rFonts w:hint="eastAsia" w:ascii="宋体" w:hAnsi="宋体"/>
                <w:color w:val="auto"/>
                <w:sz w:val="24"/>
                <w:highlight w:val="none"/>
              </w:rPr>
              <w:t>价大于或等于采购预算价的磋商报价为无效报价</w:t>
            </w:r>
          </w:p>
        </w:tc>
      </w:tr>
      <w:tr>
        <w:tblPrEx>
          <w:tblCellMar>
            <w:top w:w="0" w:type="dxa"/>
            <w:left w:w="108" w:type="dxa"/>
            <w:bottom w:w="0" w:type="dxa"/>
            <w:right w:w="108" w:type="dxa"/>
          </w:tblCellMar>
        </w:tblPrEx>
        <w:trPr>
          <w:trHeight w:val="43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23</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是否授权</w:t>
            </w:r>
            <w:r>
              <w:rPr>
                <w:rFonts w:hint="eastAsia" w:ascii="宋体" w:hAnsi="宋体"/>
                <w:color w:val="auto"/>
                <w:kern w:val="0"/>
                <w:sz w:val="24"/>
                <w:szCs w:val="24"/>
                <w:highlight w:val="none"/>
                <w:lang w:eastAsia="zh-CN"/>
              </w:rPr>
              <w:t>磋商小组</w:t>
            </w:r>
            <w:r>
              <w:rPr>
                <w:rFonts w:hint="eastAsia" w:ascii="宋体" w:hAnsi="宋体" w:eastAsia="宋体"/>
                <w:color w:val="auto"/>
                <w:kern w:val="0"/>
                <w:sz w:val="24"/>
                <w:szCs w:val="24"/>
                <w:highlight w:val="none"/>
              </w:rPr>
              <w:t>确定成交单位</w:t>
            </w:r>
          </w:p>
        </w:tc>
        <w:tc>
          <w:tcPr>
            <w:tcW w:w="747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否。推荐3名成交候选人</w:t>
            </w:r>
          </w:p>
        </w:tc>
      </w:tr>
      <w:tr>
        <w:tblPrEx>
          <w:tblCellMar>
            <w:top w:w="0" w:type="dxa"/>
            <w:left w:w="108" w:type="dxa"/>
            <w:bottom w:w="0" w:type="dxa"/>
            <w:right w:w="108" w:type="dxa"/>
          </w:tblCellMar>
        </w:tblPrEx>
        <w:trPr>
          <w:trHeight w:val="6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24</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成交结果公示媒介</w:t>
            </w:r>
          </w:p>
        </w:tc>
        <w:tc>
          <w:tcPr>
            <w:tcW w:w="747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《河南省政府采购网》、《三门峡市公共资源交易平台》、</w:t>
            </w:r>
            <w:r>
              <w:rPr>
                <w:rFonts w:hint="eastAsia" w:ascii="宋体" w:hAnsi="宋体" w:cs="宋体"/>
                <w:bCs/>
                <w:color w:val="auto"/>
                <w:szCs w:val="21"/>
                <w:highlight w:val="none"/>
              </w:rPr>
              <w:t>《</w:t>
            </w:r>
            <w:r>
              <w:rPr>
                <w:rFonts w:hint="eastAsia" w:ascii="宋体" w:hAnsi="宋体"/>
                <w:color w:val="auto"/>
                <w:sz w:val="24"/>
                <w:szCs w:val="24"/>
                <w:highlight w:val="none"/>
                <w:lang w:eastAsia="zh-CN"/>
              </w:rPr>
              <w:t>中国招标投标公共服务平台》</w:t>
            </w:r>
          </w:p>
        </w:tc>
      </w:tr>
      <w:tr>
        <w:tblPrEx>
          <w:tblCellMar>
            <w:top w:w="0" w:type="dxa"/>
            <w:left w:w="108" w:type="dxa"/>
            <w:bottom w:w="0" w:type="dxa"/>
            <w:right w:w="108" w:type="dxa"/>
          </w:tblCellMar>
        </w:tblPrEx>
        <w:trPr>
          <w:trHeight w:val="147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25</w:t>
            </w:r>
          </w:p>
        </w:tc>
        <w:tc>
          <w:tcPr>
            <w:tcW w:w="171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ascii="宋体" w:hAnsi="宋体" w:eastAsia="宋体"/>
                <w:b/>
                <w:color w:val="auto"/>
                <w:kern w:val="0"/>
                <w:sz w:val="24"/>
                <w:szCs w:val="24"/>
                <w:highlight w:val="none"/>
              </w:rPr>
            </w:pPr>
            <w:r>
              <w:rPr>
                <w:rFonts w:ascii="宋体" w:hAnsi="宋体" w:eastAsia="宋体"/>
                <w:b/>
                <w:color w:val="auto"/>
                <w:kern w:val="0"/>
                <w:sz w:val="24"/>
                <w:szCs w:val="24"/>
                <w:highlight w:val="none"/>
              </w:rPr>
              <w:t>电子化注意事项</w:t>
            </w:r>
          </w:p>
        </w:tc>
        <w:tc>
          <w:tcPr>
            <w:tcW w:w="7472"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本项目为电子化交易项目，响应性文件是供应商、供应商（以下简称“供应商”）通过中心响应性文件制作系统制作，并经过电子签章和加密后生成的电子版响应性文件。供应商投标时，不须提交纸质文件资料。</w:t>
            </w:r>
          </w:p>
          <w:p>
            <w:pPr>
              <w:spacing w:beforeAutospacing="0" w:afterAutospacing="0" w:line="360" w:lineRule="auto"/>
              <w:jc w:val="left"/>
              <w:rPr>
                <w:rFonts w:hint="eastAsia" w:ascii="宋体" w:hAnsi="宋体"/>
                <w:color w:val="auto"/>
                <w:kern w:val="0"/>
                <w:sz w:val="24"/>
                <w:szCs w:val="24"/>
                <w:highlight w:val="none"/>
                <w:lang w:eastAsia="zh-CN"/>
              </w:rPr>
            </w:pPr>
            <w:r>
              <w:rPr>
                <w:rFonts w:hint="eastAsia" w:ascii="宋体" w:hAnsi="宋体" w:eastAsia="宋体"/>
                <w:color w:val="auto"/>
                <w:kern w:val="0"/>
                <w:sz w:val="24"/>
                <w:szCs w:val="24"/>
                <w:highlight w:val="none"/>
              </w:rPr>
              <w:t>电子化响应性文件具体制作教材请供应商通过CA证书登录三门峡市公共资源电子化交易系统在 “交易智库”中下载操作流程</w:t>
            </w:r>
            <w:r>
              <w:rPr>
                <w:rFonts w:hint="eastAsia" w:ascii="宋体" w:hAnsi="宋体"/>
                <w:color w:val="auto"/>
                <w:kern w:val="0"/>
                <w:sz w:val="24"/>
                <w:szCs w:val="24"/>
                <w:highlight w:val="none"/>
                <w:lang w:eastAsia="zh-CN"/>
              </w:rPr>
              <w:t>。</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温馨提示：本项目为电子化、无纸化交易项目，供应商时不接</w:t>
            </w:r>
            <w:r>
              <w:rPr>
                <w:rFonts w:hint="eastAsia" w:ascii="宋体" w:hAnsi="宋体"/>
                <w:color w:val="auto"/>
                <w:kern w:val="0"/>
                <w:sz w:val="24"/>
                <w:szCs w:val="24"/>
                <w:highlight w:val="none"/>
                <w:lang w:eastAsia="zh-CN"/>
              </w:rPr>
              <w:t>。</w:t>
            </w:r>
            <w:r>
              <w:rPr>
                <w:rFonts w:hint="eastAsia" w:ascii="宋体" w:hAnsi="宋体" w:eastAsia="宋体"/>
                <w:color w:val="auto"/>
                <w:kern w:val="0"/>
                <w:sz w:val="24"/>
                <w:szCs w:val="24"/>
                <w:highlight w:val="none"/>
              </w:rPr>
              <w:t>受任何纸质资料，为保证您能投标成功，请需仔细阅读以下条款。</w:t>
            </w:r>
          </w:p>
          <w:p>
            <w:pPr>
              <w:spacing w:beforeAutospacing="0" w:afterAutospacing="0" w:line="360" w:lineRule="auto"/>
              <w:jc w:val="lef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一、电子化投标</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（一）电子化响应性文件的签章</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1、供应商在生成电子化响应性文件后，应对电子化响应性文件进行签章，未进行签章的视为无效投标。</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http://t.cn/A6ZvtVob进行下载。</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（二）电子化响应性文件的格式及上传投标</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注：供应商投报多个标段的，需要每个标段单独制作电子响应性文件。</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2、电子化响应性文件应在投标截止时间前成功上传至三门峡市公共资源电子化交易系统。至投标截止时间止，仍未上传成功的电子化响应性文件将不予接收。</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技术联系电话：400-998-0000</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主体库咨询电话:0398-3117815</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CA证书制发:0398-2181635</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科技信息科:0398-3117095</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（三）电子化项目开标、解密、唱标、评标</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3、电子化响应性文件解密异常的处理</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如出现供应商的电子响应性文件无法解密等异常情况，供应商应及时致电中介服务机构说明。响应性文件异常，按以下步骤进行处理：</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（1）首先由技术人员进行问题排查。</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（2）经技术人员排查后，是供应商文件自身问题导致响应性文件无法解密的，该响应性文件将不予接收、解密和唱标。开标会议继续进行。</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4、待所有供应商响应性文件解密完成后，由中介服务机构操作，对所有已解密响应性文件进行唱标。</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供应商应保证在开标期间电话、电脑、网络能够正常工作，供应商因停电、电脑病毒、网络堵塞等原因，未在规定的解密时间内对响应性文件进行解密的，其响应性文件不予接收、唱标。</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5、开标时供应商可登录到交易系统中在开标解密栏中点击报价一览表查看自己的投标报价。如对自己的唱标内容有异议的，应在供应商解密成功后10分钟内向中服务机构通过开标大厅对话框提出质疑。中介服务机构应在监督人员的监督下接受</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的质疑通过开标大厅对话框</w:t>
            </w:r>
            <w:r>
              <w:rPr>
                <w:rFonts w:hint="eastAsia" w:ascii="宋体" w:hAnsi="宋体" w:eastAsia="宋体"/>
                <w:color w:val="auto"/>
                <w:kern w:val="0"/>
                <w:sz w:val="24"/>
                <w:szCs w:val="24"/>
                <w:highlight w:val="none"/>
                <w:lang w:val="en-US" w:eastAsia="zh-CN"/>
              </w:rPr>
              <w:t>进行答复</w:t>
            </w:r>
            <w:r>
              <w:rPr>
                <w:rFonts w:hint="eastAsia" w:ascii="宋体" w:hAnsi="宋体" w:eastAsia="宋体"/>
                <w:color w:val="auto"/>
                <w:kern w:val="0"/>
                <w:sz w:val="24"/>
                <w:szCs w:val="24"/>
                <w:highlight w:val="none"/>
              </w:rPr>
              <w:t>并做好书面记录。</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未在规定时间内提出质疑的，视为认可唱标内容。</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6、评标时，</w:t>
            </w:r>
            <w:r>
              <w:rPr>
                <w:rFonts w:hint="eastAsia" w:ascii="宋体" w:hAnsi="宋体" w:eastAsia="宋体"/>
                <w:color w:val="auto"/>
                <w:kern w:val="0"/>
                <w:sz w:val="24"/>
                <w:szCs w:val="24"/>
                <w:highlight w:val="none"/>
                <w:lang w:val="en-US" w:eastAsia="zh-CN"/>
              </w:rPr>
              <w:t>磋商小组</w:t>
            </w:r>
            <w:r>
              <w:rPr>
                <w:rFonts w:hint="eastAsia" w:ascii="宋体" w:hAnsi="宋体" w:eastAsia="宋体"/>
                <w:color w:val="auto"/>
                <w:kern w:val="0"/>
                <w:sz w:val="24"/>
                <w:szCs w:val="24"/>
                <w:highlight w:val="none"/>
              </w:rPr>
              <w:t>对电子化投标文件有质疑的，将通过电子化交易系统</w:t>
            </w:r>
            <w:r>
              <w:rPr>
                <w:rFonts w:hint="eastAsia" w:ascii="宋体" w:hAnsi="宋体" w:eastAsia="宋体"/>
                <w:color w:val="auto"/>
                <w:kern w:val="0"/>
                <w:sz w:val="24"/>
                <w:szCs w:val="24"/>
                <w:highlight w:val="none"/>
                <w:lang w:val="en-US" w:eastAsia="zh-CN"/>
              </w:rPr>
              <w:t>向供应商</w:t>
            </w:r>
            <w:r>
              <w:rPr>
                <w:rFonts w:hint="eastAsia" w:ascii="宋体" w:hAnsi="宋体" w:eastAsia="宋体"/>
                <w:color w:val="auto"/>
                <w:kern w:val="0"/>
                <w:sz w:val="24"/>
                <w:szCs w:val="24"/>
                <w:highlight w:val="none"/>
              </w:rPr>
              <w:t>发起质疑。</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的回复文件必须以经过</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和其法定代表人签章的PDF式文件为准，并通过电子化交易系统提交至</w:t>
            </w:r>
            <w:r>
              <w:rPr>
                <w:rFonts w:hint="eastAsia" w:ascii="宋体" w:hAnsi="宋体" w:eastAsia="宋体"/>
                <w:color w:val="auto"/>
                <w:kern w:val="0"/>
                <w:sz w:val="24"/>
                <w:szCs w:val="24"/>
                <w:highlight w:val="none"/>
                <w:lang w:val="en-US" w:eastAsia="zh-CN"/>
              </w:rPr>
              <w:t>磋商小组</w:t>
            </w:r>
            <w:r>
              <w:rPr>
                <w:rFonts w:hint="eastAsia" w:ascii="宋体" w:hAnsi="宋体" w:eastAsia="宋体"/>
                <w:color w:val="auto"/>
                <w:kern w:val="0"/>
                <w:sz w:val="24"/>
                <w:szCs w:val="24"/>
                <w:highlight w:val="none"/>
              </w:rPr>
              <w:t>。</w:t>
            </w:r>
          </w:p>
          <w:p>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7、</w:t>
            </w:r>
            <w:r>
              <w:rPr>
                <w:rFonts w:hint="eastAsia" w:ascii="宋体" w:hAnsi="宋体" w:eastAsia="宋体"/>
                <w:color w:val="auto"/>
                <w:kern w:val="0"/>
                <w:sz w:val="24"/>
                <w:szCs w:val="24"/>
                <w:highlight w:val="none"/>
                <w:lang w:val="en-US" w:eastAsia="zh-CN"/>
              </w:rPr>
              <w:t>各响应人在会员系统中收到有关二次报价信息后，必须在规定时间内给出答复，并在签章后提交，采购人及采购代理机构不再电话通知。需要回复的响应人在规定的时间内未回复的，视为响应人放弃回复，磋商小组将自行对需要回复的内容进行认定。</w:t>
            </w:r>
          </w:p>
          <w:p>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color w:val="auto"/>
                <w:sz w:val="24"/>
                <w:szCs w:val="24"/>
                <w:highlight w:val="none"/>
              </w:rPr>
              <w:t>相关证书原件的提交</w:t>
            </w:r>
          </w:p>
          <w:p>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1、根据优化营商环境的要求，评标时以响应文件为准，可使用电子营业执照；</w:t>
            </w:r>
          </w:p>
          <w:p>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资格评（预）审部分：资格评（预）以响应文件为准，其上传资料真实性由</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自行承担。</w:t>
            </w:r>
          </w:p>
          <w:p>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为资格后审，资格审查由采购人依法组建的磋商小组负责。审查内容以磋商截止时间前在三门峡市公共资源交易平台“响应文件”上传的信息为准。规定时间外上传或更改的信息不作为评标依据。响应文件中上传的信息真实有效，扫描件清晰可辨。否则，由此造成应得分而未得分或资格审查不合格等情况的，由</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承担责任。</w:t>
            </w:r>
          </w:p>
          <w:p>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3、本项目为电子化、无纸化交易项目，开标时不再接受任何纸质资料，为保证您能投标成功，请需仔细阅读磋商文件和三门峡市公共资源交易中心官网业务办理指南。</w:t>
            </w:r>
          </w:p>
          <w:p>
            <w:pPr>
              <w:spacing w:beforeAutospacing="0" w:afterAutospacing="0" w:line="360" w:lineRule="auto"/>
              <w:jc w:val="left"/>
              <w:rPr>
                <w:rFonts w:hint="eastAsia" w:ascii="宋体" w:hAnsi="宋体" w:eastAsia="宋体"/>
                <w:color w:val="auto"/>
                <w:kern w:val="0"/>
                <w:sz w:val="24"/>
                <w:szCs w:val="24"/>
                <w:highlight w:val="none"/>
                <w:lang w:val="en-US" w:eastAsia="zh-CN"/>
              </w:rPr>
            </w:pPr>
            <w:r>
              <w:rPr>
                <w:rFonts w:hint="eastAsia" w:ascii="宋体" w:hAnsi="宋体" w:eastAsia="宋体" w:cs="宋体"/>
                <w:color w:val="auto"/>
                <w:sz w:val="24"/>
                <w:szCs w:val="24"/>
                <w:highlight w:val="none"/>
              </w:rPr>
              <w:t>4、我单位（采购人）严格按三财购（2021）9 号文要求的时限发布结果公告，发出成交通知书，签订采购合同，上传采购合同</w:t>
            </w:r>
            <w:r>
              <w:rPr>
                <w:rFonts w:hint="eastAsia" w:ascii="宋体" w:hAnsi="宋体" w:cs="宋体"/>
                <w:color w:val="auto"/>
                <w:sz w:val="24"/>
                <w:szCs w:val="24"/>
                <w:highlight w:val="none"/>
                <w:lang w:eastAsia="zh-CN"/>
              </w:rPr>
              <w:t>。</w:t>
            </w:r>
          </w:p>
        </w:tc>
      </w:tr>
    </w:tbl>
    <w:p>
      <w:pPr>
        <w:spacing w:beforeAutospacing="0" w:afterAutospacing="0" w:line="360" w:lineRule="auto"/>
        <w:jc w:val="center"/>
        <w:rPr>
          <w:rFonts w:hint="eastAsia" w:ascii="宋体" w:hAnsi="宋体" w:eastAsia="宋体"/>
          <w:b/>
          <w:bCs/>
          <w:color w:val="auto"/>
          <w:sz w:val="24"/>
          <w:szCs w:val="24"/>
          <w:highlight w:val="none"/>
        </w:rPr>
      </w:pPr>
    </w:p>
    <w:p>
      <w:pPr>
        <w:pStyle w:val="3"/>
        <w:spacing w:before="244"/>
        <w:ind w:left="320"/>
        <w:jc w:val="center"/>
        <w:rPr>
          <w:rFonts w:hint="eastAsia" w:ascii="宋体" w:hAnsi="宋体" w:eastAsia="宋体" w:cs="宋体"/>
          <w:color w:val="auto"/>
          <w:sz w:val="24"/>
          <w:szCs w:val="24"/>
          <w:highlight w:val="none"/>
        </w:rPr>
      </w:pPr>
      <w:bookmarkStart w:id="21" w:name="服务需求及技术要求"/>
      <w:r>
        <w:rPr>
          <w:rFonts w:hint="eastAsia" w:ascii="宋体" w:hAnsi="宋体" w:eastAsia="宋体" w:cs="宋体"/>
          <w:color w:val="auto"/>
          <w:sz w:val="24"/>
          <w:szCs w:val="24"/>
          <w:highlight w:val="none"/>
        </w:rPr>
        <w:t>供应商须知</w:t>
      </w:r>
    </w:p>
    <w:p>
      <w:pPr>
        <w:pStyle w:val="71"/>
        <w:spacing w:line="360" w:lineRule="auto"/>
        <w:ind w:left="0" w:firstLine="482" w:firstLineChars="200"/>
        <w:outlineLvl w:val="0"/>
        <w:rPr>
          <w:rFonts w:hint="eastAsia" w:ascii="宋体" w:hAnsi="宋体" w:eastAsia="宋体" w:cs="宋体"/>
          <w:b/>
          <w:bCs/>
          <w:color w:val="auto"/>
          <w:sz w:val="24"/>
          <w:szCs w:val="24"/>
          <w:highlight w:val="none"/>
        </w:rPr>
      </w:pPr>
      <w:bookmarkStart w:id="22" w:name="_Toc487498474"/>
      <w:bookmarkStart w:id="23" w:name="_Toc455080108"/>
      <w:bookmarkStart w:id="24" w:name="_Toc7628"/>
      <w:bookmarkStart w:id="25" w:name="_Toc22449"/>
      <w:bookmarkStart w:id="26" w:name="_Toc20123_WPSOffice_Level2"/>
      <w:bookmarkStart w:id="27" w:name="_Toc488504474"/>
      <w:r>
        <w:rPr>
          <w:rFonts w:hint="eastAsia" w:ascii="宋体" w:hAnsi="宋体" w:eastAsia="宋体" w:cs="宋体"/>
          <w:b/>
          <w:bCs/>
          <w:color w:val="auto"/>
          <w:sz w:val="24"/>
          <w:szCs w:val="24"/>
          <w:highlight w:val="none"/>
        </w:rPr>
        <w:t>1. 总则</w:t>
      </w:r>
      <w:bookmarkEnd w:id="22"/>
      <w:bookmarkEnd w:id="23"/>
      <w:bookmarkEnd w:id="24"/>
      <w:bookmarkEnd w:id="25"/>
      <w:bookmarkEnd w:id="26"/>
      <w:bookmarkEnd w:id="27"/>
    </w:p>
    <w:p>
      <w:pPr>
        <w:ind w:firstLine="480" w:firstLineChars="200"/>
        <w:rPr>
          <w:rFonts w:hint="eastAsia" w:ascii="宋体" w:hAnsi="宋体" w:eastAsia="宋体" w:cs="宋体"/>
          <w:color w:val="auto"/>
          <w:sz w:val="24"/>
          <w:szCs w:val="24"/>
          <w:highlight w:val="none"/>
        </w:rPr>
      </w:pPr>
      <w:bookmarkStart w:id="28" w:name="_Toc1172"/>
      <w:bookmarkStart w:id="29" w:name="_Toc15709"/>
      <w:bookmarkStart w:id="30" w:name="_Toc281380952"/>
      <w:bookmarkStart w:id="31" w:name="_Toc274409866"/>
      <w:bookmarkStart w:id="32" w:name="_Toc31404"/>
      <w:bookmarkStart w:id="33" w:name="_Toc29023"/>
      <w:bookmarkStart w:id="34" w:name="_Toc318450675"/>
      <w:bookmarkStart w:id="35" w:name="_Toc463701031"/>
      <w:bookmarkStart w:id="36" w:name="_Toc455080109"/>
      <w:bookmarkStart w:id="37" w:name="_Toc464035510"/>
      <w:bookmarkStart w:id="38" w:name="_Toc21458"/>
      <w:bookmarkStart w:id="39" w:name="_Toc21496_WPSOffice_Level3"/>
      <w:bookmarkStart w:id="40" w:name="_Toc10273"/>
      <w:bookmarkStart w:id="41" w:name="_Toc152042307"/>
      <w:bookmarkStart w:id="42" w:name="_Toc144974499"/>
      <w:bookmarkStart w:id="43" w:name="_Toc152045531"/>
      <w:r>
        <w:rPr>
          <w:rFonts w:hint="eastAsia" w:ascii="宋体" w:hAnsi="宋体" w:eastAsia="宋体" w:cs="宋体"/>
          <w:color w:val="auto"/>
          <w:sz w:val="24"/>
          <w:szCs w:val="24"/>
          <w:highlight w:val="none"/>
        </w:rPr>
        <w:t>1.1 适用范围</w:t>
      </w:r>
      <w:bookmarkEnd w:id="28"/>
      <w:bookmarkEnd w:id="29"/>
      <w:bookmarkEnd w:id="30"/>
      <w:bookmarkEnd w:id="31"/>
      <w:bookmarkEnd w:id="32"/>
      <w:bookmarkEnd w:id="33"/>
      <w:bookmarkEnd w:id="34"/>
      <w:bookmarkEnd w:id="35"/>
      <w:bookmarkEnd w:id="36"/>
      <w:bookmarkEnd w:id="37"/>
      <w:bookmarkEnd w:id="38"/>
      <w:bookmarkEnd w:id="39"/>
      <w:bookmarkEnd w:id="40"/>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1.1.1根据《中华人民共和国政府采购法》等有关法律、法规和规章的规定，编制本项目磋商文件。</w:t>
      </w:r>
    </w:p>
    <w:p>
      <w:pPr>
        <w:ind w:firstLine="480" w:firstLineChars="200"/>
        <w:rPr>
          <w:rFonts w:hint="eastAsia" w:ascii="宋体" w:hAnsi="宋体" w:eastAsia="宋体" w:cs="宋体"/>
          <w:color w:val="auto"/>
          <w:sz w:val="24"/>
          <w:szCs w:val="24"/>
          <w:highlight w:val="none"/>
        </w:rPr>
      </w:pPr>
      <w:bookmarkStart w:id="44" w:name="_Toc463701032"/>
      <w:bookmarkStart w:id="45" w:name="_Toc25399_WPSOffice_Level3"/>
      <w:bookmarkStart w:id="46" w:name="_Toc318450676"/>
      <w:bookmarkStart w:id="47" w:name="_Toc281405468"/>
      <w:bookmarkStart w:id="48" w:name="_Toc25773"/>
      <w:bookmarkStart w:id="49" w:name="_Toc32619"/>
      <w:bookmarkStart w:id="50" w:name="_Toc30891"/>
      <w:bookmarkStart w:id="51" w:name="_Toc710"/>
      <w:bookmarkStart w:id="52" w:name="_Toc455080110"/>
      <w:bookmarkStart w:id="53" w:name="_Toc3336"/>
      <w:bookmarkStart w:id="54" w:name="_Toc464035511"/>
      <w:bookmarkStart w:id="55" w:name="_Toc274409867"/>
      <w:bookmarkStart w:id="56" w:name="_Toc2929"/>
      <w:r>
        <w:rPr>
          <w:rFonts w:hint="eastAsia" w:ascii="宋体" w:hAnsi="宋体" w:eastAsia="宋体" w:cs="宋体"/>
          <w:color w:val="auto"/>
          <w:sz w:val="24"/>
          <w:szCs w:val="24"/>
          <w:highlight w:val="none"/>
        </w:rPr>
        <w:t>1.2 采购项目说明</w:t>
      </w:r>
      <w:bookmarkEnd w:id="44"/>
      <w:bookmarkEnd w:id="45"/>
      <w:bookmarkEnd w:id="46"/>
      <w:bookmarkEnd w:id="47"/>
      <w:bookmarkEnd w:id="48"/>
      <w:bookmarkEnd w:id="49"/>
      <w:bookmarkEnd w:id="50"/>
      <w:bookmarkEnd w:id="51"/>
      <w:bookmarkEnd w:id="52"/>
      <w:bookmarkEnd w:id="53"/>
      <w:bookmarkEnd w:id="54"/>
      <w:bookmarkEnd w:id="55"/>
      <w:bookmarkEnd w:id="5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本项目采购人：见供应商须知前附表。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本项目采购代理机构：见供应商须知前附表。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本项目名称：见供应商须知前附表。</w:t>
      </w:r>
    </w:p>
    <w:p>
      <w:pPr>
        <w:ind w:firstLine="480" w:firstLineChars="200"/>
        <w:rPr>
          <w:rFonts w:hint="eastAsia" w:ascii="宋体" w:hAnsi="宋体" w:eastAsia="宋体" w:cs="宋体"/>
          <w:color w:val="auto"/>
          <w:sz w:val="24"/>
          <w:szCs w:val="24"/>
          <w:highlight w:val="none"/>
        </w:rPr>
      </w:pPr>
      <w:bookmarkStart w:id="57" w:name="_Toc281405469"/>
      <w:bookmarkStart w:id="58" w:name="_Toc31122_WPSOffice_Level3"/>
      <w:bookmarkStart w:id="59" w:name="_Toc17016"/>
      <w:bookmarkStart w:id="60" w:name="_Toc16931"/>
      <w:bookmarkStart w:id="61" w:name="_Toc455080111"/>
      <w:bookmarkStart w:id="62" w:name="_Toc274409868"/>
      <w:bookmarkStart w:id="63" w:name="_Toc318450677"/>
      <w:bookmarkStart w:id="64" w:name="_Toc18960"/>
      <w:bookmarkStart w:id="65" w:name="_Toc4952"/>
      <w:bookmarkStart w:id="66" w:name="_Toc464035512"/>
      <w:bookmarkStart w:id="67" w:name="_Toc3477"/>
      <w:bookmarkStart w:id="68" w:name="_Toc1373"/>
      <w:bookmarkStart w:id="69" w:name="_Toc463701033"/>
      <w:r>
        <w:rPr>
          <w:rFonts w:hint="eastAsia" w:ascii="宋体" w:hAnsi="宋体" w:eastAsia="宋体" w:cs="宋体"/>
          <w:color w:val="auto"/>
          <w:sz w:val="24"/>
          <w:szCs w:val="24"/>
          <w:highlight w:val="none"/>
        </w:rPr>
        <w:t>1.3 定义及解释</w:t>
      </w:r>
      <w:bookmarkEnd w:id="57"/>
      <w:bookmarkEnd w:id="58"/>
      <w:bookmarkEnd w:id="59"/>
      <w:bookmarkEnd w:id="60"/>
      <w:bookmarkEnd w:id="61"/>
      <w:bookmarkEnd w:id="62"/>
      <w:bookmarkEnd w:id="63"/>
      <w:bookmarkEnd w:id="64"/>
      <w:bookmarkEnd w:id="65"/>
      <w:bookmarkEnd w:id="66"/>
      <w:bookmarkEnd w:id="67"/>
      <w:bookmarkEnd w:id="68"/>
      <w:bookmarkEnd w:id="69"/>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1.3.1采购人：依法进行政府采购的国家机关、事业单位、团体组织。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1.3.2采购代理机构：取得政府采购招标代理资质，受采购人委托组织招标活动的社会中介组织。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1.3.3服务：系指根据本磋商文件规定供应商须承担的方案编制以及其他类似的义务等。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1.3.4供应商：供应商是响应磋商文件、参加磋商竞争的中华人民共和国境内的法人、其它组织。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1.3.5响应文件：指供应商根据磋商文件提交的所有文件。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1.3.6磋商小组：依据</w:t>
      </w:r>
      <w:r>
        <w:rPr>
          <w:rFonts w:hint="eastAsia" w:ascii="宋体" w:hAnsi="宋体" w:eastAsia="宋体" w:cs="宋体"/>
          <w:color w:val="auto"/>
          <w:sz w:val="24"/>
          <w:szCs w:val="24"/>
          <w:highlight w:val="none"/>
          <w:lang w:bidi="en-US"/>
        </w:rPr>
        <w:t>《中华人民共和国政府采购法》及有关法律、法规的规定依法组建的专门负责本次评标工作的临时机构</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1.3.7偏离：响应文件的响应相对于磋商文件要求的偏差，该偏差优于磋商文件要求的为正偏离；劣于的，为负偏离。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1.3.8“日期”或“天”：指日历天。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1.3.9合同：指依据本次采购招标结果签订的协议或合约文件。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1.3.10磋商文件中的标题或题名仅起引导作用，而不应视为对磋商文件内容的理解和解释。</w:t>
      </w:r>
    </w:p>
    <w:bookmarkEnd w:id="41"/>
    <w:bookmarkEnd w:id="42"/>
    <w:bookmarkEnd w:id="43"/>
    <w:p>
      <w:pPr>
        <w:spacing w:line="360" w:lineRule="auto"/>
        <w:ind w:firstLine="480" w:firstLineChars="200"/>
        <w:rPr>
          <w:rFonts w:hint="eastAsia" w:ascii="宋体" w:hAnsi="宋体" w:eastAsia="宋体" w:cs="宋体"/>
          <w:color w:val="auto"/>
          <w:sz w:val="24"/>
          <w:szCs w:val="24"/>
          <w:highlight w:val="none"/>
        </w:rPr>
      </w:pPr>
      <w:bookmarkStart w:id="70" w:name="_Toc464035513"/>
      <w:bookmarkStart w:id="71" w:name="_Toc16470"/>
      <w:bookmarkStart w:id="72" w:name="_Toc318450678"/>
      <w:bookmarkStart w:id="73" w:name="_Toc27407"/>
      <w:bookmarkStart w:id="74" w:name="_Toc463701034"/>
      <w:bookmarkStart w:id="75" w:name="_Toc144974500"/>
      <w:bookmarkStart w:id="76" w:name="_Toc152045532"/>
      <w:bookmarkStart w:id="77" w:name="_Toc3626_WPSOffice_Level3"/>
      <w:bookmarkStart w:id="78" w:name="_Toc14043"/>
      <w:bookmarkStart w:id="79" w:name="_Toc455080112"/>
      <w:bookmarkStart w:id="80" w:name="_Toc152042308"/>
      <w:bookmarkStart w:id="81" w:name="_Toc21766"/>
      <w:bookmarkStart w:id="82" w:name="_Toc19363"/>
      <w:bookmarkStart w:id="83" w:name="_Toc12752"/>
      <w:r>
        <w:rPr>
          <w:rFonts w:hint="eastAsia" w:ascii="宋体" w:hAnsi="宋体" w:eastAsia="宋体" w:cs="宋体"/>
          <w:color w:val="auto"/>
          <w:sz w:val="24"/>
          <w:szCs w:val="24"/>
          <w:highlight w:val="none"/>
        </w:rPr>
        <w:t>1.4 采购内容、数量，供货日期和质量要求</w:t>
      </w:r>
      <w:bookmarkEnd w:id="70"/>
      <w:bookmarkEnd w:id="71"/>
      <w:bookmarkEnd w:id="72"/>
      <w:bookmarkEnd w:id="73"/>
      <w:bookmarkEnd w:id="74"/>
      <w:bookmarkEnd w:id="75"/>
      <w:bookmarkEnd w:id="76"/>
      <w:bookmarkEnd w:id="77"/>
      <w:bookmarkEnd w:id="78"/>
      <w:bookmarkEnd w:id="79"/>
      <w:bookmarkEnd w:id="80"/>
      <w:bookmarkEnd w:id="81"/>
      <w:bookmarkEnd w:id="82"/>
      <w:bookmarkEnd w:id="83"/>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本次采购内容、数量：见供应商须知前附表。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本项目的供货日期：见供应商须知前附表。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本项目的质量要求：见供应商须知前附表。</w:t>
      </w:r>
    </w:p>
    <w:p>
      <w:pPr>
        <w:ind w:firstLine="480" w:firstLineChars="200"/>
        <w:rPr>
          <w:rFonts w:hint="eastAsia" w:ascii="宋体" w:hAnsi="宋体" w:eastAsia="宋体" w:cs="宋体"/>
          <w:color w:val="auto"/>
          <w:sz w:val="24"/>
          <w:szCs w:val="24"/>
          <w:highlight w:val="none"/>
        </w:rPr>
      </w:pPr>
      <w:bookmarkStart w:id="84" w:name="_Toc455080115"/>
      <w:bookmarkStart w:id="85" w:name="_Toc152045536"/>
      <w:bookmarkStart w:id="86" w:name="_Toc20145"/>
      <w:bookmarkStart w:id="87" w:name="_Toc6014"/>
      <w:bookmarkStart w:id="88" w:name="_Toc32053"/>
      <w:bookmarkStart w:id="89" w:name="_Toc463701037"/>
      <w:bookmarkStart w:id="90" w:name="_Toc152042312"/>
      <w:bookmarkStart w:id="91" w:name="_Toc2622"/>
      <w:bookmarkStart w:id="92" w:name="_Toc8055"/>
      <w:bookmarkStart w:id="93" w:name="_Toc318450681"/>
      <w:bookmarkStart w:id="94" w:name="_Toc7579_WPSOffice_Level3"/>
      <w:bookmarkStart w:id="95" w:name="_Toc464035516"/>
      <w:bookmarkStart w:id="96" w:name="_Toc144974504"/>
      <w:bookmarkStart w:id="97" w:name="_Toc5402"/>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保密</w:t>
      </w:r>
      <w:bookmarkEnd w:id="84"/>
      <w:bookmarkEnd w:id="85"/>
      <w:bookmarkEnd w:id="86"/>
      <w:bookmarkEnd w:id="87"/>
      <w:bookmarkEnd w:id="88"/>
      <w:bookmarkEnd w:id="89"/>
      <w:bookmarkEnd w:id="90"/>
      <w:bookmarkEnd w:id="91"/>
      <w:bookmarkEnd w:id="92"/>
      <w:bookmarkEnd w:id="93"/>
      <w:bookmarkEnd w:id="94"/>
      <w:bookmarkEnd w:id="95"/>
      <w:bookmarkEnd w:id="96"/>
      <w:bookmarkEnd w:id="9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参与磋商活动的各方应对磋商文件和响应文件中的商业和技术等秘密保密，违者应对由此造成的后果承担法律责任。 </w:t>
      </w:r>
    </w:p>
    <w:p>
      <w:pPr>
        <w:ind w:firstLine="480" w:firstLineChars="200"/>
        <w:rPr>
          <w:rFonts w:hint="eastAsia" w:ascii="宋体" w:hAnsi="宋体" w:eastAsia="宋体" w:cs="宋体"/>
          <w:color w:val="auto"/>
          <w:sz w:val="24"/>
          <w:szCs w:val="24"/>
          <w:highlight w:val="none"/>
        </w:rPr>
      </w:pPr>
      <w:bookmarkStart w:id="98" w:name="_Toc144974505"/>
      <w:bookmarkStart w:id="99" w:name="_Toc14775"/>
      <w:bookmarkStart w:id="100" w:name="_Toc318450682"/>
      <w:bookmarkStart w:id="101" w:name="_Toc464035517"/>
      <w:bookmarkStart w:id="102" w:name="_Toc152042313"/>
      <w:bookmarkStart w:id="103" w:name="_Toc25517"/>
      <w:bookmarkStart w:id="104" w:name="_Toc30747"/>
      <w:bookmarkStart w:id="105" w:name="_Toc3628"/>
      <w:bookmarkStart w:id="106" w:name="_Toc152045537"/>
      <w:bookmarkStart w:id="107" w:name="_Toc30583"/>
      <w:bookmarkStart w:id="108" w:name="_Toc19210_WPSOffice_Level3"/>
      <w:bookmarkStart w:id="109" w:name="_Toc463701038"/>
      <w:bookmarkStart w:id="110" w:name="_Toc455080116"/>
      <w:bookmarkStart w:id="111" w:name="_Toc21089"/>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语言</w:t>
      </w:r>
      <w:bookmarkEnd w:id="98"/>
      <w:r>
        <w:rPr>
          <w:rFonts w:hint="eastAsia" w:ascii="宋体" w:hAnsi="宋体" w:eastAsia="宋体" w:cs="宋体"/>
          <w:color w:val="auto"/>
          <w:sz w:val="24"/>
          <w:szCs w:val="24"/>
          <w:highlight w:val="none"/>
        </w:rPr>
        <w:t>文字</w:t>
      </w:r>
      <w:bookmarkEnd w:id="99"/>
      <w:bookmarkEnd w:id="100"/>
      <w:bookmarkEnd w:id="101"/>
      <w:bookmarkEnd w:id="102"/>
      <w:bookmarkEnd w:id="103"/>
      <w:bookmarkEnd w:id="104"/>
      <w:bookmarkEnd w:id="105"/>
      <w:bookmarkEnd w:id="106"/>
      <w:bookmarkEnd w:id="107"/>
      <w:bookmarkEnd w:id="108"/>
      <w:bookmarkEnd w:id="109"/>
      <w:bookmarkEnd w:id="110"/>
      <w:bookmarkEnd w:id="111"/>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除专用术语外，与磋商有关的语言均使用中文。必要时专用术语应附有中文注释，</w:t>
      </w:r>
      <w:r>
        <w:rPr>
          <w:rFonts w:hint="eastAsia" w:ascii="宋体" w:hAnsi="宋体" w:eastAsia="宋体" w:cs="宋体"/>
          <w:color w:val="auto"/>
          <w:sz w:val="24"/>
          <w:szCs w:val="24"/>
          <w:highlight w:val="none"/>
          <w:lang w:bidi="en-US"/>
        </w:rPr>
        <w:t>对不同文字文本响应文件的解释发生异议的，以中文文本为准。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bookmarkStart w:id="112" w:name="_Toc144974506"/>
      <w:bookmarkStart w:id="113" w:name="_Toc24337"/>
      <w:bookmarkStart w:id="114" w:name="_Toc9446"/>
      <w:bookmarkStart w:id="115" w:name="_Toc2702"/>
      <w:bookmarkStart w:id="116" w:name="_Toc318450683"/>
      <w:bookmarkStart w:id="117" w:name="_Toc463701039"/>
      <w:bookmarkStart w:id="118" w:name="_Toc22378"/>
      <w:bookmarkStart w:id="119" w:name="_Toc4237"/>
      <w:bookmarkStart w:id="120" w:name="_Toc152045538"/>
      <w:bookmarkStart w:id="121" w:name="_Toc455080117"/>
      <w:bookmarkStart w:id="122" w:name="_Toc9511_WPSOffice_Level3"/>
      <w:bookmarkStart w:id="123" w:name="_Toc152042314"/>
      <w:bookmarkStart w:id="124" w:name="_Toc464035518"/>
      <w:bookmarkStart w:id="125" w:name="_Toc32507"/>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 xml:space="preserve"> 计量单位</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pStyle w:val="3"/>
        <w:spacing w:before="161"/>
        <w:ind w:left="320"/>
        <w:rPr>
          <w:rFonts w:hint="eastAsia" w:ascii="宋体" w:hAnsi="宋体" w:eastAsia="宋体" w:cs="宋体"/>
          <w:color w:val="auto"/>
          <w:sz w:val="24"/>
          <w:szCs w:val="24"/>
          <w:highlight w:val="none"/>
        </w:rPr>
      </w:pPr>
      <w:bookmarkStart w:id="126" w:name="_Toc12366_WPSOffice_Level2"/>
      <w:r>
        <w:rPr>
          <w:rFonts w:hint="eastAsia" w:ascii="宋体" w:hAnsi="宋体" w:eastAsia="宋体" w:cs="宋体"/>
          <w:color w:val="auto"/>
          <w:sz w:val="24"/>
          <w:szCs w:val="24"/>
          <w:highlight w:val="none"/>
        </w:rPr>
        <w:t>2、合格的磋商响应供应商</w:t>
      </w:r>
      <w:bookmarkEnd w:id="126"/>
    </w:p>
    <w:p>
      <w:pPr>
        <w:pStyle w:val="3"/>
        <w:spacing w:before="161"/>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见供应商须知前附表</w:t>
      </w:r>
    </w:p>
    <w:p>
      <w:pPr>
        <w:pStyle w:val="3"/>
        <w:spacing w:before="161"/>
        <w:ind w:left="320"/>
        <w:rPr>
          <w:rFonts w:hint="eastAsia" w:ascii="宋体" w:hAnsi="宋体" w:eastAsia="宋体" w:cs="宋体"/>
          <w:color w:val="auto"/>
          <w:sz w:val="24"/>
          <w:szCs w:val="24"/>
          <w:highlight w:val="none"/>
        </w:rPr>
      </w:pPr>
      <w:bookmarkStart w:id="127" w:name="_Toc8655_WPSOffice_Level2"/>
      <w:r>
        <w:rPr>
          <w:rFonts w:hint="eastAsia" w:ascii="宋体" w:hAnsi="宋体" w:eastAsia="宋体" w:cs="宋体"/>
          <w:color w:val="auto"/>
          <w:sz w:val="24"/>
          <w:szCs w:val="24"/>
          <w:highlight w:val="none"/>
        </w:rPr>
        <w:t>3、费用</w:t>
      </w:r>
      <w:bookmarkEnd w:id="127"/>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磋商响应供应商应自行承担参加磋商活动有关的全部费用，采购人在任何情况下均无义务和责任承担上述费用。</w:t>
      </w:r>
    </w:p>
    <w:p>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b/>
          <w:color w:val="auto"/>
          <w:spacing w:val="-2"/>
          <w:sz w:val="24"/>
          <w:szCs w:val="24"/>
          <w:highlight w:val="none"/>
          <w:lang w:eastAsia="zh-CN"/>
        </w:rPr>
      </w:pPr>
      <w:bookmarkStart w:id="128" w:name="_Toc4976_WPSOffice_Level2"/>
      <w:r>
        <w:rPr>
          <w:rFonts w:hint="eastAsia" w:ascii="宋体" w:hAnsi="宋体" w:eastAsia="宋体" w:cs="宋体"/>
          <w:b/>
          <w:bCs/>
          <w:color w:val="auto"/>
          <w:kern w:val="2"/>
          <w:sz w:val="24"/>
          <w:szCs w:val="24"/>
          <w:highlight w:val="none"/>
          <w:lang w:val="en-US" w:eastAsia="zh-CN" w:bidi="ar-SA"/>
        </w:rPr>
        <w:t>4、竞争性磋商文件的</w:t>
      </w:r>
      <w:r>
        <w:rPr>
          <w:rFonts w:hint="eastAsia" w:ascii="宋体" w:hAnsi="宋体" w:cs="宋体"/>
          <w:b/>
          <w:bCs/>
          <w:color w:val="auto"/>
          <w:kern w:val="2"/>
          <w:sz w:val="24"/>
          <w:szCs w:val="24"/>
          <w:highlight w:val="none"/>
          <w:lang w:val="en-US" w:eastAsia="zh-CN" w:bidi="ar-SA"/>
        </w:rPr>
        <w:t>构成</w:t>
      </w:r>
    </w:p>
    <w:p>
      <w:pPr>
        <w:pStyle w:val="4"/>
        <w:spacing w:before="2" w:line="364" w:lineRule="auto"/>
        <w:ind w:left="555" w:right="532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第一章 竞争性磋商公告</w:t>
      </w:r>
      <w:bookmarkEnd w:id="128"/>
    </w:p>
    <w:p>
      <w:pPr>
        <w:pStyle w:val="4"/>
        <w:spacing w:before="2" w:line="364" w:lineRule="auto"/>
        <w:ind w:left="555" w:right="5329"/>
        <w:rPr>
          <w:rFonts w:hint="eastAsia" w:ascii="宋体" w:hAnsi="宋体" w:eastAsia="宋体" w:cs="宋体"/>
          <w:color w:val="auto"/>
          <w:spacing w:val="-2"/>
          <w:sz w:val="24"/>
          <w:szCs w:val="24"/>
          <w:highlight w:val="none"/>
        </w:rPr>
      </w:pPr>
      <w:bookmarkStart w:id="129" w:name="_Toc25399_WPSOffice_Level1"/>
      <w:r>
        <w:rPr>
          <w:rFonts w:hint="eastAsia" w:ascii="宋体" w:hAnsi="宋体" w:eastAsia="宋体" w:cs="宋体"/>
          <w:color w:val="auto"/>
          <w:spacing w:val="-2"/>
          <w:sz w:val="24"/>
          <w:szCs w:val="24"/>
          <w:highlight w:val="none"/>
        </w:rPr>
        <w:t>第二章 供应商须知</w:t>
      </w:r>
    </w:p>
    <w:p>
      <w:pPr>
        <w:pStyle w:val="4"/>
        <w:spacing w:before="2" w:line="364" w:lineRule="auto"/>
        <w:ind w:left="555" w:right="532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第三章 </w:t>
      </w:r>
      <w:r>
        <w:rPr>
          <w:rFonts w:hint="eastAsia" w:ascii="宋体" w:hAnsi="宋体" w:cs="宋体"/>
          <w:color w:val="auto"/>
          <w:spacing w:val="-2"/>
          <w:sz w:val="24"/>
          <w:szCs w:val="24"/>
          <w:highlight w:val="none"/>
          <w:lang w:eastAsia="zh-CN"/>
        </w:rPr>
        <w:t>服务</w:t>
      </w:r>
      <w:r>
        <w:rPr>
          <w:rFonts w:hint="eastAsia" w:ascii="宋体" w:hAnsi="宋体" w:eastAsia="宋体" w:cs="宋体"/>
          <w:color w:val="auto"/>
          <w:spacing w:val="-2"/>
          <w:sz w:val="24"/>
          <w:szCs w:val="24"/>
          <w:highlight w:val="none"/>
        </w:rPr>
        <w:t>需求及</w:t>
      </w:r>
      <w:r>
        <w:rPr>
          <w:rFonts w:hint="eastAsia" w:ascii="宋体" w:hAnsi="宋体" w:cs="宋体"/>
          <w:color w:val="auto"/>
          <w:spacing w:val="-2"/>
          <w:sz w:val="24"/>
          <w:szCs w:val="24"/>
          <w:highlight w:val="none"/>
          <w:lang w:eastAsia="zh-CN"/>
        </w:rPr>
        <w:t>技术</w:t>
      </w:r>
      <w:r>
        <w:rPr>
          <w:rFonts w:hint="eastAsia" w:ascii="宋体" w:hAnsi="宋体" w:eastAsia="宋体" w:cs="宋体"/>
          <w:color w:val="auto"/>
          <w:spacing w:val="-2"/>
          <w:sz w:val="24"/>
          <w:szCs w:val="24"/>
          <w:highlight w:val="none"/>
        </w:rPr>
        <w:t>要求</w:t>
      </w:r>
      <w:bookmarkEnd w:id="129"/>
    </w:p>
    <w:p>
      <w:pPr>
        <w:pStyle w:val="4"/>
        <w:spacing w:before="2" w:line="364" w:lineRule="auto"/>
        <w:ind w:left="555" w:right="5329"/>
        <w:rPr>
          <w:rFonts w:hint="eastAsia" w:ascii="宋体" w:hAnsi="宋体" w:eastAsia="宋体" w:cs="宋体"/>
          <w:color w:val="auto"/>
          <w:spacing w:val="-2"/>
          <w:sz w:val="24"/>
          <w:szCs w:val="24"/>
          <w:highlight w:val="none"/>
          <w:lang w:eastAsia="zh-CN"/>
        </w:rPr>
      </w:pPr>
      <w:bookmarkStart w:id="130" w:name="_Toc3669_WPSOffice_Level2"/>
      <w:r>
        <w:rPr>
          <w:rFonts w:hint="eastAsia" w:ascii="宋体" w:hAnsi="宋体" w:eastAsia="宋体" w:cs="宋体"/>
          <w:color w:val="auto"/>
          <w:spacing w:val="-2"/>
          <w:sz w:val="24"/>
          <w:szCs w:val="24"/>
          <w:highlight w:val="none"/>
        </w:rPr>
        <w:t>第四章 评审</w:t>
      </w:r>
      <w:bookmarkEnd w:id="130"/>
      <w:r>
        <w:rPr>
          <w:rFonts w:hint="eastAsia" w:ascii="宋体" w:hAnsi="宋体" w:cs="宋体"/>
          <w:color w:val="auto"/>
          <w:spacing w:val="-2"/>
          <w:sz w:val="24"/>
          <w:szCs w:val="24"/>
          <w:highlight w:val="none"/>
          <w:lang w:eastAsia="zh-CN"/>
        </w:rPr>
        <w:t>标准</w:t>
      </w:r>
    </w:p>
    <w:p>
      <w:pPr>
        <w:pStyle w:val="4"/>
        <w:spacing w:before="160"/>
        <w:ind w:left="555"/>
        <w:rPr>
          <w:rFonts w:hint="eastAsia" w:ascii="宋体" w:hAnsi="宋体" w:eastAsia="宋体" w:cs="宋体"/>
          <w:color w:val="auto"/>
          <w:sz w:val="24"/>
          <w:szCs w:val="24"/>
          <w:highlight w:val="none"/>
        </w:rPr>
      </w:pPr>
      <w:bookmarkStart w:id="131" w:name="_Toc1982_WPSOffice_Level2"/>
      <w:r>
        <w:rPr>
          <w:rFonts w:hint="eastAsia" w:ascii="宋体" w:hAnsi="宋体" w:eastAsia="宋体" w:cs="宋体"/>
          <w:color w:val="auto"/>
          <w:sz w:val="24"/>
          <w:szCs w:val="24"/>
          <w:highlight w:val="none"/>
        </w:rPr>
        <w:t>第五章 合同条款及格式</w:t>
      </w:r>
      <w:bookmarkEnd w:id="131"/>
    </w:p>
    <w:p>
      <w:pPr>
        <w:pStyle w:val="4"/>
        <w:spacing w:before="161"/>
        <w:ind w:left="555"/>
        <w:rPr>
          <w:rFonts w:hint="eastAsia" w:ascii="宋体" w:hAnsi="宋体" w:eastAsia="宋体" w:cs="宋体"/>
          <w:color w:val="auto"/>
          <w:sz w:val="24"/>
          <w:szCs w:val="24"/>
          <w:highlight w:val="none"/>
        </w:rPr>
      </w:pPr>
      <w:bookmarkStart w:id="132" w:name="_Toc4328_WPSOffice_Level2"/>
      <w:r>
        <w:rPr>
          <w:rFonts w:hint="eastAsia" w:ascii="宋体" w:hAnsi="宋体" w:eastAsia="宋体" w:cs="宋体"/>
          <w:color w:val="auto"/>
          <w:sz w:val="24"/>
          <w:szCs w:val="24"/>
          <w:highlight w:val="none"/>
        </w:rPr>
        <w:t xml:space="preserve">第六章 </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格式</w:t>
      </w:r>
      <w:bookmarkEnd w:id="132"/>
    </w:p>
    <w:p>
      <w:pPr>
        <w:pStyle w:val="3"/>
        <w:spacing w:before="160"/>
        <w:ind w:left="320"/>
        <w:rPr>
          <w:rFonts w:hint="eastAsia" w:ascii="宋体" w:hAnsi="宋体" w:eastAsia="宋体" w:cs="宋体"/>
          <w:color w:val="auto"/>
          <w:sz w:val="24"/>
          <w:szCs w:val="24"/>
          <w:highlight w:val="none"/>
        </w:rPr>
      </w:pPr>
      <w:bookmarkStart w:id="133" w:name="_Toc20095_WPSOffice_Level3"/>
      <w:r>
        <w:rPr>
          <w:rFonts w:hint="eastAsia" w:ascii="宋体" w:hAnsi="宋体" w:eastAsia="宋体" w:cs="宋体"/>
          <w:color w:val="auto"/>
          <w:sz w:val="24"/>
          <w:szCs w:val="24"/>
          <w:highlight w:val="none"/>
        </w:rPr>
        <w:t>5、竞争性磋商文件的澄清</w:t>
      </w:r>
      <w:bookmarkEnd w:id="133"/>
    </w:p>
    <w:p>
      <w:pPr>
        <w:pStyle w:val="72"/>
        <w:numPr>
          <w:ilvl w:val="1"/>
          <w:numId w:val="2"/>
        </w:numPr>
        <w:tabs>
          <w:tab w:val="left" w:pos="1101"/>
        </w:tabs>
        <w:spacing w:before="161" w:line="364" w:lineRule="auto"/>
        <w:ind w:right="338" w:firstLine="36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磋商响应供应商对磋商文件需有澄清或疑问，应在购买竞争性磋商文件后 </w:t>
      </w:r>
      <w:r>
        <w:rPr>
          <w:rFonts w:hint="eastAsia" w:ascii="宋体" w:hAnsi="宋体" w:eastAsia="宋体" w:cs="宋体"/>
          <w:color w:val="auto"/>
          <w:sz w:val="24"/>
          <w:szCs w:val="24"/>
          <w:highlight w:val="none"/>
        </w:rPr>
        <w:t>3</w:t>
      </w:r>
      <w:r>
        <w:rPr>
          <w:rFonts w:hint="eastAsia" w:ascii="宋体" w:hAnsi="宋体" w:eastAsia="宋体" w:cs="宋体"/>
          <w:color w:val="auto"/>
          <w:spacing w:val="-25"/>
          <w:sz w:val="24"/>
          <w:szCs w:val="24"/>
          <w:highlight w:val="none"/>
        </w:rPr>
        <w:t xml:space="preserve"> 日内</w:t>
      </w:r>
      <w:r>
        <w:rPr>
          <w:rFonts w:hint="eastAsia" w:ascii="宋体" w:hAnsi="宋体" w:eastAsia="宋体" w:cs="宋体"/>
          <w:color w:val="auto"/>
          <w:spacing w:val="-2"/>
          <w:sz w:val="24"/>
          <w:szCs w:val="24"/>
          <w:highlight w:val="none"/>
        </w:rPr>
        <w:t xml:space="preserve">向采购人进行询问，采购人在收到磋商响应供应商的疑问后于 </w:t>
      </w: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 xml:space="preserve"> 日内将视情况确定采用适当方式予以澄清或以书面形式予以答复，并在其认为必要时，将书面答复发送已购买竞争性磋商文件的所有潜在磋商响应供应商。</w:t>
      </w:r>
    </w:p>
    <w:p>
      <w:pPr>
        <w:pStyle w:val="72"/>
        <w:numPr>
          <w:ilvl w:val="1"/>
          <w:numId w:val="2"/>
        </w:numPr>
        <w:tabs>
          <w:tab w:val="left" w:pos="1101"/>
        </w:tabs>
        <w:spacing w:before="161" w:line="364" w:lineRule="auto"/>
        <w:ind w:right="338" w:firstLine="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采购人将视情况在认为必要时于采购截止时间前答疑。</w:t>
      </w:r>
    </w:p>
    <w:p>
      <w:pPr>
        <w:pStyle w:val="3"/>
        <w:spacing w:before="160"/>
        <w:ind w:left="320"/>
        <w:rPr>
          <w:rFonts w:hint="eastAsia" w:ascii="宋体" w:hAnsi="宋体" w:eastAsia="宋体" w:cs="宋体"/>
          <w:color w:val="auto"/>
          <w:sz w:val="24"/>
          <w:szCs w:val="24"/>
          <w:highlight w:val="none"/>
        </w:rPr>
      </w:pPr>
      <w:bookmarkStart w:id="134" w:name="_Toc20123_WPSOffice_Level3"/>
      <w:r>
        <w:rPr>
          <w:rFonts w:hint="eastAsia" w:ascii="宋体" w:hAnsi="宋体" w:eastAsia="宋体" w:cs="宋体"/>
          <w:color w:val="auto"/>
          <w:sz w:val="24"/>
          <w:szCs w:val="24"/>
          <w:highlight w:val="none"/>
        </w:rPr>
        <w:t>6、竞争性磋商文件的修改</w:t>
      </w:r>
      <w:bookmarkEnd w:id="134"/>
    </w:p>
    <w:p>
      <w:pPr>
        <w:pStyle w:val="72"/>
        <w:tabs>
          <w:tab w:val="left" w:pos="1101"/>
        </w:tabs>
        <w:spacing w:before="161" w:line="364" w:lineRule="auto"/>
        <w:ind w:right="338" w:firstLine="708" w:firstLineChars="3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6.1 竞争性磋商文件的修改书将构成磋商响应文件的一部分，对所有磋商响应供应商均有约束力。</w:t>
      </w:r>
    </w:p>
    <w:p>
      <w:pPr>
        <w:pStyle w:val="72"/>
        <w:tabs>
          <w:tab w:val="left" w:pos="1101"/>
        </w:tabs>
        <w:spacing w:before="161" w:line="364" w:lineRule="auto"/>
        <w:ind w:left="0" w:right="338" w:firstLine="241" w:firstLineChars="100"/>
        <w:jc w:val="both"/>
        <w:rPr>
          <w:rFonts w:hint="eastAsia" w:ascii="宋体" w:hAnsi="宋体" w:eastAsia="宋体" w:cs="宋体"/>
          <w:b/>
          <w:bCs/>
          <w:color w:val="auto"/>
          <w:sz w:val="24"/>
          <w:szCs w:val="24"/>
          <w:highlight w:val="none"/>
        </w:rPr>
      </w:pPr>
      <w:bookmarkStart w:id="135" w:name="_Toc12366_WPSOffice_Level3"/>
      <w:r>
        <w:rPr>
          <w:rFonts w:hint="eastAsia" w:ascii="宋体" w:hAnsi="宋体" w:eastAsia="宋体" w:cs="宋体"/>
          <w:b/>
          <w:bCs/>
          <w:color w:val="auto"/>
          <w:sz w:val="24"/>
          <w:szCs w:val="24"/>
          <w:highlight w:val="none"/>
        </w:rPr>
        <w:t>7、要求</w:t>
      </w:r>
      <w:bookmarkEnd w:id="135"/>
    </w:p>
    <w:p>
      <w:pPr>
        <w:pStyle w:val="4"/>
        <w:spacing w:before="160" w:line="364" w:lineRule="auto"/>
        <w:ind w:right="338" w:firstLine="24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7.1 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pPr>
        <w:pStyle w:val="72"/>
        <w:tabs>
          <w:tab w:val="left" w:pos="1101"/>
        </w:tabs>
        <w:spacing w:line="500" w:lineRule="exact"/>
        <w:ind w:left="0" w:firstLine="482" w:firstLineChars="200"/>
        <w:jc w:val="both"/>
        <w:rPr>
          <w:rFonts w:hint="eastAsia" w:ascii="宋体" w:hAnsi="宋体" w:eastAsia="宋体" w:cs="宋体"/>
          <w:b/>
          <w:bCs/>
          <w:color w:val="auto"/>
          <w:sz w:val="24"/>
          <w:szCs w:val="24"/>
          <w:highlight w:val="none"/>
        </w:rPr>
      </w:pPr>
      <w:bookmarkStart w:id="136" w:name="_Toc8655_WPSOffice_Level3"/>
      <w:r>
        <w:rPr>
          <w:rFonts w:hint="eastAsia" w:ascii="宋体" w:hAnsi="宋体" w:eastAsia="宋体" w:cs="宋体"/>
          <w:b/>
          <w:bCs/>
          <w:color w:val="auto"/>
          <w:sz w:val="24"/>
          <w:szCs w:val="24"/>
          <w:highlight w:val="none"/>
        </w:rPr>
        <w:t>8、电子化磋商响应文件的组成</w:t>
      </w:r>
      <w:bookmarkEnd w:id="136"/>
    </w:p>
    <w:p>
      <w:pPr>
        <w:pStyle w:val="72"/>
        <w:tabs>
          <w:tab w:val="left" w:pos="1101"/>
        </w:tabs>
        <w:spacing w:line="500" w:lineRule="exact"/>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详见第六章响应文件内容及格式</w:t>
      </w:r>
    </w:p>
    <w:p>
      <w:pPr>
        <w:pStyle w:val="72"/>
        <w:tabs>
          <w:tab w:val="left" w:pos="1101"/>
        </w:tabs>
        <w:spacing w:line="500" w:lineRule="exact"/>
        <w:ind w:left="0" w:firstLine="482" w:firstLineChars="200"/>
        <w:jc w:val="both"/>
        <w:rPr>
          <w:rFonts w:hint="eastAsia" w:ascii="宋体" w:hAnsi="宋体" w:eastAsia="宋体" w:cs="宋体"/>
          <w:b/>
          <w:bCs/>
          <w:color w:val="auto"/>
          <w:sz w:val="24"/>
          <w:szCs w:val="24"/>
          <w:highlight w:val="none"/>
        </w:rPr>
      </w:pPr>
      <w:bookmarkStart w:id="137" w:name="_Toc4976_WPSOffice_Level3"/>
      <w:r>
        <w:rPr>
          <w:rFonts w:hint="eastAsia" w:ascii="宋体" w:hAnsi="宋体" w:eastAsia="宋体" w:cs="宋体"/>
          <w:b/>
          <w:bCs/>
          <w:color w:val="auto"/>
          <w:sz w:val="24"/>
          <w:szCs w:val="24"/>
          <w:highlight w:val="none"/>
        </w:rPr>
        <w:t>9、电子化磋商响应文件的格式</w:t>
      </w:r>
      <w:bookmarkEnd w:id="137"/>
    </w:p>
    <w:p>
      <w:pPr>
        <w:pStyle w:val="4"/>
        <w:spacing w:before="161" w:line="364" w:lineRule="auto"/>
        <w:ind w:right="337"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r>
        <w:rPr>
          <w:rFonts w:hint="eastAsia" w:ascii="宋体" w:hAnsi="宋体" w:eastAsia="宋体" w:cs="宋体"/>
          <w:color w:val="auto"/>
          <w:spacing w:val="-12"/>
          <w:sz w:val="24"/>
          <w:szCs w:val="24"/>
          <w:highlight w:val="none"/>
        </w:rPr>
        <w:t>投标供应商所上传的电子化响应文件，应是通过中心响应文件制作系统制作的，经过签章和加密后生成的电子版响应文件。上传投标文件格式后缀为SMXTF。上传完后，为了验证CA锁是否正常，建议模拟解密下</w:t>
      </w:r>
      <w:r>
        <w:rPr>
          <w:rFonts w:hint="eastAsia" w:ascii="宋体" w:hAnsi="宋体" w:eastAsia="宋体" w:cs="宋体"/>
          <w:color w:val="auto"/>
          <w:sz w:val="24"/>
          <w:szCs w:val="24"/>
          <w:highlight w:val="none"/>
        </w:rPr>
        <w:t>。</w:t>
      </w:r>
    </w:p>
    <w:p>
      <w:pPr>
        <w:pStyle w:val="72"/>
        <w:tabs>
          <w:tab w:val="left" w:pos="1101"/>
        </w:tabs>
        <w:spacing w:line="500" w:lineRule="exact"/>
        <w:ind w:left="0" w:firstLine="482" w:firstLineChars="200"/>
        <w:jc w:val="both"/>
        <w:rPr>
          <w:rFonts w:hint="eastAsia" w:ascii="宋体" w:hAnsi="宋体" w:eastAsia="宋体" w:cs="宋体"/>
          <w:b/>
          <w:bCs/>
          <w:color w:val="auto"/>
          <w:sz w:val="24"/>
          <w:szCs w:val="24"/>
          <w:highlight w:val="none"/>
        </w:rPr>
      </w:pPr>
      <w:bookmarkStart w:id="138" w:name="_Toc3669_WPSOffice_Level3"/>
      <w:r>
        <w:rPr>
          <w:rFonts w:hint="eastAsia" w:ascii="宋体" w:hAnsi="宋体" w:eastAsia="宋体" w:cs="宋体"/>
          <w:b/>
          <w:bCs/>
          <w:color w:val="auto"/>
          <w:sz w:val="24"/>
          <w:szCs w:val="24"/>
          <w:highlight w:val="none"/>
        </w:rPr>
        <w:t>10、电子化磋商响应文件的签署</w:t>
      </w:r>
      <w:bookmarkEnd w:id="138"/>
    </w:p>
    <w:p>
      <w:pPr>
        <w:pStyle w:val="4"/>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10.1 磋商响应供应商在进行电子化磋商响应文件签章时，竞争性磋商文件中要求磋商响应供应商盖章的，以签盖单位章为准；要求法定代表人签章的，以签盖法定代表人签章为准。电子化磋商响应文件具体制作教材请供应商通过三门峡市公共资源交易平台网首页“下载专区”中查看。</w:t>
      </w:r>
    </w:p>
    <w:p>
      <w:pPr>
        <w:pStyle w:val="3"/>
        <w:tabs>
          <w:tab w:val="left" w:pos="687"/>
        </w:tabs>
        <w:spacing w:before="1"/>
        <w:ind w:left="0" w:firstLine="482" w:firstLineChars="200"/>
        <w:rPr>
          <w:rFonts w:hint="eastAsia" w:ascii="宋体" w:hAnsi="宋体" w:eastAsia="宋体" w:cs="宋体"/>
          <w:color w:val="auto"/>
          <w:sz w:val="24"/>
          <w:szCs w:val="24"/>
          <w:highlight w:val="none"/>
        </w:rPr>
      </w:pPr>
      <w:bookmarkStart w:id="139" w:name="_Toc1982_WPSOffice_Level3"/>
      <w:r>
        <w:rPr>
          <w:rFonts w:hint="eastAsia" w:ascii="宋体" w:hAnsi="宋体" w:eastAsia="宋体" w:cs="宋体"/>
          <w:color w:val="auto"/>
          <w:sz w:val="24"/>
          <w:szCs w:val="24"/>
          <w:highlight w:val="none"/>
        </w:rPr>
        <w:t>11、电子化磋商响应文件的上传</w:t>
      </w:r>
      <w:bookmarkEnd w:id="139"/>
    </w:p>
    <w:p>
      <w:pPr>
        <w:pStyle w:val="4"/>
        <w:spacing w:before="161" w:line="364" w:lineRule="auto"/>
        <w:ind w:right="403"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pacing w:val="-9"/>
          <w:sz w:val="24"/>
          <w:szCs w:val="24"/>
          <w:highlight w:val="none"/>
        </w:rPr>
        <w:t xml:space="preserve"> 电子化磋商响应文件应在磋商截止时间前成功上传至三门峡市公共资源电子化</w:t>
      </w:r>
      <w:r>
        <w:rPr>
          <w:rFonts w:hint="eastAsia" w:ascii="宋体" w:hAnsi="宋体" w:eastAsia="宋体" w:cs="宋体"/>
          <w:color w:val="auto"/>
          <w:sz w:val="24"/>
          <w:szCs w:val="24"/>
          <w:highlight w:val="none"/>
        </w:rPr>
        <w:t>交易系统。至磋商截止时间止，仍未上传成功的电子化磋商响应文件将不予接收。</w:t>
      </w:r>
    </w:p>
    <w:p>
      <w:pPr>
        <w:pStyle w:val="4"/>
        <w:spacing w:before="1"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b/>
          <w:color w:val="auto"/>
          <w:spacing w:val="-29"/>
          <w:sz w:val="24"/>
          <w:szCs w:val="24"/>
          <w:highlight w:val="none"/>
        </w:rPr>
        <w:t>注：</w:t>
      </w:r>
      <w:r>
        <w:rPr>
          <w:rFonts w:hint="eastAsia" w:ascii="宋体" w:hAnsi="宋体" w:eastAsia="宋体" w:cs="宋体"/>
          <w:color w:val="auto"/>
          <w:spacing w:val="-3"/>
          <w:sz w:val="24"/>
          <w:szCs w:val="24"/>
          <w:highlight w:val="none"/>
        </w:rPr>
        <w:t>如按照电子化投标操作教材制作完成的电子化磋商响应文件无法上传的，磋商响</w:t>
      </w:r>
      <w:r>
        <w:rPr>
          <w:rFonts w:hint="eastAsia" w:ascii="宋体" w:hAnsi="宋体" w:eastAsia="宋体" w:cs="宋体"/>
          <w:color w:val="auto"/>
          <w:sz w:val="24"/>
          <w:szCs w:val="24"/>
          <w:highlight w:val="none"/>
        </w:rPr>
        <w:t>应供应商应在磋商截止时间前尽早的联系中心技术人员，以便有充分的时间进行处理。磋商响应供应商应充分考虑到处理技术问题和上传数据等工作的时间问题，磋商响应文件未在磋商截止时间前成功上传的，其磋商响应文件不予接收。</w:t>
      </w:r>
    </w:p>
    <w:p>
      <w:pPr>
        <w:pStyle w:val="3"/>
        <w:spacing w:before="3"/>
        <w:ind w:left="0" w:firstLine="482" w:firstLineChars="200"/>
        <w:rPr>
          <w:rFonts w:hint="eastAsia" w:ascii="宋体" w:hAnsi="宋体" w:eastAsia="宋体" w:cs="宋体"/>
          <w:color w:val="auto"/>
          <w:sz w:val="24"/>
          <w:szCs w:val="24"/>
          <w:highlight w:val="none"/>
        </w:rPr>
      </w:pPr>
      <w:bookmarkStart w:id="140" w:name="_Toc4328_WPSOffice_Level3"/>
      <w:r>
        <w:rPr>
          <w:rFonts w:hint="eastAsia" w:ascii="宋体" w:hAnsi="宋体" w:eastAsia="宋体" w:cs="宋体"/>
          <w:color w:val="auto"/>
          <w:sz w:val="24"/>
          <w:szCs w:val="24"/>
          <w:highlight w:val="none"/>
        </w:rPr>
        <w:t>12、磋商截止时间</w:t>
      </w:r>
      <w:bookmarkEnd w:id="140"/>
    </w:p>
    <w:p>
      <w:pPr>
        <w:pStyle w:val="4"/>
        <w:spacing w:before="16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电子化磋商响应文件的截止时间见本须知前附表规定。</w:t>
      </w:r>
    </w:p>
    <w:p>
      <w:pPr>
        <w:pStyle w:val="3"/>
        <w:spacing w:before="3"/>
        <w:ind w:left="0" w:firstLine="482" w:firstLineChars="200"/>
        <w:rPr>
          <w:rFonts w:hint="eastAsia" w:ascii="宋体" w:hAnsi="宋体" w:eastAsia="宋体" w:cs="宋体"/>
          <w:color w:val="auto"/>
          <w:sz w:val="24"/>
          <w:szCs w:val="24"/>
          <w:highlight w:val="none"/>
        </w:rPr>
      </w:pPr>
      <w:bookmarkStart w:id="141" w:name="_Toc14892_WPSOffice_Level3"/>
      <w:r>
        <w:rPr>
          <w:rFonts w:hint="eastAsia" w:ascii="宋体" w:hAnsi="宋体" w:eastAsia="宋体" w:cs="宋体"/>
          <w:color w:val="auto"/>
          <w:sz w:val="24"/>
          <w:szCs w:val="24"/>
          <w:highlight w:val="none"/>
        </w:rPr>
        <w:t>13、电子化磋商响应文件的补充、修改与撤回</w:t>
      </w:r>
      <w:bookmarkEnd w:id="141"/>
    </w:p>
    <w:p>
      <w:pPr>
        <w:pStyle w:val="4"/>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13.1 在磋商截止时间之后，磋商响应供应商不得补充、修改电子化磋商响应文件。</w:t>
      </w:r>
    </w:p>
    <w:p>
      <w:pPr>
        <w:pStyle w:val="4"/>
        <w:spacing w:before="161" w:line="364" w:lineRule="auto"/>
        <w:ind w:right="337"/>
        <w:jc w:val="both"/>
        <w:rPr>
          <w:rFonts w:hint="eastAsia" w:ascii="宋体" w:hAnsi="宋体" w:eastAsia="宋体" w:cs="宋体"/>
          <w:b/>
          <w:bCs/>
          <w:color w:val="auto"/>
          <w:sz w:val="24"/>
          <w:szCs w:val="24"/>
          <w:highlight w:val="none"/>
        </w:rPr>
      </w:pPr>
      <w:bookmarkStart w:id="142" w:name="_Toc16713_WPSOffice_Level3"/>
      <w:r>
        <w:rPr>
          <w:rFonts w:hint="eastAsia" w:ascii="宋体" w:hAnsi="宋体" w:eastAsia="宋体" w:cs="宋体"/>
          <w:b/>
          <w:bCs/>
          <w:color w:val="auto"/>
          <w:sz w:val="24"/>
          <w:szCs w:val="24"/>
          <w:highlight w:val="none"/>
        </w:rPr>
        <w:t>14、磋商报价</w:t>
      </w:r>
      <w:bookmarkEnd w:id="142"/>
    </w:p>
    <w:p>
      <w:pPr>
        <w:pStyle w:val="4"/>
        <w:spacing w:before="161" w:line="364" w:lineRule="auto"/>
        <w:ind w:right="337" w:firstLine="420"/>
        <w:jc w:val="both"/>
        <w:rPr>
          <w:rFonts w:hint="eastAsia" w:ascii="宋体" w:hAnsi="宋体" w:eastAsia="宋体" w:cs="宋体"/>
          <w:b/>
          <w:bCs/>
          <w:color w:val="auto"/>
          <w:sz w:val="24"/>
          <w:szCs w:val="24"/>
          <w:highlight w:val="none"/>
        </w:rPr>
      </w:pPr>
      <w:r>
        <w:rPr>
          <w:rFonts w:hint="eastAsia" w:ascii="宋体" w:hAnsi="宋体" w:eastAsia="宋体" w:cs="宋体"/>
          <w:color w:val="auto"/>
          <w:spacing w:val="-12"/>
          <w:sz w:val="24"/>
          <w:szCs w:val="24"/>
          <w:highlight w:val="none"/>
          <w:lang w:val="en-US"/>
        </w:rPr>
        <w:t xml:space="preserve">14.1 </w:t>
      </w:r>
      <w:r>
        <w:rPr>
          <w:rFonts w:hint="eastAsia" w:ascii="宋体" w:hAnsi="宋体" w:eastAsia="宋体" w:cs="宋体"/>
          <w:color w:val="auto"/>
          <w:spacing w:val="-12"/>
          <w:sz w:val="24"/>
          <w:szCs w:val="24"/>
          <w:highlight w:val="none"/>
        </w:rPr>
        <w:t>本次磋商采购的均须以人民币为计算单位。</w:t>
      </w:r>
    </w:p>
    <w:p>
      <w:pPr>
        <w:pStyle w:val="4"/>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 xml:space="preserve">14.2 </w:t>
      </w:r>
      <w:r>
        <w:rPr>
          <w:rFonts w:hint="eastAsia" w:ascii="宋体" w:hAnsi="宋体" w:eastAsia="宋体" w:cs="宋体"/>
          <w:color w:val="auto"/>
          <w:spacing w:val="-12"/>
          <w:sz w:val="24"/>
          <w:szCs w:val="24"/>
          <w:highlight w:val="none"/>
        </w:rPr>
        <w:t>磋商响应供应商应报出货到交货地点价。其中应包含货物价、备品备件价、检验费、包装费、装卸费、运输费、税金（含关税、增值税）、安装调试费、改造费、检测验收费等各项费用。</w:t>
      </w:r>
    </w:p>
    <w:p>
      <w:pPr>
        <w:pStyle w:val="4"/>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 xml:space="preserve">14.3 </w:t>
      </w:r>
      <w:r>
        <w:rPr>
          <w:rFonts w:hint="eastAsia" w:ascii="宋体" w:hAnsi="宋体" w:eastAsia="宋体" w:cs="宋体"/>
          <w:color w:val="auto"/>
          <w:spacing w:val="-12"/>
          <w:sz w:val="24"/>
          <w:szCs w:val="24"/>
          <w:highlight w:val="none"/>
        </w:rPr>
        <w:t>磋商响应供应商应充分考虑市场风险和国家政策性风险系数，根据企业具体情况在合理的范围内自主报价，但不得低于企业实际成本。</w:t>
      </w:r>
    </w:p>
    <w:p>
      <w:pPr>
        <w:pStyle w:val="4"/>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 xml:space="preserve">14.4 </w:t>
      </w:r>
      <w:r>
        <w:rPr>
          <w:rFonts w:hint="eastAsia" w:ascii="宋体" w:hAnsi="宋体" w:eastAsia="宋体" w:cs="宋体"/>
          <w:color w:val="auto"/>
          <w:spacing w:val="-12"/>
          <w:sz w:val="24"/>
          <w:szCs w:val="24"/>
          <w:highlight w:val="none"/>
        </w:rPr>
        <w:t>磋商响应供应商的磋商报价应包含验收合格正式交付使用前所发生的一切费用，且磋商响应供应商只能提出一个报价，采购人不接受任何有选择的报价，最后报价不得超过项目采购预算。</w:t>
      </w:r>
    </w:p>
    <w:p>
      <w:pPr>
        <w:pStyle w:val="4"/>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 xml:space="preserve">14.5 </w:t>
      </w:r>
      <w:r>
        <w:rPr>
          <w:rFonts w:hint="eastAsia" w:ascii="宋体" w:hAnsi="宋体" w:eastAsia="宋体" w:cs="宋体"/>
          <w:color w:val="auto"/>
          <w:spacing w:val="-12"/>
          <w:sz w:val="24"/>
          <w:szCs w:val="24"/>
          <w:highlight w:val="none"/>
        </w:rPr>
        <w:t>磋商响应供应商的报价明显低于其他报价，使得其报价可能低于其个别成本的， 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pPr>
        <w:pStyle w:val="4"/>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14.6</w:t>
      </w:r>
      <w:r>
        <w:rPr>
          <w:rFonts w:hint="eastAsia" w:ascii="宋体" w:hAnsi="宋体" w:eastAsia="宋体" w:cs="宋体"/>
          <w:color w:val="auto"/>
          <w:spacing w:val="-12"/>
          <w:sz w:val="24"/>
          <w:szCs w:val="24"/>
          <w:highlight w:val="none"/>
        </w:rPr>
        <w:t>本次采购为竞争性磋商采购，允许二次报价。</w:t>
      </w:r>
    </w:p>
    <w:p>
      <w:pPr>
        <w:pStyle w:val="4"/>
        <w:spacing w:before="161" w:line="364" w:lineRule="auto"/>
        <w:ind w:right="337" w:firstLine="241" w:firstLineChars="100"/>
        <w:jc w:val="both"/>
        <w:rPr>
          <w:rFonts w:hint="eastAsia" w:ascii="宋体" w:hAnsi="宋体" w:eastAsia="宋体" w:cs="宋体"/>
          <w:b/>
          <w:bCs/>
          <w:color w:val="auto"/>
          <w:sz w:val="24"/>
          <w:szCs w:val="24"/>
          <w:highlight w:val="none"/>
        </w:rPr>
      </w:pPr>
      <w:bookmarkStart w:id="143" w:name="_Toc28583_WPSOffice_Level3"/>
      <w:r>
        <w:rPr>
          <w:rFonts w:hint="eastAsia" w:ascii="宋体" w:hAnsi="宋体" w:eastAsia="宋体" w:cs="宋体"/>
          <w:b/>
          <w:bCs/>
          <w:color w:val="auto"/>
          <w:sz w:val="24"/>
          <w:szCs w:val="24"/>
          <w:highlight w:val="none"/>
          <w:lang w:val="en-US"/>
        </w:rPr>
        <w:t>15、</w:t>
      </w:r>
      <w:r>
        <w:rPr>
          <w:rFonts w:hint="eastAsia" w:ascii="宋体" w:hAnsi="宋体" w:eastAsia="宋体" w:cs="宋体"/>
          <w:b/>
          <w:bCs/>
          <w:color w:val="auto"/>
          <w:sz w:val="24"/>
          <w:szCs w:val="24"/>
          <w:highlight w:val="none"/>
        </w:rPr>
        <w:t>磋商响应供应商资格的证明文件</w:t>
      </w:r>
      <w:bookmarkEnd w:id="143"/>
    </w:p>
    <w:p>
      <w:pPr>
        <w:pStyle w:val="4"/>
        <w:spacing w:before="161" w:line="364" w:lineRule="auto"/>
        <w:ind w:left="0" w:right="337" w:firstLine="432" w:firstLineChars="20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15.1</w:t>
      </w:r>
      <w:r>
        <w:rPr>
          <w:rFonts w:hint="eastAsia" w:ascii="宋体" w:hAnsi="宋体" w:eastAsia="宋体" w:cs="宋体"/>
          <w:color w:val="auto"/>
          <w:spacing w:val="-12"/>
          <w:sz w:val="24"/>
          <w:szCs w:val="24"/>
          <w:highlight w:val="none"/>
        </w:rPr>
        <w:t>证明磋商响应供应商是有资格参加磋商的。</w:t>
      </w:r>
    </w:p>
    <w:p>
      <w:pPr>
        <w:pStyle w:val="4"/>
        <w:spacing w:before="161" w:line="364" w:lineRule="auto"/>
        <w:ind w:right="337" w:firstLine="432" w:firstLineChars="20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15.2</w:t>
      </w:r>
      <w:r>
        <w:rPr>
          <w:rFonts w:hint="eastAsia" w:ascii="宋体" w:hAnsi="宋体" w:eastAsia="宋体" w:cs="宋体"/>
          <w:color w:val="auto"/>
          <w:spacing w:val="-12"/>
          <w:sz w:val="24"/>
          <w:szCs w:val="24"/>
          <w:highlight w:val="none"/>
        </w:rPr>
        <w:t>证明磋商响应供应商有能力履行竞争性磋商文件中合同条款和技术要求规定的由磋商响应供应商提供的服务等义务。</w:t>
      </w:r>
    </w:p>
    <w:p>
      <w:pPr>
        <w:pStyle w:val="3"/>
        <w:spacing w:before="1"/>
        <w:ind w:left="0" w:firstLine="723" w:firstLineChars="300"/>
        <w:rPr>
          <w:rFonts w:hint="eastAsia" w:ascii="宋体" w:hAnsi="宋体" w:eastAsia="宋体" w:cs="宋体"/>
          <w:color w:val="auto"/>
          <w:sz w:val="24"/>
          <w:szCs w:val="24"/>
          <w:highlight w:val="none"/>
        </w:rPr>
      </w:pPr>
      <w:bookmarkStart w:id="144" w:name="_Toc29721_WPSOffice_Level3"/>
      <w:r>
        <w:rPr>
          <w:rFonts w:hint="eastAsia" w:ascii="宋体" w:hAnsi="宋体" w:eastAsia="宋体" w:cs="宋体"/>
          <w:color w:val="auto"/>
          <w:sz w:val="24"/>
          <w:szCs w:val="24"/>
          <w:highlight w:val="none"/>
        </w:rPr>
        <w:t>16、磋商保证金</w:t>
      </w:r>
      <w:bookmarkEnd w:id="144"/>
    </w:p>
    <w:p>
      <w:pPr>
        <w:pStyle w:val="4"/>
        <w:spacing w:before="161" w:line="364" w:lineRule="auto"/>
        <w:ind w:right="337" w:firstLine="420"/>
        <w:jc w:val="both"/>
        <w:rPr>
          <w:rFonts w:hint="eastAsia" w:ascii="宋体" w:hAnsi="宋体" w:eastAsia="宋体" w:cs="宋体"/>
          <w:color w:val="auto"/>
          <w:spacing w:val="-12"/>
          <w:sz w:val="24"/>
          <w:szCs w:val="24"/>
          <w:highlight w:val="none"/>
          <w:lang w:val="en-US"/>
        </w:rPr>
      </w:pPr>
      <w:bookmarkStart w:id="145" w:name="_Toc26640_WPSOffice_Level3"/>
      <w:r>
        <w:rPr>
          <w:rFonts w:hint="eastAsia" w:ascii="宋体" w:hAnsi="宋体" w:eastAsia="宋体" w:cs="宋体"/>
          <w:color w:val="auto"/>
          <w:spacing w:val="-12"/>
          <w:sz w:val="24"/>
          <w:szCs w:val="24"/>
          <w:highlight w:val="none"/>
          <w:lang w:val="en-US"/>
        </w:rPr>
        <w:t>根据《河南省财政厅关于优化政府采购营商环境有关问题的通知》（豫财购【2019】4号）第6条的规定，本项目磋商保证金不再收取，供应商须提供投标承诺书（详见第六章响应文件格式）</w:t>
      </w:r>
    </w:p>
    <w:p>
      <w:pPr>
        <w:pStyle w:val="3"/>
        <w:spacing w:before="1"/>
        <w:ind w:left="0" w:firstLine="723"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17、磋商响应文件有效期</w:t>
      </w:r>
      <w:bookmarkEnd w:id="145"/>
    </w:p>
    <w:p>
      <w:pPr>
        <w:pStyle w:val="72"/>
        <w:numPr>
          <w:ilvl w:val="1"/>
          <w:numId w:val="3"/>
        </w:numPr>
        <w:tabs>
          <w:tab w:val="left" w:pos="1281"/>
        </w:tabs>
        <w:spacing w:before="161"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响应性文件从首次递交竞争性磋商响应文件截止时间之日起开始生效，磋商有</w:t>
      </w:r>
      <w:r>
        <w:rPr>
          <w:rFonts w:hint="eastAsia" w:ascii="宋体" w:hAnsi="宋体" w:eastAsia="宋体" w:cs="宋体"/>
          <w:color w:val="auto"/>
          <w:spacing w:val="-15"/>
          <w:sz w:val="24"/>
          <w:szCs w:val="24"/>
          <w:highlight w:val="none"/>
        </w:rPr>
        <w:t xml:space="preserve">效期为 </w:t>
      </w:r>
      <w:r>
        <w:rPr>
          <w:rFonts w:hint="eastAsia" w:ascii="宋体" w:hAnsi="宋体" w:eastAsia="宋体" w:cs="宋体"/>
          <w:color w:val="auto"/>
          <w:sz w:val="24"/>
          <w:szCs w:val="24"/>
          <w:highlight w:val="none"/>
        </w:rPr>
        <w:t>60</w:t>
      </w:r>
      <w:r>
        <w:rPr>
          <w:rFonts w:hint="eastAsia" w:ascii="宋体" w:hAnsi="宋体" w:eastAsia="宋体" w:cs="宋体"/>
          <w:color w:val="auto"/>
          <w:spacing w:val="-8"/>
          <w:sz w:val="24"/>
          <w:szCs w:val="24"/>
          <w:highlight w:val="none"/>
        </w:rPr>
        <w:t xml:space="preserve"> 日历天，有效期短于此规定的响应文件将被视为无效文件。</w:t>
      </w:r>
    </w:p>
    <w:p>
      <w:pPr>
        <w:pStyle w:val="72"/>
        <w:numPr>
          <w:ilvl w:val="1"/>
          <w:numId w:val="3"/>
        </w:numPr>
        <w:tabs>
          <w:tab w:val="left" w:pos="1281"/>
        </w:tabs>
        <w:spacing w:before="1"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pPr>
        <w:pStyle w:val="3"/>
        <w:spacing w:before="2"/>
        <w:rPr>
          <w:rFonts w:hint="eastAsia" w:ascii="宋体" w:hAnsi="宋体" w:eastAsia="宋体" w:cs="宋体"/>
          <w:color w:val="auto"/>
          <w:sz w:val="24"/>
          <w:szCs w:val="24"/>
          <w:highlight w:val="none"/>
        </w:rPr>
      </w:pPr>
      <w:bookmarkStart w:id="146" w:name="_Toc14449_WPSOffice_Level3"/>
      <w:r>
        <w:rPr>
          <w:rFonts w:hint="eastAsia" w:ascii="宋体" w:hAnsi="宋体" w:eastAsia="宋体" w:cs="宋体"/>
          <w:color w:val="auto"/>
          <w:sz w:val="24"/>
          <w:szCs w:val="24"/>
          <w:highlight w:val="none"/>
        </w:rPr>
        <w:t>18、磋商</w:t>
      </w:r>
      <w:bookmarkEnd w:id="146"/>
    </w:p>
    <w:p>
      <w:pPr>
        <w:pStyle w:val="72"/>
        <w:keepNext w:val="0"/>
        <w:keepLines w:val="0"/>
        <w:pageBreakBefore w:val="0"/>
        <w:widowControl/>
        <w:numPr>
          <w:ilvl w:val="1"/>
          <w:numId w:val="4"/>
        </w:numPr>
        <w:tabs>
          <w:tab w:val="left" w:pos="1281"/>
        </w:tabs>
        <w:kinsoku/>
        <w:wordWrap/>
        <w:overflowPunct/>
        <w:topLinePunct w:val="0"/>
        <w:autoSpaceDE/>
        <w:autoSpaceDN/>
        <w:bidi w:val="0"/>
        <w:adjustRightInd/>
        <w:snapToGrid/>
        <w:spacing w:before="160"/>
        <w:ind w:left="118" w:leftChars="56" w:right="126" w:rightChars="6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采购人按本须知前附表规定的时间和地点磋商。</w:t>
      </w:r>
    </w:p>
    <w:p>
      <w:pPr>
        <w:pStyle w:val="72"/>
        <w:keepNext w:val="0"/>
        <w:keepLines w:val="0"/>
        <w:pageBreakBefore w:val="0"/>
        <w:widowControl/>
        <w:numPr>
          <w:ilvl w:val="1"/>
          <w:numId w:val="4"/>
        </w:numPr>
        <w:tabs>
          <w:tab w:val="left" w:pos="1222"/>
        </w:tabs>
        <w:kinsoku/>
        <w:wordWrap/>
        <w:overflowPunct/>
        <w:topLinePunct w:val="0"/>
        <w:autoSpaceDE/>
        <w:autoSpaceDN/>
        <w:bidi w:val="0"/>
        <w:adjustRightInd/>
        <w:snapToGrid/>
        <w:spacing w:before="161"/>
        <w:ind w:left="118" w:leftChars="56" w:right="126" w:rightChars="6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磋商会议由采购代理机构主持；</w:t>
      </w:r>
    </w:p>
    <w:p>
      <w:pPr>
        <w:pStyle w:val="72"/>
        <w:keepNext w:val="0"/>
        <w:keepLines w:val="0"/>
        <w:pageBreakBefore w:val="0"/>
        <w:widowControl/>
        <w:numPr>
          <w:ilvl w:val="1"/>
          <w:numId w:val="4"/>
        </w:numPr>
        <w:tabs>
          <w:tab w:val="left" w:pos="1222"/>
        </w:tabs>
        <w:kinsoku/>
        <w:wordWrap/>
        <w:overflowPunct/>
        <w:topLinePunct w:val="0"/>
        <w:autoSpaceDE/>
        <w:autoSpaceDN/>
        <w:bidi w:val="0"/>
        <w:adjustRightInd/>
        <w:snapToGrid/>
        <w:spacing w:before="160"/>
        <w:ind w:left="118" w:leftChars="56" w:right="126" w:rightChars="6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宣布磋商会议纪律；</w:t>
      </w:r>
    </w:p>
    <w:p>
      <w:pPr>
        <w:pStyle w:val="72"/>
        <w:keepNext w:val="0"/>
        <w:keepLines w:val="0"/>
        <w:pageBreakBefore w:val="0"/>
        <w:widowControl/>
        <w:numPr>
          <w:ilvl w:val="1"/>
          <w:numId w:val="4"/>
        </w:numPr>
        <w:tabs>
          <w:tab w:val="left" w:pos="1222"/>
        </w:tabs>
        <w:kinsoku/>
        <w:wordWrap/>
        <w:overflowPunct/>
        <w:topLinePunct w:val="0"/>
        <w:autoSpaceDE/>
        <w:autoSpaceDN/>
        <w:bidi w:val="0"/>
        <w:adjustRightInd/>
        <w:snapToGrid/>
        <w:spacing w:before="160"/>
        <w:ind w:left="118" w:leftChars="56" w:right="126" w:rightChars="60" w:firstLine="545"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磋商时，电子招标投标交易平台自动提取所有电子化磋商响应文件，按时在线解</w:t>
      </w:r>
      <w:r>
        <w:rPr>
          <w:rFonts w:hint="eastAsia" w:ascii="宋体" w:hAnsi="宋体" w:eastAsia="宋体" w:cs="宋体"/>
          <w:color w:val="auto"/>
          <w:sz w:val="24"/>
          <w:szCs w:val="24"/>
          <w:highlight w:val="none"/>
        </w:rPr>
        <w:t>密；</w:t>
      </w:r>
    </w:p>
    <w:p>
      <w:pPr>
        <w:pStyle w:val="72"/>
        <w:keepNext w:val="0"/>
        <w:keepLines w:val="0"/>
        <w:pageBreakBefore w:val="0"/>
        <w:widowControl/>
        <w:numPr>
          <w:ilvl w:val="1"/>
          <w:numId w:val="4"/>
        </w:numPr>
        <w:tabs>
          <w:tab w:val="left" w:pos="1222"/>
        </w:tabs>
        <w:kinsoku/>
        <w:wordWrap/>
        <w:overflowPunct/>
        <w:topLinePunct w:val="0"/>
        <w:autoSpaceDE/>
        <w:autoSpaceDN/>
        <w:bidi w:val="0"/>
        <w:adjustRightInd/>
        <w:snapToGrid/>
        <w:spacing w:before="161"/>
        <w:ind w:left="118" w:leftChars="56" w:right="126" w:rightChars="6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电子化磋商响应文件的有效性</w:t>
      </w:r>
    </w:p>
    <w:p>
      <w:pPr>
        <w:pStyle w:val="72"/>
        <w:tabs>
          <w:tab w:val="left" w:pos="1222"/>
        </w:tabs>
        <w:spacing w:before="161" w:line="500" w:lineRule="exact"/>
        <w:ind w:left="743"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18.5.1</w:t>
      </w:r>
      <w:r>
        <w:rPr>
          <w:rFonts w:hint="eastAsia" w:ascii="宋体" w:hAnsi="宋体" w:eastAsia="宋体" w:cs="宋体"/>
          <w:color w:val="auto"/>
          <w:sz w:val="24"/>
          <w:szCs w:val="24"/>
          <w:highlight w:val="none"/>
        </w:rPr>
        <w:t>电子化磋商响应文件有下列情形的为无效电子化磋商响应文件，采购人不予受理：因磋商响应供应商原因造成磋商响应文件未解密的，视为撤销其磋商响应文件； 因磋商响应供应商之外的原因造成电子化磋商响应文件未解密的，视为撤回其磋商响应文件，磋商响应供应商有权要求责任方赔偿因此遭受的直接损失。部分电子化磋商响应文件未解密的，其他电子化磋商可以继续进行。</w:t>
      </w:r>
    </w:p>
    <w:p>
      <w:pPr>
        <w:pStyle w:val="3"/>
        <w:spacing w:before="3" w:line="500" w:lineRule="exact"/>
        <w:rPr>
          <w:rFonts w:hint="eastAsia" w:ascii="宋体" w:hAnsi="宋体" w:eastAsia="宋体" w:cs="宋体"/>
          <w:color w:val="auto"/>
          <w:sz w:val="24"/>
          <w:szCs w:val="24"/>
          <w:highlight w:val="none"/>
        </w:rPr>
      </w:pPr>
      <w:bookmarkStart w:id="147" w:name="_Toc29167_WPSOffice_Level3"/>
      <w:r>
        <w:rPr>
          <w:rFonts w:hint="eastAsia" w:ascii="宋体" w:hAnsi="宋体" w:eastAsia="宋体" w:cs="宋体"/>
          <w:color w:val="auto"/>
          <w:sz w:val="24"/>
          <w:szCs w:val="24"/>
          <w:highlight w:val="none"/>
        </w:rPr>
        <w:t>19、磋商小组</w:t>
      </w:r>
      <w:bookmarkEnd w:id="147"/>
    </w:p>
    <w:p>
      <w:pPr>
        <w:pStyle w:val="72"/>
        <w:numPr>
          <w:ilvl w:val="1"/>
          <w:numId w:val="5"/>
        </w:numPr>
        <w:tabs>
          <w:tab w:val="left" w:pos="1281"/>
        </w:tabs>
        <w:spacing w:before="161"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 xml:space="preserve">磋商小组由 </w:t>
      </w:r>
      <w:r>
        <w:rPr>
          <w:rFonts w:hint="eastAsia" w:ascii="宋体" w:hAnsi="宋体" w:eastAsia="宋体" w:cs="宋体"/>
          <w:color w:val="auto"/>
          <w:sz w:val="24"/>
          <w:szCs w:val="24"/>
          <w:highlight w:val="none"/>
        </w:rPr>
        <w:t>3</w:t>
      </w:r>
      <w:r>
        <w:rPr>
          <w:rFonts w:hint="eastAsia" w:ascii="宋体" w:hAnsi="宋体" w:eastAsia="宋体" w:cs="宋体"/>
          <w:color w:val="auto"/>
          <w:spacing w:val="-12"/>
          <w:sz w:val="24"/>
          <w:szCs w:val="24"/>
          <w:highlight w:val="none"/>
        </w:rPr>
        <w:t xml:space="preserve"> 人构成：采购人代表 </w:t>
      </w:r>
      <w:r>
        <w:rPr>
          <w:rFonts w:hint="eastAsia" w:ascii="宋体" w:hAnsi="宋体" w:eastAsia="宋体" w:cs="宋体"/>
          <w:color w:val="auto"/>
          <w:sz w:val="24"/>
          <w:szCs w:val="24"/>
          <w:highlight w:val="none"/>
        </w:rPr>
        <w:t>1</w:t>
      </w:r>
      <w:r>
        <w:rPr>
          <w:rFonts w:hint="eastAsia" w:ascii="宋体" w:hAnsi="宋体" w:eastAsia="宋体" w:cs="宋体"/>
          <w:color w:val="auto"/>
          <w:spacing w:val="-12"/>
          <w:sz w:val="24"/>
          <w:szCs w:val="24"/>
          <w:highlight w:val="none"/>
        </w:rPr>
        <w:t xml:space="preserve"> 人，经济、技术方面专家 </w:t>
      </w:r>
      <w:r>
        <w:rPr>
          <w:rFonts w:hint="eastAsia" w:ascii="宋体" w:hAnsi="宋体" w:eastAsia="宋体" w:cs="宋体"/>
          <w:color w:val="auto"/>
          <w:sz w:val="24"/>
          <w:szCs w:val="24"/>
          <w:highlight w:val="none"/>
        </w:rPr>
        <w:t>2</w:t>
      </w:r>
      <w:r>
        <w:rPr>
          <w:rFonts w:hint="eastAsia" w:ascii="宋体" w:hAnsi="宋体" w:eastAsia="宋体" w:cs="宋体"/>
          <w:color w:val="auto"/>
          <w:spacing w:val="-9"/>
          <w:sz w:val="24"/>
          <w:szCs w:val="24"/>
          <w:highlight w:val="none"/>
        </w:rPr>
        <w:t xml:space="preserve"> 人，在磋商会议开始前从</w:t>
      </w:r>
      <w:r>
        <w:rPr>
          <w:rFonts w:hint="eastAsia" w:ascii="宋体" w:hAnsi="宋体" w:eastAsia="宋体" w:cs="宋体"/>
          <w:color w:val="auto"/>
          <w:spacing w:val="-9"/>
          <w:sz w:val="24"/>
          <w:szCs w:val="24"/>
          <w:highlight w:val="none"/>
          <w:lang w:val="en-US" w:eastAsia="zh-CN"/>
        </w:rPr>
        <w:t>相关</w:t>
      </w:r>
      <w:r>
        <w:rPr>
          <w:rFonts w:hint="eastAsia" w:ascii="宋体" w:hAnsi="宋体" w:eastAsia="宋体" w:cs="宋体"/>
          <w:color w:val="auto"/>
          <w:spacing w:val="-9"/>
          <w:sz w:val="24"/>
          <w:szCs w:val="24"/>
          <w:highlight w:val="none"/>
        </w:rPr>
        <w:t>评标专家库随机抽取。</w:t>
      </w:r>
    </w:p>
    <w:p>
      <w:pPr>
        <w:pStyle w:val="72"/>
        <w:numPr>
          <w:ilvl w:val="1"/>
          <w:numId w:val="5"/>
        </w:numPr>
        <w:tabs>
          <w:tab w:val="left" w:pos="1281"/>
        </w:tabs>
        <w:spacing w:before="1" w:line="364" w:lineRule="auto"/>
        <w:ind w:right="341"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磋商小组对所有磋商响应供应商的磋商响应文件进行评审，按评审后得分由高到低顺序排列，递交给采购人。</w:t>
      </w:r>
    </w:p>
    <w:p>
      <w:pPr>
        <w:pStyle w:val="72"/>
        <w:numPr>
          <w:ilvl w:val="1"/>
          <w:numId w:val="5"/>
        </w:numPr>
        <w:tabs>
          <w:tab w:val="left" w:pos="1281"/>
        </w:tabs>
        <w:spacing w:before="1"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72"/>
        <w:numPr>
          <w:ilvl w:val="1"/>
          <w:numId w:val="5"/>
        </w:numPr>
        <w:tabs>
          <w:tab w:val="left" w:pos="1281"/>
        </w:tabs>
        <w:spacing w:before="2"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3"/>
        <w:spacing w:before="3"/>
        <w:rPr>
          <w:rFonts w:hint="eastAsia" w:ascii="宋体" w:hAnsi="宋体" w:eastAsia="宋体" w:cs="宋体"/>
          <w:color w:val="auto"/>
          <w:sz w:val="24"/>
          <w:szCs w:val="24"/>
          <w:highlight w:val="none"/>
        </w:rPr>
      </w:pPr>
      <w:bookmarkStart w:id="148" w:name="_Toc30532_WPSOffice_Level3"/>
      <w:r>
        <w:rPr>
          <w:rFonts w:hint="eastAsia" w:ascii="宋体" w:hAnsi="宋体" w:eastAsia="宋体" w:cs="宋体"/>
          <w:color w:val="auto"/>
          <w:sz w:val="24"/>
          <w:szCs w:val="24"/>
          <w:highlight w:val="none"/>
        </w:rPr>
        <w:t>20、磋商程序</w:t>
      </w:r>
      <w:bookmarkEnd w:id="148"/>
    </w:p>
    <w:p>
      <w:pPr>
        <w:pStyle w:val="72"/>
        <w:numPr>
          <w:ilvl w:val="1"/>
          <w:numId w:val="6"/>
        </w:numPr>
        <w:tabs>
          <w:tab w:val="left" w:pos="1281"/>
        </w:tabs>
        <w:spacing w:before="161" w:line="364" w:lineRule="auto"/>
        <w:ind w:right="341"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磋商小组所有成员集中评审磋商响应文件及集中与磋商响应供应商分别进行磋商。</w:t>
      </w:r>
    </w:p>
    <w:p>
      <w:pPr>
        <w:pStyle w:val="72"/>
        <w:numPr>
          <w:ilvl w:val="1"/>
          <w:numId w:val="6"/>
        </w:numPr>
        <w:tabs>
          <w:tab w:val="left" w:pos="1281"/>
        </w:tabs>
        <w:spacing w:before="1" w:line="364" w:lineRule="auto"/>
        <w:ind w:right="218" w:firstLine="42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磋商小组首先对所有磋商响应文件进行资格性和初步审查。资格性审查是指： </w:t>
      </w:r>
      <w:r>
        <w:rPr>
          <w:rFonts w:hint="eastAsia" w:ascii="宋体" w:hAnsi="宋体" w:eastAsia="宋体" w:cs="宋体"/>
          <w:color w:val="auto"/>
          <w:spacing w:val="-2"/>
          <w:sz w:val="24"/>
          <w:szCs w:val="24"/>
          <w:highlight w:val="none"/>
        </w:rPr>
        <w:t>磋商小组按照竞争性磋商文件第四章评审办法</w:t>
      </w:r>
      <w:r>
        <w:rPr>
          <w:rFonts w:hint="eastAsia" w:ascii="宋体" w:hAnsi="宋体" w:eastAsia="宋体" w:cs="宋体"/>
          <w:color w:val="auto"/>
          <w:spacing w:val="-9"/>
          <w:sz w:val="24"/>
          <w:szCs w:val="24"/>
          <w:highlight w:val="none"/>
        </w:rPr>
        <w:t>的要求， 对磋商响应供应商进行资格审查，有一项不符合的，视为未通过资格审查，不得进入下一评</w:t>
      </w:r>
      <w:r>
        <w:rPr>
          <w:rFonts w:hint="eastAsia" w:ascii="宋体" w:hAnsi="宋体" w:eastAsia="宋体" w:cs="宋体"/>
          <w:color w:val="auto"/>
          <w:spacing w:val="-10"/>
          <w:sz w:val="24"/>
          <w:szCs w:val="24"/>
          <w:highlight w:val="none"/>
        </w:rPr>
        <w:t>审过程。磋商小组按照竞争性磋商文件及第四章评审办法中形式、响应性评审的要求，对磋商响应供应商进行审查，有一项不符合的，视为未通过初步审查。未通过资格性和初步审查的磋商响应文件按无效响应处理，磋商小组应当告知提交磋商响应文件的磋商响</w:t>
      </w:r>
      <w:r>
        <w:rPr>
          <w:rFonts w:hint="eastAsia" w:ascii="宋体" w:hAnsi="宋体" w:eastAsia="宋体" w:cs="宋体"/>
          <w:color w:val="auto"/>
          <w:sz w:val="24"/>
          <w:szCs w:val="24"/>
          <w:highlight w:val="none"/>
        </w:rPr>
        <w:t>应供应商。</w:t>
      </w:r>
    </w:p>
    <w:p>
      <w:pPr>
        <w:pStyle w:val="72"/>
        <w:numPr>
          <w:ilvl w:val="2"/>
          <w:numId w:val="6"/>
        </w:numPr>
        <w:tabs>
          <w:tab w:val="left" w:pos="1521"/>
        </w:tabs>
        <w:spacing w:before="160"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允许修正磋商响应文件中不构成重大偏离的、微小的、非正规的、不一致或不规则的地方。</w:t>
      </w:r>
    </w:p>
    <w:p>
      <w:pPr>
        <w:pStyle w:val="72"/>
        <w:numPr>
          <w:ilvl w:val="2"/>
          <w:numId w:val="6"/>
        </w:numPr>
        <w:tabs>
          <w:tab w:val="left" w:pos="1581"/>
        </w:tabs>
        <w:spacing w:before="1" w:line="364"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磋商小组判断磋商响应文件的响应性仅基于磋商响应文件本身内容而不靠外</w:t>
      </w:r>
      <w:r>
        <w:rPr>
          <w:rFonts w:hint="eastAsia" w:ascii="宋体" w:hAnsi="宋体" w:eastAsia="宋体" w:cs="宋体"/>
          <w:color w:val="auto"/>
          <w:sz w:val="24"/>
          <w:szCs w:val="24"/>
          <w:highlight w:val="none"/>
        </w:rPr>
        <w:t>部证据。</w:t>
      </w:r>
    </w:p>
    <w:p>
      <w:pPr>
        <w:pStyle w:val="72"/>
        <w:numPr>
          <w:ilvl w:val="2"/>
          <w:numId w:val="6"/>
        </w:numPr>
        <w:tabs>
          <w:tab w:val="left" w:pos="1521"/>
        </w:tabs>
        <w:spacing w:before="2"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实质性未响应磋商文件要求的响应将被拒绝，磋商响应供应商不得通过修正或撤消不符之处而使其响应成为实质性响应。</w:t>
      </w:r>
    </w:p>
    <w:p>
      <w:pPr>
        <w:pStyle w:val="72"/>
        <w:numPr>
          <w:ilvl w:val="2"/>
          <w:numId w:val="6"/>
        </w:numPr>
        <w:tabs>
          <w:tab w:val="left" w:pos="1521"/>
        </w:tabs>
        <w:spacing w:before="1"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实质性未响应是指磋商响应文件中提出了超出磋商文件中采购标的、规格型号、预算金额、采购数量、交货期、技术和服务要求等内容。</w:t>
      </w:r>
    </w:p>
    <w:p>
      <w:pPr>
        <w:pStyle w:val="3"/>
        <w:spacing w:before="81" w:line="500" w:lineRule="exact"/>
        <w:rPr>
          <w:rFonts w:hint="eastAsia" w:ascii="宋体" w:hAnsi="宋体" w:eastAsia="宋体" w:cs="宋体"/>
          <w:color w:val="auto"/>
          <w:sz w:val="24"/>
          <w:szCs w:val="24"/>
          <w:highlight w:val="none"/>
        </w:rPr>
      </w:pPr>
      <w:bookmarkStart w:id="149" w:name="_Toc31948_WPSOffice_Level3"/>
      <w:r>
        <w:rPr>
          <w:rFonts w:hint="eastAsia" w:ascii="宋体" w:hAnsi="宋体" w:eastAsia="宋体" w:cs="宋体"/>
          <w:color w:val="auto"/>
          <w:sz w:val="24"/>
          <w:szCs w:val="24"/>
          <w:highlight w:val="none"/>
        </w:rPr>
        <w:t>21、对磋商响应供应商的评价</w:t>
      </w:r>
      <w:bookmarkEnd w:id="149"/>
    </w:p>
    <w:p>
      <w:pPr>
        <w:pStyle w:val="72"/>
        <w:numPr>
          <w:ilvl w:val="1"/>
          <w:numId w:val="7"/>
        </w:numPr>
        <w:tabs>
          <w:tab w:val="left" w:pos="1281"/>
        </w:tabs>
        <w:spacing w:before="160"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磋商小组只对已判定为实质性响应且通过资格审查的磋商响应文件进行详细评价和比较。</w:t>
      </w:r>
    </w:p>
    <w:p>
      <w:pPr>
        <w:pStyle w:val="72"/>
        <w:numPr>
          <w:ilvl w:val="1"/>
          <w:numId w:val="7"/>
        </w:numPr>
        <w:tabs>
          <w:tab w:val="left" w:pos="1281"/>
        </w:tabs>
        <w:spacing w:before="2"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磋商小组所有成员应当集中与单一磋商响应供应商分别进行磋商，并给予所有参加磋商的磋商响应供应商平等的磋商机会。磋商完成后，要求其在规定时间内提交最后报价，提交最后报价的供应商可以为两家。</w:t>
      </w:r>
    </w:p>
    <w:p>
      <w:pPr>
        <w:pStyle w:val="72"/>
        <w:numPr>
          <w:ilvl w:val="1"/>
          <w:numId w:val="7"/>
        </w:numPr>
        <w:tabs>
          <w:tab w:val="left" w:pos="1281"/>
        </w:tabs>
        <w:spacing w:before="1"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经磋商确定最终采购需求和提交最后报价的磋商响应供应商后，磋商小组采用</w:t>
      </w:r>
      <w:r>
        <w:rPr>
          <w:rFonts w:hint="eastAsia" w:ascii="宋体" w:hAnsi="宋体" w:eastAsia="宋体" w:cs="宋体"/>
          <w:color w:val="auto"/>
          <w:spacing w:val="6"/>
          <w:sz w:val="24"/>
          <w:szCs w:val="24"/>
          <w:highlight w:val="none"/>
        </w:rPr>
        <w:t>综合评分法对提交最后报价的磋商响应供应商的磋商响应文件和最后报价进行综合评分。</w:t>
      </w:r>
    </w:p>
    <w:p>
      <w:pPr>
        <w:pStyle w:val="4"/>
        <w:spacing w:before="43" w:line="365" w:lineRule="auto"/>
        <w:ind w:left="318" w:right="340" w:firstLine="45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21.4磋商小组根据综合评分情况，按评审得分由高到低的顺序确定成交候选供应商， </w:t>
      </w:r>
      <w:r>
        <w:rPr>
          <w:rFonts w:hint="eastAsia" w:ascii="宋体" w:hAnsi="宋体" w:eastAsia="宋体" w:cs="宋体"/>
          <w:color w:val="auto"/>
          <w:sz w:val="24"/>
          <w:szCs w:val="24"/>
          <w:highlight w:val="none"/>
        </w:rPr>
        <w:t>确定排名第一的为成交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4"/>
        <w:spacing w:before="43" w:line="365" w:lineRule="auto"/>
        <w:ind w:left="318" w:right="34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如果第一名供应商放弃成交资格或因不可抗力提出不能履行合同、竞争性磋商文件规定应当提交履约担保而在规定的期限内未能提交的，采购人将依序确定排名第二名的供应商为成交供应商，也可以重新开展政府采购活动。</w:t>
      </w:r>
    </w:p>
    <w:p>
      <w:pPr>
        <w:pStyle w:val="3"/>
        <w:spacing w:before="2"/>
        <w:rPr>
          <w:rFonts w:hint="eastAsia" w:ascii="宋体" w:hAnsi="宋体" w:eastAsia="宋体" w:cs="宋体"/>
          <w:color w:val="auto"/>
          <w:sz w:val="24"/>
          <w:szCs w:val="24"/>
          <w:highlight w:val="none"/>
        </w:rPr>
      </w:pPr>
      <w:bookmarkStart w:id="150" w:name="_Toc27346_WPSOffice_Level3"/>
      <w:r>
        <w:rPr>
          <w:rFonts w:hint="eastAsia" w:ascii="宋体" w:hAnsi="宋体" w:eastAsia="宋体" w:cs="宋体"/>
          <w:color w:val="auto"/>
          <w:sz w:val="24"/>
          <w:szCs w:val="24"/>
          <w:highlight w:val="none"/>
        </w:rPr>
        <w:t>22、磋商响应文件的澄清</w:t>
      </w:r>
      <w:bookmarkEnd w:id="150"/>
    </w:p>
    <w:p>
      <w:pPr>
        <w:pStyle w:val="72"/>
        <w:numPr>
          <w:ilvl w:val="1"/>
          <w:numId w:val="8"/>
        </w:numPr>
        <w:tabs>
          <w:tab w:val="left" w:pos="1281"/>
        </w:tabs>
        <w:spacing w:before="160" w:line="364" w:lineRule="auto"/>
        <w:ind w:right="340"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有助于对磋商响应文件进行审查、评估和比较，磋商小组有权向磋商响应供应商质疑。请磋商响应供应商澄清其磋商内容。磋商响应供应商有责任按照磋商小组通知的时间、地点、方式指派委托代理人进行答疑和澄清。</w:t>
      </w:r>
    </w:p>
    <w:p>
      <w:pPr>
        <w:pStyle w:val="72"/>
        <w:numPr>
          <w:ilvl w:val="1"/>
          <w:numId w:val="8"/>
        </w:numPr>
        <w:tabs>
          <w:tab w:val="left" w:pos="1281"/>
        </w:tabs>
        <w:spacing w:before="160" w:line="364" w:lineRule="auto"/>
        <w:ind w:right="340"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重要澄清的答复应是书面的，并由法定代表人或其委托代理人签字。</w:t>
      </w:r>
    </w:p>
    <w:p>
      <w:pPr>
        <w:pStyle w:val="72"/>
        <w:numPr>
          <w:ilvl w:val="1"/>
          <w:numId w:val="8"/>
        </w:numPr>
        <w:tabs>
          <w:tab w:val="left" w:pos="1281"/>
        </w:tabs>
        <w:spacing w:before="161"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磋商响应供应商的澄清文件是磋商响应文件的组成部分，并取代磋商响应文件中被澄清的部分。</w:t>
      </w:r>
    </w:p>
    <w:p>
      <w:pPr>
        <w:pStyle w:val="72"/>
        <w:numPr>
          <w:ilvl w:val="1"/>
          <w:numId w:val="8"/>
        </w:numPr>
        <w:tabs>
          <w:tab w:val="left" w:pos="1281"/>
        </w:tabs>
        <w:spacing w:before="160" w:line="364" w:lineRule="auto"/>
        <w:ind w:right="340"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磋商响应文件澄清部分不得对磋商内容进行实质性修改。</w:t>
      </w:r>
    </w:p>
    <w:p>
      <w:pPr>
        <w:pStyle w:val="3"/>
        <w:spacing w:before="160"/>
        <w:rPr>
          <w:rFonts w:hint="eastAsia" w:ascii="宋体" w:hAnsi="宋体" w:eastAsia="宋体" w:cs="宋体"/>
          <w:color w:val="auto"/>
          <w:sz w:val="24"/>
          <w:szCs w:val="24"/>
          <w:highlight w:val="none"/>
        </w:rPr>
      </w:pPr>
      <w:bookmarkStart w:id="151" w:name="_Toc10070_WPSOffice_Level3"/>
      <w:r>
        <w:rPr>
          <w:rFonts w:hint="eastAsia" w:ascii="宋体" w:hAnsi="宋体" w:eastAsia="宋体" w:cs="宋体"/>
          <w:color w:val="auto"/>
          <w:sz w:val="24"/>
          <w:szCs w:val="24"/>
          <w:highlight w:val="none"/>
        </w:rPr>
        <w:t>23、磋商原则和方法</w:t>
      </w:r>
      <w:bookmarkEnd w:id="151"/>
    </w:p>
    <w:p>
      <w:pPr>
        <w:pStyle w:val="72"/>
        <w:numPr>
          <w:ilvl w:val="1"/>
          <w:numId w:val="9"/>
        </w:numPr>
        <w:tabs>
          <w:tab w:val="left" w:pos="1281"/>
        </w:tabs>
        <w:spacing w:before="160"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坚持公开、公平、公正的原则。</w:t>
      </w:r>
    </w:p>
    <w:p>
      <w:pPr>
        <w:pStyle w:val="72"/>
        <w:numPr>
          <w:ilvl w:val="1"/>
          <w:numId w:val="9"/>
        </w:numPr>
        <w:tabs>
          <w:tab w:val="left" w:pos="1281"/>
        </w:tabs>
        <w:spacing w:before="160"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磋商在磋商小组应当集中与单一磋商响应供应商分别进行磋商，磋商小组将遵照磋商原则，公正、平等地对待所有磋商响应供应商。</w:t>
      </w:r>
    </w:p>
    <w:p>
      <w:pPr>
        <w:pStyle w:val="72"/>
        <w:numPr>
          <w:ilvl w:val="2"/>
          <w:numId w:val="0"/>
        </w:numPr>
        <w:tabs>
          <w:tab w:val="left" w:pos="1521"/>
        </w:tabs>
        <w:spacing w:before="160" w:line="364" w:lineRule="auto"/>
        <w:ind w:left="320" w:leftChars="0" w:right="341"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lang w:val="zh-CN" w:eastAsia="zh-CN" w:bidi="zh-CN"/>
        </w:rPr>
        <w:t>23.</w:t>
      </w:r>
      <w:r>
        <w:rPr>
          <w:rFonts w:hint="eastAsia" w:ascii="宋体" w:hAnsi="宋体" w:eastAsia="宋体" w:cs="宋体"/>
          <w:color w:val="auto"/>
          <w:w w:val="100"/>
          <w:sz w:val="24"/>
          <w:szCs w:val="24"/>
          <w:highlight w:val="none"/>
          <w:lang w:val="en-US" w:eastAsia="zh-CN" w:bidi="zh-CN"/>
        </w:rPr>
        <w:t>3</w:t>
      </w:r>
      <w:r>
        <w:rPr>
          <w:rFonts w:hint="eastAsia" w:ascii="宋体" w:hAnsi="宋体" w:eastAsia="宋体" w:cs="宋体"/>
          <w:color w:val="auto"/>
          <w:w w:val="100"/>
          <w:sz w:val="24"/>
          <w:szCs w:val="24"/>
          <w:highlight w:val="none"/>
          <w:lang w:val="zh-CN" w:eastAsia="zh-CN" w:bidi="zh-CN"/>
        </w:rPr>
        <w:t>.1</w:t>
      </w:r>
      <w:r>
        <w:rPr>
          <w:rFonts w:hint="eastAsia" w:ascii="宋体" w:hAnsi="宋体" w:eastAsia="宋体" w:cs="宋体"/>
          <w:color w:val="auto"/>
          <w:sz w:val="24"/>
          <w:szCs w:val="24"/>
          <w:highlight w:val="none"/>
        </w:rPr>
        <w:t>评审方法</w:t>
      </w:r>
    </w:p>
    <w:p>
      <w:pPr>
        <w:pStyle w:val="72"/>
        <w:numPr>
          <w:ilvl w:val="2"/>
          <w:numId w:val="0"/>
        </w:numPr>
        <w:tabs>
          <w:tab w:val="left" w:pos="1521"/>
        </w:tabs>
        <w:spacing w:before="160" w:line="364" w:lineRule="auto"/>
        <w:ind w:left="320" w:leftChars="0" w:right="341"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lang w:val="zh-CN" w:eastAsia="zh-CN" w:bidi="zh-CN"/>
        </w:rPr>
        <w:t>23.</w:t>
      </w:r>
      <w:r>
        <w:rPr>
          <w:rFonts w:hint="eastAsia" w:ascii="宋体" w:hAnsi="宋体" w:eastAsia="宋体" w:cs="宋体"/>
          <w:color w:val="auto"/>
          <w:w w:val="100"/>
          <w:sz w:val="24"/>
          <w:szCs w:val="24"/>
          <w:highlight w:val="none"/>
          <w:lang w:val="en-US" w:eastAsia="zh-CN" w:bidi="zh-CN"/>
        </w:rPr>
        <w:t>3</w:t>
      </w:r>
      <w:r>
        <w:rPr>
          <w:rFonts w:hint="eastAsia" w:ascii="宋体" w:hAnsi="宋体" w:eastAsia="宋体" w:cs="宋体"/>
          <w:color w:val="auto"/>
          <w:w w:val="100"/>
          <w:sz w:val="24"/>
          <w:szCs w:val="24"/>
          <w:highlight w:val="none"/>
          <w:lang w:val="zh-CN" w:eastAsia="zh-CN" w:bidi="zh-CN"/>
        </w:rPr>
        <w:t>.2</w:t>
      </w:r>
      <w:r>
        <w:rPr>
          <w:rFonts w:hint="eastAsia" w:ascii="宋体" w:hAnsi="宋体" w:eastAsia="宋体" w:cs="宋体"/>
          <w:color w:val="auto"/>
          <w:sz w:val="24"/>
          <w:szCs w:val="24"/>
          <w:highlight w:val="none"/>
        </w:rPr>
        <w:t>初步评审（是否响应竞争性磋商文件的要求），确定合格的磋商响应供应商。</w:t>
      </w:r>
    </w:p>
    <w:p>
      <w:pPr>
        <w:pStyle w:val="72"/>
        <w:numPr>
          <w:ilvl w:val="2"/>
          <w:numId w:val="0"/>
        </w:numPr>
        <w:tabs>
          <w:tab w:val="left" w:pos="1521"/>
        </w:tabs>
        <w:spacing w:before="160" w:line="364" w:lineRule="auto"/>
        <w:ind w:left="320" w:leftChars="0" w:right="341"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lang w:val="zh-CN" w:eastAsia="zh-CN" w:bidi="zh-CN"/>
        </w:rPr>
        <w:t>23.</w:t>
      </w:r>
      <w:r>
        <w:rPr>
          <w:rFonts w:hint="eastAsia" w:ascii="宋体" w:hAnsi="宋体" w:eastAsia="宋体" w:cs="宋体"/>
          <w:color w:val="auto"/>
          <w:w w:val="100"/>
          <w:sz w:val="24"/>
          <w:szCs w:val="24"/>
          <w:highlight w:val="none"/>
          <w:lang w:val="en-US" w:eastAsia="zh-CN" w:bidi="zh-CN"/>
        </w:rPr>
        <w:t>3</w:t>
      </w:r>
      <w:r>
        <w:rPr>
          <w:rFonts w:hint="eastAsia" w:ascii="宋体" w:hAnsi="宋体" w:eastAsia="宋体" w:cs="宋体"/>
          <w:color w:val="auto"/>
          <w:w w:val="100"/>
          <w:sz w:val="24"/>
          <w:szCs w:val="24"/>
          <w:highlight w:val="none"/>
          <w:lang w:val="zh-CN" w:eastAsia="zh-CN" w:bidi="zh-CN"/>
        </w:rPr>
        <w:t>.3</w:t>
      </w:r>
      <w:r>
        <w:rPr>
          <w:rFonts w:hint="eastAsia" w:ascii="宋体" w:hAnsi="宋体" w:eastAsia="宋体" w:cs="宋体"/>
          <w:color w:val="auto"/>
          <w:sz w:val="24"/>
          <w:szCs w:val="24"/>
          <w:highlight w:val="none"/>
        </w:rPr>
        <w:t>各磋商响应供应商依据各自情况进行最后报价。</w:t>
      </w:r>
    </w:p>
    <w:p>
      <w:pPr>
        <w:pStyle w:val="72"/>
        <w:numPr>
          <w:ilvl w:val="2"/>
          <w:numId w:val="0"/>
        </w:numPr>
        <w:tabs>
          <w:tab w:val="left" w:pos="1521"/>
        </w:tabs>
        <w:spacing w:before="160" w:line="364" w:lineRule="auto"/>
        <w:ind w:left="320" w:leftChars="0" w:right="341"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lang w:val="zh-CN" w:eastAsia="zh-CN" w:bidi="zh-CN"/>
        </w:rPr>
        <w:t>23.</w:t>
      </w:r>
      <w:r>
        <w:rPr>
          <w:rFonts w:hint="eastAsia" w:ascii="宋体" w:hAnsi="宋体" w:eastAsia="宋体" w:cs="宋体"/>
          <w:color w:val="auto"/>
          <w:w w:val="100"/>
          <w:sz w:val="24"/>
          <w:szCs w:val="24"/>
          <w:highlight w:val="none"/>
          <w:lang w:val="en-US" w:eastAsia="zh-CN" w:bidi="zh-CN"/>
        </w:rPr>
        <w:t>3</w:t>
      </w:r>
      <w:r>
        <w:rPr>
          <w:rFonts w:hint="eastAsia" w:ascii="宋体" w:hAnsi="宋体" w:eastAsia="宋体" w:cs="宋体"/>
          <w:color w:val="auto"/>
          <w:w w:val="100"/>
          <w:sz w:val="24"/>
          <w:szCs w:val="24"/>
          <w:highlight w:val="none"/>
          <w:lang w:val="zh-CN" w:eastAsia="zh-CN" w:bidi="zh-CN"/>
        </w:rPr>
        <w:t>.4</w:t>
      </w:r>
      <w:r>
        <w:rPr>
          <w:rFonts w:hint="eastAsia" w:ascii="宋体" w:hAnsi="宋体" w:eastAsia="宋体" w:cs="宋体"/>
          <w:color w:val="auto"/>
          <w:sz w:val="24"/>
          <w:szCs w:val="24"/>
          <w:highlight w:val="none"/>
        </w:rPr>
        <w:t>经磋商确定最终采购需求和提交最后报价的磋商响应供应商，有磋商小组采用综合评分法对提交最后报价的磋商响应供应商的响应文件和最后报价进行综合评分。</w:t>
      </w:r>
    </w:p>
    <w:p>
      <w:pPr>
        <w:pStyle w:val="3"/>
        <w:spacing w:before="2"/>
        <w:rPr>
          <w:rFonts w:hint="eastAsia" w:ascii="宋体" w:hAnsi="宋体" w:eastAsia="宋体" w:cs="宋体"/>
          <w:color w:val="auto"/>
          <w:sz w:val="24"/>
          <w:szCs w:val="24"/>
          <w:highlight w:val="none"/>
        </w:rPr>
      </w:pPr>
      <w:bookmarkStart w:id="152" w:name="_Toc5813_WPSOffice_Level3"/>
      <w:r>
        <w:rPr>
          <w:rFonts w:hint="eastAsia" w:ascii="宋体" w:hAnsi="宋体" w:eastAsia="宋体" w:cs="宋体"/>
          <w:color w:val="auto"/>
          <w:sz w:val="24"/>
          <w:szCs w:val="24"/>
          <w:highlight w:val="none"/>
        </w:rPr>
        <w:t>24、推荐成交供应商</w:t>
      </w:r>
      <w:bookmarkEnd w:id="152"/>
      <w:r>
        <w:rPr>
          <w:rFonts w:hint="eastAsia" w:ascii="宋体" w:hAnsi="宋体" w:eastAsia="宋体" w:cs="宋体"/>
          <w:color w:val="auto"/>
          <w:sz w:val="24"/>
          <w:szCs w:val="24"/>
          <w:highlight w:val="none"/>
        </w:rPr>
        <w:t>候选人</w:t>
      </w:r>
    </w:p>
    <w:p>
      <w:pPr>
        <w:pStyle w:val="4"/>
        <w:spacing w:before="160" w:line="364" w:lineRule="auto"/>
        <w:ind w:right="338" w:firstLine="741" w:firstLineChars="30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 磋商小组应当根据综合评分情况，按照评审有高到低的顺序推荐3名成交候选供应商，并向采购人提供书面评审报告。</w:t>
      </w:r>
    </w:p>
    <w:p>
      <w:pPr>
        <w:pStyle w:val="3"/>
        <w:spacing w:before="2"/>
        <w:rPr>
          <w:rFonts w:hint="eastAsia" w:ascii="宋体" w:hAnsi="宋体" w:eastAsia="宋体" w:cs="宋体"/>
          <w:color w:val="auto"/>
          <w:sz w:val="24"/>
          <w:szCs w:val="24"/>
          <w:highlight w:val="none"/>
        </w:rPr>
      </w:pPr>
      <w:bookmarkStart w:id="153" w:name="_Toc28609_WPSOffice_Level3"/>
      <w:r>
        <w:rPr>
          <w:rFonts w:hint="eastAsia" w:ascii="宋体" w:hAnsi="宋体" w:eastAsia="宋体" w:cs="宋体"/>
          <w:color w:val="auto"/>
          <w:sz w:val="24"/>
          <w:szCs w:val="24"/>
          <w:highlight w:val="none"/>
        </w:rPr>
        <w:t>25、保密及其它注意事项</w:t>
      </w:r>
      <w:bookmarkEnd w:id="153"/>
    </w:p>
    <w:p>
      <w:pPr>
        <w:pStyle w:val="72"/>
        <w:numPr>
          <w:ilvl w:val="1"/>
          <w:numId w:val="10"/>
        </w:numPr>
        <w:tabs>
          <w:tab w:val="left" w:pos="1281"/>
        </w:tabs>
        <w:spacing w:before="160"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评审工作是磋商工作的重要环节，评审工作在磋商小组内独立进行。在评审期间，磋商响应供应商不得向磋商小组成员询问评审情况，不得进行影响评审结果的活动。否则其响应将会被拒绝。</w:t>
      </w:r>
    </w:p>
    <w:p>
      <w:pPr>
        <w:pStyle w:val="72"/>
        <w:numPr>
          <w:ilvl w:val="1"/>
          <w:numId w:val="10"/>
        </w:numPr>
        <w:tabs>
          <w:tab w:val="left" w:pos="1281"/>
        </w:tabs>
        <w:spacing w:before="160"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为保证评审的公正性，磋商开始后直至授予成交供应商合同，磋商小组成员不得与供应商私下交换意见。</w:t>
      </w:r>
    </w:p>
    <w:p>
      <w:pPr>
        <w:pStyle w:val="72"/>
        <w:numPr>
          <w:ilvl w:val="1"/>
          <w:numId w:val="10"/>
        </w:numPr>
        <w:tabs>
          <w:tab w:val="left" w:pos="1281"/>
        </w:tabs>
        <w:spacing w:before="1"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在评审工作结束后，凡与评审情况有接触的任何人不得擅自将评审情况扩散出评审人员之外。</w:t>
      </w:r>
    </w:p>
    <w:p>
      <w:pPr>
        <w:pStyle w:val="3"/>
        <w:spacing w:before="2"/>
        <w:rPr>
          <w:rFonts w:hint="eastAsia" w:ascii="宋体" w:hAnsi="宋体" w:eastAsia="宋体" w:cs="宋体"/>
          <w:color w:val="auto"/>
          <w:sz w:val="24"/>
          <w:szCs w:val="24"/>
          <w:highlight w:val="none"/>
        </w:rPr>
      </w:pPr>
      <w:bookmarkStart w:id="154" w:name="_Toc27984_WPSOffice_Level3"/>
      <w:r>
        <w:rPr>
          <w:rFonts w:hint="eastAsia" w:ascii="宋体" w:hAnsi="宋体" w:eastAsia="宋体" w:cs="宋体"/>
          <w:color w:val="auto"/>
          <w:sz w:val="24"/>
          <w:szCs w:val="24"/>
          <w:highlight w:val="none"/>
        </w:rPr>
        <w:t>26、定标、成交通知</w:t>
      </w:r>
      <w:bookmarkEnd w:id="154"/>
    </w:p>
    <w:p>
      <w:pPr>
        <w:pStyle w:val="3"/>
        <w:spacing w:before="2" w:line="520" w:lineRule="exact"/>
        <w:ind w:left="0" w:leftChars="0" w:firstLine="654" w:firstLineChars="300"/>
        <w:rPr>
          <w:rFonts w:hint="eastAsia" w:ascii="宋体" w:hAnsi="宋体" w:eastAsia="宋体" w:cs="宋体"/>
          <w:b w:val="0"/>
          <w:bCs w:val="0"/>
          <w:color w:val="auto"/>
          <w:spacing w:val="-11"/>
          <w:sz w:val="24"/>
          <w:szCs w:val="24"/>
          <w:highlight w:val="none"/>
        </w:rPr>
      </w:pPr>
      <w:r>
        <w:rPr>
          <w:rFonts w:hint="eastAsia" w:ascii="宋体" w:hAnsi="宋体" w:eastAsia="宋体" w:cs="宋体"/>
          <w:b w:val="0"/>
          <w:bCs w:val="0"/>
          <w:color w:val="auto"/>
          <w:spacing w:val="-11"/>
          <w:sz w:val="24"/>
          <w:szCs w:val="24"/>
          <w:highlight w:val="none"/>
        </w:rPr>
        <w:t>26.1采购人依据磋商小组推荐的成交候选人确定成交人，磋商小组推荐3名成交候选人。采购人将依序确定排名第一的供应商为成交人，若排名第一的成交候选人放弃中标、因不可抗力不能履行合同，或者被查实存在影响成交结果的违法行为等情形，不符合成交条件的，采购人可以按照磋商小组提出的成交候选人名单排序依次确定其他成交候选人为成交人，也可以重新招标。</w:t>
      </w:r>
    </w:p>
    <w:p>
      <w:pPr>
        <w:pStyle w:val="72"/>
        <w:tabs>
          <w:tab w:val="left" w:pos="1281"/>
        </w:tabs>
        <w:spacing w:before="160" w:line="364" w:lineRule="auto"/>
        <w:ind w:left="0" w:leftChars="0" w:right="338" w:firstLine="43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26.2成交供应商确定后，采购人向成交供应商签发《成交通知书》，并将成交结果通</w:t>
      </w:r>
      <w:r>
        <w:rPr>
          <w:rFonts w:hint="eastAsia" w:ascii="宋体" w:hAnsi="宋体" w:eastAsia="宋体" w:cs="宋体"/>
          <w:color w:val="auto"/>
          <w:sz w:val="24"/>
          <w:szCs w:val="24"/>
          <w:highlight w:val="none"/>
        </w:rPr>
        <w:t>知所有未成交的磋商响应供应商。</w:t>
      </w:r>
    </w:p>
    <w:p>
      <w:pPr>
        <w:pStyle w:val="72"/>
        <w:tabs>
          <w:tab w:val="left" w:pos="1281"/>
        </w:tabs>
        <w:spacing w:before="160" w:line="364" w:lineRule="auto"/>
        <w:ind w:left="0" w:leftChars="0" w:right="338"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26.3《成交通知书》作为签订合同的依据，对采购人和成交供应商均具有法律效力， </w:t>
      </w:r>
      <w:r>
        <w:rPr>
          <w:rFonts w:hint="eastAsia" w:ascii="宋体" w:hAnsi="宋体" w:eastAsia="宋体" w:cs="宋体"/>
          <w:color w:val="auto"/>
          <w:sz w:val="24"/>
          <w:szCs w:val="24"/>
          <w:highlight w:val="none"/>
        </w:rPr>
        <w:t>成交通知书发出后，采购人改变成交结果或者成交供应商放弃项目，应依法承担法律责任。</w:t>
      </w:r>
    </w:p>
    <w:p>
      <w:pPr>
        <w:pStyle w:val="3"/>
        <w:spacing w:before="2"/>
        <w:rPr>
          <w:rFonts w:hint="eastAsia" w:ascii="宋体" w:hAnsi="宋体" w:eastAsia="宋体" w:cs="宋体"/>
          <w:color w:val="auto"/>
          <w:sz w:val="24"/>
          <w:szCs w:val="24"/>
          <w:highlight w:val="none"/>
        </w:rPr>
      </w:pPr>
      <w:bookmarkStart w:id="155" w:name="_Toc8188_WPSOffice_Level3"/>
      <w:r>
        <w:rPr>
          <w:rFonts w:hint="eastAsia" w:ascii="宋体" w:hAnsi="宋体" w:eastAsia="宋体" w:cs="宋体"/>
          <w:color w:val="auto"/>
          <w:sz w:val="24"/>
          <w:szCs w:val="24"/>
          <w:highlight w:val="none"/>
        </w:rPr>
        <w:t>27、授予合同时变更数量的权力</w:t>
      </w:r>
      <w:bookmarkEnd w:id="155"/>
    </w:p>
    <w:p>
      <w:pPr>
        <w:pStyle w:val="4"/>
        <w:spacing w:before="177" w:line="328"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采购人在授予合同时，保留对货物数量予以适当增减的权利。成交供应商不得在此情况下对磋商响应文件做出修改，如价格、服务承诺等。</w:t>
      </w:r>
    </w:p>
    <w:p>
      <w:pPr>
        <w:pStyle w:val="3"/>
        <w:spacing w:line="305" w:lineRule="exact"/>
        <w:rPr>
          <w:rFonts w:hint="eastAsia" w:ascii="宋体" w:hAnsi="宋体" w:eastAsia="宋体" w:cs="宋体"/>
          <w:color w:val="auto"/>
          <w:sz w:val="24"/>
          <w:szCs w:val="24"/>
          <w:highlight w:val="none"/>
        </w:rPr>
      </w:pPr>
      <w:bookmarkStart w:id="156" w:name="_Toc30112_WPSOffice_Level3"/>
      <w:r>
        <w:rPr>
          <w:rFonts w:hint="eastAsia" w:ascii="宋体" w:hAnsi="宋体" w:eastAsia="宋体" w:cs="宋体"/>
          <w:color w:val="auto"/>
          <w:sz w:val="24"/>
          <w:szCs w:val="24"/>
          <w:highlight w:val="none"/>
        </w:rPr>
        <w:t>28、签订合同</w:t>
      </w:r>
      <w:bookmarkEnd w:id="156"/>
    </w:p>
    <w:p>
      <w:pPr>
        <w:pStyle w:val="72"/>
        <w:numPr>
          <w:ilvl w:val="1"/>
          <w:numId w:val="11"/>
        </w:numPr>
        <w:tabs>
          <w:tab w:val="left" w:pos="1281"/>
        </w:tabs>
        <w:spacing w:before="113" w:line="328" w:lineRule="auto"/>
        <w:ind w:right="218" w:firstLine="42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成交供应商接到《成交通知书》后</w:t>
      </w:r>
      <w:r>
        <w:rPr>
          <w:rFonts w:hint="eastAsia" w:ascii="宋体" w:hAnsi="宋体" w:eastAsia="宋体" w:cs="宋体"/>
          <w:color w:val="auto"/>
          <w:spacing w:val="-1"/>
          <w:sz w:val="24"/>
          <w:szCs w:val="24"/>
          <w:highlight w:val="none"/>
        </w:rPr>
        <w:t>按指定地点与采购人签订采购合同；</w:t>
      </w:r>
    </w:p>
    <w:p>
      <w:pPr>
        <w:pStyle w:val="72"/>
        <w:numPr>
          <w:ilvl w:val="1"/>
          <w:numId w:val="11"/>
        </w:numPr>
        <w:tabs>
          <w:tab w:val="left" w:pos="1281"/>
        </w:tabs>
        <w:spacing w:line="328"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采购人签发的成交通知书、竞争性磋商文件、成交供应商的磋商响应文件及其澄清文件等，均为签订合同的依据。</w:t>
      </w:r>
    </w:p>
    <w:p>
      <w:pPr>
        <w:pStyle w:val="72"/>
        <w:numPr>
          <w:ilvl w:val="1"/>
          <w:numId w:val="11"/>
        </w:numPr>
        <w:tabs>
          <w:tab w:val="left" w:pos="1281"/>
        </w:tabs>
        <w:spacing w:line="328" w:lineRule="auto"/>
        <w:ind w:right="340" w:firstLine="4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如成交供应商拒签合同，则按违约处理，采购人对违约方收取成交金额 </w:t>
      </w:r>
      <w:r>
        <w:rPr>
          <w:rFonts w:hint="eastAsia" w:ascii="宋体" w:hAnsi="宋体" w:eastAsia="宋体" w:cs="宋体"/>
          <w:color w:val="auto"/>
          <w:sz w:val="24"/>
          <w:szCs w:val="24"/>
          <w:highlight w:val="none"/>
        </w:rPr>
        <w:t>2%</w:t>
      </w:r>
      <w:r>
        <w:rPr>
          <w:rFonts w:hint="eastAsia" w:ascii="宋体" w:hAnsi="宋体" w:eastAsia="宋体" w:cs="宋体"/>
          <w:color w:val="auto"/>
          <w:spacing w:val="-8"/>
          <w:sz w:val="24"/>
          <w:szCs w:val="24"/>
          <w:highlight w:val="none"/>
        </w:rPr>
        <w:t>的违</w:t>
      </w:r>
      <w:r>
        <w:rPr>
          <w:rFonts w:hint="eastAsia" w:ascii="宋体" w:hAnsi="宋体" w:eastAsia="宋体" w:cs="宋体"/>
          <w:color w:val="auto"/>
          <w:sz w:val="24"/>
          <w:szCs w:val="24"/>
          <w:highlight w:val="none"/>
        </w:rPr>
        <w:t>约金。</w:t>
      </w:r>
    </w:p>
    <w:p>
      <w:pPr>
        <w:pStyle w:val="3"/>
        <w:spacing w:line="305" w:lineRule="exact"/>
        <w:rPr>
          <w:rFonts w:hint="eastAsia" w:ascii="宋体" w:hAnsi="宋体" w:eastAsia="宋体" w:cs="宋体"/>
          <w:color w:val="auto"/>
          <w:sz w:val="24"/>
          <w:szCs w:val="24"/>
          <w:highlight w:val="none"/>
        </w:rPr>
      </w:pPr>
      <w:bookmarkStart w:id="157" w:name="_Toc7342_WPSOffice_Level3"/>
      <w:r>
        <w:rPr>
          <w:rFonts w:hint="eastAsia" w:ascii="宋体" w:hAnsi="宋体" w:eastAsia="宋体" w:cs="宋体"/>
          <w:color w:val="auto"/>
          <w:sz w:val="24"/>
          <w:szCs w:val="24"/>
          <w:highlight w:val="none"/>
          <w:lang w:val="en-US"/>
        </w:rPr>
        <w:t>29、</w:t>
      </w:r>
      <w:r>
        <w:rPr>
          <w:rFonts w:hint="eastAsia" w:ascii="宋体" w:hAnsi="宋体" w:eastAsia="宋体" w:cs="宋体"/>
          <w:color w:val="auto"/>
          <w:sz w:val="24"/>
          <w:szCs w:val="24"/>
          <w:highlight w:val="none"/>
        </w:rPr>
        <w:t>特别注意事项：</w:t>
      </w:r>
      <w:bookmarkEnd w:id="157"/>
    </w:p>
    <w:p>
      <w:pPr>
        <w:pStyle w:val="72"/>
        <w:keepNext w:val="0"/>
        <w:keepLines w:val="0"/>
        <w:pageBreakBefore w:val="0"/>
        <w:numPr>
          <w:ilvl w:val="1"/>
          <w:numId w:val="12"/>
        </w:numPr>
        <w:tabs>
          <w:tab w:val="left" w:pos="1341"/>
        </w:tabs>
        <w:kinsoku/>
        <w:wordWrap/>
        <w:overflowPunct/>
        <w:topLinePunct w:val="0"/>
        <w:autoSpaceDE/>
        <w:autoSpaceDN/>
        <w:bidi w:val="0"/>
        <w:adjustRightInd/>
        <w:snapToGrid/>
        <w:spacing w:before="113"/>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磋商响应供应商出现下列情形之一的，磋商小组可取消其磋商资格：</w:t>
      </w:r>
    </w:p>
    <w:p>
      <w:pPr>
        <w:pStyle w:val="72"/>
        <w:keepNext w:val="0"/>
        <w:keepLines w:val="0"/>
        <w:pageBreakBefore w:val="0"/>
        <w:numPr>
          <w:ilvl w:val="0"/>
          <w:numId w:val="13"/>
        </w:numPr>
        <w:tabs>
          <w:tab w:val="left" w:pos="1342"/>
        </w:tabs>
        <w:kinsoku/>
        <w:wordWrap/>
        <w:overflowPunct/>
        <w:topLinePunct w:val="0"/>
        <w:autoSpaceDE/>
        <w:autoSpaceDN/>
        <w:bidi w:val="0"/>
        <w:adjustRightInd/>
        <w:snapToGrid/>
        <w:spacing w:before="112"/>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未按磋商文件要求和规定提交实质性响应材料的；</w:t>
      </w:r>
    </w:p>
    <w:p>
      <w:pPr>
        <w:pStyle w:val="72"/>
        <w:keepNext w:val="0"/>
        <w:keepLines w:val="0"/>
        <w:pageBreakBefore w:val="0"/>
        <w:numPr>
          <w:ilvl w:val="0"/>
          <w:numId w:val="13"/>
        </w:numPr>
        <w:tabs>
          <w:tab w:val="left" w:pos="1342"/>
        </w:tabs>
        <w:kinsoku/>
        <w:wordWrap/>
        <w:overflowPunct/>
        <w:topLinePunct w:val="0"/>
        <w:autoSpaceDE/>
        <w:autoSpaceDN/>
        <w:bidi w:val="0"/>
        <w:adjustRightInd/>
        <w:snapToGrid/>
        <w:spacing w:before="113"/>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相互串通磋商的（有下列情形之一的，视为磋商响应供应商相互串通磋商</w:t>
      </w:r>
      <w:r>
        <w:rPr>
          <w:rFonts w:hint="eastAsia" w:ascii="宋体" w:hAnsi="宋体" w:eastAsia="宋体" w:cs="宋体"/>
          <w:color w:val="auto"/>
          <w:spacing w:val="-120"/>
          <w:sz w:val="24"/>
          <w:szCs w:val="24"/>
          <w:highlight w:val="none"/>
        </w:rPr>
        <w:t>）</w:t>
      </w:r>
      <w:r>
        <w:rPr>
          <w:rFonts w:hint="eastAsia" w:ascii="宋体" w:hAnsi="宋体" w:eastAsia="宋体" w:cs="宋体"/>
          <w:color w:val="auto"/>
          <w:sz w:val="24"/>
          <w:szCs w:val="24"/>
          <w:highlight w:val="none"/>
        </w:rPr>
        <w:t>；</w:t>
      </w:r>
    </w:p>
    <w:p>
      <w:pPr>
        <w:pStyle w:val="4"/>
        <w:keepNext w:val="0"/>
        <w:keepLines w:val="0"/>
        <w:pageBreakBefore w:val="0"/>
        <w:widowControl w:val="0"/>
        <w:kinsoku/>
        <w:wordWrap/>
        <w:overflowPunct/>
        <w:topLinePunct w:val="0"/>
        <w:autoSpaceDE/>
        <w:autoSpaceDN/>
        <w:bidi w:val="0"/>
        <w:adjustRightInd/>
        <w:snapToGrid/>
        <w:spacing w:before="112"/>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A、不同磋商响应供应商的响应文件由同一单位或者个人编制</w:t>
      </w:r>
    </w:p>
    <w:p>
      <w:pPr>
        <w:pStyle w:val="4"/>
        <w:keepNext w:val="0"/>
        <w:keepLines w:val="0"/>
        <w:pageBreakBefore w:val="0"/>
        <w:widowControl w:val="0"/>
        <w:kinsoku/>
        <w:wordWrap/>
        <w:overflowPunct/>
        <w:topLinePunct w:val="0"/>
        <w:autoSpaceDE/>
        <w:autoSpaceDN/>
        <w:bidi w:val="0"/>
        <w:adjustRightInd/>
        <w:snapToGrid/>
        <w:spacing w:before="113"/>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B、不同磋商响应供应商委托同一单位或者个人办理磋商事宜</w:t>
      </w:r>
    </w:p>
    <w:p>
      <w:pPr>
        <w:pStyle w:val="4"/>
        <w:keepNext w:val="0"/>
        <w:keepLines w:val="0"/>
        <w:pageBreakBefore w:val="0"/>
        <w:widowControl w:val="0"/>
        <w:kinsoku/>
        <w:wordWrap/>
        <w:overflowPunct/>
        <w:topLinePunct w:val="0"/>
        <w:autoSpaceDE/>
        <w:autoSpaceDN/>
        <w:bidi w:val="0"/>
        <w:adjustRightInd/>
        <w:snapToGrid/>
        <w:spacing w:before="112"/>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C、不同磋商响应供应商的响应文件载明的项目管理成员为同一人</w:t>
      </w:r>
    </w:p>
    <w:p>
      <w:pPr>
        <w:pStyle w:val="4"/>
        <w:keepNext w:val="0"/>
        <w:keepLines w:val="0"/>
        <w:pageBreakBefore w:val="0"/>
        <w:widowControl w:val="0"/>
        <w:kinsoku/>
        <w:wordWrap/>
        <w:overflowPunct/>
        <w:topLinePunct w:val="0"/>
        <w:autoSpaceDE/>
        <w:autoSpaceDN/>
        <w:bidi w:val="0"/>
        <w:adjustRightInd/>
        <w:snapToGrid/>
        <w:spacing w:before="113"/>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D、不同磋商响应供应商的响应文件异常一致或者磋商报价呈规律性差异</w:t>
      </w:r>
    </w:p>
    <w:p>
      <w:pPr>
        <w:pStyle w:val="4"/>
        <w:keepNext w:val="0"/>
        <w:keepLines w:val="0"/>
        <w:pageBreakBefore w:val="0"/>
        <w:widowControl w:val="0"/>
        <w:kinsoku/>
        <w:wordWrap/>
        <w:overflowPunct/>
        <w:topLinePunct w:val="0"/>
        <w:autoSpaceDE/>
        <w:autoSpaceDN/>
        <w:bidi w:val="0"/>
        <w:adjustRightInd/>
        <w:snapToGrid/>
        <w:spacing w:before="113"/>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E</w:t>
      </w:r>
      <w:r>
        <w:rPr>
          <w:rFonts w:hint="eastAsia" w:ascii="宋体" w:hAnsi="宋体" w:eastAsia="宋体" w:cs="宋体"/>
          <w:color w:val="auto"/>
          <w:sz w:val="24"/>
          <w:szCs w:val="24"/>
          <w:highlight w:val="none"/>
        </w:rPr>
        <w:t>、不同磋商响应供应商的磋商保证金从同一单位的账户转出</w:t>
      </w:r>
    </w:p>
    <w:p>
      <w:pPr>
        <w:pStyle w:val="72"/>
        <w:keepNext w:val="0"/>
        <w:keepLines w:val="0"/>
        <w:pageBreakBefore w:val="0"/>
        <w:numPr>
          <w:ilvl w:val="1"/>
          <w:numId w:val="12"/>
        </w:numPr>
        <w:tabs>
          <w:tab w:val="left" w:pos="1341"/>
        </w:tabs>
        <w:kinsoku/>
        <w:wordWrap/>
        <w:overflowPunct/>
        <w:topLinePunct w:val="0"/>
        <w:autoSpaceDE/>
        <w:autoSpaceDN/>
        <w:bidi w:val="0"/>
        <w:adjustRightInd/>
        <w:snapToGrid/>
        <w:spacing w:before="112"/>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磋商响应供应商出现下列情形之一的，将被视为非实质性响应磋商文件要求：</w:t>
      </w:r>
    </w:p>
    <w:p>
      <w:pPr>
        <w:pStyle w:val="72"/>
        <w:keepNext w:val="0"/>
        <w:keepLines w:val="0"/>
        <w:pageBreakBefore w:val="0"/>
        <w:numPr>
          <w:ilvl w:val="0"/>
          <w:numId w:val="14"/>
        </w:numPr>
        <w:tabs>
          <w:tab w:val="left" w:pos="1221"/>
        </w:tabs>
        <w:kinsoku/>
        <w:wordWrap/>
        <w:overflowPunct/>
        <w:topLinePunct w:val="0"/>
        <w:autoSpaceDE/>
        <w:autoSpaceDN/>
        <w:bidi w:val="0"/>
        <w:adjustRightInd/>
        <w:snapToGrid/>
        <w:spacing w:before="113"/>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交货（完成）期限不确切或不符合磋商文件要求的；</w:t>
      </w:r>
    </w:p>
    <w:p>
      <w:pPr>
        <w:pStyle w:val="72"/>
        <w:keepNext w:val="0"/>
        <w:keepLines w:val="0"/>
        <w:pageBreakBefore w:val="0"/>
        <w:numPr>
          <w:ilvl w:val="0"/>
          <w:numId w:val="14"/>
        </w:numPr>
        <w:tabs>
          <w:tab w:val="left" w:pos="1221"/>
        </w:tabs>
        <w:kinsoku/>
        <w:wordWrap/>
        <w:overflowPunct/>
        <w:topLinePunct w:val="0"/>
        <w:autoSpaceDE/>
        <w:autoSpaceDN/>
        <w:bidi w:val="0"/>
        <w:adjustRightInd/>
        <w:snapToGrid/>
        <w:spacing w:before="112"/>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最后报价有选择性的；</w:t>
      </w:r>
    </w:p>
    <w:p>
      <w:pPr>
        <w:pStyle w:val="72"/>
        <w:keepNext w:val="0"/>
        <w:keepLines w:val="0"/>
        <w:pageBreakBefore w:val="0"/>
        <w:numPr>
          <w:ilvl w:val="0"/>
          <w:numId w:val="14"/>
        </w:numPr>
        <w:tabs>
          <w:tab w:val="left" w:pos="1221"/>
        </w:tabs>
        <w:kinsoku/>
        <w:wordWrap/>
        <w:overflowPunct/>
        <w:topLinePunct w:val="0"/>
        <w:autoSpaceDE/>
        <w:autoSpaceDN/>
        <w:bidi w:val="0"/>
        <w:adjustRightInd/>
        <w:snapToGrid/>
        <w:spacing w:before="113"/>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最后报价超过采购预算金额的；</w:t>
      </w:r>
    </w:p>
    <w:p>
      <w:pPr>
        <w:pStyle w:val="72"/>
        <w:keepNext w:val="0"/>
        <w:keepLines w:val="0"/>
        <w:pageBreakBefore w:val="0"/>
        <w:widowControl/>
        <w:numPr>
          <w:ilvl w:val="0"/>
          <w:numId w:val="14"/>
        </w:numPr>
        <w:tabs>
          <w:tab w:val="left" w:pos="1221"/>
        </w:tabs>
        <w:kinsoku/>
        <w:wordWrap/>
        <w:overflowPunct/>
        <w:topLinePunct w:val="0"/>
        <w:autoSpaceDE/>
        <w:autoSpaceDN/>
        <w:bidi w:val="0"/>
        <w:adjustRightInd/>
        <w:snapToGrid/>
        <w:spacing w:before="112"/>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被磋商小组认定存在重大负偏离的；</w:t>
      </w:r>
    </w:p>
    <w:p>
      <w:pPr>
        <w:pStyle w:val="4"/>
        <w:spacing w:before="113" w:line="328"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注：所谓重大负偏离是指磋商响应供应商对磋商文件的响应在范围、质量、数量和交</w:t>
      </w:r>
      <w:r>
        <w:rPr>
          <w:rFonts w:hint="eastAsia" w:ascii="宋体" w:hAnsi="宋体" w:eastAsia="宋体" w:cs="宋体"/>
          <w:color w:val="auto"/>
          <w:sz w:val="24"/>
          <w:szCs w:val="24"/>
          <w:highlight w:val="none"/>
        </w:rPr>
        <w:t>货（完成）期限、技术规格要求等方面明显不能满足采购需求的。重大负偏离的认定须经磋商小组三分之二以上同意。</w:t>
      </w:r>
    </w:p>
    <w:p>
      <w:pPr>
        <w:pStyle w:val="3"/>
        <w:numPr>
          <w:ilvl w:val="0"/>
          <w:numId w:val="12"/>
        </w:numPr>
        <w:tabs>
          <w:tab w:val="left" w:pos="1222"/>
        </w:tabs>
        <w:spacing w:line="304" w:lineRule="exact"/>
        <w:rPr>
          <w:rFonts w:hint="eastAsia" w:ascii="宋体" w:hAnsi="宋体" w:eastAsia="宋体" w:cs="宋体"/>
          <w:color w:val="auto"/>
          <w:sz w:val="24"/>
          <w:szCs w:val="24"/>
          <w:highlight w:val="none"/>
        </w:rPr>
      </w:pPr>
      <w:bookmarkStart w:id="158" w:name="_Toc7366_WPSOffice_Level3"/>
      <w:r>
        <w:rPr>
          <w:rFonts w:hint="eastAsia" w:ascii="宋体" w:hAnsi="宋体" w:eastAsia="宋体" w:cs="宋体"/>
          <w:color w:val="auto"/>
          <w:sz w:val="24"/>
          <w:szCs w:val="24"/>
          <w:highlight w:val="none"/>
        </w:rPr>
        <w:t>询问</w:t>
      </w:r>
      <w:bookmarkEnd w:id="158"/>
    </w:p>
    <w:p>
      <w:pPr>
        <w:pStyle w:val="72"/>
        <w:numPr>
          <w:ilvl w:val="1"/>
          <w:numId w:val="12"/>
        </w:numPr>
        <w:tabs>
          <w:tab w:val="left" w:pos="1341"/>
        </w:tabs>
        <w:spacing w:before="112" w:line="328" w:lineRule="auto"/>
        <w:ind w:left="320" w:right="338" w:firstLine="4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磋商响应供应商对采购事项有疑问，可以按照《政府采购法》的相关规定向采</w:t>
      </w:r>
    </w:p>
    <w:p>
      <w:pPr>
        <w:pStyle w:val="72"/>
        <w:numPr>
          <w:ilvl w:val="0"/>
          <w:numId w:val="0"/>
        </w:numPr>
        <w:tabs>
          <w:tab w:val="left" w:pos="1341"/>
        </w:tabs>
        <w:spacing w:before="112" w:line="328" w:lineRule="auto"/>
        <w:ind w:right="338"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购人或采购机构提出询问。</w:t>
      </w:r>
    </w:p>
    <w:p>
      <w:pPr>
        <w:pStyle w:val="3"/>
        <w:numPr>
          <w:ilvl w:val="0"/>
          <w:numId w:val="12"/>
        </w:numPr>
        <w:tabs>
          <w:tab w:val="left" w:pos="1222"/>
        </w:tabs>
        <w:spacing w:line="304"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重新招标</w:t>
      </w:r>
    </w:p>
    <w:p>
      <w:pPr>
        <w:pageBreakBefore w:val="0"/>
        <w:widowControl w:val="0"/>
        <w:kinsoku/>
        <w:wordWrap/>
        <w:overflowPunct/>
        <w:topLinePunct w:val="0"/>
        <w:autoSpaceDE/>
        <w:autoSpaceDN/>
        <w:bidi w:val="0"/>
        <w:adjustRightInd/>
        <w:snapToGrid/>
        <w:spacing w:line="440" w:lineRule="exact"/>
        <w:ind w:left="0" w:leftChars="0" w:firstLine="720" w:firstLineChars="300"/>
        <w:textAlignment w:val="auto"/>
        <w:rPr>
          <w:rFonts w:hint="eastAsia" w:ascii="宋体" w:hAnsi="宋体" w:eastAsia="宋体" w:cs="宋体"/>
          <w:b w:val="0"/>
          <w:bCs w:val="0"/>
          <w:color w:val="auto"/>
          <w:kern w:val="1"/>
          <w:sz w:val="24"/>
          <w:szCs w:val="24"/>
          <w:highlight w:val="none"/>
          <w:lang w:val="en-US" w:eastAsia="zh-CN" w:bidi="ar-SA"/>
        </w:rPr>
      </w:pPr>
      <w:bookmarkStart w:id="159" w:name="_Toc438797215"/>
      <w:bookmarkStart w:id="160" w:name="_Toc391284777"/>
      <w:bookmarkStart w:id="161" w:name="_Toc438797980"/>
      <w:r>
        <w:rPr>
          <w:rFonts w:hint="eastAsia" w:ascii="宋体" w:hAnsi="宋体" w:eastAsia="宋体" w:cs="宋体"/>
          <w:b w:val="0"/>
          <w:bCs w:val="0"/>
          <w:color w:val="auto"/>
          <w:kern w:val="1"/>
          <w:sz w:val="24"/>
          <w:szCs w:val="24"/>
          <w:highlight w:val="none"/>
          <w:lang w:val="en-US" w:eastAsia="zh-CN" w:bidi="ar-SA"/>
        </w:rPr>
        <w:t xml:space="preserve">出现下列情形之一的，将终止竞争性磋商磋商活动，发布项目终止公告并说明原因，重新开展磋商活动： </w:t>
      </w:r>
    </w:p>
    <w:p>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（1）因情况变化，不再符合规定的竞争性磋商磋商方式,适用情形的；出现影响磋商公正的违法、违规行为的； </w:t>
      </w:r>
    </w:p>
    <w:p>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（2）不符合法律、法规和竞争性磋商文件规定的其他实质性要求的； </w:t>
      </w:r>
    </w:p>
    <w:p>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（3）其他法律、法规及本竞争性磋商文件规定的属响应无效的情形，终止竞争性磋商磋商活动的条款等；</w:t>
      </w:r>
    </w:p>
    <w:p>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1"/>
          <w:sz w:val="24"/>
          <w:szCs w:val="24"/>
          <w:highlight w:val="none"/>
          <w:lang w:val="en-US" w:eastAsia="zh-CN" w:bidi="ar-SA"/>
        </w:rPr>
        <w:t>（4）磋商截止时间后参加开标的供应商不足3家的，应重新组织采购，评审期间通过资格审查的供应商或者对磋商响应文件作出实质响应的供应商不足3家的，应重新组织采购。</w:t>
      </w:r>
      <w:bookmarkEnd w:id="159"/>
      <w:bookmarkEnd w:id="160"/>
      <w:bookmarkEnd w:id="161"/>
    </w:p>
    <w:p>
      <w:pPr>
        <w:pStyle w:val="3"/>
        <w:numPr>
          <w:ilvl w:val="0"/>
          <w:numId w:val="12"/>
        </w:numPr>
        <w:tabs>
          <w:tab w:val="left" w:pos="1105"/>
        </w:tabs>
        <w:spacing w:line="305" w:lineRule="exact"/>
        <w:ind w:left="1104" w:hanging="364"/>
        <w:rPr>
          <w:rFonts w:hint="eastAsia" w:ascii="宋体" w:hAnsi="宋体" w:eastAsia="宋体" w:cs="宋体"/>
          <w:color w:val="auto"/>
          <w:sz w:val="24"/>
          <w:szCs w:val="24"/>
          <w:highlight w:val="none"/>
        </w:rPr>
      </w:pPr>
      <w:bookmarkStart w:id="162" w:name="_Toc13604_WPSOffice_Level3"/>
      <w:r>
        <w:rPr>
          <w:rFonts w:hint="eastAsia" w:ascii="宋体" w:hAnsi="宋体" w:eastAsia="宋体" w:cs="宋体"/>
          <w:color w:val="auto"/>
          <w:sz w:val="24"/>
          <w:szCs w:val="24"/>
          <w:highlight w:val="none"/>
        </w:rPr>
        <w:t>质疑程序及处理</w:t>
      </w:r>
      <w:bookmarkEnd w:id="162"/>
    </w:p>
    <w:p>
      <w:pPr>
        <w:pStyle w:val="72"/>
        <w:numPr>
          <w:ilvl w:val="1"/>
          <w:numId w:val="12"/>
        </w:numPr>
        <w:tabs>
          <w:tab w:val="left" w:pos="1341"/>
        </w:tabs>
        <w:spacing w:before="113"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若竞争性磋商响应人认为其磋商未获公平评审或磋商文件、采购过程和成交结</w:t>
      </w:r>
      <w:r>
        <w:rPr>
          <w:rFonts w:hint="eastAsia" w:ascii="宋体" w:hAnsi="宋体" w:eastAsia="宋体" w:cs="宋体"/>
          <w:color w:val="auto"/>
          <w:spacing w:val="-4"/>
          <w:sz w:val="24"/>
          <w:szCs w:val="24"/>
          <w:highlight w:val="none"/>
        </w:rPr>
        <w:t xml:space="preserve">果使自己的合法权益受到损害，可以在知道或者应知其权益受到损害之日起 </w:t>
      </w:r>
      <w:r>
        <w:rPr>
          <w:rFonts w:hint="eastAsia" w:ascii="宋体" w:hAnsi="宋体" w:eastAsia="宋体" w:cs="宋体"/>
          <w:color w:val="auto"/>
          <w:sz w:val="24"/>
          <w:szCs w:val="24"/>
          <w:highlight w:val="none"/>
        </w:rPr>
        <w:t>7</w:t>
      </w:r>
      <w:r>
        <w:rPr>
          <w:rFonts w:hint="eastAsia" w:ascii="宋体" w:hAnsi="宋体" w:eastAsia="宋体" w:cs="宋体"/>
          <w:color w:val="auto"/>
          <w:spacing w:val="-4"/>
          <w:sz w:val="24"/>
          <w:szCs w:val="24"/>
          <w:highlight w:val="none"/>
        </w:rPr>
        <w:t xml:space="preserve"> 个工作日</w:t>
      </w:r>
      <w:r>
        <w:rPr>
          <w:rFonts w:hint="eastAsia" w:ascii="宋体" w:hAnsi="宋体" w:eastAsia="宋体" w:cs="宋体"/>
          <w:color w:val="auto"/>
          <w:sz w:val="24"/>
          <w:szCs w:val="24"/>
          <w:highlight w:val="none"/>
        </w:rPr>
        <w:t>内，将质疑书原件送达采购人或采购代理机构。提出质疑期限的计算，依照下列规定办理：</w:t>
      </w:r>
    </w:p>
    <w:p>
      <w:pPr>
        <w:pStyle w:val="4"/>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（一）对可以质疑的磋商文件提出质疑的，为收到磋商文件之日或者磋商文件公告期限届满之日；</w:t>
      </w:r>
    </w:p>
    <w:p>
      <w:pPr>
        <w:pStyle w:val="4"/>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pPr>
        <w:pStyle w:val="4"/>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（三）对成交结果提出质疑的，为成交结果公告期限届满之日。</w:t>
      </w:r>
    </w:p>
    <w:p>
      <w:pPr>
        <w:pStyle w:val="72"/>
        <w:numPr>
          <w:ilvl w:val="1"/>
          <w:numId w:val="12"/>
        </w:numPr>
        <w:tabs>
          <w:tab w:val="left" w:pos="1341"/>
        </w:tabs>
        <w:spacing w:before="113" w:line="328" w:lineRule="auto"/>
        <w:ind w:left="320" w:right="340" w:firstLine="4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质疑书应当包括下列主要内容，并按照“谁主张、谁举证”的原则，附上相关</w:t>
      </w:r>
      <w:r>
        <w:rPr>
          <w:rFonts w:hint="eastAsia" w:ascii="宋体" w:hAnsi="宋体" w:eastAsia="宋体" w:cs="宋体"/>
          <w:color w:val="auto"/>
          <w:sz w:val="24"/>
          <w:szCs w:val="24"/>
          <w:highlight w:val="none"/>
        </w:rPr>
        <w:t>证明材料。否则，采购人不予受理：</w:t>
      </w:r>
    </w:p>
    <w:p>
      <w:pPr>
        <w:pStyle w:val="4"/>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pacing w:val="-24"/>
          <w:sz w:val="24"/>
          <w:szCs w:val="24"/>
          <w:highlight w:val="none"/>
        </w:rPr>
        <w:t>）</w:t>
      </w:r>
      <w:r>
        <w:rPr>
          <w:rFonts w:hint="eastAsia" w:ascii="宋体" w:hAnsi="宋体" w:eastAsia="宋体" w:cs="宋体"/>
          <w:color w:val="auto"/>
          <w:spacing w:val="-7"/>
          <w:sz w:val="24"/>
          <w:szCs w:val="24"/>
          <w:highlight w:val="none"/>
        </w:rPr>
        <w:t>质疑磋商响应供应商全称、地址、法定代表人、联系人及联系电话、邮政编码</w:t>
      </w:r>
      <w:r>
        <w:rPr>
          <w:rFonts w:hint="eastAsia" w:ascii="宋体" w:hAnsi="宋体" w:eastAsia="宋体" w:cs="宋体"/>
          <w:color w:val="auto"/>
          <w:sz w:val="24"/>
          <w:szCs w:val="24"/>
          <w:highlight w:val="none"/>
        </w:rPr>
        <w:t>等；</w:t>
      </w:r>
    </w:p>
    <w:p>
      <w:pPr>
        <w:pStyle w:val="4"/>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（二）被质疑采购项目的名称、编号；</w:t>
      </w:r>
    </w:p>
    <w:p>
      <w:pPr>
        <w:pStyle w:val="4"/>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（三）质疑的具体事项、明确的请求和主张；</w:t>
      </w:r>
    </w:p>
    <w:p>
      <w:pPr>
        <w:pStyle w:val="4"/>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（四）质疑所依据的法律依据（具体条款</w:t>
      </w:r>
      <w:r>
        <w:rPr>
          <w:rFonts w:hint="eastAsia" w:ascii="宋体" w:hAnsi="宋体" w:eastAsia="宋体" w:cs="宋体"/>
          <w:color w:val="auto"/>
          <w:spacing w:val="-120"/>
          <w:sz w:val="24"/>
          <w:szCs w:val="24"/>
          <w:highlight w:val="none"/>
        </w:rPr>
        <w:t>）</w:t>
      </w:r>
      <w:r>
        <w:rPr>
          <w:rFonts w:hint="eastAsia" w:ascii="宋体" w:hAnsi="宋体" w:eastAsia="宋体" w:cs="宋体"/>
          <w:color w:val="auto"/>
          <w:spacing w:val="-1"/>
          <w:sz w:val="24"/>
          <w:szCs w:val="24"/>
          <w:highlight w:val="none"/>
        </w:rPr>
        <w:t>、具体事实和具体理由。质疑书依据理由</w:t>
      </w:r>
      <w:r>
        <w:rPr>
          <w:rFonts w:hint="eastAsia" w:ascii="宋体" w:hAnsi="宋体" w:eastAsia="宋体" w:cs="宋体"/>
          <w:color w:val="auto"/>
          <w:sz w:val="24"/>
          <w:szCs w:val="24"/>
          <w:highlight w:val="none"/>
        </w:rPr>
        <w:t>部分只有主观陈述、推理、猜测等，而没有提供客观事实依据、法律依据的；</w:t>
      </w:r>
    </w:p>
    <w:p>
      <w:pPr>
        <w:pStyle w:val="4"/>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pPr>
        <w:pStyle w:val="4"/>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（六）充足有效的相关证明材料；如果涉及到产品功能或技术指标的，应出具相关制造商的证明文件；</w:t>
      </w:r>
    </w:p>
    <w:p>
      <w:pPr>
        <w:pStyle w:val="4"/>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（七）质疑材料中有外文资料的，应一并附上中文译本，并以中文译本为准。</w:t>
      </w:r>
    </w:p>
    <w:p>
      <w:pPr>
        <w:pStyle w:val="4"/>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（八）提起质疑的日期</w:t>
      </w:r>
    </w:p>
    <w:p>
      <w:pPr>
        <w:pStyle w:val="4"/>
        <w:keepNext w:val="0"/>
        <w:keepLines w:val="0"/>
        <w:pageBreakBefore w:val="0"/>
        <w:widowControl w:val="0"/>
        <w:kinsoku/>
        <w:wordWrap/>
        <w:overflowPunct/>
        <w:topLinePunct w:val="0"/>
        <w:autoSpaceDE/>
        <w:autoSpaceDN/>
        <w:bidi w:val="0"/>
        <w:adjustRightInd/>
        <w:snapToGrid/>
        <w:spacing w:line="329" w:lineRule="auto"/>
        <w:ind w:left="115" w:leftChars="55" w:right="126" w:rightChars="6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pPr>
        <w:pStyle w:val="72"/>
        <w:numPr>
          <w:ilvl w:val="1"/>
          <w:numId w:val="12"/>
        </w:numPr>
        <w:tabs>
          <w:tab w:val="left" w:pos="1341"/>
        </w:tabs>
        <w:spacing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磋商响应供应商委托代理人办理质疑事宜，应当提交授权委托书，并载明委托</w:t>
      </w:r>
      <w:r>
        <w:rPr>
          <w:rFonts w:hint="eastAsia" w:ascii="宋体" w:hAnsi="宋体" w:eastAsia="宋体" w:cs="宋体"/>
          <w:color w:val="auto"/>
          <w:sz w:val="24"/>
          <w:szCs w:val="24"/>
          <w:highlight w:val="none"/>
        </w:rPr>
        <w:t>代理的具体权限和事项。授权委托书应当由委托人签字并加盖单位公章。</w:t>
      </w:r>
    </w:p>
    <w:p>
      <w:pPr>
        <w:pStyle w:val="72"/>
        <w:numPr>
          <w:ilvl w:val="1"/>
          <w:numId w:val="12"/>
        </w:numPr>
        <w:tabs>
          <w:tab w:val="left" w:pos="1341"/>
        </w:tabs>
        <w:spacing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提交质疑书时，磋商响应供应商应同时提交本人身份证，委托他人代理质疑事</w:t>
      </w:r>
      <w:r>
        <w:rPr>
          <w:rFonts w:hint="eastAsia" w:ascii="宋体" w:hAnsi="宋体" w:eastAsia="宋体" w:cs="宋体"/>
          <w:color w:val="auto"/>
          <w:sz w:val="24"/>
          <w:szCs w:val="24"/>
          <w:highlight w:val="none"/>
        </w:rPr>
        <w:t>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pPr>
        <w:pStyle w:val="72"/>
        <w:numPr>
          <w:ilvl w:val="1"/>
          <w:numId w:val="12"/>
        </w:numPr>
        <w:tabs>
          <w:tab w:val="left" w:pos="1341"/>
        </w:tabs>
        <w:spacing w:line="328" w:lineRule="auto"/>
        <w:ind w:left="320" w:right="338" w:firstLine="42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质疑书提交方式。磋商响应供应商或者</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其委托代理人应当当面提交质疑书及相</w:t>
      </w:r>
      <w:r>
        <w:rPr>
          <w:rFonts w:hint="eastAsia" w:ascii="宋体" w:hAnsi="宋体" w:eastAsia="宋体" w:cs="宋体"/>
          <w:color w:val="auto"/>
          <w:sz w:val="24"/>
          <w:szCs w:val="24"/>
          <w:highlight w:val="none"/>
        </w:rPr>
        <w:t>关证明材料。磋商响应供应商以电子邮件、传真等其他方式提交质疑书及相关证明材料的，或者不是磋商响应供应商或者其委托代理人提交质疑书及相关证明材料的，采购人或采购机构可以拒收。</w:t>
      </w:r>
    </w:p>
    <w:p>
      <w:pPr>
        <w:pStyle w:val="72"/>
        <w:numPr>
          <w:ilvl w:val="1"/>
          <w:numId w:val="12"/>
        </w:numPr>
        <w:tabs>
          <w:tab w:val="left" w:pos="1341"/>
        </w:tabs>
        <w:spacing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磋商响应供应商不得虚假质疑和恶意质疑，并对质疑内容的真实性承担责任。</w:t>
      </w:r>
      <w:r>
        <w:rPr>
          <w:rFonts w:hint="eastAsia" w:ascii="宋体" w:hAnsi="宋体" w:eastAsia="宋体" w:cs="宋体"/>
          <w:color w:val="auto"/>
          <w:sz w:val="24"/>
          <w:szCs w:val="24"/>
          <w:highlight w:val="none"/>
        </w:rPr>
        <w:t>磋商响应供应商或者其他利害关系人通过捏造事实、伪造证明材料等方式提出异议或投诉，阻碍招磋商活动正常进行的，属于严重不良行为，采购人将提请财政部门将其列入不良行为记录名单，并依法予以处罚。</w:t>
      </w:r>
    </w:p>
    <w:p>
      <w:pPr>
        <w:pStyle w:val="72"/>
        <w:numPr>
          <w:ilvl w:val="1"/>
          <w:numId w:val="12"/>
        </w:numPr>
        <w:tabs>
          <w:tab w:val="left" w:pos="1341"/>
        </w:tabs>
        <w:spacing w:line="328" w:lineRule="auto"/>
        <w:ind w:left="320" w:right="21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采购人将在收到符合上述条件的书面质疑后 7</w:t>
      </w:r>
      <w:r>
        <w:rPr>
          <w:rFonts w:hint="eastAsia" w:ascii="宋体" w:hAnsi="宋体" w:eastAsia="宋体" w:cs="宋体"/>
          <w:color w:val="auto"/>
          <w:spacing w:val="-9"/>
          <w:sz w:val="24"/>
          <w:szCs w:val="24"/>
          <w:highlight w:val="none"/>
        </w:rPr>
        <w:t xml:space="preserve"> 个工作日内审查质疑事项，作出答复或相关处理决定，并以书面形式通知质疑磋商响应供应商和其他有关磋商响应供应商，但答复的内容不涉及商业秘密。若质疑涉及磋商制度或程序，将被转交政府采购的</w:t>
      </w:r>
      <w:r>
        <w:rPr>
          <w:rFonts w:hint="eastAsia" w:ascii="宋体" w:hAnsi="宋体" w:eastAsia="宋体" w:cs="宋体"/>
          <w:color w:val="auto"/>
          <w:spacing w:val="-12"/>
          <w:sz w:val="24"/>
          <w:szCs w:val="24"/>
          <w:highlight w:val="none"/>
        </w:rPr>
        <w:t>管理部门审查。采购人遵循“谁过错谁负担”的原则，有过错的一方承担调查论证费用。</w:t>
      </w:r>
    </w:p>
    <w:p>
      <w:pPr>
        <w:pStyle w:val="72"/>
        <w:numPr>
          <w:ilvl w:val="1"/>
          <w:numId w:val="12"/>
        </w:numPr>
        <w:tabs>
          <w:tab w:val="left" w:pos="1341"/>
        </w:tabs>
        <w:spacing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质疑供应商对采购人的答复不满意以及采购人未在规定的时间内做出答复的， </w:t>
      </w:r>
      <w:r>
        <w:rPr>
          <w:rFonts w:hint="eastAsia" w:ascii="宋体" w:hAnsi="宋体" w:eastAsia="宋体" w:cs="宋体"/>
          <w:color w:val="auto"/>
          <w:spacing w:val="-7"/>
          <w:sz w:val="24"/>
          <w:szCs w:val="24"/>
          <w:highlight w:val="none"/>
        </w:rPr>
        <w:t xml:space="preserve">可以在答复期满后 </w:t>
      </w:r>
      <w:r>
        <w:rPr>
          <w:rFonts w:hint="eastAsia" w:ascii="宋体" w:hAnsi="宋体" w:eastAsia="宋体" w:cs="宋体"/>
          <w:color w:val="auto"/>
          <w:sz w:val="24"/>
          <w:szCs w:val="24"/>
          <w:highlight w:val="none"/>
        </w:rPr>
        <w:t>15</w:t>
      </w:r>
      <w:r>
        <w:rPr>
          <w:rFonts w:hint="eastAsia" w:ascii="宋体" w:hAnsi="宋体" w:eastAsia="宋体" w:cs="宋体"/>
          <w:color w:val="auto"/>
          <w:spacing w:val="-8"/>
          <w:sz w:val="24"/>
          <w:szCs w:val="24"/>
          <w:highlight w:val="none"/>
        </w:rPr>
        <w:t xml:space="preserve"> 个工作日内向财政部门投诉。</w:t>
      </w:r>
    </w:p>
    <w:p>
      <w:pPr>
        <w:pStyle w:val="72"/>
        <w:widowControl w:val="0"/>
        <w:numPr>
          <w:ilvl w:val="0"/>
          <w:numId w:val="0"/>
        </w:numPr>
        <w:tabs>
          <w:tab w:val="left" w:pos="1341"/>
        </w:tabs>
        <w:autoSpaceDE w:val="0"/>
        <w:autoSpaceDN w:val="0"/>
        <w:spacing w:line="240" w:lineRule="auto"/>
        <w:ind w:right="0" w:rightChars="0" w:firstLine="717" w:firstLineChars="300"/>
        <w:jc w:val="both"/>
        <w:rPr>
          <w:rFonts w:hint="eastAsia"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33.招标代理服务收费参照豫招协[2023]002号河南省招标投标协会关于印发《河南省招标代理服务收费指导意见》规定的收费标准收取中标服务费。</w:t>
      </w:r>
    </w:p>
    <w:p>
      <w:pPr>
        <w:pStyle w:val="72"/>
        <w:widowControl w:val="0"/>
        <w:numPr>
          <w:ilvl w:val="0"/>
          <w:numId w:val="0"/>
        </w:numPr>
        <w:tabs>
          <w:tab w:val="left" w:pos="1341"/>
        </w:tabs>
        <w:autoSpaceDE w:val="0"/>
        <w:autoSpaceDN w:val="0"/>
        <w:spacing w:line="240" w:lineRule="auto"/>
        <w:ind w:left="0" w:leftChars="0" w:right="0" w:rightChars="0"/>
        <w:jc w:val="both"/>
        <w:rPr>
          <w:rFonts w:hint="default" w:ascii="宋体" w:hAnsi="宋体" w:eastAsia="宋体" w:cs="宋体"/>
          <w:b/>
          <w:bCs/>
          <w:color w:val="auto"/>
          <w:spacing w:val="-1"/>
          <w:sz w:val="24"/>
          <w:highlight w:val="none"/>
          <w:lang w:val="en-US" w:eastAsia="zh-CN"/>
        </w:rPr>
      </w:pPr>
    </w:p>
    <w:p>
      <w:pPr>
        <w:pStyle w:val="72"/>
        <w:widowControl w:val="0"/>
        <w:numPr>
          <w:ilvl w:val="0"/>
          <w:numId w:val="0"/>
        </w:numPr>
        <w:tabs>
          <w:tab w:val="left" w:pos="1341"/>
        </w:tabs>
        <w:autoSpaceDE w:val="0"/>
        <w:autoSpaceDN w:val="0"/>
        <w:spacing w:line="240" w:lineRule="auto"/>
        <w:ind w:right="0" w:rightChars="0" w:firstLine="717" w:firstLineChars="300"/>
        <w:jc w:val="both"/>
        <w:rPr>
          <w:rFonts w:hint="default"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河南省招标代理服务费计算标准</w:t>
      </w:r>
    </w:p>
    <w:tbl>
      <w:tblPr>
        <w:tblStyle w:val="16"/>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 万元，招标代理服务收费计算如下:</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p>
            <w:pPr>
              <w:pStyle w:val="73"/>
              <w:shd w:val="clear" w:color="auto" w:fill="auto"/>
              <w:tabs>
                <w:tab w:val="left" w:pos="992"/>
              </w:tabs>
              <w:spacing w:after="40" w:line="360" w:lineRule="auto"/>
              <w:ind w:left="0" w:leftChars="0" w:firstLine="0" w:firstLineChars="0"/>
              <w:jc w:val="both"/>
              <w:rPr>
                <w:rFonts w:hint="default" w:ascii="宋体" w:hAnsi="宋体" w:eastAsia="宋体"/>
                <w:b w:val="0"/>
                <w:i w:val="0"/>
                <w:snapToGrid/>
                <w:color w:val="auto"/>
                <w:sz w:val="24"/>
                <w:szCs w:val="24"/>
                <w:highlight w:val="none"/>
                <w:u w:val="none"/>
                <w:lang w:eastAsia="zh-CN"/>
              </w:rPr>
            </w:pPr>
            <w:r>
              <w:rPr>
                <w:rFonts w:hint="eastAsia" w:ascii="宋体" w:hAnsi="宋体" w:eastAsia="宋体" w:cs="宋体"/>
                <w:b/>
                <w:bCs/>
                <w:color w:val="auto"/>
                <w:sz w:val="24"/>
                <w:szCs w:val="24"/>
                <w:highlight w:val="none"/>
                <w:lang w:eastAsia="zh-CN"/>
              </w:rPr>
              <w:t>3</w:t>
            </w:r>
            <w:r>
              <w:rPr>
                <w:rFonts w:hint="eastAsia"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本项目支持河南省政府采购合同融资政策，告知函如下：</w:t>
            </w:r>
          </w:p>
        </w:tc>
      </w:tr>
    </w:tbl>
    <w:p>
      <w:pPr>
        <w:pStyle w:val="72"/>
        <w:widowControl w:val="0"/>
        <w:numPr>
          <w:ilvl w:val="0"/>
          <w:numId w:val="0"/>
        </w:numPr>
        <w:tabs>
          <w:tab w:val="left" w:pos="1341"/>
        </w:tabs>
        <w:autoSpaceDE w:val="0"/>
        <w:autoSpaceDN w:val="0"/>
        <w:spacing w:line="328" w:lineRule="auto"/>
        <w:ind w:right="338" w:rightChars="0"/>
        <w:jc w:val="both"/>
        <w:rPr>
          <w:color w:val="auto"/>
          <w:highlight w:val="none"/>
        </w:rPr>
      </w:pPr>
    </w:p>
    <w:p>
      <w:pPr>
        <w:pStyle w:val="72"/>
        <w:widowControl w:val="0"/>
        <w:numPr>
          <w:ilvl w:val="0"/>
          <w:numId w:val="0"/>
        </w:numPr>
        <w:tabs>
          <w:tab w:val="left" w:pos="1341"/>
        </w:tabs>
        <w:autoSpaceDE w:val="0"/>
        <w:autoSpaceDN w:val="0"/>
        <w:spacing w:line="328" w:lineRule="auto"/>
        <w:ind w:right="338" w:rightChars="0"/>
        <w:jc w:val="both"/>
        <w:rPr>
          <w:color w:val="auto"/>
          <w:highlight w:val="none"/>
        </w:rPr>
      </w:pPr>
    </w:p>
    <w:bookmarkEnd w:id="21"/>
    <w:p>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bookmarkStart w:id="163" w:name="_Toc18333"/>
    </w:p>
    <w:p>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pPr>
        <w:pStyle w:val="73"/>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en-US"/>
        </w:rPr>
        <w:t>附件</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en-US"/>
        </w:rPr>
        <w:t>：河南省政府采购合同融资政策告知函</w:t>
      </w:r>
    </w:p>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lang w:eastAsia="en-US"/>
        </w:rPr>
      </w:pPr>
      <w:bookmarkStart w:id="164" w:name="_Toc7567"/>
      <w:bookmarkStart w:id="165" w:name="_Toc19399"/>
    </w:p>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河南省政府采购合同融资政策告知函</w:t>
      </w:r>
      <w:bookmarkEnd w:id="164"/>
      <w:bookmarkEnd w:id="165"/>
    </w:p>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lang w:eastAsia="en-US"/>
        </w:rPr>
      </w:pP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各</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eastAsia="en-US"/>
        </w:rPr>
        <w:t>：</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欢迎贵公司参与河南省政府采购活动！</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政府采购合同融资是河南省财政厅支持中小微企业发展，针对参与政府采购活动的</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eastAsia="en-US"/>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rPr>
      </w:pPr>
      <w:bookmarkStart w:id="166" w:name="_Toc15196"/>
      <w:r>
        <w:rPr>
          <w:rFonts w:hint="eastAsia" w:ascii="宋体" w:hAnsi="宋体" w:eastAsia="宋体" w:cs="宋体"/>
          <w:b w:val="0"/>
          <w:bCs w:val="0"/>
          <w:color w:val="auto"/>
          <w:sz w:val="24"/>
          <w:szCs w:val="24"/>
          <w:highlight w:val="none"/>
        </w:rPr>
        <w:t>贷款渠道和提供贷款的金融机构，可在河南省政府采购网“河南省政府采购合同融资平</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台”查询联系。</w:t>
      </w:r>
      <w:bookmarkEnd w:id="166"/>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lang w:eastAsia="en-US"/>
        </w:rPr>
      </w:pP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附件2</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卢氏县政府采购合同融资政策告知书各供应商:</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供应商朋友们进一步了解政府采购融资政策和获取贷款的流程.</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特别提醒:该告知书仅统计了我县部分可以提供线上融资的金融机构，凡参与我县政府采购项目，有融资需求的本地或外地中标(中标)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联系电话:0398-7863556</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3"/>
        <w:gridCol w:w="3304"/>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vAlign w:val="center"/>
          </w:tcPr>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单位名称</w:t>
            </w:r>
          </w:p>
        </w:tc>
        <w:tc>
          <w:tcPr>
            <w:tcW w:w="3304" w:type="dxa"/>
            <w:vAlign w:val="center"/>
          </w:tcPr>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p>
        </w:tc>
        <w:tc>
          <w:tcPr>
            <w:tcW w:w="3304" w:type="dxa"/>
            <w:vAlign w:val="center"/>
          </w:tcPr>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中国建设银行股份有限公司卢氏支行</w:t>
            </w:r>
          </w:p>
        </w:tc>
        <w:tc>
          <w:tcPr>
            <w:tcW w:w="3304" w:type="dxa"/>
            <w:vAlign w:val="center"/>
          </w:tcPr>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张江涛</w:t>
            </w:r>
          </w:p>
        </w:tc>
        <w:tc>
          <w:tcPr>
            <w:tcW w:w="3304" w:type="dxa"/>
            <w:vAlign w:val="center"/>
          </w:tcPr>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18739850204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中国农业银行股份有限公司卢氏县支行</w:t>
            </w:r>
          </w:p>
        </w:tc>
        <w:tc>
          <w:tcPr>
            <w:tcW w:w="3304" w:type="dxa"/>
            <w:vAlign w:val="center"/>
          </w:tcPr>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代仁旺</w:t>
            </w:r>
          </w:p>
        </w:tc>
        <w:tc>
          <w:tcPr>
            <w:tcW w:w="3304" w:type="dxa"/>
            <w:vAlign w:val="center"/>
          </w:tcPr>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18939062604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中原银行股份有限公司卢氏支行</w:t>
            </w:r>
          </w:p>
        </w:tc>
        <w:tc>
          <w:tcPr>
            <w:tcW w:w="3304" w:type="dxa"/>
            <w:vAlign w:val="center"/>
          </w:tcPr>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李 博</w:t>
            </w:r>
          </w:p>
        </w:tc>
        <w:tc>
          <w:tcPr>
            <w:tcW w:w="3304" w:type="dxa"/>
            <w:vAlign w:val="center"/>
          </w:tcPr>
          <w:p>
            <w:pPr>
              <w:pStyle w:val="73"/>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15839857887</w:t>
            </w:r>
          </w:p>
        </w:tc>
      </w:tr>
    </w:tbl>
    <w:p>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pPr>
        <w:snapToGrid w:val="0"/>
        <w:spacing w:beforeAutospacing="0" w:afterAutospacing="0" w:line="360" w:lineRule="auto"/>
        <w:jc w:val="center"/>
        <w:outlineLvl w:val="0"/>
        <w:rPr>
          <w:rFonts w:hint="eastAsia" w:ascii="宋体" w:hAnsi="宋体" w:eastAsia="宋体"/>
          <w:b/>
          <w:bCs/>
          <w:color w:val="auto"/>
          <w:kern w:val="0"/>
          <w:sz w:val="44"/>
          <w:szCs w:val="44"/>
          <w:highlight w:val="none"/>
          <w:lang w:val="en-US" w:eastAsia="zh-CN"/>
        </w:rPr>
      </w:pPr>
      <w:r>
        <w:rPr>
          <w:rFonts w:hint="eastAsia" w:ascii="宋体" w:hAnsi="宋体"/>
          <w:b/>
          <w:bCs/>
          <w:color w:val="auto"/>
          <w:kern w:val="0"/>
          <w:sz w:val="44"/>
          <w:szCs w:val="44"/>
          <w:highlight w:val="none"/>
          <w:lang w:eastAsia="zh-CN"/>
        </w:rPr>
        <w:t>第三章</w:t>
      </w:r>
      <w:r>
        <w:rPr>
          <w:rFonts w:hint="eastAsia" w:ascii="宋体" w:hAnsi="宋体"/>
          <w:b/>
          <w:bCs/>
          <w:color w:val="auto"/>
          <w:kern w:val="0"/>
          <w:sz w:val="44"/>
          <w:szCs w:val="44"/>
          <w:highlight w:val="none"/>
          <w:lang w:val="en-US" w:eastAsia="zh-CN"/>
        </w:rPr>
        <w:t xml:space="preserve">  </w:t>
      </w:r>
      <w:r>
        <w:rPr>
          <w:rFonts w:hint="eastAsia" w:ascii="宋体" w:hAnsi="宋体" w:eastAsia="宋体"/>
          <w:b/>
          <w:bCs/>
          <w:color w:val="auto"/>
          <w:kern w:val="0"/>
          <w:sz w:val="44"/>
          <w:szCs w:val="44"/>
          <w:highlight w:val="none"/>
        </w:rPr>
        <w:t>服务</w:t>
      </w:r>
      <w:bookmarkEnd w:id="163"/>
      <w:r>
        <w:rPr>
          <w:rFonts w:hint="eastAsia" w:ascii="宋体" w:hAnsi="宋体"/>
          <w:b/>
          <w:bCs/>
          <w:color w:val="auto"/>
          <w:kern w:val="0"/>
          <w:sz w:val="44"/>
          <w:szCs w:val="44"/>
          <w:highlight w:val="none"/>
          <w:lang w:eastAsia="zh-CN"/>
        </w:rPr>
        <w:t>内容</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一、项目概况</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由于卢氏县五里川河污泥性质不确定，为了明确污泥的类别属性，确定其是否具有危险特性，为后续对其进行规范化、合理化处置提供依据，根据《中华人民共和国环境保护法》、《中华人民共和国固体废物污染环境防治法》等相关法律法规以及《危险废物鉴别标准通则》等技术规范要求，决定实施卢氏县五里川河污泥鉴定项目。</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二、实施的主要内容</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该项目实施的主要内容为采购污泥危险性鉴别服务，完成指定的污泥进行类别鉴定，出具鉴定报告，并通过专家评审。</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三、项目实施的绩效</w:t>
      </w:r>
    </w:p>
    <w:p>
      <w:pPr>
        <w:pStyle w:val="73"/>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项目实施后，可以明确五里川河污泥性质，为后续规范、科学化管理、贮存、处置提供数据，也为推进卢氏县环境综合治理、保障水源地环境安全提供数据支撑。</w:t>
      </w: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spacing w:after="0"/>
        <w:ind w:firstLine="0" w:firstLineChars="0"/>
        <w:rPr>
          <w:rFonts w:hint="eastAsia"/>
          <w:color w:val="auto"/>
          <w:highlight w:val="none"/>
          <w:lang w:val="en-US" w:eastAsia="zh-CN"/>
        </w:rPr>
      </w:pPr>
    </w:p>
    <w:p>
      <w:pPr>
        <w:pStyle w:val="31"/>
        <w:rPr>
          <w:rFonts w:hint="eastAsia"/>
          <w:color w:val="auto"/>
          <w:highlight w:val="none"/>
        </w:rPr>
      </w:pPr>
    </w:p>
    <w:p>
      <w:pPr>
        <w:snapToGrid w:val="0"/>
        <w:spacing w:beforeAutospacing="0" w:afterAutospacing="0" w:line="360" w:lineRule="auto"/>
        <w:jc w:val="center"/>
        <w:outlineLvl w:val="0"/>
        <w:rPr>
          <w:rFonts w:hint="eastAsia" w:ascii="宋体" w:hAnsi="宋体" w:eastAsia="宋体"/>
          <w:b/>
          <w:bCs/>
          <w:color w:val="auto"/>
          <w:sz w:val="44"/>
          <w:szCs w:val="44"/>
          <w:highlight w:val="none"/>
        </w:rPr>
      </w:pPr>
      <w:bookmarkStart w:id="167" w:name="评审标准"/>
      <w:bookmarkEnd w:id="167"/>
      <w:bookmarkStart w:id="168" w:name="_Toc19915"/>
      <w:r>
        <w:rPr>
          <w:rFonts w:hint="eastAsia" w:ascii="宋体" w:hAnsi="宋体" w:eastAsia="宋体"/>
          <w:b/>
          <w:bCs/>
          <w:color w:val="auto"/>
          <w:sz w:val="44"/>
          <w:szCs w:val="44"/>
          <w:highlight w:val="none"/>
        </w:rPr>
        <w:t>第</w:t>
      </w:r>
      <w:r>
        <w:rPr>
          <w:rFonts w:hint="eastAsia" w:ascii="宋体" w:hAnsi="宋体"/>
          <w:b/>
          <w:bCs/>
          <w:color w:val="auto"/>
          <w:sz w:val="44"/>
          <w:szCs w:val="44"/>
          <w:highlight w:val="none"/>
          <w:lang w:eastAsia="zh-CN"/>
        </w:rPr>
        <w:t>四</w:t>
      </w:r>
      <w:r>
        <w:rPr>
          <w:rFonts w:hint="eastAsia" w:ascii="宋体" w:hAnsi="宋体" w:eastAsia="宋体"/>
          <w:b/>
          <w:bCs/>
          <w:color w:val="auto"/>
          <w:sz w:val="44"/>
          <w:szCs w:val="44"/>
          <w:highlight w:val="none"/>
        </w:rPr>
        <w:t>章  评审标准</w:t>
      </w:r>
      <w:bookmarkEnd w:id="168"/>
    </w:p>
    <w:p>
      <w:pPr>
        <w:spacing w:beforeAutospacing="0" w:afterAutospacing="0" w:line="360" w:lineRule="auto"/>
        <w:ind w:firstLine="480"/>
        <w:rPr>
          <w:rFonts w:ascii="宋体" w:hAnsi="宋体" w:eastAsia="宋体"/>
          <w:b/>
          <w:bCs/>
          <w:color w:val="auto"/>
          <w:kern w:val="0"/>
          <w:sz w:val="24"/>
          <w:szCs w:val="24"/>
          <w:highlight w:val="none"/>
        </w:rPr>
      </w:pPr>
    </w:p>
    <w:p>
      <w:pPr>
        <w:spacing w:beforeAutospacing="0" w:afterAutospacing="0" w:line="360" w:lineRule="auto"/>
        <w:ind w:firstLine="48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 xml:space="preserve">1. </w:t>
      </w:r>
      <w:r>
        <w:rPr>
          <w:rFonts w:hint="eastAsia" w:ascii="宋体" w:hAnsi="宋体" w:eastAsia="宋体"/>
          <w:b/>
          <w:bCs/>
          <w:color w:val="auto"/>
          <w:sz w:val="24"/>
          <w:szCs w:val="24"/>
          <w:highlight w:val="none"/>
        </w:rPr>
        <w:t>磋商文件的评审、比较和否决</w:t>
      </w:r>
    </w:p>
    <w:p>
      <w:pPr>
        <w:spacing w:beforeAutospacing="0" w:afterAutospacing="0" w:line="360" w:lineRule="auto"/>
        <w:ind w:firstLine="48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1.1</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将按照竞争性磋商文件的规定，仅对在实质上响应竞争性磋商文件要求的磋商文件进行评估和比较。</w:t>
      </w:r>
    </w:p>
    <w:p>
      <w:pPr>
        <w:spacing w:beforeAutospacing="0" w:afterAutospacing="0" w:line="360" w:lineRule="auto"/>
        <w:ind w:firstLine="48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1.2根据相关法律法规及有关招磋商文件规定，结合本项目具体情况，制定本次招标评审标准。并按照“公平、公正、科学、择优”的原则进行评标。采用百分制综合评估法进行评比。</w:t>
      </w:r>
    </w:p>
    <w:p>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1.3在评审过程中，</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可以以书面形式要求磋商供应商就磋商文件中含义不明确的内容进行书面说明并提供相关材料；</w:t>
      </w:r>
      <w:r>
        <w:rPr>
          <w:rFonts w:hint="eastAsia" w:ascii="宋体" w:hAnsi="宋体" w:eastAsia="宋体"/>
          <w:b w:val="0"/>
          <w:bCs w:val="0"/>
          <w:color w:val="auto"/>
          <w:spacing w:val="-6"/>
          <w:sz w:val="24"/>
          <w:szCs w:val="24"/>
          <w:highlight w:val="none"/>
        </w:rPr>
        <w:t>凡遇到竞争性磋商文件中无界定或界定不清、前后不一致使</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pacing w:val="-6"/>
          <w:sz w:val="24"/>
          <w:szCs w:val="24"/>
          <w:highlight w:val="none"/>
        </w:rPr>
        <w:t>成员</w:t>
      </w:r>
      <w:r>
        <w:rPr>
          <w:rFonts w:hint="eastAsia" w:ascii="宋体" w:hAnsi="宋体" w:eastAsia="宋体"/>
          <w:b w:val="0"/>
          <w:bCs w:val="0"/>
          <w:color w:val="auto"/>
          <w:sz w:val="24"/>
          <w:szCs w:val="24"/>
          <w:highlight w:val="none"/>
        </w:rPr>
        <w:t>意见</w:t>
      </w:r>
      <w:r>
        <w:rPr>
          <w:rFonts w:hint="eastAsia" w:ascii="宋体" w:hAnsi="宋体" w:eastAsia="宋体"/>
          <w:b w:val="0"/>
          <w:bCs w:val="0"/>
          <w:color w:val="auto"/>
          <w:spacing w:val="-6"/>
          <w:sz w:val="24"/>
          <w:szCs w:val="24"/>
          <w:highlight w:val="none"/>
        </w:rPr>
        <w:t>有分歧且又难于协商一致的问题，均由</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pacing w:val="-6"/>
          <w:sz w:val="24"/>
          <w:szCs w:val="24"/>
          <w:highlight w:val="none"/>
        </w:rPr>
        <w:t>予以表决，获半数以上同意的即为通过，未获半数同意的即为否决</w:t>
      </w:r>
      <w:r>
        <w:rPr>
          <w:rFonts w:hint="eastAsia" w:ascii="宋体" w:hAnsi="宋体" w:eastAsia="宋体"/>
          <w:b w:val="0"/>
          <w:bCs w:val="0"/>
          <w:color w:val="auto"/>
          <w:sz w:val="24"/>
          <w:szCs w:val="24"/>
          <w:highlight w:val="none"/>
        </w:rPr>
        <w:t>。</w:t>
      </w:r>
    </w:p>
    <w:p>
      <w:pPr>
        <w:spacing w:beforeAutospacing="0" w:afterAutospacing="0" w:line="360" w:lineRule="auto"/>
        <w:ind w:firstLine="480"/>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1.4评标时，投标报价是评标的重要依据，但不是唯一依据，</w:t>
      </w:r>
      <w:r>
        <w:rPr>
          <w:rFonts w:hint="eastAsia" w:ascii="宋体" w:hAnsi="宋体" w:eastAsia="宋体"/>
          <w:b w:val="0"/>
          <w:bCs w:val="0"/>
          <w:color w:val="auto"/>
          <w:sz w:val="24"/>
          <w:szCs w:val="24"/>
          <w:highlight w:val="none"/>
        </w:rPr>
        <w:t>采购人不承诺将合同授予报价最低或最高的磋商供应商。</w:t>
      </w:r>
    </w:p>
    <w:p>
      <w:pPr>
        <w:spacing w:beforeAutospacing="0" w:afterAutospacing="0" w:line="360" w:lineRule="auto"/>
        <w:ind w:firstLine="480"/>
        <w:rPr>
          <w:rFonts w:hint="eastAsia" w:ascii="宋体" w:hAnsi="宋体" w:eastAsia="宋体"/>
          <w:b/>
          <w:bCs/>
          <w:color w:val="auto"/>
          <w:sz w:val="24"/>
          <w:szCs w:val="24"/>
          <w:highlight w:val="none"/>
        </w:rPr>
      </w:pPr>
      <w:r>
        <w:rPr>
          <w:rFonts w:hint="eastAsia" w:ascii="宋体" w:hAnsi="宋体" w:eastAsia="宋体"/>
          <w:b w:val="0"/>
          <w:bCs w:val="0"/>
          <w:color w:val="auto"/>
          <w:sz w:val="24"/>
          <w:szCs w:val="24"/>
          <w:highlight w:val="none"/>
        </w:rPr>
        <w:t>1.5</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依据竞争性磋商文件中规定的评标标准和方法，对磋商文件进行评审和比较，向采购人提出书面评标报告，并推荐合格的成交候选人。采购人根据</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提出的书面评标报告和推荐的成交候选人按序确</w:t>
      </w:r>
      <w:r>
        <w:rPr>
          <w:rFonts w:hint="eastAsia" w:ascii="宋体" w:hAnsi="宋体" w:eastAsia="宋体"/>
          <w:color w:val="auto"/>
          <w:sz w:val="24"/>
          <w:szCs w:val="24"/>
          <w:highlight w:val="none"/>
        </w:rPr>
        <w:t>定成交人。</w:t>
      </w:r>
    </w:p>
    <w:p>
      <w:pPr>
        <w:spacing w:beforeAutospacing="0" w:after="120" w:afterAutospacing="0"/>
        <w:ind w:left="1"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 评审程序</w:t>
      </w:r>
    </w:p>
    <w:p>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2.1 资格审查</w:t>
      </w:r>
    </w:p>
    <w:p>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本项目采用资格后审</w:t>
      </w:r>
    </w:p>
    <w:p>
      <w:pPr>
        <w:spacing w:beforeAutospacing="0" w:afterAutospacing="0" w:line="360" w:lineRule="auto"/>
        <w:ind w:firstLine="480"/>
        <w:rPr>
          <w:rFonts w:hint="eastAsia" w:ascii="宋体" w:hAnsi="宋体" w:eastAsia="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按照竞争性磋商文件第二章磋商供应商须知前附表要求，对磋商供应商的磋商文件进行资格评审，有一项不符合的，视为未通过资格审查，按废标处理，符合的进入下一评标程序。</w:t>
      </w:r>
      <w:r>
        <w:rPr>
          <w:rFonts w:hint="eastAsia" w:ascii="宋体" w:hAnsi="宋体" w:eastAsia="宋体"/>
          <w:b w:val="0"/>
          <w:bCs w:val="0"/>
          <w:color w:val="auto"/>
          <w:sz w:val="24"/>
          <w:szCs w:val="24"/>
          <w:highlight w:val="none"/>
          <w:lang w:eastAsia="zh-CN"/>
        </w:rPr>
        <w:t>资格评审以响应文件为准，其上传资料真实性由供应商自行承担，同时，供应商要完善主体库。</w:t>
      </w:r>
    </w:p>
    <w:p>
      <w:pPr>
        <w:spacing w:beforeAutospacing="0" w:afterAutospacing="0" w:line="360" w:lineRule="auto"/>
        <w:ind w:firstLine="48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3</w:t>
      </w:r>
      <w:r>
        <w:rPr>
          <w:rFonts w:hint="eastAsia" w:ascii="宋体" w:hAnsi="宋体" w:eastAsia="宋体"/>
          <w:b/>
          <w:bCs/>
          <w:color w:val="auto"/>
          <w:kern w:val="0"/>
          <w:sz w:val="24"/>
          <w:szCs w:val="24"/>
          <w:highlight w:val="none"/>
          <w:lang w:val="en-US" w:eastAsia="zh-CN"/>
        </w:rPr>
        <w:t>.</w:t>
      </w:r>
      <w:r>
        <w:rPr>
          <w:rFonts w:hint="eastAsia" w:ascii="宋体" w:hAnsi="宋体" w:eastAsia="宋体"/>
          <w:b/>
          <w:bCs/>
          <w:color w:val="auto"/>
          <w:kern w:val="0"/>
          <w:sz w:val="24"/>
          <w:szCs w:val="24"/>
          <w:highlight w:val="none"/>
        </w:rPr>
        <w:t>评标具体方法和标准</w:t>
      </w:r>
    </w:p>
    <w:p>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本次评审采用综合评分法，即在通过资格性审查及初步审查的供应商最大限度地满足采购文件实质性要求的前提下，按照采购文件规定的评分办法表中的各项因素，由各专家独立评审打分，汇总专家各项评审结果即为供应商的最终得分；磋商小组按照供应商的得分从高到低的顺序推荐3 名成交候选供应商；若最终得分相同，报价低的优先，报价相同技术标得分高的优先，技术标得分也相同，由采购人自主决定。</w:t>
      </w:r>
    </w:p>
    <w:p>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p>
    <w:p>
      <w:pPr>
        <w:spacing w:beforeAutospacing="0" w:afterAutospacing="0" w:line="360" w:lineRule="auto"/>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评分办法前附表</w:t>
      </w:r>
    </w:p>
    <w:tbl>
      <w:tblPr>
        <w:tblStyle w:val="16"/>
        <w:tblW w:w="0" w:type="auto"/>
        <w:jc w:val="center"/>
        <w:tblLayout w:type="fixed"/>
        <w:tblCellMar>
          <w:top w:w="0" w:type="dxa"/>
          <w:left w:w="108" w:type="dxa"/>
          <w:bottom w:w="0" w:type="dxa"/>
          <w:right w:w="108" w:type="dxa"/>
        </w:tblCellMar>
      </w:tblPr>
      <w:tblGrid>
        <w:gridCol w:w="1202"/>
        <w:gridCol w:w="2176"/>
        <w:gridCol w:w="6060"/>
      </w:tblGrid>
      <w:tr>
        <w:tblPrEx>
          <w:tblCellMar>
            <w:top w:w="0" w:type="dxa"/>
            <w:left w:w="108" w:type="dxa"/>
            <w:bottom w:w="0" w:type="dxa"/>
            <w:right w:w="108" w:type="dxa"/>
          </w:tblCellMar>
        </w:tblPrEx>
        <w:trPr>
          <w:trHeight w:val="566" w:hRule="atLeast"/>
          <w:jc w:val="center"/>
        </w:trPr>
        <w:tc>
          <w:tcPr>
            <w:tcW w:w="1202"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b/>
                <w:bCs/>
                <w:color w:val="auto"/>
                <w:szCs w:val="20"/>
                <w:highlight w:val="none"/>
              </w:rPr>
            </w:pPr>
            <w:r>
              <w:rPr>
                <w:rFonts w:hint="eastAsia" w:ascii="宋体" w:hAnsi="宋体" w:eastAsia="宋体"/>
                <w:b/>
                <w:bCs/>
                <w:color w:val="auto"/>
                <w:szCs w:val="20"/>
                <w:highlight w:val="none"/>
              </w:rPr>
              <w:t>条款</w:t>
            </w:r>
          </w:p>
        </w:tc>
        <w:tc>
          <w:tcPr>
            <w:tcW w:w="2176"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b/>
                <w:bCs/>
                <w:color w:val="auto"/>
                <w:szCs w:val="20"/>
                <w:highlight w:val="none"/>
              </w:rPr>
            </w:pPr>
            <w:r>
              <w:rPr>
                <w:rFonts w:hint="eastAsia" w:ascii="宋体" w:hAnsi="宋体" w:eastAsia="宋体"/>
                <w:b/>
                <w:bCs/>
                <w:color w:val="auto"/>
                <w:szCs w:val="20"/>
                <w:highlight w:val="none"/>
              </w:rPr>
              <w:t>评审因素</w:t>
            </w:r>
          </w:p>
        </w:tc>
        <w:tc>
          <w:tcPr>
            <w:tcW w:w="6060"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b/>
                <w:bCs/>
                <w:color w:val="auto"/>
                <w:szCs w:val="20"/>
                <w:highlight w:val="none"/>
              </w:rPr>
            </w:pPr>
            <w:r>
              <w:rPr>
                <w:rFonts w:hint="eastAsia" w:ascii="宋体" w:hAnsi="宋体" w:eastAsia="宋体"/>
                <w:b/>
                <w:bCs/>
                <w:color w:val="auto"/>
                <w:szCs w:val="20"/>
                <w:highlight w:val="none"/>
              </w:rPr>
              <w:t>评审标准</w:t>
            </w:r>
          </w:p>
        </w:tc>
      </w:tr>
      <w:tr>
        <w:tblPrEx>
          <w:tblCellMar>
            <w:top w:w="0" w:type="dxa"/>
            <w:left w:w="108" w:type="dxa"/>
            <w:bottom w:w="0" w:type="dxa"/>
            <w:right w:w="108" w:type="dxa"/>
          </w:tblCellMar>
        </w:tblPrEx>
        <w:trPr>
          <w:trHeight w:val="566" w:hRule="atLeast"/>
          <w:jc w:val="center"/>
        </w:trPr>
        <w:tc>
          <w:tcPr>
            <w:tcW w:w="1202" w:type="dxa"/>
            <w:vMerge w:val="restart"/>
            <w:tcBorders>
              <w:top w:val="single" w:color="000000" w:sz="4" w:space="0"/>
              <w:left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形式评审标准</w:t>
            </w:r>
          </w:p>
        </w:tc>
        <w:tc>
          <w:tcPr>
            <w:tcW w:w="2176" w:type="dxa"/>
            <w:tcBorders>
              <w:top w:val="single" w:color="000000" w:sz="4" w:space="0"/>
              <w:left w:val="nil"/>
              <w:bottom w:val="single" w:color="000000" w:sz="4" w:space="0"/>
              <w:right w:val="single" w:color="000000" w:sz="4" w:space="0"/>
            </w:tcBorders>
            <w:vAlign w:val="center"/>
          </w:tcPr>
          <w:p>
            <w:pPr>
              <w:spacing w:line="500" w:lineRule="exact"/>
              <w:jc w:val="left"/>
              <w:rPr>
                <w:rFonts w:hint="eastAsia" w:ascii="宋体" w:hAnsi="宋体" w:eastAsia="宋体"/>
                <w:b/>
                <w:bCs/>
                <w:color w:val="auto"/>
                <w:szCs w:val="20"/>
                <w:highlight w:val="none"/>
              </w:rPr>
            </w:pPr>
            <w:r>
              <w:rPr>
                <w:rFonts w:hint="eastAsia" w:asciiTheme="majorEastAsia" w:hAnsiTheme="majorEastAsia" w:eastAsiaTheme="majorEastAsia" w:cstheme="majorEastAsia"/>
                <w:bCs/>
                <w:color w:val="auto"/>
                <w:sz w:val="24"/>
                <w:szCs w:val="24"/>
                <w:highlight w:val="none"/>
              </w:rPr>
              <w:t>供应商名称</w:t>
            </w:r>
          </w:p>
        </w:tc>
        <w:tc>
          <w:tcPr>
            <w:tcW w:w="6060" w:type="dxa"/>
            <w:tcBorders>
              <w:top w:val="single" w:color="000000" w:sz="4" w:space="0"/>
              <w:left w:val="nil"/>
              <w:bottom w:val="single" w:color="000000" w:sz="4" w:space="0"/>
              <w:right w:val="single" w:color="000000" w:sz="4" w:space="0"/>
            </w:tcBorders>
            <w:vAlign w:val="center"/>
          </w:tcPr>
          <w:p>
            <w:pPr>
              <w:spacing w:line="500" w:lineRule="exact"/>
              <w:jc w:val="both"/>
              <w:rPr>
                <w:rFonts w:hint="eastAsia" w:ascii="宋体" w:hAnsi="宋体" w:eastAsia="宋体"/>
                <w:b/>
                <w:bCs/>
                <w:color w:val="auto"/>
                <w:szCs w:val="20"/>
                <w:highlight w:val="none"/>
              </w:rPr>
            </w:pPr>
            <w:r>
              <w:rPr>
                <w:rFonts w:hint="eastAsia" w:asciiTheme="majorEastAsia" w:hAnsiTheme="majorEastAsia" w:eastAsiaTheme="majorEastAsia" w:cstheme="majorEastAsia"/>
                <w:bCs/>
                <w:color w:val="auto"/>
                <w:sz w:val="24"/>
                <w:szCs w:val="24"/>
                <w:highlight w:val="none"/>
              </w:rPr>
              <w:t>与营业执照一致</w:t>
            </w:r>
          </w:p>
        </w:tc>
      </w:tr>
      <w:tr>
        <w:tblPrEx>
          <w:tblCellMar>
            <w:top w:w="0" w:type="dxa"/>
            <w:left w:w="108" w:type="dxa"/>
            <w:bottom w:w="0" w:type="dxa"/>
            <w:right w:w="108" w:type="dxa"/>
          </w:tblCellMar>
        </w:tblPrEx>
        <w:trPr>
          <w:trHeight w:val="695" w:hRule="atLeast"/>
          <w:jc w:val="center"/>
        </w:trPr>
        <w:tc>
          <w:tcPr>
            <w:tcW w:w="1202" w:type="dxa"/>
            <w:vMerge w:val="continue"/>
            <w:tcBorders>
              <w:left w:val="single" w:color="000000" w:sz="4" w:space="0"/>
              <w:right w:val="single" w:color="000000" w:sz="4" w:space="0"/>
            </w:tcBorders>
            <w:vAlign w:val="center"/>
          </w:tcPr>
          <w:p>
            <w:pPr>
              <w:widowControl w:val="0"/>
              <w:spacing w:line="500" w:lineRule="exact"/>
              <w:jc w:val="both"/>
              <w:rPr>
                <w:rFonts w:hint="eastAsia" w:asciiTheme="majorEastAsia" w:hAnsiTheme="majorEastAsia" w:eastAsiaTheme="majorEastAsia" w:cstheme="majorEastAsia"/>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pPr>
              <w:spacing w:line="500" w:lineRule="exact"/>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响应文件签字盖章</w:t>
            </w:r>
          </w:p>
        </w:tc>
        <w:tc>
          <w:tcPr>
            <w:tcW w:w="6060" w:type="dxa"/>
            <w:tcBorders>
              <w:top w:val="single" w:color="000000" w:sz="4" w:space="0"/>
              <w:left w:val="nil"/>
              <w:bottom w:val="single" w:color="000000" w:sz="4" w:space="0"/>
              <w:right w:val="single" w:color="000000" w:sz="4" w:space="0"/>
            </w:tcBorders>
            <w:vAlign w:val="center"/>
          </w:tcPr>
          <w:p>
            <w:pPr>
              <w:spacing w:line="500" w:lineRule="exact"/>
              <w:jc w:val="both"/>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符</w:t>
            </w:r>
            <w:r>
              <w:rPr>
                <w:rFonts w:hint="eastAsia" w:asciiTheme="majorEastAsia" w:hAnsiTheme="majorEastAsia" w:eastAsiaTheme="majorEastAsia" w:cstheme="majorEastAsia"/>
                <w:bCs/>
                <w:color w:val="auto"/>
                <w:sz w:val="24"/>
                <w:szCs w:val="24"/>
                <w:highlight w:val="none"/>
                <w:lang w:val="en-US"/>
              </w:rPr>
              <w:t>合竞争性磋商文件要求的签章或标注的内容</w:t>
            </w:r>
          </w:p>
        </w:tc>
      </w:tr>
      <w:tr>
        <w:tblPrEx>
          <w:tblCellMar>
            <w:top w:w="0" w:type="dxa"/>
            <w:left w:w="108" w:type="dxa"/>
            <w:bottom w:w="0" w:type="dxa"/>
            <w:right w:w="108" w:type="dxa"/>
          </w:tblCellMar>
        </w:tblPrEx>
        <w:trPr>
          <w:trHeight w:val="566" w:hRule="atLeast"/>
          <w:jc w:val="center"/>
        </w:trPr>
        <w:tc>
          <w:tcPr>
            <w:tcW w:w="1202" w:type="dxa"/>
            <w:vMerge w:val="continue"/>
            <w:tcBorders>
              <w:left w:val="single" w:color="000000" w:sz="4" w:space="0"/>
              <w:right w:val="single" w:color="000000" w:sz="4" w:space="0"/>
            </w:tcBorders>
            <w:vAlign w:val="center"/>
          </w:tcPr>
          <w:p>
            <w:pPr>
              <w:widowControl w:val="0"/>
              <w:spacing w:line="500" w:lineRule="exact"/>
              <w:jc w:val="both"/>
              <w:rPr>
                <w:rFonts w:hint="eastAsia" w:asciiTheme="majorEastAsia" w:hAnsiTheme="majorEastAsia" w:eastAsiaTheme="majorEastAsia" w:cstheme="majorEastAsia"/>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pPr>
              <w:spacing w:line="500" w:lineRule="exact"/>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响应文件格式</w:t>
            </w:r>
          </w:p>
        </w:tc>
        <w:tc>
          <w:tcPr>
            <w:tcW w:w="6060" w:type="dxa"/>
            <w:tcBorders>
              <w:top w:val="single" w:color="000000" w:sz="4" w:space="0"/>
              <w:left w:val="nil"/>
              <w:bottom w:val="single" w:color="000000" w:sz="4" w:space="0"/>
              <w:right w:val="single" w:color="000000" w:sz="4" w:space="0"/>
            </w:tcBorders>
            <w:vAlign w:val="center"/>
          </w:tcPr>
          <w:p>
            <w:pPr>
              <w:spacing w:line="500" w:lineRule="exact"/>
              <w:jc w:val="both"/>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符合“响应文件格式”的要求</w:t>
            </w:r>
          </w:p>
        </w:tc>
      </w:tr>
      <w:tr>
        <w:tblPrEx>
          <w:tblCellMar>
            <w:top w:w="0" w:type="dxa"/>
            <w:left w:w="108" w:type="dxa"/>
            <w:bottom w:w="0" w:type="dxa"/>
            <w:right w:w="108" w:type="dxa"/>
          </w:tblCellMar>
        </w:tblPrEx>
        <w:trPr>
          <w:trHeight w:val="566" w:hRule="atLeast"/>
          <w:jc w:val="center"/>
        </w:trPr>
        <w:tc>
          <w:tcPr>
            <w:tcW w:w="1202" w:type="dxa"/>
            <w:vMerge w:val="continue"/>
            <w:tcBorders>
              <w:left w:val="single" w:color="000000" w:sz="4" w:space="0"/>
              <w:bottom w:val="single" w:color="000000" w:sz="4" w:space="0"/>
              <w:right w:val="single" w:color="000000" w:sz="4" w:space="0"/>
            </w:tcBorders>
            <w:vAlign w:val="center"/>
          </w:tcPr>
          <w:p>
            <w:pPr>
              <w:widowControl w:val="0"/>
              <w:spacing w:line="500" w:lineRule="exact"/>
              <w:jc w:val="both"/>
              <w:rPr>
                <w:rFonts w:hint="eastAsia" w:asciiTheme="majorEastAsia" w:hAnsiTheme="majorEastAsia" w:eastAsiaTheme="majorEastAsia" w:cstheme="majorEastAsia"/>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pPr>
              <w:spacing w:line="500" w:lineRule="exact"/>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报价唯一</w:t>
            </w:r>
          </w:p>
        </w:tc>
        <w:tc>
          <w:tcPr>
            <w:tcW w:w="6060" w:type="dxa"/>
            <w:tcBorders>
              <w:top w:val="single" w:color="000000" w:sz="4" w:space="0"/>
              <w:left w:val="nil"/>
              <w:bottom w:val="single" w:color="000000" w:sz="4" w:space="0"/>
              <w:right w:val="single" w:color="000000" w:sz="4" w:space="0"/>
            </w:tcBorders>
            <w:vAlign w:val="center"/>
          </w:tcPr>
          <w:p>
            <w:pPr>
              <w:spacing w:line="500" w:lineRule="exact"/>
              <w:jc w:val="both"/>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rPr>
              <w:t>只能有一个有效报价</w:t>
            </w:r>
          </w:p>
        </w:tc>
      </w:tr>
      <w:tr>
        <w:tblPrEx>
          <w:tblCellMar>
            <w:top w:w="0" w:type="dxa"/>
            <w:left w:w="108" w:type="dxa"/>
            <w:bottom w:w="0" w:type="dxa"/>
            <w:right w:w="108" w:type="dxa"/>
          </w:tblCellMar>
        </w:tblPrEx>
        <w:trPr>
          <w:trHeight w:val="1253" w:hRule="atLeast"/>
          <w:jc w:val="center"/>
        </w:trPr>
        <w:tc>
          <w:tcPr>
            <w:tcW w:w="1202" w:type="dxa"/>
            <w:vMerge w:val="restart"/>
            <w:tcBorders>
              <w:top w:val="nil"/>
              <w:left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资格评审标准</w:t>
            </w:r>
          </w:p>
        </w:tc>
        <w:tc>
          <w:tcPr>
            <w:tcW w:w="2176"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营业执照</w:t>
            </w:r>
            <w:r>
              <w:rPr>
                <w:rFonts w:hint="eastAsia" w:ascii="宋体" w:hAnsi="宋体"/>
                <w:color w:val="auto"/>
                <w:sz w:val="24"/>
                <w:szCs w:val="24"/>
                <w:highlight w:val="none"/>
                <w:lang w:val="en-US" w:eastAsia="zh-CN"/>
              </w:rPr>
              <w:t>或事业单位法人证书</w:t>
            </w:r>
          </w:p>
        </w:tc>
        <w:tc>
          <w:tcPr>
            <w:tcW w:w="6060"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hint="eastAsia" w:ascii="宋体" w:hAnsi="宋体" w:eastAsia="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供应商必须是在中华人民共和国境内注册的能够独立承担民事责任的独立法人或其他组织，具有有效的营业执照或事业单位法人证书</w:t>
            </w:r>
          </w:p>
        </w:tc>
      </w:tr>
      <w:tr>
        <w:tblPrEx>
          <w:tblCellMar>
            <w:top w:w="0" w:type="dxa"/>
            <w:left w:w="108" w:type="dxa"/>
            <w:bottom w:w="0" w:type="dxa"/>
            <w:right w:w="108" w:type="dxa"/>
          </w:tblCellMar>
        </w:tblPrEx>
        <w:trPr>
          <w:trHeight w:val="886" w:hRule="atLeast"/>
          <w:jc w:val="center"/>
        </w:trPr>
        <w:tc>
          <w:tcPr>
            <w:tcW w:w="1202" w:type="dxa"/>
            <w:vMerge w:val="continue"/>
            <w:tcBorders>
              <w:left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资质证书</w:t>
            </w:r>
          </w:p>
        </w:tc>
        <w:tc>
          <w:tcPr>
            <w:tcW w:w="6060" w:type="dxa"/>
            <w:tcBorders>
              <w:top w:val="single" w:color="000000" w:sz="4" w:space="0"/>
              <w:left w:val="nil"/>
              <w:bottom w:val="single" w:color="000000" w:sz="4" w:space="0"/>
              <w:right w:val="single" w:color="000000" w:sz="4" w:space="0"/>
            </w:tcBorders>
            <w:vAlign w:val="center"/>
          </w:tcPr>
          <w:p>
            <w:pPr>
              <w:tabs>
                <w:tab w:val="left" w:pos="712"/>
              </w:tabs>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bCs/>
                <w:color w:val="auto"/>
                <w:sz w:val="24"/>
                <w:szCs w:val="21"/>
                <w:highlight w:val="none"/>
                <w:lang w:eastAsia="zh-CN"/>
              </w:rPr>
              <w:t>具有省级及以上质量技术监督部门颁发的检验检测机构资质认定证书</w:t>
            </w:r>
            <w:r>
              <w:rPr>
                <w:rFonts w:hint="eastAsia" w:ascii="宋体" w:hAnsi="宋体"/>
                <w:bCs/>
                <w:color w:val="auto"/>
                <w:sz w:val="24"/>
                <w:szCs w:val="21"/>
                <w:highlight w:val="none"/>
              </w:rPr>
              <w:t>；</w:t>
            </w:r>
          </w:p>
        </w:tc>
      </w:tr>
      <w:tr>
        <w:tblPrEx>
          <w:tblCellMar>
            <w:top w:w="0" w:type="dxa"/>
            <w:left w:w="108" w:type="dxa"/>
            <w:bottom w:w="0" w:type="dxa"/>
            <w:right w:w="108" w:type="dxa"/>
          </w:tblCellMar>
        </w:tblPrEx>
        <w:trPr>
          <w:trHeight w:val="838" w:hRule="atLeast"/>
          <w:jc w:val="center"/>
        </w:trPr>
        <w:tc>
          <w:tcPr>
            <w:tcW w:w="1202" w:type="dxa"/>
            <w:vMerge w:val="continue"/>
            <w:tcBorders>
              <w:left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val="0"/>
              <w:overflowPunct/>
              <w:topLinePunct/>
              <w:autoSpaceDE/>
              <w:autoSpaceDN/>
              <w:bidi w:val="0"/>
              <w:jc w:val="center"/>
              <w:textAlignment w:val="auto"/>
              <w:rPr>
                <w:rFonts w:hint="eastAsia" w:ascii="宋体" w:hAnsi="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设备和专业技术服务能力</w:t>
            </w:r>
          </w:p>
        </w:tc>
        <w:tc>
          <w:tcPr>
            <w:tcW w:w="606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val="0"/>
              <w:overflowPunct/>
              <w:topLinePunct/>
              <w:autoSpaceDE/>
              <w:autoSpaceDN/>
              <w:bidi w:val="0"/>
              <w:jc w:val="both"/>
              <w:textAlignment w:val="auto"/>
              <w:rPr>
                <w:rFonts w:hint="eastAsia" w:ascii="宋体" w:hAnsi="宋体"/>
                <w:bCs/>
                <w:color w:val="auto"/>
                <w:sz w:val="24"/>
                <w:szCs w:val="21"/>
                <w:highlight w:val="none"/>
                <w:lang w:val="en-US" w:eastAsia="zh-CN"/>
              </w:rPr>
            </w:pPr>
            <w:r>
              <w:rPr>
                <w:rFonts w:hint="eastAsia" w:ascii="宋体" w:hAnsi="宋体" w:eastAsia="宋体" w:cs="宋体"/>
                <w:color w:val="auto"/>
                <w:kern w:val="2"/>
                <w:sz w:val="24"/>
                <w:szCs w:val="24"/>
                <w:highlight w:val="none"/>
                <w:lang w:val="en-US" w:eastAsia="zh-CN"/>
              </w:rPr>
              <w:t>具有履行本项目采购内容所必须的设备和专业技术服务能力</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（提供承诺书或证明材料，格式自拟）</w:t>
            </w:r>
          </w:p>
        </w:tc>
      </w:tr>
      <w:tr>
        <w:tblPrEx>
          <w:tblCellMar>
            <w:top w:w="0" w:type="dxa"/>
            <w:left w:w="108" w:type="dxa"/>
            <w:bottom w:w="0" w:type="dxa"/>
            <w:right w:w="108" w:type="dxa"/>
          </w:tblCellMar>
        </w:tblPrEx>
        <w:trPr>
          <w:trHeight w:val="838" w:hRule="atLeast"/>
          <w:jc w:val="center"/>
        </w:trPr>
        <w:tc>
          <w:tcPr>
            <w:tcW w:w="1202" w:type="dxa"/>
            <w:vMerge w:val="continue"/>
            <w:tcBorders>
              <w:left w:val="single" w:color="000000" w:sz="4" w:space="0"/>
              <w:right w:val="single" w:color="000000" w:sz="4" w:space="0"/>
            </w:tcBorders>
            <w:vAlign w:val="center"/>
          </w:tcPr>
          <w:p>
            <w:pPr>
              <w:spacing w:beforeAutospacing="0" w:afterAutospacing="0" w:line="360" w:lineRule="auto"/>
              <w:jc w:val="center"/>
              <w:rPr>
                <w:rFonts w:hint="eastAsia"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财务状况良好</w:t>
            </w:r>
          </w:p>
        </w:tc>
        <w:tc>
          <w:tcPr>
            <w:tcW w:w="6060" w:type="dxa"/>
            <w:tcBorders>
              <w:top w:val="single" w:color="000000" w:sz="4" w:space="0"/>
              <w:left w:val="nil"/>
              <w:bottom w:val="single" w:color="000000" w:sz="4" w:space="0"/>
              <w:right w:val="single" w:color="000000" w:sz="4" w:space="0"/>
            </w:tcBorders>
            <w:vAlign w:val="center"/>
          </w:tcPr>
          <w:p>
            <w:pPr>
              <w:tabs>
                <w:tab w:val="left" w:pos="712"/>
              </w:tabs>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bCs/>
                <w:color w:val="auto"/>
                <w:sz w:val="24"/>
                <w:szCs w:val="21"/>
                <w:highlight w:val="none"/>
                <w:lang w:val="en-US" w:eastAsia="zh-CN"/>
              </w:rPr>
              <w:t>具有良好的商业信誉和健全的财务会计制度，提供近三年任意一年度财务审计报告（成立不足一年，可以提供近期财务报表）；</w:t>
            </w:r>
          </w:p>
        </w:tc>
      </w:tr>
      <w:tr>
        <w:tblPrEx>
          <w:tblCellMar>
            <w:top w:w="0" w:type="dxa"/>
            <w:left w:w="108" w:type="dxa"/>
            <w:bottom w:w="0" w:type="dxa"/>
            <w:right w:w="108" w:type="dxa"/>
          </w:tblCellMar>
        </w:tblPrEx>
        <w:trPr>
          <w:trHeight w:val="2911" w:hRule="atLeast"/>
          <w:jc w:val="center"/>
        </w:trPr>
        <w:tc>
          <w:tcPr>
            <w:tcW w:w="1202" w:type="dxa"/>
            <w:vMerge w:val="continue"/>
            <w:tcBorders>
              <w:left w:val="single" w:color="000000" w:sz="4" w:space="0"/>
              <w:right w:val="single" w:color="000000" w:sz="4" w:space="0"/>
            </w:tcBorders>
            <w:vAlign w:val="center"/>
          </w:tcPr>
          <w:p>
            <w:pPr>
              <w:jc w:val="center"/>
              <w:rPr>
                <w:rFonts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pPr>
              <w:spacing w:beforeAutospacing="0" w:afterAutospacing="0" w:line="273"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税收及社会保险</w:t>
            </w:r>
          </w:p>
        </w:tc>
        <w:tc>
          <w:tcPr>
            <w:tcW w:w="6060"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rPr>
                <w:rFonts w:hint="eastAsia" w:ascii="宋体" w:hAnsi="宋体" w:eastAsia="宋体"/>
                <w:bCs/>
                <w:color w:val="auto"/>
                <w:sz w:val="24"/>
                <w:szCs w:val="21"/>
                <w:highlight w:val="none"/>
              </w:rPr>
            </w:pPr>
            <w:r>
              <w:rPr>
                <w:rFonts w:hint="eastAsia"/>
                <w:bCs/>
                <w:color w:val="auto"/>
                <w:sz w:val="24"/>
                <w:szCs w:val="24"/>
                <w:highlight w:val="none"/>
                <w:lang w:val="en-US"/>
              </w:rPr>
              <w:t>须提供企业近半年任意连续三个月依法缴纳税收的证明资料（新成立的企业从成立之日起计算）主要是指缴纳增值税或企业所得税或企业附加税的缴费证明，依法免税的投标响应人，应提供相应文件证明其依法免税；同时需提供</w:t>
            </w:r>
            <w:r>
              <w:rPr>
                <w:rFonts w:hint="eastAsia" w:asciiTheme="minorEastAsia" w:hAnsiTheme="minorEastAsia" w:eastAsiaTheme="minorEastAsia" w:cstheme="minorEastAsia"/>
                <w:bCs/>
                <w:color w:val="auto"/>
                <w:sz w:val="24"/>
                <w:szCs w:val="24"/>
                <w:highlight w:val="none"/>
              </w:rPr>
              <w:t>项目负责人</w:t>
            </w:r>
            <w:r>
              <w:rPr>
                <w:rFonts w:hint="eastAsia"/>
                <w:bCs/>
                <w:color w:val="auto"/>
                <w:sz w:val="24"/>
                <w:szCs w:val="24"/>
                <w:highlight w:val="none"/>
                <w:lang w:val="en-US"/>
              </w:rPr>
              <w:t>近半年任意连续三个月参加社会养老保险的缴费证明（新成立企业从成立之日起计算）；</w:t>
            </w:r>
          </w:p>
        </w:tc>
      </w:tr>
      <w:tr>
        <w:tblPrEx>
          <w:tblCellMar>
            <w:top w:w="0" w:type="dxa"/>
            <w:left w:w="108" w:type="dxa"/>
            <w:bottom w:w="0" w:type="dxa"/>
            <w:right w:w="108" w:type="dxa"/>
          </w:tblCellMar>
        </w:tblPrEx>
        <w:trPr>
          <w:trHeight w:val="1396" w:hRule="atLeast"/>
          <w:jc w:val="center"/>
        </w:trPr>
        <w:tc>
          <w:tcPr>
            <w:tcW w:w="1202" w:type="dxa"/>
            <w:vMerge w:val="continue"/>
            <w:tcBorders>
              <w:left w:val="single" w:color="000000" w:sz="4" w:space="0"/>
              <w:right w:val="single" w:color="000000" w:sz="4" w:space="0"/>
            </w:tcBorders>
            <w:vAlign w:val="center"/>
          </w:tcPr>
          <w:p>
            <w:pPr>
              <w:jc w:val="center"/>
              <w:rPr>
                <w:rFonts w:ascii="宋体" w:hAnsi="宋体" w:eastAsia="宋体"/>
                <w:color w:val="auto"/>
                <w:sz w:val="24"/>
                <w:szCs w:val="24"/>
                <w:highlight w:val="none"/>
              </w:rPr>
            </w:pPr>
          </w:p>
        </w:tc>
        <w:tc>
          <w:tcPr>
            <w:tcW w:w="2176" w:type="dxa"/>
            <w:tcBorders>
              <w:top w:val="single" w:color="000000" w:sz="4" w:space="0"/>
              <w:left w:val="nil"/>
              <w:right w:val="single" w:color="000000" w:sz="4" w:space="0"/>
            </w:tcBorders>
            <w:vAlign w:val="center"/>
          </w:tcPr>
          <w:p>
            <w:pPr>
              <w:spacing w:beforeAutospacing="0" w:afterAutospacing="0" w:line="273"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无行贿犯罪记录、商业贿赂、不正当竞争行为、骗取中标、严重违约及重大工程质量等问题</w:t>
            </w:r>
          </w:p>
        </w:tc>
        <w:tc>
          <w:tcPr>
            <w:tcW w:w="6060"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rPr>
                <w:rFonts w:hint="eastAsia"/>
                <w:bCs/>
                <w:color w:val="auto"/>
                <w:sz w:val="24"/>
                <w:szCs w:val="24"/>
                <w:highlight w:val="none"/>
                <w:lang w:val="en-US"/>
              </w:rPr>
            </w:pPr>
            <w:r>
              <w:rPr>
                <w:rFonts w:hint="eastAsia"/>
                <w:bCs/>
                <w:color w:val="auto"/>
                <w:sz w:val="24"/>
                <w:szCs w:val="24"/>
                <w:highlight w:val="none"/>
                <w:lang w:val="en-US"/>
              </w:rPr>
              <w:t>参加政府采购活动前3年内无行贿犯罪记录商业贿赂、不正当竞争行为、骗取中标、严重违约及重大工程质量等问题；开标时提供投标企业出具无行贿犯罪记录在中国裁判文书网自行查询或自行承诺（查询对象为企业、法定代表人）及企业注册地工商管理部门出具的无商业贿赂和不正当竞争证明（开具时间在有效期内），若当地工商管理部门不办理此项业务，供应商须自行出具本企业无商业贿赂和不正当竞争行为承诺书；</w:t>
            </w:r>
          </w:p>
        </w:tc>
      </w:tr>
      <w:tr>
        <w:tblPrEx>
          <w:tblCellMar>
            <w:top w:w="0" w:type="dxa"/>
            <w:left w:w="108" w:type="dxa"/>
            <w:bottom w:w="0" w:type="dxa"/>
            <w:right w:w="108" w:type="dxa"/>
          </w:tblCellMar>
        </w:tblPrEx>
        <w:trPr>
          <w:trHeight w:val="4154" w:hRule="atLeast"/>
          <w:jc w:val="center"/>
        </w:trPr>
        <w:tc>
          <w:tcPr>
            <w:tcW w:w="1202" w:type="dxa"/>
            <w:vMerge w:val="restart"/>
            <w:tcBorders>
              <w:left w:val="single" w:color="000000" w:sz="4" w:space="0"/>
              <w:right w:val="single" w:color="000000" w:sz="4" w:space="0"/>
            </w:tcBorders>
            <w:vAlign w:val="center"/>
          </w:tcPr>
          <w:p>
            <w:pPr>
              <w:jc w:val="center"/>
              <w:rPr>
                <w:rFonts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pPr>
              <w:spacing w:beforeAutospacing="0" w:afterAutospacing="0" w:line="273"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信用中国</w:t>
            </w:r>
          </w:p>
        </w:tc>
        <w:tc>
          <w:tcPr>
            <w:tcW w:w="6060" w:type="dxa"/>
            <w:tcBorders>
              <w:top w:val="single" w:color="000000" w:sz="4" w:space="0"/>
              <w:left w:val="nil"/>
              <w:bottom w:val="single" w:color="000000" w:sz="4" w:space="0"/>
              <w:right w:val="single" w:color="000000" w:sz="4" w:space="0"/>
            </w:tcBorders>
            <w:vAlign w:val="center"/>
          </w:tcPr>
          <w:p>
            <w:pPr>
              <w:spacing w:beforeAutospacing="0" w:afterAutospacing="0" w:line="360" w:lineRule="auto"/>
              <w:rPr>
                <w:rFonts w:hint="eastAsia"/>
                <w:bCs/>
                <w:color w:val="auto"/>
                <w:sz w:val="24"/>
                <w:szCs w:val="24"/>
                <w:highlight w:val="none"/>
                <w:lang w:val="en-US"/>
              </w:rPr>
            </w:pPr>
            <w:r>
              <w:rPr>
                <w:rFonts w:hint="eastAsia" w:ascii="宋体" w:hAnsi="宋体" w:eastAsia="宋体"/>
                <w:bCs/>
                <w:color w:val="auto"/>
                <w:sz w:val="24"/>
                <w:szCs w:val="21"/>
                <w:highlight w:val="none"/>
                <w:lang w:val="en-US" w:eastAsia="zh-CN"/>
              </w:rPr>
              <w:t>根据《关于在政府采购活动中查询及使用信用记录有关问题的通知》(财库[2016]125</w:t>
            </w:r>
            <w:r>
              <w:rPr>
                <w:rFonts w:hint="eastAsia"/>
                <w:b w:val="0"/>
                <w:bCs/>
                <w:color w:val="auto"/>
                <w:sz w:val="24"/>
                <w:szCs w:val="24"/>
                <w:highlight w:val="none"/>
              </w:rPr>
              <w:t>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信息截图或打印页，查询结果清晰可见)；</w:t>
            </w:r>
          </w:p>
        </w:tc>
      </w:tr>
      <w:tr>
        <w:tblPrEx>
          <w:tblCellMar>
            <w:top w:w="0" w:type="dxa"/>
            <w:left w:w="108" w:type="dxa"/>
            <w:bottom w:w="0" w:type="dxa"/>
            <w:right w:w="108" w:type="dxa"/>
          </w:tblCellMar>
        </w:tblPrEx>
        <w:trPr>
          <w:trHeight w:val="895" w:hRule="atLeast"/>
          <w:jc w:val="center"/>
        </w:trPr>
        <w:tc>
          <w:tcPr>
            <w:tcW w:w="1202" w:type="dxa"/>
            <w:vMerge w:val="continue"/>
            <w:tcBorders>
              <w:left w:val="single" w:color="000000" w:sz="4" w:space="0"/>
              <w:bottom w:val="single" w:color="auto" w:sz="4" w:space="0"/>
              <w:right w:val="single" w:color="000000" w:sz="4" w:space="0"/>
            </w:tcBorders>
            <w:vAlign w:val="center"/>
          </w:tcPr>
          <w:p>
            <w:pPr>
              <w:jc w:val="center"/>
              <w:rPr>
                <w:rFonts w:ascii="宋体" w:hAnsi="宋体" w:eastAsia="宋体"/>
                <w:color w:val="auto"/>
                <w:sz w:val="24"/>
                <w:szCs w:val="24"/>
                <w:highlight w:val="none"/>
              </w:rPr>
            </w:pPr>
          </w:p>
        </w:tc>
        <w:tc>
          <w:tcPr>
            <w:tcW w:w="217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beforeAutospacing="0" w:afterAutospacing="0" w:line="360" w:lineRule="auto"/>
              <w:jc w:val="center"/>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其它</w:t>
            </w:r>
          </w:p>
        </w:tc>
        <w:tc>
          <w:tcPr>
            <w:tcW w:w="6060" w:type="dxa"/>
            <w:tcBorders>
              <w:top w:val="single" w:color="000000" w:sz="4" w:space="0"/>
              <w:left w:val="nil"/>
              <w:bottom w:val="single" w:color="000000" w:sz="4" w:space="0"/>
              <w:right w:val="single" w:color="000000" w:sz="4" w:space="0"/>
            </w:tcBorders>
            <w:vAlign w:val="center"/>
          </w:tcPr>
          <w:p>
            <w:pPr>
              <w:snapToGrid w:val="0"/>
              <w:spacing w:line="500" w:lineRule="exact"/>
              <w:jc w:val="both"/>
              <w:textAlignment w:val="baseline"/>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本项目不接受联合体参加投标；</w:t>
            </w:r>
          </w:p>
          <w:p>
            <w:pPr>
              <w:snapToGrid w:val="0"/>
              <w:spacing w:line="500" w:lineRule="exact"/>
              <w:jc w:val="both"/>
              <w:textAlignment w:val="baseline"/>
              <w:rPr>
                <w:rFonts w:hint="default" w:ascii="宋体" w:hAnsi="宋体" w:eastAsia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本项目磋商实行资格后审。</w:t>
            </w:r>
            <w:r>
              <w:rPr>
                <w:rFonts w:hint="eastAsia" w:asciiTheme="minorEastAsia" w:hAnsiTheme="minorEastAsia" w:eastAsiaTheme="minorEastAsia" w:cstheme="minorEastAsia"/>
                <w:bCs/>
                <w:color w:val="auto"/>
                <w:sz w:val="24"/>
                <w:szCs w:val="24"/>
                <w:highlight w:val="none"/>
                <w:lang w:val="en-US" w:eastAsia="zh-CN"/>
              </w:rPr>
              <w:t xml:space="preserve">           </w:t>
            </w:r>
          </w:p>
        </w:tc>
      </w:tr>
      <w:tr>
        <w:tblPrEx>
          <w:tblCellMar>
            <w:top w:w="0" w:type="dxa"/>
            <w:left w:w="108" w:type="dxa"/>
            <w:bottom w:w="0" w:type="dxa"/>
            <w:right w:w="108" w:type="dxa"/>
          </w:tblCellMar>
        </w:tblPrEx>
        <w:trPr>
          <w:trHeight w:val="613" w:hRule="atLeast"/>
          <w:jc w:val="center"/>
        </w:trPr>
        <w:tc>
          <w:tcPr>
            <w:tcW w:w="1202" w:type="dxa"/>
            <w:vMerge w:val="restart"/>
            <w:tcBorders>
              <w:top w:val="single" w:color="auto" w:sz="4" w:space="0"/>
              <w:left w:val="single" w:color="auto" w:sz="4" w:space="0"/>
              <w:right w:val="single" w:color="auto" w:sz="4" w:space="0"/>
            </w:tcBorders>
            <w:vAlign w:val="center"/>
          </w:tcPr>
          <w:p>
            <w:pPr>
              <w:jc w:val="both"/>
              <w:rPr>
                <w:rFonts w:ascii="宋体" w:hAnsi="宋体" w:eastAsia="宋体"/>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响应性评审标准</w:t>
            </w:r>
          </w:p>
        </w:tc>
        <w:tc>
          <w:tcPr>
            <w:tcW w:w="2176" w:type="dxa"/>
            <w:tcBorders>
              <w:top w:val="single" w:color="000000" w:sz="4" w:space="0"/>
              <w:left w:val="single" w:color="auto" w:sz="4" w:space="0"/>
              <w:bottom w:val="single" w:color="000000" w:sz="4" w:space="0"/>
              <w:right w:val="single" w:color="000000" w:sz="4" w:space="0"/>
            </w:tcBorders>
            <w:vAlign w:val="center"/>
          </w:tcPr>
          <w:p>
            <w:pPr>
              <w:widowControl w:val="0"/>
              <w:spacing w:line="500" w:lineRule="exact"/>
              <w:jc w:val="center"/>
              <w:rPr>
                <w:rFonts w:hint="eastAsia" w:ascii="宋体" w:hAnsi="宋体"/>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服务内容</w:t>
            </w:r>
          </w:p>
        </w:tc>
        <w:tc>
          <w:tcPr>
            <w:tcW w:w="6060" w:type="dxa"/>
            <w:tcBorders>
              <w:top w:val="single" w:color="000000" w:sz="4" w:space="0"/>
              <w:left w:val="nil"/>
              <w:bottom w:val="single" w:color="000000" w:sz="4" w:space="0"/>
              <w:right w:val="single" w:color="000000" w:sz="4" w:space="0"/>
            </w:tcBorders>
            <w:vAlign w:val="center"/>
          </w:tcPr>
          <w:p>
            <w:pPr>
              <w:widowControl w:val="0"/>
              <w:spacing w:line="500" w:lineRule="exact"/>
              <w:jc w:val="both"/>
              <w:rPr>
                <w:rFonts w:hint="eastAsia" w:asciiTheme="minorEastAsia" w:hAnsiTheme="minorEastAsia" w:eastAsiaTheme="minorEastAsia" w:cstheme="minorEastAsia"/>
                <w:bCs/>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tblPrEx>
          <w:tblCellMar>
            <w:top w:w="0" w:type="dxa"/>
            <w:left w:w="108" w:type="dxa"/>
            <w:bottom w:w="0" w:type="dxa"/>
            <w:right w:w="108" w:type="dxa"/>
          </w:tblCellMar>
        </w:tblPrEx>
        <w:trPr>
          <w:trHeight w:val="613" w:hRule="atLeast"/>
          <w:jc w:val="center"/>
        </w:trPr>
        <w:tc>
          <w:tcPr>
            <w:tcW w:w="1202" w:type="dxa"/>
            <w:vMerge w:val="continue"/>
            <w:tcBorders>
              <w:left w:val="single" w:color="auto" w:sz="4" w:space="0"/>
              <w:right w:val="single" w:color="auto" w:sz="4" w:space="0"/>
            </w:tcBorders>
            <w:vAlign w:val="center"/>
          </w:tcPr>
          <w:p>
            <w:pPr>
              <w:jc w:val="both"/>
              <w:rPr>
                <w:rFonts w:ascii="宋体" w:hAnsi="宋体" w:eastAsia="宋体"/>
                <w:color w:val="auto"/>
                <w:sz w:val="24"/>
                <w:szCs w:val="24"/>
                <w:highlight w:val="none"/>
              </w:rPr>
            </w:pPr>
          </w:p>
        </w:tc>
        <w:tc>
          <w:tcPr>
            <w:tcW w:w="2176" w:type="dxa"/>
            <w:tcBorders>
              <w:top w:val="single" w:color="000000" w:sz="4" w:space="0"/>
              <w:left w:val="single" w:color="auto" w:sz="4" w:space="0"/>
              <w:bottom w:val="single" w:color="000000" w:sz="4" w:space="0"/>
              <w:right w:val="single" w:color="000000" w:sz="4" w:space="0"/>
            </w:tcBorders>
            <w:vAlign w:val="center"/>
          </w:tcPr>
          <w:p>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服务周期</w:t>
            </w:r>
          </w:p>
        </w:tc>
        <w:tc>
          <w:tcPr>
            <w:tcW w:w="6060" w:type="dxa"/>
            <w:tcBorders>
              <w:top w:val="single" w:color="000000" w:sz="4" w:space="0"/>
              <w:left w:val="nil"/>
              <w:bottom w:val="single" w:color="000000" w:sz="4" w:space="0"/>
              <w:right w:val="single" w:color="000000" w:sz="4" w:space="0"/>
            </w:tcBorders>
            <w:vAlign w:val="center"/>
          </w:tcPr>
          <w:p>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tblPrEx>
          <w:tblCellMar>
            <w:top w:w="0" w:type="dxa"/>
            <w:left w:w="108" w:type="dxa"/>
            <w:bottom w:w="0" w:type="dxa"/>
            <w:right w:w="108" w:type="dxa"/>
          </w:tblCellMar>
        </w:tblPrEx>
        <w:trPr>
          <w:trHeight w:val="613" w:hRule="atLeast"/>
          <w:jc w:val="center"/>
        </w:trPr>
        <w:tc>
          <w:tcPr>
            <w:tcW w:w="1202" w:type="dxa"/>
            <w:vMerge w:val="continue"/>
            <w:tcBorders>
              <w:left w:val="single" w:color="auto" w:sz="4" w:space="0"/>
              <w:right w:val="single" w:color="auto" w:sz="4" w:space="0"/>
            </w:tcBorders>
            <w:vAlign w:val="center"/>
          </w:tcPr>
          <w:p>
            <w:pPr>
              <w:jc w:val="both"/>
              <w:rPr>
                <w:rFonts w:ascii="宋体" w:hAnsi="宋体" w:eastAsia="宋体"/>
                <w:color w:val="auto"/>
                <w:sz w:val="24"/>
                <w:szCs w:val="24"/>
                <w:highlight w:val="none"/>
              </w:rPr>
            </w:pPr>
          </w:p>
        </w:tc>
        <w:tc>
          <w:tcPr>
            <w:tcW w:w="2176" w:type="dxa"/>
            <w:tcBorders>
              <w:top w:val="single" w:color="000000" w:sz="4" w:space="0"/>
              <w:left w:val="single" w:color="auto" w:sz="4" w:space="0"/>
              <w:bottom w:val="single" w:color="000000" w:sz="4" w:space="0"/>
              <w:right w:val="single" w:color="000000" w:sz="4" w:space="0"/>
            </w:tcBorders>
            <w:vAlign w:val="center"/>
          </w:tcPr>
          <w:p>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质量要求</w:t>
            </w:r>
          </w:p>
        </w:tc>
        <w:tc>
          <w:tcPr>
            <w:tcW w:w="6060" w:type="dxa"/>
            <w:tcBorders>
              <w:top w:val="single" w:color="000000" w:sz="4" w:space="0"/>
              <w:left w:val="nil"/>
              <w:bottom w:val="single" w:color="000000" w:sz="4" w:space="0"/>
              <w:right w:val="single" w:color="000000" w:sz="4" w:space="0"/>
            </w:tcBorders>
            <w:vAlign w:val="center"/>
          </w:tcPr>
          <w:p>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tblPrEx>
          <w:tblCellMar>
            <w:top w:w="0" w:type="dxa"/>
            <w:left w:w="108" w:type="dxa"/>
            <w:bottom w:w="0" w:type="dxa"/>
            <w:right w:w="108" w:type="dxa"/>
          </w:tblCellMar>
        </w:tblPrEx>
        <w:trPr>
          <w:trHeight w:val="613" w:hRule="atLeast"/>
          <w:jc w:val="center"/>
        </w:trPr>
        <w:tc>
          <w:tcPr>
            <w:tcW w:w="1202" w:type="dxa"/>
            <w:vMerge w:val="continue"/>
            <w:tcBorders>
              <w:left w:val="single" w:color="auto" w:sz="4" w:space="0"/>
              <w:right w:val="single" w:color="auto" w:sz="4" w:space="0"/>
            </w:tcBorders>
            <w:vAlign w:val="center"/>
          </w:tcPr>
          <w:p>
            <w:pPr>
              <w:jc w:val="both"/>
              <w:rPr>
                <w:rFonts w:ascii="宋体" w:hAnsi="宋体" w:eastAsia="宋体"/>
                <w:color w:val="auto"/>
                <w:sz w:val="24"/>
                <w:szCs w:val="24"/>
                <w:highlight w:val="none"/>
              </w:rPr>
            </w:pPr>
          </w:p>
        </w:tc>
        <w:tc>
          <w:tcPr>
            <w:tcW w:w="2176" w:type="dxa"/>
            <w:tcBorders>
              <w:top w:val="single" w:color="000000" w:sz="4" w:space="0"/>
              <w:left w:val="single" w:color="auto" w:sz="4" w:space="0"/>
              <w:bottom w:val="single" w:color="000000" w:sz="4" w:space="0"/>
              <w:right w:val="single" w:color="000000" w:sz="4" w:space="0"/>
            </w:tcBorders>
            <w:vAlign w:val="center"/>
          </w:tcPr>
          <w:p>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磋商有效期</w:t>
            </w:r>
          </w:p>
        </w:tc>
        <w:tc>
          <w:tcPr>
            <w:tcW w:w="6060" w:type="dxa"/>
            <w:tcBorders>
              <w:top w:val="single" w:color="000000" w:sz="4" w:space="0"/>
              <w:left w:val="nil"/>
              <w:bottom w:val="single" w:color="000000" w:sz="4" w:space="0"/>
              <w:right w:val="single" w:color="000000" w:sz="4" w:space="0"/>
            </w:tcBorders>
            <w:vAlign w:val="center"/>
          </w:tcPr>
          <w:p>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tblPrEx>
          <w:tblCellMar>
            <w:top w:w="0" w:type="dxa"/>
            <w:left w:w="108" w:type="dxa"/>
            <w:bottom w:w="0" w:type="dxa"/>
            <w:right w:w="108" w:type="dxa"/>
          </w:tblCellMar>
        </w:tblPrEx>
        <w:trPr>
          <w:trHeight w:val="621" w:hRule="atLeast"/>
          <w:jc w:val="center"/>
        </w:trPr>
        <w:tc>
          <w:tcPr>
            <w:tcW w:w="1202" w:type="dxa"/>
            <w:vMerge w:val="continue"/>
            <w:tcBorders>
              <w:left w:val="single" w:color="auto" w:sz="4" w:space="0"/>
              <w:bottom w:val="single" w:color="auto" w:sz="4" w:space="0"/>
              <w:right w:val="single" w:color="auto" w:sz="4" w:space="0"/>
            </w:tcBorders>
            <w:vAlign w:val="center"/>
          </w:tcPr>
          <w:p>
            <w:pPr>
              <w:jc w:val="both"/>
              <w:rPr>
                <w:rFonts w:ascii="宋体" w:hAnsi="宋体" w:eastAsia="宋体"/>
                <w:color w:val="auto"/>
                <w:sz w:val="24"/>
                <w:szCs w:val="24"/>
                <w:highlight w:val="none"/>
              </w:rPr>
            </w:pPr>
          </w:p>
        </w:tc>
        <w:tc>
          <w:tcPr>
            <w:tcW w:w="2176" w:type="dxa"/>
            <w:tcBorders>
              <w:top w:val="single" w:color="000000" w:sz="4" w:space="0"/>
              <w:left w:val="single" w:color="auto" w:sz="4" w:space="0"/>
              <w:bottom w:val="single" w:color="000000" w:sz="4" w:space="0"/>
              <w:right w:val="single" w:color="000000" w:sz="4" w:space="0"/>
            </w:tcBorders>
            <w:vAlign w:val="center"/>
          </w:tcPr>
          <w:p>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磋商报价</w:t>
            </w:r>
          </w:p>
        </w:tc>
        <w:tc>
          <w:tcPr>
            <w:tcW w:w="6060" w:type="dxa"/>
            <w:tcBorders>
              <w:top w:val="single" w:color="000000" w:sz="4" w:space="0"/>
              <w:left w:val="nil"/>
              <w:bottom w:val="single" w:color="000000" w:sz="4" w:space="0"/>
              <w:right w:val="single" w:color="000000" w:sz="4" w:space="0"/>
            </w:tcBorders>
            <w:vAlign w:val="center"/>
          </w:tcPr>
          <w:p>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磋商供应商的报价不能超出磋商预算价</w:t>
            </w:r>
          </w:p>
        </w:tc>
      </w:tr>
    </w:tbl>
    <w:p>
      <w:pPr>
        <w:rPr>
          <w:rFonts w:ascii="Times New Roman" w:hAnsi="Times New Roman" w:eastAsia="宋体"/>
          <w:vanish/>
          <w:color w:val="auto"/>
          <w:szCs w:val="20"/>
          <w:highlight w:val="none"/>
        </w:rPr>
      </w:pPr>
    </w:p>
    <w:p>
      <w:pPr>
        <w:spacing w:beforeAutospacing="0" w:afterAutospacing="0" w:line="360" w:lineRule="auto"/>
        <w:ind w:firstLine="562" w:firstLineChars="200"/>
        <w:jc w:val="center"/>
        <w:rPr>
          <w:rFonts w:ascii="宋体" w:hAnsi="宋体" w:eastAsia="宋体"/>
          <w:b/>
          <w:bCs/>
          <w:color w:val="auto"/>
          <w:sz w:val="28"/>
          <w:szCs w:val="28"/>
          <w:highlight w:val="none"/>
        </w:rPr>
      </w:pPr>
    </w:p>
    <w:p>
      <w:pPr>
        <w:spacing w:beforeAutospacing="0" w:afterAutospacing="0" w:line="360" w:lineRule="auto"/>
        <w:ind w:firstLine="562" w:firstLineChars="200"/>
        <w:jc w:val="center"/>
        <w:rPr>
          <w:rFonts w:ascii="宋体" w:hAnsi="宋体" w:eastAsia="宋体"/>
          <w:b/>
          <w:bCs/>
          <w:color w:val="auto"/>
          <w:sz w:val="28"/>
          <w:szCs w:val="28"/>
          <w:highlight w:val="none"/>
        </w:rPr>
      </w:pPr>
    </w:p>
    <w:p>
      <w:pPr>
        <w:spacing w:line="600" w:lineRule="exact"/>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4.评分标准</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 w:firstLineChars="200"/>
        <w:textAlignment w:val="auto"/>
        <w:rPr>
          <w:rFonts w:ascii="宋体" w:hAnsi="宋体" w:eastAsia="宋体"/>
          <w:bCs/>
          <w:color w:val="auto"/>
          <w:kern w:val="0"/>
          <w:sz w:val="24"/>
          <w:szCs w:val="28"/>
          <w:highlight w:val="none"/>
        </w:rPr>
      </w:pPr>
      <w:r>
        <w:rPr>
          <w:rFonts w:hint="eastAsia" w:ascii="宋体" w:hAnsi="宋体"/>
          <w:bCs/>
          <w:color w:val="auto"/>
          <w:kern w:val="0"/>
          <w:sz w:val="24"/>
          <w:szCs w:val="28"/>
          <w:highlight w:val="none"/>
          <w:lang w:val="en-US" w:eastAsia="zh-CN"/>
        </w:rPr>
        <w:t>1、</w:t>
      </w:r>
      <w:r>
        <w:rPr>
          <w:rFonts w:ascii="宋体" w:hAnsi="宋体" w:eastAsia="宋体"/>
          <w:bCs/>
          <w:color w:val="auto"/>
          <w:kern w:val="0"/>
          <w:sz w:val="24"/>
          <w:szCs w:val="28"/>
          <w:highlight w:val="none"/>
        </w:rPr>
        <w:t>本次招标采用综合评分法评标，评标因素和所占权重为：</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92"/>
        <w:gridCol w:w="1741"/>
        <w:gridCol w:w="5772"/>
        <w:gridCol w:w="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76" w:hRule="atLeast"/>
          <w:jc w:val="center"/>
        </w:trPr>
        <w:tc>
          <w:tcPr>
            <w:tcW w:w="1292" w:type="dxa"/>
            <w:shd w:val="clear" w:color="auto" w:fill="FFFFFF"/>
            <w:vAlign w:val="center"/>
          </w:tcPr>
          <w:p>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评分</w:t>
            </w:r>
          </w:p>
          <w:p>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因素</w:t>
            </w:r>
          </w:p>
        </w:tc>
        <w:tc>
          <w:tcPr>
            <w:tcW w:w="1741" w:type="dxa"/>
            <w:shd w:val="clear" w:color="auto" w:fill="FFFFFF"/>
            <w:vAlign w:val="center"/>
          </w:tcPr>
          <w:p>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评分内容</w:t>
            </w:r>
          </w:p>
        </w:tc>
        <w:tc>
          <w:tcPr>
            <w:tcW w:w="5772" w:type="dxa"/>
            <w:shd w:val="clear" w:color="auto" w:fill="FFFFFF"/>
            <w:vAlign w:val="center"/>
          </w:tcPr>
          <w:p>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评分标准</w:t>
            </w:r>
          </w:p>
        </w:tc>
        <w:tc>
          <w:tcPr>
            <w:tcW w:w="951" w:type="dxa"/>
            <w:shd w:val="clear" w:color="auto" w:fill="FFFFFF"/>
            <w:vAlign w:val="center"/>
          </w:tcPr>
          <w:p>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1292" w:type="dxa"/>
            <w:shd w:val="clear" w:color="auto" w:fill="FFFFFF"/>
            <w:vAlign w:val="center"/>
          </w:tcPr>
          <w:p>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报价</w:t>
            </w:r>
          </w:p>
          <w:p>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w:t>
            </w:r>
            <w:r>
              <w:rPr>
                <w:rFonts w:hint="eastAsia" w:ascii="宋体" w:hAnsi="宋体"/>
                <w:bCs/>
                <w:color w:val="auto"/>
                <w:kern w:val="0"/>
                <w:sz w:val="24"/>
                <w:szCs w:val="24"/>
                <w:highlight w:val="none"/>
                <w:lang w:val="en-US" w:eastAsia="zh-CN"/>
              </w:rPr>
              <w:t>20</w:t>
            </w:r>
            <w:r>
              <w:rPr>
                <w:rFonts w:hint="eastAsia" w:ascii="宋体" w:hAnsi="宋体" w:eastAsia="宋体"/>
                <w:bCs/>
                <w:color w:val="auto"/>
                <w:kern w:val="0"/>
                <w:sz w:val="24"/>
                <w:szCs w:val="24"/>
                <w:highlight w:val="none"/>
              </w:rPr>
              <w:t>分)</w:t>
            </w:r>
          </w:p>
        </w:tc>
        <w:tc>
          <w:tcPr>
            <w:tcW w:w="1741" w:type="dxa"/>
            <w:shd w:val="clear" w:color="auto" w:fill="FFFFFF"/>
            <w:vAlign w:val="center"/>
          </w:tcPr>
          <w:p>
            <w:pPr>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磋商报价的评审（</w:t>
            </w:r>
            <w:r>
              <w:rPr>
                <w:rFonts w:hint="eastAsia" w:ascii="宋体" w:hAnsi="宋体" w:eastAsia="宋体"/>
                <w:bCs/>
                <w:color w:val="auto"/>
                <w:kern w:val="0"/>
                <w:sz w:val="24"/>
                <w:szCs w:val="24"/>
                <w:highlight w:val="none"/>
                <w:lang w:val="en-US" w:eastAsia="zh-CN"/>
              </w:rPr>
              <w:t>2</w:t>
            </w:r>
            <w:r>
              <w:rPr>
                <w:rFonts w:hint="eastAsia" w:ascii="宋体" w:hAnsi="宋体" w:eastAsia="宋体"/>
                <w:bCs/>
                <w:color w:val="auto"/>
                <w:kern w:val="0"/>
                <w:sz w:val="24"/>
                <w:szCs w:val="24"/>
                <w:highlight w:val="none"/>
              </w:rPr>
              <w:t>0分）</w:t>
            </w:r>
          </w:p>
        </w:tc>
        <w:tc>
          <w:tcPr>
            <w:tcW w:w="5772" w:type="dxa"/>
            <w:shd w:val="clear" w:color="auto" w:fill="FFFFFF"/>
            <w:vAlign w:val="center"/>
          </w:tcPr>
          <w:p>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1、价格分采用低价优先法计算，即通过资格性和初步审查且第二轮投标价格最低的投标报价为评标基准价，其价格得分为满分20分。</w:t>
            </w:r>
          </w:p>
          <w:p>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其他投标供应商的价格分统一按照下列公式计算：</w:t>
            </w:r>
          </w:p>
          <w:p>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磋商报价得分＝（评标基准价/投标报价）×20×100％</w:t>
            </w:r>
          </w:p>
          <w:p>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2、价格扣除：（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投标供应商为大型企业的不适用本款规定。</w:t>
            </w:r>
          </w:p>
          <w:p>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3、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4、参加政府采购活动的残疾人福利性单位应当提供《残疾人福利性单位声明函》，未填写残疾人福利性单位声明函的在开标过程中不予认可。</w:t>
            </w:r>
          </w:p>
          <w:p>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5、同一投标供应商，中小微企业产品和监狱企业产品价格扣除优惠只享受一次，不得重复享受</w:t>
            </w:r>
          </w:p>
          <w:p>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例：所投中小微企业产品报价=所投中小微企业产品报价合计×【1-20%】</w:t>
            </w:r>
          </w:p>
          <w:p>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注：价格分计算保留小数点后二位。在评标过程中，磋商小组认为供应商的报价明显低于成本价或明显低于其他通过初步审查供应商的报价，有可能影响产品质量或者不能诚信履约的，磋商小组可向该供应商提出询问，要求其在评标现场合理的时间内提供书面说明，必要时提交相关证明材料；供应商不能证明其报价合理性及不能提供相关证明材料的，磋商小组认定该供应商以低于成本价恶意竞标，其投标做废标处理。</w:t>
            </w:r>
          </w:p>
          <w:p>
            <w:pP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lang w:val="en-US" w:eastAsia="zh-CN"/>
              </w:rPr>
              <w:t>6、超出采购人预算价的响应报价为无效报价。</w:t>
            </w:r>
          </w:p>
        </w:tc>
        <w:tc>
          <w:tcPr>
            <w:tcW w:w="951" w:type="dxa"/>
            <w:shd w:val="clear" w:color="auto" w:fill="FFFFFF"/>
            <w:vAlign w:val="center"/>
          </w:tcPr>
          <w:p>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0-</w:t>
            </w:r>
            <w:r>
              <w:rPr>
                <w:rFonts w:hint="eastAsia" w:ascii="宋体" w:hAnsi="宋体"/>
                <w:bCs/>
                <w:color w:val="auto"/>
                <w:kern w:val="0"/>
                <w:sz w:val="24"/>
                <w:szCs w:val="24"/>
                <w:highlight w:val="none"/>
                <w:lang w:val="en-US" w:eastAsia="zh-CN"/>
              </w:rPr>
              <w:t>20</w:t>
            </w:r>
            <w:r>
              <w:rPr>
                <w:rFonts w:hint="eastAsia" w:ascii="宋体" w:hAnsi="宋体" w:eastAsia="宋体"/>
                <w:bCs/>
                <w:color w:val="auto"/>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1292" w:type="dxa"/>
            <w:vMerge w:val="restart"/>
            <w:shd w:val="clear" w:color="auto" w:fill="FFFFFF"/>
            <w:vAlign w:val="center"/>
          </w:tcPr>
          <w:p>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技术</w:t>
            </w:r>
            <w:r>
              <w:rPr>
                <w:rFonts w:ascii="宋体" w:hAnsi="宋体"/>
                <w:bCs/>
                <w:color w:val="auto"/>
                <w:kern w:val="0"/>
                <w:sz w:val="24"/>
                <w:szCs w:val="24"/>
                <w:highlight w:val="none"/>
              </w:rPr>
              <w:br w:type="textWrapping"/>
            </w:r>
            <w:r>
              <w:rPr>
                <w:rFonts w:hint="eastAsia" w:ascii="宋体" w:hAnsi="宋体"/>
                <w:bCs/>
                <w:color w:val="auto"/>
                <w:kern w:val="0"/>
                <w:sz w:val="24"/>
                <w:szCs w:val="24"/>
                <w:highlight w:val="none"/>
              </w:rPr>
              <w:t>（</w:t>
            </w:r>
            <w:r>
              <w:rPr>
                <w:rFonts w:hint="eastAsia" w:ascii="宋体" w:hAnsi="宋体"/>
                <w:bCs/>
                <w:color w:val="auto"/>
                <w:kern w:val="0"/>
                <w:sz w:val="24"/>
                <w:szCs w:val="24"/>
                <w:highlight w:val="none"/>
                <w:lang w:val="en-US" w:eastAsia="zh-CN"/>
              </w:rPr>
              <w:t>45</w:t>
            </w:r>
            <w:r>
              <w:rPr>
                <w:rFonts w:hint="eastAsia" w:ascii="宋体" w:hAnsi="宋体"/>
                <w:bCs/>
                <w:color w:val="auto"/>
                <w:kern w:val="0"/>
                <w:sz w:val="24"/>
                <w:szCs w:val="24"/>
                <w:highlight w:val="none"/>
              </w:rPr>
              <w:t>分）</w:t>
            </w:r>
          </w:p>
        </w:tc>
        <w:tc>
          <w:tcPr>
            <w:tcW w:w="1741" w:type="dxa"/>
            <w:shd w:val="clear" w:color="auto" w:fill="FFFFFF"/>
            <w:vAlign w:val="center"/>
          </w:tcPr>
          <w:p>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服务方案</w:t>
            </w:r>
            <w:r>
              <w:rPr>
                <w:rFonts w:ascii="宋体" w:hAnsi="宋体"/>
                <w:bCs/>
                <w:color w:val="auto"/>
                <w:kern w:val="0"/>
                <w:sz w:val="24"/>
                <w:szCs w:val="24"/>
                <w:highlight w:val="none"/>
              </w:rPr>
              <w:br w:type="textWrapping"/>
            </w:r>
            <w:r>
              <w:rPr>
                <w:rFonts w:hint="eastAsia" w:ascii="宋体" w:hAnsi="宋体"/>
                <w:bCs/>
                <w:color w:val="auto"/>
                <w:kern w:val="0"/>
                <w:sz w:val="24"/>
                <w:szCs w:val="24"/>
                <w:highlight w:val="none"/>
              </w:rPr>
              <w:t>（</w:t>
            </w:r>
            <w:r>
              <w:rPr>
                <w:rFonts w:hint="eastAsia" w:ascii="宋体" w:hAnsi="宋体"/>
                <w:bCs/>
                <w:color w:val="auto"/>
                <w:kern w:val="0"/>
                <w:sz w:val="24"/>
                <w:szCs w:val="24"/>
                <w:highlight w:val="none"/>
                <w:lang w:val="en-US" w:eastAsia="zh-CN"/>
              </w:rPr>
              <w:t>15</w:t>
            </w:r>
            <w:r>
              <w:rPr>
                <w:rFonts w:hint="eastAsia" w:ascii="宋体" w:hAnsi="宋体"/>
                <w:bCs/>
                <w:color w:val="auto"/>
                <w:kern w:val="0"/>
                <w:sz w:val="24"/>
                <w:szCs w:val="24"/>
                <w:highlight w:val="none"/>
              </w:rPr>
              <w:t>分）</w:t>
            </w:r>
          </w:p>
        </w:tc>
        <w:tc>
          <w:tcPr>
            <w:tcW w:w="5772" w:type="dxa"/>
            <w:shd w:val="clear" w:color="auto" w:fill="FFFFFF"/>
            <w:vAlign w:val="center"/>
          </w:tcPr>
          <w:p>
            <w:pP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根据本项目采购需求，编写服务方案，方案完全符合要求，思路非常清晰完整，阐述详实具体，能够准确认识本项目工作的重点、难点，并进行分析，提出解决方案，方案内容全面清晰，具有很强的科学性，合理性和针对性的得</w:t>
            </w:r>
            <w:r>
              <w:rPr>
                <w:rFonts w:hint="eastAsia" w:ascii="宋体" w:hAnsi="宋体"/>
                <w:bCs/>
                <w:color w:val="auto"/>
                <w:kern w:val="0"/>
                <w:sz w:val="24"/>
                <w:szCs w:val="24"/>
                <w:highlight w:val="none"/>
                <w:lang w:val="en-US" w:eastAsia="zh-CN"/>
              </w:rPr>
              <w:t>15</w:t>
            </w:r>
            <w:r>
              <w:rPr>
                <w:rFonts w:hint="eastAsia" w:ascii="宋体" w:hAnsi="宋体"/>
                <w:bCs/>
                <w:color w:val="auto"/>
                <w:kern w:val="0"/>
                <w:sz w:val="24"/>
                <w:szCs w:val="24"/>
                <w:highlight w:val="none"/>
              </w:rPr>
              <w:t>分；方案内容一般，具有一定的科学性合理性和针对性得10分；方案不够全面清晰的得5分，</w:t>
            </w:r>
            <w:r>
              <w:rPr>
                <w:rFonts w:hint="eastAsia" w:ascii="宋体" w:hAnsi="宋体"/>
                <w:color w:val="auto"/>
                <w:sz w:val="24"/>
                <w:szCs w:val="24"/>
                <w:highlight w:val="none"/>
              </w:rPr>
              <w:t>方案内容差，不符合项目采购需求不得分。</w:t>
            </w:r>
          </w:p>
        </w:tc>
        <w:tc>
          <w:tcPr>
            <w:tcW w:w="951" w:type="dxa"/>
            <w:shd w:val="clear" w:color="auto" w:fill="FFFFFF"/>
            <w:vAlign w:val="center"/>
          </w:tcPr>
          <w:p>
            <w:pPr>
              <w:jc w:val="center"/>
              <w:rPr>
                <w:rFonts w:hint="default"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15</w:t>
            </w:r>
            <w:r>
              <w:rPr>
                <w:rFonts w:hint="eastAsia" w:ascii="宋体" w:hAnsi="宋体"/>
                <w:bCs/>
                <w:color w:val="auto"/>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1292" w:type="dxa"/>
            <w:vMerge w:val="continue"/>
            <w:shd w:val="clear" w:color="auto" w:fill="FFFFFF"/>
            <w:vAlign w:val="center"/>
          </w:tcPr>
          <w:p>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pPr>
              <w:jc w:val="cente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工作进度计划</w:t>
            </w:r>
          </w:p>
          <w:p>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lang w:val="en-US" w:eastAsia="zh-CN"/>
              </w:rPr>
              <w:t>(5分)</w:t>
            </w:r>
          </w:p>
        </w:tc>
        <w:tc>
          <w:tcPr>
            <w:tcW w:w="5772" w:type="dxa"/>
            <w:shd w:val="clear" w:color="auto" w:fill="FFFFFF"/>
            <w:vAlign w:val="center"/>
          </w:tcPr>
          <w:p>
            <w:pPr>
              <w:jc w:val="left"/>
              <w:rPr>
                <w:rFonts w:hint="default"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提供</w:t>
            </w:r>
            <w:r>
              <w:rPr>
                <w:rFonts w:hint="default" w:ascii="宋体" w:hAnsi="宋体"/>
                <w:bCs/>
                <w:color w:val="auto"/>
                <w:kern w:val="0"/>
                <w:sz w:val="24"/>
                <w:szCs w:val="24"/>
                <w:highlight w:val="none"/>
                <w:lang w:val="en-US" w:eastAsia="zh-CN"/>
              </w:rPr>
              <w:t>工作</w:t>
            </w:r>
            <w:r>
              <w:rPr>
                <w:rFonts w:hint="eastAsia" w:ascii="宋体" w:hAnsi="宋体"/>
                <w:bCs/>
                <w:color w:val="auto"/>
                <w:kern w:val="0"/>
                <w:sz w:val="24"/>
                <w:szCs w:val="24"/>
                <w:highlight w:val="none"/>
                <w:lang w:val="en-US" w:eastAsia="zh-CN"/>
              </w:rPr>
              <w:t>进度</w:t>
            </w:r>
            <w:r>
              <w:rPr>
                <w:rFonts w:hint="default" w:ascii="宋体" w:hAnsi="宋体"/>
                <w:bCs/>
                <w:color w:val="auto"/>
                <w:kern w:val="0"/>
                <w:sz w:val="24"/>
                <w:szCs w:val="24"/>
                <w:highlight w:val="none"/>
                <w:lang w:val="en-US" w:eastAsia="zh-CN"/>
              </w:rPr>
              <w:t>计划</w:t>
            </w:r>
            <w:r>
              <w:rPr>
                <w:rFonts w:hint="eastAsia" w:ascii="宋体" w:hAnsi="宋体"/>
                <w:bCs/>
                <w:color w:val="auto"/>
                <w:kern w:val="0"/>
                <w:sz w:val="24"/>
                <w:szCs w:val="24"/>
                <w:highlight w:val="none"/>
                <w:lang w:val="en-US" w:eastAsia="zh-CN"/>
              </w:rPr>
              <w:t>安排和</w:t>
            </w:r>
            <w:r>
              <w:rPr>
                <w:rFonts w:hint="default" w:ascii="宋体" w:hAnsi="宋体"/>
                <w:bCs/>
                <w:color w:val="auto"/>
                <w:kern w:val="0"/>
                <w:sz w:val="24"/>
                <w:szCs w:val="24"/>
                <w:highlight w:val="none"/>
                <w:lang w:val="en-US" w:eastAsia="zh-CN"/>
              </w:rPr>
              <w:t>进度控制</w:t>
            </w:r>
            <w:r>
              <w:rPr>
                <w:rFonts w:hint="eastAsia" w:ascii="宋体" w:hAnsi="宋体"/>
                <w:bCs/>
                <w:color w:val="auto"/>
                <w:kern w:val="0"/>
                <w:sz w:val="24"/>
                <w:szCs w:val="24"/>
                <w:highlight w:val="none"/>
                <w:lang w:val="en-US" w:eastAsia="zh-CN"/>
              </w:rPr>
              <w:t>措施</w:t>
            </w:r>
            <w:r>
              <w:rPr>
                <w:rFonts w:hint="default" w:ascii="宋体" w:hAnsi="宋体"/>
                <w:bCs/>
                <w:color w:val="auto"/>
                <w:kern w:val="0"/>
                <w:sz w:val="24"/>
                <w:szCs w:val="24"/>
                <w:highlight w:val="none"/>
                <w:lang w:val="en-US" w:eastAsia="zh-CN"/>
              </w:rPr>
              <w:t>：</w:t>
            </w:r>
          </w:p>
          <w:p>
            <w:pPr>
              <w:jc w:val="left"/>
              <w:rPr>
                <w:rFonts w:hint="default"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1.工作进度计划安排合理有序，</w:t>
            </w:r>
            <w:r>
              <w:rPr>
                <w:rFonts w:hint="default" w:ascii="宋体" w:hAnsi="宋体"/>
                <w:bCs/>
                <w:color w:val="auto"/>
                <w:kern w:val="0"/>
                <w:sz w:val="24"/>
                <w:szCs w:val="24"/>
                <w:highlight w:val="none"/>
                <w:lang w:val="en-US" w:eastAsia="zh-CN"/>
              </w:rPr>
              <w:t>进度</w:t>
            </w:r>
            <w:r>
              <w:rPr>
                <w:rFonts w:hint="eastAsia" w:ascii="宋体" w:hAnsi="宋体"/>
                <w:bCs/>
                <w:color w:val="auto"/>
                <w:kern w:val="0"/>
                <w:sz w:val="24"/>
                <w:szCs w:val="24"/>
                <w:highlight w:val="none"/>
                <w:lang w:val="en-US" w:eastAsia="zh-CN"/>
              </w:rPr>
              <w:t>控制</w:t>
            </w:r>
            <w:r>
              <w:rPr>
                <w:rFonts w:hint="default" w:ascii="宋体" w:hAnsi="宋体"/>
                <w:bCs/>
                <w:color w:val="auto"/>
                <w:kern w:val="0"/>
                <w:sz w:val="24"/>
                <w:szCs w:val="24"/>
                <w:highlight w:val="none"/>
                <w:lang w:val="en-US" w:eastAsia="zh-CN"/>
              </w:rPr>
              <w:t>措施详细可行</w:t>
            </w:r>
            <w:r>
              <w:rPr>
                <w:rFonts w:hint="eastAsia" w:ascii="宋体" w:hAnsi="宋体"/>
                <w:bCs/>
                <w:color w:val="auto"/>
                <w:kern w:val="0"/>
                <w:sz w:val="24"/>
                <w:szCs w:val="24"/>
                <w:highlight w:val="none"/>
                <w:lang w:val="en-US" w:eastAsia="zh-CN"/>
              </w:rPr>
              <w:t>，</w:t>
            </w:r>
            <w:r>
              <w:rPr>
                <w:rFonts w:hint="default" w:ascii="宋体" w:hAnsi="宋体"/>
                <w:bCs/>
                <w:color w:val="auto"/>
                <w:kern w:val="0"/>
                <w:sz w:val="24"/>
                <w:szCs w:val="24"/>
                <w:highlight w:val="none"/>
                <w:lang w:val="en-US" w:eastAsia="zh-CN"/>
              </w:rPr>
              <w:t>得5分；</w:t>
            </w:r>
          </w:p>
          <w:p>
            <w:pPr>
              <w:jc w:val="left"/>
              <w:rPr>
                <w:rFonts w:hint="default"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2.工作进度计划安排基本合理，</w:t>
            </w:r>
            <w:r>
              <w:rPr>
                <w:rFonts w:hint="default" w:ascii="宋体" w:hAnsi="宋体"/>
                <w:bCs/>
                <w:color w:val="auto"/>
                <w:kern w:val="0"/>
                <w:sz w:val="24"/>
                <w:szCs w:val="24"/>
                <w:highlight w:val="none"/>
                <w:lang w:val="en-US" w:eastAsia="zh-CN"/>
              </w:rPr>
              <w:t>进度</w:t>
            </w:r>
            <w:r>
              <w:rPr>
                <w:rFonts w:hint="eastAsia" w:ascii="宋体" w:hAnsi="宋体"/>
                <w:bCs/>
                <w:color w:val="auto"/>
                <w:kern w:val="0"/>
                <w:sz w:val="24"/>
                <w:szCs w:val="24"/>
                <w:highlight w:val="none"/>
                <w:lang w:val="en-US" w:eastAsia="zh-CN"/>
              </w:rPr>
              <w:t>控制</w:t>
            </w:r>
            <w:r>
              <w:rPr>
                <w:rFonts w:hint="default" w:ascii="宋体" w:hAnsi="宋体"/>
                <w:bCs/>
                <w:color w:val="auto"/>
                <w:kern w:val="0"/>
                <w:sz w:val="24"/>
                <w:szCs w:val="24"/>
                <w:highlight w:val="none"/>
                <w:lang w:val="en-US" w:eastAsia="zh-CN"/>
              </w:rPr>
              <w:t>措施具有一定</w:t>
            </w:r>
            <w:r>
              <w:rPr>
                <w:rFonts w:hint="eastAsia" w:ascii="宋体" w:hAnsi="宋体"/>
                <w:bCs/>
                <w:color w:val="auto"/>
                <w:kern w:val="0"/>
                <w:sz w:val="24"/>
                <w:szCs w:val="24"/>
                <w:highlight w:val="none"/>
                <w:lang w:val="en-US" w:eastAsia="zh-CN"/>
              </w:rPr>
              <w:t>的</w:t>
            </w:r>
            <w:r>
              <w:rPr>
                <w:rFonts w:hint="default" w:ascii="宋体" w:hAnsi="宋体"/>
                <w:bCs/>
                <w:color w:val="auto"/>
                <w:kern w:val="0"/>
                <w:sz w:val="24"/>
                <w:szCs w:val="24"/>
                <w:highlight w:val="none"/>
                <w:lang w:val="en-US" w:eastAsia="zh-CN"/>
              </w:rPr>
              <w:t>可行性</w:t>
            </w:r>
            <w:r>
              <w:rPr>
                <w:rFonts w:hint="eastAsia" w:ascii="宋体" w:hAnsi="宋体"/>
                <w:bCs/>
                <w:color w:val="auto"/>
                <w:kern w:val="0"/>
                <w:sz w:val="24"/>
                <w:szCs w:val="24"/>
                <w:highlight w:val="none"/>
                <w:lang w:val="en-US" w:eastAsia="zh-CN"/>
              </w:rPr>
              <w:t>，</w:t>
            </w:r>
            <w:r>
              <w:rPr>
                <w:rFonts w:hint="default" w:ascii="宋体" w:hAnsi="宋体"/>
                <w:bCs/>
                <w:color w:val="auto"/>
                <w:kern w:val="0"/>
                <w:sz w:val="24"/>
                <w:szCs w:val="24"/>
                <w:highlight w:val="none"/>
                <w:lang w:val="en-US" w:eastAsia="zh-CN"/>
              </w:rPr>
              <w:t>得3分；</w:t>
            </w:r>
          </w:p>
          <w:p>
            <w:pPr>
              <w:jc w:val="left"/>
              <w:rPr>
                <w:rFonts w:hint="default"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3.工作进度计划安排欠合理，</w:t>
            </w:r>
            <w:r>
              <w:rPr>
                <w:rFonts w:hint="default" w:ascii="宋体" w:hAnsi="宋体"/>
                <w:bCs/>
                <w:color w:val="auto"/>
                <w:kern w:val="0"/>
                <w:sz w:val="24"/>
                <w:szCs w:val="24"/>
                <w:highlight w:val="none"/>
                <w:lang w:val="en-US" w:eastAsia="zh-CN"/>
              </w:rPr>
              <w:t>进度</w:t>
            </w:r>
            <w:r>
              <w:rPr>
                <w:rFonts w:hint="eastAsia" w:ascii="宋体" w:hAnsi="宋体"/>
                <w:bCs/>
                <w:color w:val="auto"/>
                <w:kern w:val="0"/>
                <w:sz w:val="24"/>
                <w:szCs w:val="24"/>
                <w:highlight w:val="none"/>
                <w:lang w:val="en-US" w:eastAsia="zh-CN"/>
              </w:rPr>
              <w:t>控制</w:t>
            </w:r>
            <w:r>
              <w:rPr>
                <w:rFonts w:hint="default" w:ascii="宋体" w:hAnsi="宋体"/>
                <w:bCs/>
                <w:color w:val="auto"/>
                <w:kern w:val="0"/>
                <w:sz w:val="24"/>
                <w:szCs w:val="24"/>
                <w:highlight w:val="none"/>
                <w:lang w:val="en-US" w:eastAsia="zh-CN"/>
              </w:rPr>
              <w:t>措施可行性差</w:t>
            </w:r>
            <w:r>
              <w:rPr>
                <w:rFonts w:hint="eastAsia" w:ascii="宋体" w:hAnsi="宋体"/>
                <w:bCs/>
                <w:color w:val="auto"/>
                <w:kern w:val="0"/>
                <w:sz w:val="24"/>
                <w:szCs w:val="24"/>
                <w:highlight w:val="none"/>
                <w:lang w:val="en-US" w:eastAsia="zh-CN"/>
              </w:rPr>
              <w:t>，</w:t>
            </w:r>
            <w:r>
              <w:rPr>
                <w:rFonts w:hint="default" w:ascii="宋体" w:hAnsi="宋体"/>
                <w:bCs/>
                <w:color w:val="auto"/>
                <w:kern w:val="0"/>
                <w:sz w:val="24"/>
                <w:szCs w:val="24"/>
                <w:highlight w:val="none"/>
                <w:lang w:val="en-US" w:eastAsia="zh-CN"/>
              </w:rPr>
              <w:t>得1分；</w:t>
            </w:r>
          </w:p>
          <w:p>
            <w:pPr>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4.不提供则不得分。</w:t>
            </w:r>
          </w:p>
        </w:tc>
        <w:tc>
          <w:tcPr>
            <w:tcW w:w="951" w:type="dxa"/>
            <w:shd w:val="clear" w:color="auto" w:fill="FFFFFF"/>
            <w:vAlign w:val="center"/>
          </w:tcPr>
          <w:p>
            <w:pPr>
              <w:jc w:val="center"/>
              <w:rPr>
                <w:rFonts w:hint="default"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1292" w:type="dxa"/>
            <w:vMerge w:val="continue"/>
            <w:shd w:val="clear" w:color="auto" w:fill="FFFFFF"/>
            <w:vAlign w:val="center"/>
          </w:tcPr>
          <w:p>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pPr>
              <w:jc w:val="cente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仪器设备配置</w:t>
            </w:r>
          </w:p>
          <w:p>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lang w:val="en-US" w:eastAsia="zh-CN"/>
              </w:rPr>
              <w:t>(5分)</w:t>
            </w:r>
          </w:p>
        </w:tc>
        <w:tc>
          <w:tcPr>
            <w:tcW w:w="5772" w:type="dxa"/>
            <w:shd w:val="clear" w:color="auto" w:fill="FFFFFF"/>
            <w:vAlign w:val="center"/>
          </w:tcPr>
          <w:p>
            <w:pPr>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从满足工作需要角度出发，提供拟投入的与项目相关的仪器设备配置情况：</w:t>
            </w:r>
          </w:p>
          <w:p>
            <w:pPr>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1.仪器设备配置齐全、合理先进，完全满足工作需要得5分；</w:t>
            </w:r>
          </w:p>
          <w:p>
            <w:pPr>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2.仪器设备配置基本齐全、较为合理，基本满足工作需要得3分；</w:t>
            </w:r>
          </w:p>
          <w:p>
            <w:pPr>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3.仪器设备配置不齐全、欠合理，勉强满足工作需要得1分；</w:t>
            </w:r>
          </w:p>
          <w:p>
            <w:pPr>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4.不提供则不得分。</w:t>
            </w:r>
          </w:p>
        </w:tc>
        <w:tc>
          <w:tcPr>
            <w:tcW w:w="951" w:type="dxa"/>
            <w:shd w:val="clear" w:color="auto" w:fill="FFFFFF"/>
            <w:vAlign w:val="center"/>
          </w:tcPr>
          <w:p>
            <w:pPr>
              <w:jc w:val="center"/>
              <w:rPr>
                <w:rFonts w:hint="default"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1292" w:type="dxa"/>
            <w:vMerge w:val="continue"/>
            <w:shd w:val="clear" w:color="auto" w:fill="FFFFFF"/>
            <w:vAlign w:val="center"/>
          </w:tcPr>
          <w:p>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质量控制体系 （10 分）</w:t>
            </w:r>
          </w:p>
        </w:tc>
        <w:tc>
          <w:tcPr>
            <w:tcW w:w="5772" w:type="dxa"/>
            <w:shd w:val="clear" w:color="auto" w:fill="FFFFFF"/>
            <w:vAlign w:val="center"/>
          </w:tcPr>
          <w:p>
            <w:pPr>
              <w:rPr>
                <w:rFonts w:hint="eastAsia" w:ascii="宋体" w:hAnsi="宋体" w:eastAsia="宋体"/>
                <w:bCs/>
                <w:color w:val="auto"/>
                <w:kern w:val="0"/>
                <w:sz w:val="24"/>
                <w:szCs w:val="24"/>
                <w:highlight w:val="none"/>
                <w:lang w:val="en-US" w:eastAsia="zh-CN"/>
              </w:rPr>
            </w:pPr>
            <w:r>
              <w:rPr>
                <w:rFonts w:hint="eastAsia" w:ascii="宋体" w:hAnsi="宋体"/>
                <w:color w:val="auto"/>
                <w:sz w:val="24"/>
                <w:szCs w:val="24"/>
                <w:highlight w:val="none"/>
              </w:rPr>
              <w:t>供应商提供有详细的质量保障方案，且至少</w:t>
            </w:r>
            <w:r>
              <w:rPr>
                <w:rFonts w:hint="eastAsia" w:ascii="宋体" w:hAnsi="宋体"/>
                <w:bCs/>
                <w:color w:val="auto"/>
                <w:kern w:val="0"/>
                <w:sz w:val="24"/>
                <w:szCs w:val="24"/>
                <w:highlight w:val="none"/>
              </w:rPr>
              <w:t>包括独立采样、样品保存、现场测试、留样复测、全程序质量控制等内容。</w:t>
            </w:r>
            <w:r>
              <w:rPr>
                <w:rFonts w:hint="eastAsia" w:ascii="宋体" w:hAnsi="宋体"/>
                <w:color w:val="auto"/>
                <w:sz w:val="24"/>
                <w:szCs w:val="24"/>
                <w:highlight w:val="none"/>
              </w:rPr>
              <w:t>根据供应商质量控制方案中项目质量的保障措施具体性、合理性、可行性进行比较打分。充分合理的得10分；一般充分合理的得5分，其他得3分，缺项不得分。</w:t>
            </w:r>
          </w:p>
        </w:tc>
        <w:tc>
          <w:tcPr>
            <w:tcW w:w="951" w:type="dxa"/>
            <w:shd w:val="clear" w:color="auto" w:fill="FFFFFF"/>
            <w:vAlign w:val="center"/>
          </w:tcPr>
          <w:p>
            <w:pPr>
              <w:jc w:val="cente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1292" w:type="dxa"/>
            <w:vMerge w:val="continue"/>
            <w:shd w:val="clear" w:color="auto" w:fill="FFFFFF"/>
            <w:vAlign w:val="center"/>
          </w:tcPr>
          <w:p>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人员配置</w:t>
            </w:r>
            <w:r>
              <w:rPr>
                <w:rFonts w:ascii="宋体" w:hAnsi="宋体"/>
                <w:bCs/>
                <w:color w:val="auto"/>
                <w:kern w:val="0"/>
                <w:sz w:val="24"/>
                <w:szCs w:val="24"/>
                <w:highlight w:val="none"/>
              </w:rPr>
              <w:br w:type="textWrapping"/>
            </w:r>
            <w:r>
              <w:rPr>
                <w:rFonts w:hint="eastAsia" w:ascii="宋体" w:hAnsi="宋体"/>
                <w:bCs/>
                <w:color w:val="auto"/>
                <w:kern w:val="0"/>
                <w:sz w:val="24"/>
                <w:szCs w:val="24"/>
                <w:highlight w:val="none"/>
              </w:rPr>
              <w:t>（5分）</w:t>
            </w:r>
          </w:p>
        </w:tc>
        <w:tc>
          <w:tcPr>
            <w:tcW w:w="5772" w:type="dxa"/>
            <w:shd w:val="clear" w:color="auto" w:fill="FFFFFF"/>
            <w:vAlign w:val="center"/>
          </w:tcPr>
          <w:p>
            <w:pPr>
              <w:rPr>
                <w:rFonts w:hint="default"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依据服务团队的组织分工安排、详细的人员组成等情况进行横向比较，全面的得5分，相对全面的得3分，一般的得1分，</w:t>
            </w:r>
            <w:r>
              <w:rPr>
                <w:rFonts w:hint="eastAsia" w:ascii="宋体" w:hAnsi="宋体"/>
                <w:color w:val="auto"/>
                <w:sz w:val="24"/>
                <w:szCs w:val="24"/>
                <w:highlight w:val="none"/>
              </w:rPr>
              <w:t>缺项不得分</w:t>
            </w:r>
            <w:r>
              <w:rPr>
                <w:rFonts w:hint="eastAsia" w:ascii="宋体" w:hAnsi="宋体"/>
                <w:bCs/>
                <w:color w:val="auto"/>
                <w:kern w:val="0"/>
                <w:sz w:val="24"/>
                <w:szCs w:val="24"/>
                <w:highlight w:val="none"/>
              </w:rPr>
              <w:t>。</w:t>
            </w:r>
          </w:p>
        </w:tc>
        <w:tc>
          <w:tcPr>
            <w:tcW w:w="951" w:type="dxa"/>
            <w:shd w:val="clear" w:color="auto" w:fill="FFFFFF"/>
            <w:vAlign w:val="center"/>
          </w:tcPr>
          <w:p>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8" w:hRule="atLeast"/>
          <w:jc w:val="center"/>
        </w:trPr>
        <w:tc>
          <w:tcPr>
            <w:tcW w:w="1292" w:type="dxa"/>
            <w:vMerge w:val="continue"/>
            <w:shd w:val="clear" w:color="auto" w:fill="FFFFFF"/>
            <w:vAlign w:val="center"/>
          </w:tcPr>
          <w:p>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pPr>
              <w:jc w:val="cente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后续服务方案</w:t>
            </w:r>
          </w:p>
          <w:p>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(5分)</w:t>
            </w:r>
          </w:p>
        </w:tc>
        <w:tc>
          <w:tcPr>
            <w:tcW w:w="5772" w:type="dxa"/>
            <w:shd w:val="clear" w:color="auto" w:fill="FFFFFF"/>
            <w:vAlign w:val="center"/>
          </w:tcPr>
          <w:p>
            <w:pPr>
              <w:jc w:val="left"/>
              <w:rPr>
                <w:rFonts w:hint="default" w:ascii="宋体" w:hAnsi="宋体"/>
                <w:bCs/>
                <w:color w:val="auto"/>
                <w:kern w:val="0"/>
                <w:sz w:val="24"/>
                <w:szCs w:val="24"/>
                <w:highlight w:val="none"/>
                <w:lang w:val="en-US" w:eastAsia="zh-CN"/>
              </w:rPr>
            </w:pPr>
            <w:r>
              <w:rPr>
                <w:rFonts w:hint="default" w:ascii="宋体" w:hAnsi="宋体"/>
                <w:bCs/>
                <w:color w:val="auto"/>
                <w:kern w:val="0"/>
                <w:sz w:val="24"/>
                <w:szCs w:val="24"/>
                <w:highlight w:val="none"/>
                <w:lang w:val="en-US" w:eastAsia="zh-CN"/>
              </w:rPr>
              <w:t>针对本项目提供</w:t>
            </w:r>
            <w:r>
              <w:rPr>
                <w:rFonts w:hint="eastAsia" w:ascii="宋体" w:hAnsi="宋体"/>
                <w:bCs/>
                <w:color w:val="auto"/>
                <w:kern w:val="0"/>
                <w:sz w:val="24"/>
                <w:szCs w:val="24"/>
                <w:highlight w:val="none"/>
                <w:lang w:val="en-US" w:eastAsia="zh-CN"/>
              </w:rPr>
              <w:t>后续</w:t>
            </w:r>
            <w:r>
              <w:rPr>
                <w:rFonts w:hint="default" w:ascii="宋体" w:hAnsi="宋体"/>
                <w:bCs/>
                <w:color w:val="auto"/>
                <w:kern w:val="0"/>
                <w:sz w:val="24"/>
                <w:szCs w:val="24"/>
                <w:highlight w:val="none"/>
                <w:lang w:val="en-US" w:eastAsia="zh-CN"/>
              </w:rPr>
              <w:t>服务方案，包括但不限于：技术人员响应时间长短</w:t>
            </w:r>
            <w:r>
              <w:rPr>
                <w:rFonts w:hint="eastAsia" w:ascii="宋体" w:hAnsi="宋体"/>
                <w:bCs/>
                <w:color w:val="auto"/>
                <w:kern w:val="0"/>
                <w:sz w:val="24"/>
                <w:szCs w:val="24"/>
                <w:highlight w:val="none"/>
                <w:lang w:val="en-US" w:eastAsia="zh-CN"/>
              </w:rPr>
              <w:t>、</w:t>
            </w:r>
            <w:r>
              <w:rPr>
                <w:rFonts w:hint="default" w:ascii="宋体" w:hAnsi="宋体"/>
                <w:bCs/>
                <w:color w:val="auto"/>
                <w:kern w:val="0"/>
                <w:sz w:val="24"/>
                <w:szCs w:val="24"/>
                <w:highlight w:val="none"/>
                <w:lang w:val="en-US" w:eastAsia="zh-CN"/>
              </w:rPr>
              <w:t>突发情况处理措施及</w:t>
            </w:r>
            <w:r>
              <w:rPr>
                <w:rFonts w:hint="eastAsia" w:ascii="宋体" w:hAnsi="宋体"/>
                <w:bCs/>
                <w:color w:val="auto"/>
                <w:kern w:val="0"/>
                <w:sz w:val="24"/>
                <w:szCs w:val="24"/>
                <w:highlight w:val="none"/>
                <w:lang w:val="en-US" w:eastAsia="zh-CN"/>
              </w:rPr>
              <w:t>后续</w:t>
            </w:r>
            <w:r>
              <w:rPr>
                <w:rFonts w:hint="default" w:ascii="宋体" w:hAnsi="宋体"/>
                <w:bCs/>
                <w:color w:val="auto"/>
                <w:kern w:val="0"/>
                <w:sz w:val="24"/>
                <w:szCs w:val="24"/>
                <w:highlight w:val="none"/>
                <w:lang w:val="en-US" w:eastAsia="zh-CN"/>
              </w:rPr>
              <w:t>服务计划等内容。</w:t>
            </w:r>
          </w:p>
          <w:p>
            <w:pPr>
              <w:jc w:val="left"/>
              <w:rPr>
                <w:rFonts w:hint="default" w:ascii="宋体" w:hAnsi="宋体"/>
                <w:bCs/>
                <w:color w:val="auto"/>
                <w:kern w:val="0"/>
                <w:sz w:val="24"/>
                <w:szCs w:val="24"/>
                <w:highlight w:val="none"/>
                <w:lang w:val="en-US" w:eastAsia="zh-CN"/>
              </w:rPr>
            </w:pPr>
            <w:r>
              <w:rPr>
                <w:rFonts w:hint="default" w:ascii="宋体" w:hAnsi="宋体"/>
                <w:bCs/>
                <w:color w:val="auto"/>
                <w:kern w:val="0"/>
                <w:sz w:val="24"/>
                <w:szCs w:val="24"/>
                <w:highlight w:val="none"/>
                <w:lang w:val="en-US" w:eastAsia="zh-CN"/>
              </w:rPr>
              <w:t>1</w:t>
            </w:r>
            <w:r>
              <w:rPr>
                <w:rFonts w:hint="eastAsia" w:ascii="宋体" w:hAnsi="宋体"/>
                <w:bCs/>
                <w:color w:val="auto"/>
                <w:kern w:val="0"/>
                <w:sz w:val="24"/>
                <w:szCs w:val="24"/>
                <w:highlight w:val="none"/>
                <w:lang w:val="en-US" w:eastAsia="zh-CN"/>
              </w:rPr>
              <w:t>.</w:t>
            </w:r>
            <w:r>
              <w:rPr>
                <w:rFonts w:hint="default" w:ascii="宋体" w:hAnsi="宋体"/>
                <w:bCs/>
                <w:color w:val="auto"/>
                <w:kern w:val="0"/>
                <w:sz w:val="24"/>
                <w:szCs w:val="24"/>
                <w:highlight w:val="none"/>
                <w:lang w:val="en-US" w:eastAsia="zh-CN"/>
              </w:rPr>
              <w:t>方案合理</w:t>
            </w:r>
            <w:r>
              <w:rPr>
                <w:rFonts w:hint="eastAsia" w:ascii="宋体" w:hAnsi="宋体"/>
                <w:bCs/>
                <w:color w:val="auto"/>
                <w:kern w:val="0"/>
                <w:sz w:val="24"/>
                <w:szCs w:val="24"/>
                <w:highlight w:val="none"/>
                <w:lang w:val="en-US" w:eastAsia="zh-CN"/>
              </w:rPr>
              <w:t>完善</w:t>
            </w:r>
            <w:r>
              <w:rPr>
                <w:rFonts w:hint="default" w:ascii="宋体" w:hAnsi="宋体"/>
                <w:bCs/>
                <w:color w:val="auto"/>
                <w:kern w:val="0"/>
                <w:sz w:val="24"/>
                <w:szCs w:val="24"/>
                <w:highlight w:val="none"/>
                <w:lang w:val="en-US" w:eastAsia="zh-CN"/>
              </w:rPr>
              <w:t>、条理清晰，与项目实际契合度高，</w:t>
            </w:r>
            <w:r>
              <w:rPr>
                <w:rFonts w:hint="eastAsia" w:ascii="宋体" w:hAnsi="宋体"/>
                <w:bCs/>
                <w:color w:val="auto"/>
                <w:kern w:val="0"/>
                <w:sz w:val="24"/>
                <w:szCs w:val="24"/>
                <w:highlight w:val="none"/>
                <w:lang w:val="en-US" w:eastAsia="zh-CN"/>
              </w:rPr>
              <w:t>有具体的保障措施和处理措施</w:t>
            </w:r>
            <w:r>
              <w:rPr>
                <w:rFonts w:hint="default" w:ascii="宋体" w:hAnsi="宋体"/>
                <w:bCs/>
                <w:color w:val="auto"/>
                <w:kern w:val="0"/>
                <w:sz w:val="24"/>
                <w:szCs w:val="24"/>
                <w:highlight w:val="none"/>
                <w:lang w:val="en-US" w:eastAsia="zh-CN"/>
              </w:rPr>
              <w:t>，得</w:t>
            </w:r>
            <w:r>
              <w:rPr>
                <w:rFonts w:hint="eastAsia" w:ascii="宋体" w:hAnsi="宋体"/>
                <w:bCs/>
                <w:color w:val="auto"/>
                <w:kern w:val="0"/>
                <w:sz w:val="24"/>
                <w:szCs w:val="24"/>
                <w:highlight w:val="none"/>
                <w:lang w:val="en-US" w:eastAsia="zh-CN"/>
              </w:rPr>
              <w:t>5</w:t>
            </w:r>
            <w:r>
              <w:rPr>
                <w:rFonts w:hint="default" w:ascii="宋体" w:hAnsi="宋体"/>
                <w:bCs/>
                <w:color w:val="auto"/>
                <w:kern w:val="0"/>
                <w:sz w:val="24"/>
                <w:szCs w:val="24"/>
                <w:highlight w:val="none"/>
                <w:lang w:val="en-US" w:eastAsia="zh-CN"/>
              </w:rPr>
              <w:t>分；</w:t>
            </w:r>
          </w:p>
          <w:p>
            <w:pPr>
              <w:jc w:val="left"/>
              <w:rPr>
                <w:rFonts w:hint="default" w:ascii="宋体" w:hAnsi="宋体"/>
                <w:bCs/>
                <w:color w:val="auto"/>
                <w:kern w:val="0"/>
                <w:sz w:val="24"/>
                <w:szCs w:val="24"/>
                <w:highlight w:val="none"/>
                <w:lang w:val="en-US" w:eastAsia="zh-CN"/>
              </w:rPr>
            </w:pPr>
            <w:r>
              <w:rPr>
                <w:rFonts w:hint="default" w:ascii="宋体" w:hAnsi="宋体"/>
                <w:bCs/>
                <w:color w:val="auto"/>
                <w:kern w:val="0"/>
                <w:sz w:val="24"/>
                <w:szCs w:val="24"/>
                <w:highlight w:val="none"/>
                <w:lang w:val="en-US" w:eastAsia="zh-CN"/>
              </w:rPr>
              <w:t>2</w:t>
            </w:r>
            <w:r>
              <w:rPr>
                <w:rFonts w:hint="eastAsia" w:ascii="宋体" w:hAnsi="宋体"/>
                <w:bCs/>
                <w:color w:val="auto"/>
                <w:kern w:val="0"/>
                <w:sz w:val="24"/>
                <w:szCs w:val="24"/>
                <w:highlight w:val="none"/>
                <w:lang w:val="en-US" w:eastAsia="zh-CN"/>
              </w:rPr>
              <w:t>.</w:t>
            </w:r>
            <w:r>
              <w:rPr>
                <w:rFonts w:hint="default" w:ascii="宋体" w:hAnsi="宋体"/>
                <w:bCs/>
                <w:color w:val="auto"/>
                <w:kern w:val="0"/>
                <w:sz w:val="24"/>
                <w:szCs w:val="24"/>
                <w:highlight w:val="none"/>
                <w:lang w:val="en-US" w:eastAsia="zh-CN"/>
              </w:rPr>
              <w:t>方案</w:t>
            </w:r>
            <w:r>
              <w:rPr>
                <w:rFonts w:hint="eastAsia" w:ascii="宋体" w:hAnsi="宋体"/>
                <w:bCs/>
                <w:color w:val="auto"/>
                <w:kern w:val="0"/>
                <w:sz w:val="24"/>
                <w:szCs w:val="24"/>
                <w:highlight w:val="none"/>
                <w:lang w:val="en-US" w:eastAsia="zh-CN"/>
              </w:rPr>
              <w:t>基本合理、较为完善，但</w:t>
            </w:r>
            <w:r>
              <w:rPr>
                <w:rFonts w:hint="default" w:ascii="宋体" w:hAnsi="宋体"/>
                <w:bCs/>
                <w:color w:val="auto"/>
                <w:kern w:val="0"/>
                <w:sz w:val="24"/>
                <w:szCs w:val="24"/>
                <w:highlight w:val="none"/>
                <w:lang w:val="en-US" w:eastAsia="zh-CN"/>
              </w:rPr>
              <w:t>条理不</w:t>
            </w:r>
            <w:r>
              <w:rPr>
                <w:rFonts w:hint="eastAsia" w:ascii="宋体" w:hAnsi="宋体"/>
                <w:bCs/>
                <w:color w:val="auto"/>
                <w:kern w:val="0"/>
                <w:sz w:val="24"/>
                <w:szCs w:val="24"/>
                <w:highlight w:val="none"/>
                <w:lang w:val="en-US" w:eastAsia="zh-CN"/>
              </w:rPr>
              <w:t>够</w:t>
            </w:r>
            <w:r>
              <w:rPr>
                <w:rFonts w:hint="default" w:ascii="宋体" w:hAnsi="宋体"/>
                <w:bCs/>
                <w:color w:val="auto"/>
                <w:kern w:val="0"/>
                <w:sz w:val="24"/>
                <w:szCs w:val="24"/>
                <w:highlight w:val="none"/>
                <w:lang w:val="en-US" w:eastAsia="zh-CN"/>
              </w:rPr>
              <w:t>清晰</w:t>
            </w:r>
            <w:r>
              <w:rPr>
                <w:rFonts w:hint="eastAsia" w:ascii="宋体" w:hAnsi="宋体"/>
                <w:bCs/>
                <w:color w:val="auto"/>
                <w:kern w:val="0"/>
                <w:sz w:val="24"/>
                <w:szCs w:val="24"/>
                <w:highlight w:val="none"/>
                <w:lang w:val="en-US" w:eastAsia="zh-CN"/>
              </w:rPr>
              <w:t>，</w:t>
            </w:r>
            <w:r>
              <w:rPr>
                <w:rFonts w:hint="default" w:ascii="宋体" w:hAnsi="宋体"/>
                <w:bCs/>
                <w:color w:val="auto"/>
                <w:kern w:val="0"/>
                <w:sz w:val="24"/>
                <w:szCs w:val="24"/>
                <w:highlight w:val="none"/>
                <w:lang w:val="en-US" w:eastAsia="zh-CN"/>
              </w:rPr>
              <w:t>与项目实际契合度欠佳</w:t>
            </w:r>
            <w:r>
              <w:rPr>
                <w:rFonts w:hint="eastAsia" w:ascii="宋体" w:hAnsi="宋体"/>
                <w:bCs/>
                <w:color w:val="auto"/>
                <w:kern w:val="0"/>
                <w:sz w:val="24"/>
                <w:szCs w:val="24"/>
                <w:highlight w:val="none"/>
                <w:lang w:val="en-US" w:eastAsia="zh-CN"/>
              </w:rPr>
              <w:t>，有基本的保障措施和处理措施，得3分</w:t>
            </w:r>
            <w:r>
              <w:rPr>
                <w:rFonts w:hint="default" w:ascii="宋体" w:hAnsi="宋体"/>
                <w:bCs/>
                <w:color w:val="auto"/>
                <w:kern w:val="0"/>
                <w:sz w:val="24"/>
                <w:szCs w:val="24"/>
                <w:highlight w:val="none"/>
                <w:lang w:val="en-US" w:eastAsia="zh-CN"/>
              </w:rPr>
              <w:t>；</w:t>
            </w:r>
          </w:p>
          <w:p>
            <w:pPr>
              <w:jc w:val="left"/>
              <w:rPr>
                <w:rFonts w:hint="default"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3.</w:t>
            </w:r>
            <w:r>
              <w:rPr>
                <w:rFonts w:hint="default" w:ascii="宋体" w:hAnsi="宋体"/>
                <w:bCs/>
                <w:color w:val="auto"/>
                <w:kern w:val="0"/>
                <w:sz w:val="24"/>
                <w:szCs w:val="24"/>
                <w:highlight w:val="none"/>
                <w:lang w:val="en-US" w:eastAsia="zh-CN"/>
              </w:rPr>
              <w:t>方案</w:t>
            </w:r>
            <w:r>
              <w:rPr>
                <w:rFonts w:hint="eastAsia" w:ascii="宋体" w:hAnsi="宋体"/>
                <w:bCs/>
                <w:color w:val="auto"/>
                <w:kern w:val="0"/>
                <w:sz w:val="24"/>
                <w:szCs w:val="24"/>
                <w:highlight w:val="none"/>
                <w:lang w:val="en-US" w:eastAsia="zh-CN"/>
              </w:rPr>
              <w:t>不够合理</w:t>
            </w:r>
            <w:r>
              <w:rPr>
                <w:rFonts w:hint="default" w:ascii="宋体" w:hAnsi="宋体"/>
                <w:bCs/>
                <w:color w:val="auto"/>
                <w:kern w:val="0"/>
                <w:sz w:val="24"/>
                <w:szCs w:val="24"/>
                <w:highlight w:val="none"/>
                <w:lang w:val="en-US" w:eastAsia="zh-CN"/>
              </w:rPr>
              <w:t>、</w:t>
            </w:r>
            <w:r>
              <w:rPr>
                <w:rFonts w:hint="eastAsia" w:ascii="宋体" w:hAnsi="宋体"/>
                <w:bCs/>
                <w:color w:val="auto"/>
                <w:kern w:val="0"/>
                <w:sz w:val="24"/>
                <w:szCs w:val="24"/>
                <w:highlight w:val="none"/>
                <w:lang w:val="en-US" w:eastAsia="zh-CN"/>
              </w:rPr>
              <w:t>欠完善，</w:t>
            </w:r>
            <w:r>
              <w:rPr>
                <w:rFonts w:hint="default" w:ascii="宋体" w:hAnsi="宋体"/>
                <w:bCs/>
                <w:color w:val="auto"/>
                <w:kern w:val="0"/>
                <w:sz w:val="24"/>
                <w:szCs w:val="24"/>
                <w:highlight w:val="none"/>
                <w:lang w:val="en-US" w:eastAsia="zh-CN"/>
              </w:rPr>
              <w:t>条理</w:t>
            </w:r>
            <w:r>
              <w:rPr>
                <w:rFonts w:hint="eastAsia" w:ascii="宋体" w:hAnsi="宋体"/>
                <w:bCs/>
                <w:color w:val="auto"/>
                <w:kern w:val="0"/>
                <w:sz w:val="24"/>
                <w:szCs w:val="24"/>
                <w:highlight w:val="none"/>
                <w:lang w:val="en-US" w:eastAsia="zh-CN"/>
              </w:rPr>
              <w:t>混乱</w:t>
            </w:r>
            <w:r>
              <w:rPr>
                <w:rFonts w:hint="default" w:ascii="宋体" w:hAnsi="宋体"/>
                <w:bCs/>
                <w:color w:val="auto"/>
                <w:kern w:val="0"/>
                <w:sz w:val="24"/>
                <w:szCs w:val="24"/>
                <w:highlight w:val="none"/>
                <w:lang w:val="en-US" w:eastAsia="zh-CN"/>
              </w:rPr>
              <w:t>，与项目实际契合度</w:t>
            </w:r>
            <w:r>
              <w:rPr>
                <w:rFonts w:hint="eastAsia" w:ascii="宋体" w:hAnsi="宋体"/>
                <w:bCs/>
                <w:color w:val="auto"/>
                <w:kern w:val="0"/>
                <w:sz w:val="24"/>
                <w:szCs w:val="24"/>
                <w:highlight w:val="none"/>
                <w:lang w:val="en-US" w:eastAsia="zh-CN"/>
              </w:rPr>
              <w:t>较低</w:t>
            </w:r>
            <w:r>
              <w:rPr>
                <w:rFonts w:hint="default" w:ascii="宋体" w:hAnsi="宋体"/>
                <w:bCs/>
                <w:color w:val="auto"/>
                <w:kern w:val="0"/>
                <w:sz w:val="24"/>
                <w:szCs w:val="24"/>
                <w:highlight w:val="none"/>
                <w:lang w:val="en-US" w:eastAsia="zh-CN"/>
              </w:rPr>
              <w:t>，</w:t>
            </w:r>
            <w:r>
              <w:rPr>
                <w:rFonts w:hint="eastAsia" w:ascii="宋体" w:hAnsi="宋体"/>
                <w:bCs/>
                <w:color w:val="auto"/>
                <w:kern w:val="0"/>
                <w:sz w:val="24"/>
                <w:szCs w:val="24"/>
                <w:highlight w:val="none"/>
                <w:lang w:val="en-US" w:eastAsia="zh-CN"/>
              </w:rPr>
              <w:t>保障措施和处理措施简略</w:t>
            </w:r>
            <w:r>
              <w:rPr>
                <w:rFonts w:hint="default" w:ascii="宋体" w:hAnsi="宋体"/>
                <w:bCs/>
                <w:color w:val="auto"/>
                <w:kern w:val="0"/>
                <w:sz w:val="24"/>
                <w:szCs w:val="24"/>
                <w:highlight w:val="none"/>
                <w:lang w:val="en-US" w:eastAsia="zh-CN"/>
              </w:rPr>
              <w:t>，得</w:t>
            </w:r>
            <w:r>
              <w:rPr>
                <w:rFonts w:hint="eastAsia" w:ascii="宋体" w:hAnsi="宋体"/>
                <w:bCs/>
                <w:color w:val="auto"/>
                <w:kern w:val="0"/>
                <w:sz w:val="24"/>
                <w:szCs w:val="24"/>
                <w:highlight w:val="none"/>
                <w:lang w:val="en-US" w:eastAsia="zh-CN"/>
              </w:rPr>
              <w:t>1</w:t>
            </w:r>
            <w:r>
              <w:rPr>
                <w:rFonts w:hint="default" w:ascii="宋体" w:hAnsi="宋体"/>
                <w:bCs/>
                <w:color w:val="auto"/>
                <w:kern w:val="0"/>
                <w:sz w:val="24"/>
                <w:szCs w:val="24"/>
                <w:highlight w:val="none"/>
                <w:lang w:val="en-US" w:eastAsia="zh-CN"/>
              </w:rPr>
              <w:t>分</w:t>
            </w:r>
            <w:r>
              <w:rPr>
                <w:rFonts w:hint="eastAsia" w:ascii="宋体" w:hAnsi="宋体"/>
                <w:bCs/>
                <w:color w:val="auto"/>
                <w:kern w:val="0"/>
                <w:sz w:val="24"/>
                <w:szCs w:val="24"/>
                <w:highlight w:val="none"/>
                <w:lang w:val="en-US" w:eastAsia="zh-CN"/>
              </w:rPr>
              <w:t>；</w:t>
            </w:r>
          </w:p>
          <w:p>
            <w:pPr>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4.不提供则不得</w:t>
            </w:r>
            <w:r>
              <w:rPr>
                <w:rFonts w:hint="default" w:ascii="宋体" w:hAnsi="宋体"/>
                <w:bCs/>
                <w:color w:val="auto"/>
                <w:kern w:val="0"/>
                <w:sz w:val="24"/>
                <w:szCs w:val="24"/>
                <w:highlight w:val="none"/>
                <w:lang w:val="en-US" w:eastAsia="zh-CN"/>
              </w:rPr>
              <w:t>分。</w:t>
            </w:r>
          </w:p>
        </w:tc>
        <w:tc>
          <w:tcPr>
            <w:tcW w:w="951" w:type="dxa"/>
            <w:shd w:val="clear" w:color="auto" w:fill="FFFFFF"/>
            <w:vAlign w:val="center"/>
          </w:tcPr>
          <w:p>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1292" w:type="dxa"/>
            <w:vMerge w:val="restart"/>
            <w:shd w:val="clear" w:color="auto" w:fill="FFFFFF"/>
            <w:vAlign w:val="center"/>
          </w:tcPr>
          <w:p>
            <w:pPr>
              <w:jc w:val="center"/>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rPr>
              <w:t>商务标（</w:t>
            </w:r>
            <w:r>
              <w:rPr>
                <w:rFonts w:hint="eastAsia" w:ascii="宋体" w:hAnsi="宋体"/>
                <w:color w:val="auto"/>
                <w:kern w:val="0"/>
                <w:sz w:val="24"/>
                <w:szCs w:val="24"/>
                <w:highlight w:val="none"/>
                <w:lang w:val="en-US" w:eastAsia="zh-CN"/>
              </w:rPr>
              <w:t>35</w:t>
            </w:r>
            <w:r>
              <w:rPr>
                <w:rFonts w:hint="eastAsia" w:ascii="宋体" w:hAnsi="宋体"/>
                <w:color w:val="auto"/>
                <w:kern w:val="0"/>
                <w:sz w:val="24"/>
                <w:szCs w:val="24"/>
                <w:highlight w:val="none"/>
              </w:rPr>
              <w:t>分）</w:t>
            </w:r>
          </w:p>
        </w:tc>
        <w:tc>
          <w:tcPr>
            <w:tcW w:w="1741" w:type="dxa"/>
            <w:shd w:val="clear" w:color="auto" w:fill="FFFFFF"/>
            <w:vAlign w:val="center"/>
          </w:tcPr>
          <w:p>
            <w:pP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rPr>
              <w:t>业绩（</w:t>
            </w:r>
            <w:r>
              <w:rPr>
                <w:rFonts w:hint="eastAsia" w:ascii="宋体" w:hAnsi="宋体"/>
                <w:bCs/>
                <w:color w:val="auto"/>
                <w:kern w:val="0"/>
                <w:sz w:val="24"/>
                <w:szCs w:val="24"/>
                <w:highlight w:val="none"/>
                <w:lang w:val="en-US" w:eastAsia="zh-CN"/>
              </w:rPr>
              <w:t>8</w:t>
            </w:r>
            <w:r>
              <w:rPr>
                <w:rFonts w:hint="eastAsia" w:ascii="宋体" w:hAnsi="宋体"/>
                <w:bCs/>
                <w:color w:val="auto"/>
                <w:kern w:val="0"/>
                <w:sz w:val="24"/>
                <w:szCs w:val="24"/>
                <w:highlight w:val="none"/>
              </w:rPr>
              <w:t>分）</w:t>
            </w:r>
          </w:p>
        </w:tc>
        <w:tc>
          <w:tcPr>
            <w:tcW w:w="5772" w:type="dxa"/>
            <w:shd w:val="clear" w:color="auto" w:fill="FFFFFF"/>
            <w:vAlign w:val="center"/>
          </w:tcPr>
          <w:p>
            <w:pPr>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提供2021年1月1日以来承担过类似项目业绩，每提供一项业绩得2分，该项最多得8分；不提供则不得分；（注：1.以合同签订时间为准，需提供中标通标书或合同原件扫描件附在投标文件中；）</w:t>
            </w:r>
          </w:p>
        </w:tc>
        <w:tc>
          <w:tcPr>
            <w:tcW w:w="951" w:type="dxa"/>
            <w:shd w:val="clear" w:color="auto" w:fill="FFFFFF"/>
            <w:vAlign w:val="center"/>
          </w:tcPr>
          <w:p>
            <w:pPr>
              <w:jc w:val="cente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8</w:t>
            </w:r>
            <w:r>
              <w:rPr>
                <w:rFonts w:hint="eastAsia" w:ascii="宋体" w:hAnsi="宋体"/>
                <w:bCs/>
                <w:color w:val="auto"/>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1292" w:type="dxa"/>
            <w:vMerge w:val="continue"/>
            <w:shd w:val="clear" w:color="auto" w:fill="FFFFFF"/>
            <w:vAlign w:val="center"/>
          </w:tcPr>
          <w:p>
            <w:pPr>
              <w:jc w:val="center"/>
              <w:rPr>
                <w:rFonts w:hint="eastAsia" w:ascii="宋体" w:hAnsi="宋体"/>
                <w:color w:val="auto"/>
                <w:kern w:val="0"/>
                <w:sz w:val="24"/>
                <w:szCs w:val="24"/>
                <w:highlight w:val="none"/>
              </w:rPr>
            </w:pPr>
          </w:p>
        </w:tc>
        <w:tc>
          <w:tcPr>
            <w:tcW w:w="1741" w:type="dxa"/>
            <w:shd w:val="clear" w:color="auto" w:fill="FFFFFF"/>
            <w:vAlign w:val="center"/>
          </w:tcPr>
          <w:p>
            <w:pPr>
              <w:jc w:val="cente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供应商实力</w:t>
            </w:r>
          </w:p>
          <w:p>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lang w:val="en-US" w:eastAsia="zh-CN"/>
              </w:rPr>
              <w:t>（7分）</w:t>
            </w:r>
          </w:p>
        </w:tc>
        <w:tc>
          <w:tcPr>
            <w:tcW w:w="5772" w:type="dxa"/>
            <w:shd w:val="clear" w:color="auto" w:fill="FFFFFF"/>
            <w:vAlign w:val="center"/>
          </w:tcPr>
          <w:p>
            <w:pPr>
              <w:jc w:val="left"/>
              <w:rPr>
                <w:rFonts w:hint="eastAsia" w:ascii="宋体" w:hAnsi="宋体"/>
                <w:bCs/>
                <w:color w:val="auto"/>
                <w:kern w:val="0"/>
                <w:sz w:val="24"/>
                <w:szCs w:val="24"/>
                <w:highlight w:val="none"/>
              </w:rPr>
            </w:pP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具有生态环境类省部级重点实验室的，每提供一个得2分；具有生态环境类</w:t>
            </w:r>
            <w:r>
              <w:rPr>
                <w:rFonts w:ascii="Times New Roman" w:hAnsi="Times New Roman" w:eastAsia="宋体" w:cs="Times New Roman"/>
                <w:color w:val="auto"/>
                <w:sz w:val="24"/>
                <w:highlight w:val="none"/>
              </w:rPr>
              <w:t>市级重点实验室的，</w:t>
            </w:r>
            <w:r>
              <w:rPr>
                <w:rFonts w:hint="eastAsia" w:ascii="Times New Roman" w:hAnsi="Times New Roman" w:eastAsia="宋体" w:cs="Times New Roman"/>
                <w:color w:val="auto"/>
                <w:sz w:val="24"/>
                <w:highlight w:val="none"/>
                <w:lang w:val="en-US" w:eastAsia="zh-CN"/>
              </w:rPr>
              <w:t>每提供一</w:t>
            </w:r>
            <w:r>
              <w:rPr>
                <w:rFonts w:hint="eastAsia" w:ascii="宋体" w:hAnsi="宋体" w:eastAsia="宋体" w:cs="宋体"/>
                <w:color w:val="auto"/>
                <w:sz w:val="24"/>
                <w:highlight w:val="none"/>
                <w:lang w:val="en-US" w:eastAsia="zh-CN"/>
              </w:rPr>
              <w:t>个得1分；本项最高累计得</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分。（注：1.</w:t>
            </w:r>
            <w:r>
              <w:rPr>
                <w:rFonts w:hint="eastAsia" w:ascii="宋体" w:hAnsi="宋体" w:eastAsia="宋体" w:cs="宋体"/>
                <w:color w:val="auto"/>
                <w:sz w:val="24"/>
                <w:szCs w:val="24"/>
                <w:highlight w:val="none"/>
                <w:lang w:val="en-US" w:eastAsia="zh-CN"/>
              </w:rPr>
              <w:t>需提供</w:t>
            </w:r>
            <w:r>
              <w:rPr>
                <w:rFonts w:hint="eastAsia" w:cs="宋体"/>
                <w:color w:val="auto"/>
                <w:sz w:val="24"/>
                <w:szCs w:val="24"/>
                <w:highlight w:val="none"/>
                <w:lang w:val="en-US" w:eastAsia="zh-CN"/>
              </w:rPr>
              <w:t>相关</w:t>
            </w:r>
            <w:r>
              <w:rPr>
                <w:rFonts w:hint="eastAsia" w:ascii="宋体" w:hAnsi="宋体" w:eastAsia="宋体" w:cs="宋体"/>
                <w:color w:val="auto"/>
                <w:sz w:val="24"/>
                <w:szCs w:val="24"/>
                <w:highlight w:val="none"/>
                <w:lang w:val="en-US" w:eastAsia="zh-CN"/>
              </w:rPr>
              <w:t>证明材料附在投标文件中；</w:t>
            </w:r>
            <w:r>
              <w:rPr>
                <w:rFonts w:hint="eastAsia" w:ascii="宋体" w:hAnsi="宋体" w:cs="宋体"/>
                <w:color w:val="auto"/>
                <w:sz w:val="24"/>
                <w:szCs w:val="24"/>
                <w:highlight w:val="none"/>
                <w:lang w:val="en-US" w:eastAsia="zh-CN"/>
              </w:rPr>
              <w:t>）</w:t>
            </w:r>
          </w:p>
        </w:tc>
        <w:tc>
          <w:tcPr>
            <w:tcW w:w="951" w:type="dxa"/>
            <w:shd w:val="clear" w:color="auto" w:fill="FFFFFF"/>
            <w:vAlign w:val="center"/>
          </w:tcPr>
          <w:p>
            <w:pPr>
              <w:jc w:val="center"/>
              <w:rPr>
                <w:rFonts w:hint="default"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0-7分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1292" w:type="dxa"/>
            <w:vMerge w:val="continue"/>
            <w:shd w:val="clear" w:color="auto" w:fill="FFFFFF"/>
            <w:vAlign w:val="center"/>
          </w:tcPr>
          <w:p>
            <w:pPr>
              <w:jc w:val="center"/>
              <w:rPr>
                <w:rFonts w:hint="eastAsia" w:ascii="宋体" w:hAnsi="宋体" w:eastAsia="宋体"/>
                <w:color w:val="auto"/>
                <w:kern w:val="0"/>
                <w:sz w:val="24"/>
                <w:szCs w:val="24"/>
                <w:highlight w:val="none"/>
              </w:rPr>
            </w:pPr>
          </w:p>
        </w:tc>
        <w:tc>
          <w:tcPr>
            <w:tcW w:w="1741" w:type="dxa"/>
            <w:shd w:val="clear" w:color="auto" w:fill="FFFFFF"/>
            <w:vAlign w:val="center"/>
          </w:tcPr>
          <w:p>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项目负责人和技术负责人</w:t>
            </w:r>
            <w:r>
              <w:rPr>
                <w:rFonts w:ascii="宋体" w:hAnsi="宋体"/>
                <w:bCs/>
                <w:color w:val="auto"/>
                <w:kern w:val="0"/>
                <w:sz w:val="24"/>
                <w:szCs w:val="24"/>
                <w:highlight w:val="none"/>
              </w:rPr>
              <w:br w:type="textWrapping"/>
            </w:r>
            <w:r>
              <w:rPr>
                <w:rFonts w:hint="eastAsia" w:ascii="宋体" w:hAnsi="宋体"/>
                <w:bCs/>
                <w:color w:val="auto"/>
                <w:kern w:val="0"/>
                <w:sz w:val="24"/>
                <w:szCs w:val="24"/>
                <w:highlight w:val="none"/>
              </w:rPr>
              <w:t>（</w:t>
            </w:r>
            <w:r>
              <w:rPr>
                <w:rFonts w:hint="eastAsia" w:ascii="宋体" w:hAnsi="宋体"/>
                <w:bCs/>
                <w:color w:val="auto"/>
                <w:kern w:val="0"/>
                <w:sz w:val="24"/>
                <w:szCs w:val="24"/>
                <w:highlight w:val="none"/>
                <w:lang w:val="en-US" w:eastAsia="zh-CN"/>
              </w:rPr>
              <w:t>4</w:t>
            </w:r>
            <w:r>
              <w:rPr>
                <w:rFonts w:hint="eastAsia" w:ascii="宋体" w:hAnsi="宋体"/>
                <w:bCs/>
                <w:color w:val="auto"/>
                <w:kern w:val="0"/>
                <w:sz w:val="24"/>
                <w:szCs w:val="24"/>
                <w:highlight w:val="none"/>
              </w:rPr>
              <w:t>分）</w:t>
            </w:r>
          </w:p>
        </w:tc>
        <w:tc>
          <w:tcPr>
            <w:tcW w:w="5772" w:type="dxa"/>
            <w:shd w:val="clear" w:color="auto" w:fill="FFFFFF"/>
            <w:vAlign w:val="center"/>
          </w:tcPr>
          <w:p>
            <w:pPr>
              <w:rPr>
                <w:rFonts w:ascii="宋体" w:hAnsi="宋体"/>
                <w:bCs/>
                <w:color w:val="auto"/>
                <w:kern w:val="0"/>
                <w:sz w:val="24"/>
                <w:szCs w:val="24"/>
                <w:highlight w:val="none"/>
              </w:rPr>
            </w:pPr>
            <w:r>
              <w:rPr>
                <w:rFonts w:hint="eastAsia" w:ascii="宋体" w:hAnsi="宋体"/>
                <w:bCs/>
                <w:color w:val="auto"/>
                <w:kern w:val="0"/>
                <w:sz w:val="24"/>
                <w:szCs w:val="24"/>
                <w:highlight w:val="none"/>
                <w:lang w:val="en-US" w:eastAsia="zh-CN"/>
              </w:rPr>
              <w:t>1、</w:t>
            </w:r>
            <w:r>
              <w:rPr>
                <w:rFonts w:hint="eastAsia" w:ascii="宋体" w:hAnsi="宋体"/>
                <w:bCs/>
                <w:color w:val="auto"/>
                <w:kern w:val="0"/>
                <w:sz w:val="24"/>
                <w:szCs w:val="24"/>
                <w:highlight w:val="none"/>
              </w:rPr>
              <w:t>供应商项目负责人具有</w:t>
            </w:r>
            <w:r>
              <w:rPr>
                <w:rFonts w:hint="eastAsia" w:cs="宋体"/>
                <w:color w:val="auto"/>
                <w:sz w:val="24"/>
                <w:szCs w:val="24"/>
                <w:highlight w:val="none"/>
                <w:lang w:val="en-US" w:eastAsia="zh-CN"/>
              </w:rPr>
              <w:t>环境类</w:t>
            </w:r>
            <w:r>
              <w:rPr>
                <w:rFonts w:hint="eastAsia" w:ascii="宋体" w:hAnsi="宋体" w:eastAsia="宋体" w:cs="宋体"/>
                <w:color w:val="auto"/>
                <w:sz w:val="24"/>
                <w:szCs w:val="24"/>
                <w:highlight w:val="none"/>
                <w:lang w:val="en-US" w:eastAsia="zh-CN"/>
              </w:rPr>
              <w:t>相关专业</w:t>
            </w:r>
            <w:r>
              <w:rPr>
                <w:rFonts w:hint="eastAsia" w:ascii="宋体" w:hAnsi="宋体"/>
                <w:bCs/>
                <w:color w:val="auto"/>
                <w:kern w:val="0"/>
                <w:sz w:val="24"/>
                <w:szCs w:val="24"/>
                <w:highlight w:val="none"/>
              </w:rPr>
              <w:t>副高级以上（含副高级）职称的得</w:t>
            </w:r>
            <w:r>
              <w:rPr>
                <w:rFonts w:hint="eastAsia" w:ascii="宋体" w:hAnsi="宋体"/>
                <w:bCs/>
                <w:color w:val="auto"/>
                <w:kern w:val="0"/>
                <w:sz w:val="24"/>
                <w:szCs w:val="24"/>
                <w:highlight w:val="none"/>
                <w:lang w:val="en-US" w:eastAsia="zh-CN"/>
              </w:rPr>
              <w:t>2</w:t>
            </w:r>
            <w:r>
              <w:rPr>
                <w:rFonts w:hint="eastAsia" w:ascii="宋体" w:hAnsi="宋体"/>
                <w:bCs/>
                <w:color w:val="auto"/>
                <w:kern w:val="0"/>
                <w:sz w:val="24"/>
                <w:szCs w:val="24"/>
                <w:highlight w:val="none"/>
              </w:rPr>
              <w:t>分。</w:t>
            </w:r>
          </w:p>
          <w:p>
            <w:pP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2、</w:t>
            </w:r>
            <w:r>
              <w:rPr>
                <w:rFonts w:hint="eastAsia" w:ascii="宋体" w:hAnsi="宋体"/>
                <w:bCs/>
                <w:color w:val="auto"/>
                <w:kern w:val="0"/>
                <w:sz w:val="24"/>
                <w:szCs w:val="24"/>
                <w:highlight w:val="none"/>
              </w:rPr>
              <w:t>供应商</w:t>
            </w:r>
            <w:r>
              <w:rPr>
                <w:rFonts w:hint="eastAsia" w:ascii="宋体" w:hAnsi="宋体"/>
                <w:bCs/>
                <w:color w:val="auto"/>
                <w:kern w:val="0"/>
                <w:sz w:val="24"/>
                <w:szCs w:val="24"/>
                <w:highlight w:val="none"/>
                <w:lang w:eastAsia="zh-CN"/>
              </w:rPr>
              <w:t>技</w:t>
            </w:r>
            <w:r>
              <w:rPr>
                <w:rFonts w:hint="eastAsia" w:ascii="宋体" w:hAnsi="宋体"/>
                <w:bCs/>
                <w:color w:val="auto"/>
                <w:kern w:val="0"/>
                <w:sz w:val="24"/>
                <w:szCs w:val="24"/>
                <w:highlight w:val="none"/>
              </w:rPr>
              <w:t>术负责人具有</w:t>
            </w:r>
            <w:r>
              <w:rPr>
                <w:rFonts w:hint="eastAsia" w:cs="宋体"/>
                <w:color w:val="auto"/>
                <w:sz w:val="24"/>
                <w:szCs w:val="24"/>
                <w:highlight w:val="none"/>
                <w:lang w:val="en-US" w:eastAsia="zh-CN"/>
              </w:rPr>
              <w:t>环境类</w:t>
            </w:r>
            <w:r>
              <w:rPr>
                <w:rFonts w:hint="eastAsia" w:ascii="宋体" w:hAnsi="宋体" w:eastAsia="宋体" w:cs="宋体"/>
                <w:color w:val="auto"/>
                <w:sz w:val="24"/>
                <w:szCs w:val="24"/>
                <w:highlight w:val="none"/>
                <w:lang w:val="en-US" w:eastAsia="zh-CN"/>
              </w:rPr>
              <w:t>相关专业</w:t>
            </w:r>
            <w:r>
              <w:rPr>
                <w:rFonts w:hint="eastAsia" w:ascii="宋体" w:hAnsi="宋体"/>
                <w:bCs/>
                <w:color w:val="auto"/>
                <w:kern w:val="0"/>
                <w:sz w:val="24"/>
                <w:szCs w:val="24"/>
                <w:highlight w:val="none"/>
              </w:rPr>
              <w:t>副高级以上（含副高级）职称的得</w:t>
            </w:r>
            <w:r>
              <w:rPr>
                <w:rFonts w:hint="eastAsia" w:ascii="宋体" w:hAnsi="宋体"/>
                <w:bCs/>
                <w:color w:val="auto"/>
                <w:kern w:val="0"/>
                <w:sz w:val="24"/>
                <w:szCs w:val="24"/>
                <w:highlight w:val="none"/>
                <w:lang w:val="en-US" w:eastAsia="zh-CN"/>
              </w:rPr>
              <w:t>2分；</w:t>
            </w:r>
          </w:p>
          <w:p>
            <w:pPr>
              <w:rPr>
                <w:rFonts w:ascii="宋体" w:hAnsi="宋体"/>
                <w:bCs/>
                <w:color w:val="auto"/>
                <w:kern w:val="0"/>
                <w:sz w:val="24"/>
                <w:szCs w:val="24"/>
                <w:highlight w:val="none"/>
              </w:rPr>
            </w:pPr>
            <w:r>
              <w:rPr>
                <w:rFonts w:hint="eastAsia" w:ascii="宋体" w:hAnsi="宋体"/>
                <w:bCs/>
                <w:color w:val="auto"/>
                <w:kern w:val="0"/>
                <w:sz w:val="24"/>
                <w:szCs w:val="24"/>
                <w:highlight w:val="none"/>
              </w:rPr>
              <w:t>需提供人员身份证、职称证、毕业证、单位缴纳社保证明的复印件，</w:t>
            </w:r>
            <w:r>
              <w:rPr>
                <w:rFonts w:hint="eastAsia" w:ascii="宋体" w:hAnsi="宋体"/>
                <w:bCs/>
                <w:color w:val="auto"/>
                <w:kern w:val="0"/>
                <w:sz w:val="24"/>
                <w:szCs w:val="24"/>
                <w:highlight w:val="none"/>
                <w:lang w:eastAsia="zh-CN"/>
              </w:rPr>
              <w:t>并</w:t>
            </w:r>
            <w:r>
              <w:rPr>
                <w:rFonts w:hint="eastAsia" w:ascii="宋体" w:hAnsi="宋体"/>
                <w:bCs/>
                <w:color w:val="auto"/>
                <w:kern w:val="0"/>
                <w:sz w:val="24"/>
                <w:szCs w:val="24"/>
                <w:highlight w:val="none"/>
              </w:rPr>
              <w:t>加盖公章</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highlight w:val="none"/>
              </w:rPr>
              <w:t>未提供的不得分。</w:t>
            </w:r>
          </w:p>
          <w:p>
            <w:pPr>
              <w:rPr>
                <w:rFonts w:hint="eastAsia" w:ascii="宋体" w:hAnsi="宋体" w:eastAsia="宋体"/>
                <w:bCs/>
                <w:color w:val="auto"/>
                <w:kern w:val="0"/>
                <w:sz w:val="24"/>
                <w:szCs w:val="24"/>
                <w:highlight w:val="none"/>
                <w:lang w:eastAsia="zh-CN"/>
              </w:rPr>
            </w:pPr>
            <w:r>
              <w:rPr>
                <w:rFonts w:hint="eastAsia" w:ascii="宋体" w:hAnsi="宋体"/>
                <w:bCs/>
                <w:color w:val="auto"/>
                <w:kern w:val="0"/>
                <w:sz w:val="24"/>
                <w:szCs w:val="24"/>
                <w:highlight w:val="none"/>
                <w:lang w:eastAsia="zh-CN"/>
              </w:rPr>
              <w:t>以上人员</w:t>
            </w:r>
            <w:r>
              <w:rPr>
                <w:rFonts w:hint="eastAsia" w:ascii="宋体" w:hAnsi="宋体"/>
                <w:bCs/>
                <w:color w:val="auto"/>
                <w:kern w:val="0"/>
                <w:sz w:val="24"/>
                <w:szCs w:val="24"/>
                <w:highlight w:val="none"/>
              </w:rPr>
              <w:t>不</w:t>
            </w:r>
            <w:r>
              <w:rPr>
                <w:rFonts w:hint="eastAsia" w:ascii="宋体" w:hAnsi="宋体"/>
                <w:bCs/>
                <w:color w:val="auto"/>
                <w:kern w:val="0"/>
                <w:sz w:val="24"/>
                <w:szCs w:val="24"/>
                <w:highlight w:val="none"/>
                <w:lang w:eastAsia="zh-CN"/>
              </w:rPr>
              <w:t>得</w:t>
            </w:r>
            <w:r>
              <w:rPr>
                <w:rFonts w:hint="eastAsia" w:ascii="宋体" w:hAnsi="宋体"/>
                <w:bCs/>
                <w:color w:val="auto"/>
                <w:kern w:val="0"/>
                <w:sz w:val="24"/>
                <w:szCs w:val="24"/>
                <w:highlight w:val="none"/>
              </w:rPr>
              <w:t>重复计分,仅计分一次。</w:t>
            </w:r>
          </w:p>
        </w:tc>
        <w:tc>
          <w:tcPr>
            <w:tcW w:w="951" w:type="dxa"/>
            <w:shd w:val="clear" w:color="auto" w:fill="FFFFFF"/>
            <w:vAlign w:val="center"/>
          </w:tcPr>
          <w:p>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4</w:t>
            </w:r>
            <w:r>
              <w:rPr>
                <w:rFonts w:hint="eastAsia" w:ascii="宋体" w:hAnsi="宋体"/>
                <w:bCs/>
                <w:color w:val="auto"/>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1292" w:type="dxa"/>
            <w:vMerge w:val="continue"/>
            <w:shd w:val="clear" w:color="auto" w:fill="FFFFFF"/>
            <w:vAlign w:val="center"/>
          </w:tcPr>
          <w:p>
            <w:pPr>
              <w:jc w:val="center"/>
              <w:rPr>
                <w:rFonts w:hint="eastAsia" w:ascii="宋体" w:hAnsi="宋体" w:eastAsia="宋体"/>
                <w:color w:val="auto"/>
                <w:kern w:val="0"/>
                <w:sz w:val="24"/>
                <w:szCs w:val="24"/>
                <w:highlight w:val="none"/>
              </w:rPr>
            </w:pPr>
          </w:p>
        </w:tc>
        <w:tc>
          <w:tcPr>
            <w:tcW w:w="1741" w:type="dxa"/>
            <w:shd w:val="clear" w:color="auto" w:fill="FFFFFF"/>
            <w:vAlign w:val="center"/>
          </w:tcPr>
          <w:p>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项目其他成员（1</w:t>
            </w:r>
            <w:r>
              <w:rPr>
                <w:rFonts w:hint="eastAsia" w:ascii="宋体" w:hAnsi="宋体"/>
                <w:bCs/>
                <w:color w:val="auto"/>
                <w:kern w:val="0"/>
                <w:sz w:val="24"/>
                <w:szCs w:val="24"/>
                <w:highlight w:val="none"/>
                <w:lang w:val="en-US" w:eastAsia="zh-CN"/>
              </w:rPr>
              <w:t>2</w:t>
            </w:r>
            <w:r>
              <w:rPr>
                <w:rFonts w:hint="eastAsia" w:ascii="宋体" w:hAnsi="宋体"/>
                <w:bCs/>
                <w:color w:val="auto"/>
                <w:kern w:val="0"/>
                <w:sz w:val="24"/>
                <w:szCs w:val="24"/>
                <w:highlight w:val="none"/>
              </w:rPr>
              <w:t>分）</w:t>
            </w:r>
          </w:p>
        </w:tc>
        <w:tc>
          <w:tcPr>
            <w:tcW w:w="5772" w:type="dxa"/>
            <w:shd w:val="clear" w:color="auto" w:fill="FFFFFF"/>
            <w:vAlign w:val="center"/>
          </w:tcPr>
          <w:p>
            <w:pPr>
              <w:rPr>
                <w:rFonts w:hint="eastAsia" w:ascii="宋体" w:hAnsi="宋体"/>
                <w:bCs/>
                <w:color w:val="auto"/>
                <w:kern w:val="0"/>
                <w:sz w:val="24"/>
                <w:szCs w:val="24"/>
                <w:highlight w:val="none"/>
                <w:lang w:eastAsia="zh-CN"/>
              </w:rPr>
            </w:pPr>
            <w:r>
              <w:rPr>
                <w:rFonts w:hint="eastAsia" w:ascii="宋体" w:hAnsi="宋体"/>
                <w:bCs/>
                <w:color w:val="auto"/>
                <w:kern w:val="0"/>
                <w:sz w:val="24"/>
                <w:szCs w:val="24"/>
                <w:highlight w:val="none"/>
              </w:rPr>
              <w:t>除项目负责人和技术负责人外，项目团队成员中具有</w:t>
            </w:r>
            <w:r>
              <w:rPr>
                <w:rFonts w:hint="eastAsia" w:cs="宋体"/>
                <w:color w:val="auto"/>
                <w:sz w:val="24"/>
                <w:szCs w:val="24"/>
                <w:highlight w:val="none"/>
                <w:lang w:val="en-US" w:eastAsia="zh-CN"/>
              </w:rPr>
              <w:t>环境类</w:t>
            </w:r>
            <w:r>
              <w:rPr>
                <w:rFonts w:hint="eastAsia" w:ascii="宋体" w:hAnsi="宋体" w:eastAsia="宋体" w:cs="宋体"/>
                <w:color w:val="auto"/>
                <w:sz w:val="24"/>
                <w:szCs w:val="24"/>
                <w:highlight w:val="none"/>
                <w:lang w:val="en-US" w:eastAsia="zh-CN"/>
              </w:rPr>
              <w:t>相关专业</w:t>
            </w:r>
            <w:r>
              <w:rPr>
                <w:rFonts w:hint="eastAsia" w:ascii="宋体" w:hAnsi="宋体"/>
                <w:bCs/>
                <w:color w:val="auto"/>
                <w:kern w:val="0"/>
                <w:sz w:val="24"/>
                <w:szCs w:val="24"/>
                <w:highlight w:val="none"/>
              </w:rPr>
              <w:t>副高级及以上职称</w:t>
            </w:r>
            <w:r>
              <w:rPr>
                <w:rFonts w:hint="eastAsia" w:ascii="宋体" w:hAnsi="宋体"/>
                <w:bCs/>
                <w:color w:val="auto"/>
                <w:kern w:val="0"/>
                <w:sz w:val="24"/>
                <w:szCs w:val="24"/>
                <w:highlight w:val="none"/>
                <w:lang w:eastAsia="zh-CN"/>
              </w:rPr>
              <w:t>的</w:t>
            </w:r>
            <w:r>
              <w:rPr>
                <w:rFonts w:hint="eastAsia" w:ascii="宋体" w:hAnsi="宋体"/>
                <w:bCs/>
                <w:color w:val="auto"/>
                <w:kern w:val="0"/>
                <w:sz w:val="24"/>
                <w:szCs w:val="24"/>
                <w:highlight w:val="none"/>
              </w:rPr>
              <w:t>每人得1分，中级职称的每人得0.5分，最高得</w:t>
            </w:r>
            <w:r>
              <w:rPr>
                <w:rFonts w:hint="eastAsia" w:ascii="宋体" w:hAnsi="宋体"/>
                <w:bCs/>
                <w:color w:val="auto"/>
                <w:kern w:val="0"/>
                <w:sz w:val="24"/>
                <w:szCs w:val="24"/>
                <w:highlight w:val="none"/>
                <w:lang w:val="en-US" w:eastAsia="zh-CN"/>
              </w:rPr>
              <w:t>12</w:t>
            </w:r>
            <w:r>
              <w:rPr>
                <w:rFonts w:hint="eastAsia" w:ascii="宋体" w:hAnsi="宋体"/>
                <w:bCs/>
                <w:color w:val="auto"/>
                <w:kern w:val="0"/>
                <w:sz w:val="24"/>
                <w:szCs w:val="24"/>
                <w:highlight w:val="none"/>
              </w:rPr>
              <w:t>分</w:t>
            </w:r>
            <w:r>
              <w:rPr>
                <w:rFonts w:hint="eastAsia" w:ascii="宋体" w:hAnsi="宋体"/>
                <w:bCs/>
                <w:color w:val="auto"/>
                <w:kern w:val="0"/>
                <w:sz w:val="24"/>
                <w:szCs w:val="24"/>
                <w:highlight w:val="none"/>
                <w:lang w:eastAsia="zh-CN"/>
              </w:rPr>
              <w:t>；</w:t>
            </w:r>
          </w:p>
          <w:p>
            <w:pPr>
              <w:rPr>
                <w:rFonts w:ascii="宋体" w:hAnsi="宋体"/>
                <w:bCs/>
                <w:color w:val="auto"/>
                <w:kern w:val="0"/>
                <w:sz w:val="24"/>
                <w:szCs w:val="24"/>
                <w:highlight w:val="none"/>
              </w:rPr>
            </w:pPr>
            <w:r>
              <w:rPr>
                <w:rFonts w:hint="eastAsia" w:ascii="宋体" w:hAnsi="宋体"/>
                <w:bCs/>
                <w:color w:val="auto"/>
                <w:kern w:val="0"/>
                <w:sz w:val="24"/>
                <w:szCs w:val="24"/>
                <w:highlight w:val="none"/>
              </w:rPr>
              <w:t>需提供人员身份证、职称证、单位缴纳社保证明的复印件，</w:t>
            </w:r>
            <w:r>
              <w:rPr>
                <w:rFonts w:hint="eastAsia" w:ascii="宋体" w:hAnsi="宋体"/>
                <w:bCs/>
                <w:color w:val="auto"/>
                <w:kern w:val="0"/>
                <w:sz w:val="24"/>
                <w:szCs w:val="24"/>
                <w:highlight w:val="none"/>
                <w:lang w:eastAsia="zh-CN"/>
              </w:rPr>
              <w:t>并</w:t>
            </w:r>
            <w:r>
              <w:rPr>
                <w:rFonts w:hint="eastAsia" w:ascii="宋体" w:hAnsi="宋体"/>
                <w:bCs/>
                <w:color w:val="auto"/>
                <w:kern w:val="0"/>
                <w:sz w:val="24"/>
                <w:szCs w:val="24"/>
                <w:highlight w:val="none"/>
              </w:rPr>
              <w:t>加盖公章，否则不得分。</w:t>
            </w:r>
          </w:p>
          <w:p>
            <w:pP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lang w:eastAsia="zh-CN"/>
              </w:rPr>
              <w:t>以上人员</w:t>
            </w:r>
            <w:r>
              <w:rPr>
                <w:rFonts w:hint="eastAsia" w:ascii="宋体" w:hAnsi="宋体"/>
                <w:bCs/>
                <w:color w:val="auto"/>
                <w:kern w:val="0"/>
                <w:sz w:val="24"/>
                <w:szCs w:val="24"/>
                <w:highlight w:val="none"/>
              </w:rPr>
              <w:t>不</w:t>
            </w:r>
            <w:r>
              <w:rPr>
                <w:rFonts w:hint="eastAsia" w:ascii="宋体" w:hAnsi="宋体"/>
                <w:bCs/>
                <w:color w:val="auto"/>
                <w:kern w:val="0"/>
                <w:sz w:val="24"/>
                <w:szCs w:val="24"/>
                <w:highlight w:val="none"/>
                <w:lang w:eastAsia="zh-CN"/>
              </w:rPr>
              <w:t>得</w:t>
            </w:r>
            <w:r>
              <w:rPr>
                <w:rFonts w:hint="eastAsia" w:ascii="宋体" w:hAnsi="宋体"/>
                <w:bCs/>
                <w:color w:val="auto"/>
                <w:kern w:val="0"/>
                <w:sz w:val="24"/>
                <w:szCs w:val="24"/>
                <w:highlight w:val="none"/>
              </w:rPr>
              <w:t>重复计分,仅计分一次。</w:t>
            </w:r>
          </w:p>
        </w:tc>
        <w:tc>
          <w:tcPr>
            <w:tcW w:w="951" w:type="dxa"/>
            <w:shd w:val="clear" w:color="auto" w:fill="FFFFFF"/>
            <w:vAlign w:val="center"/>
          </w:tcPr>
          <w:p>
            <w:pPr>
              <w:jc w:val="cente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12</w:t>
            </w:r>
            <w:r>
              <w:rPr>
                <w:rFonts w:hint="eastAsia" w:ascii="宋体" w:hAnsi="宋体"/>
                <w:bCs/>
                <w:color w:val="auto"/>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292" w:type="dxa"/>
            <w:vMerge w:val="continue"/>
            <w:shd w:val="clear" w:color="auto" w:fill="FFFFFF"/>
            <w:vAlign w:val="center"/>
          </w:tcPr>
          <w:p>
            <w:pPr>
              <w:jc w:val="center"/>
              <w:rPr>
                <w:rFonts w:hint="eastAsia" w:ascii="宋体" w:hAnsi="宋体" w:eastAsia="宋体"/>
                <w:b/>
                <w:color w:val="auto"/>
                <w:kern w:val="0"/>
                <w:sz w:val="24"/>
                <w:szCs w:val="24"/>
                <w:highlight w:val="none"/>
                <w:lang w:val="en-US" w:eastAsia="zh-CN"/>
              </w:rPr>
            </w:pPr>
          </w:p>
        </w:tc>
        <w:tc>
          <w:tcPr>
            <w:tcW w:w="1741" w:type="dxa"/>
            <w:shd w:val="clear" w:color="auto" w:fill="FFFFFF"/>
            <w:vAlign w:val="center"/>
          </w:tcPr>
          <w:p>
            <w:pPr>
              <w:keepNext w:val="0"/>
              <w:keepLines w:val="0"/>
              <w:pageBreakBefore w:val="0"/>
              <w:kinsoku/>
              <w:wordWrap w:val="0"/>
              <w:overflowPunct/>
              <w:topLinePunct w:val="0"/>
              <w:bidi w:val="0"/>
              <w:spacing w:line="380" w:lineRule="exact"/>
              <w:jc w:val="center"/>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服务承诺</w:t>
            </w:r>
          </w:p>
          <w:p>
            <w:pPr>
              <w:pStyle w:val="11"/>
              <w:ind w:left="0" w:leftChars="0" w:firstLine="0" w:firstLineChars="0"/>
              <w:jc w:val="center"/>
              <w:rPr>
                <w:color w:val="auto"/>
                <w:highlight w:val="none"/>
              </w:rPr>
            </w:pPr>
            <w:r>
              <w:rPr>
                <w:rFonts w:hint="eastAsia" w:cs="宋体"/>
                <w:color w:val="auto"/>
                <w:sz w:val="24"/>
                <w:szCs w:val="24"/>
                <w:highlight w:val="none"/>
                <w:lang w:val="en-US" w:eastAsia="zh-CN"/>
              </w:rPr>
              <w:t>（4分）</w:t>
            </w:r>
          </w:p>
        </w:tc>
        <w:tc>
          <w:tcPr>
            <w:tcW w:w="5772" w:type="dxa"/>
            <w:shd w:val="clear" w:color="auto" w:fill="FFFFFF"/>
            <w:vAlign w:val="center"/>
          </w:tcPr>
          <w:p>
            <w:pP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结合本项目的实际情况，需提供服务承诺及责任措施：</w:t>
            </w:r>
          </w:p>
          <w:p>
            <w:pP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1.服务承诺完善，责任措施明确具体，得4分；</w:t>
            </w:r>
          </w:p>
          <w:p>
            <w:pP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2.服务承诺基本完善，责任措施基本明确、较为具体，得3分；</w:t>
            </w:r>
          </w:p>
          <w:p>
            <w:pPr>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3.服务承诺不完善，责任措施不明确、简略，得1分；</w:t>
            </w:r>
          </w:p>
          <w:p>
            <w:pPr>
              <w:rPr>
                <w:rFonts w:hint="eastAsia" w:ascii="宋体" w:hAnsi="宋体"/>
                <w:bCs/>
                <w:color w:val="auto"/>
                <w:kern w:val="0"/>
                <w:sz w:val="24"/>
                <w:szCs w:val="24"/>
                <w:highlight w:val="none"/>
              </w:rPr>
            </w:pPr>
            <w:r>
              <w:rPr>
                <w:rFonts w:hint="eastAsia" w:ascii="宋体" w:hAnsi="宋体"/>
                <w:bCs/>
                <w:color w:val="auto"/>
                <w:kern w:val="0"/>
                <w:sz w:val="24"/>
                <w:szCs w:val="24"/>
                <w:highlight w:val="none"/>
                <w:lang w:val="en-US" w:eastAsia="zh-CN"/>
              </w:rPr>
              <w:t>4.不提供则不得分。</w:t>
            </w:r>
          </w:p>
        </w:tc>
        <w:tc>
          <w:tcPr>
            <w:tcW w:w="951" w:type="dxa"/>
            <w:shd w:val="clear" w:color="auto" w:fill="FFFFFF"/>
            <w:vAlign w:val="center"/>
          </w:tcPr>
          <w:p>
            <w:pPr>
              <w:jc w:val="center"/>
              <w:rPr>
                <w:color w:val="auto"/>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4</w:t>
            </w:r>
            <w:r>
              <w:rPr>
                <w:rFonts w:hint="eastAsia" w:ascii="宋体" w:hAnsi="宋体"/>
                <w:bCs/>
                <w:color w:val="auto"/>
                <w:kern w:val="0"/>
                <w:sz w:val="24"/>
                <w:szCs w:val="24"/>
                <w:highlight w:val="none"/>
              </w:rPr>
              <w:t>分</w:t>
            </w:r>
          </w:p>
        </w:tc>
      </w:tr>
    </w:tbl>
    <w:p>
      <w:pPr>
        <w:spacing w:beforeAutospacing="0" w:afterAutospacing="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注：1、所有未进入详细评审的投标作为无效投标，其报价不作为评分依据。</w:t>
      </w:r>
    </w:p>
    <w:p>
      <w:pPr>
        <w:spacing w:beforeAutospacing="0" w:afterAutospacing="0" w:line="360" w:lineRule="auto"/>
        <w:ind w:firstLine="480"/>
        <w:rPr>
          <w:rFonts w:hint="eastAsia" w:ascii="宋体" w:hAnsi="宋体" w:eastAsia="宋体"/>
          <w:b/>
          <w:bCs/>
          <w:color w:val="auto"/>
          <w:sz w:val="24"/>
          <w:szCs w:val="24"/>
          <w:highlight w:val="none"/>
        </w:rPr>
      </w:pPr>
      <w:r>
        <w:rPr>
          <w:rFonts w:hint="eastAsia" w:ascii="宋体" w:hAnsi="宋体"/>
          <w:b/>
          <w:bCs/>
          <w:color w:val="auto"/>
          <w:sz w:val="24"/>
          <w:szCs w:val="24"/>
          <w:highlight w:val="none"/>
          <w:lang w:val="en-US" w:eastAsia="zh-CN"/>
        </w:rPr>
        <w:t>2.</w:t>
      </w:r>
      <w:r>
        <w:rPr>
          <w:rFonts w:hint="eastAsia" w:ascii="宋体" w:hAnsi="宋体" w:eastAsia="宋体"/>
          <w:b/>
          <w:bCs/>
          <w:color w:val="auto"/>
          <w:sz w:val="24"/>
          <w:szCs w:val="24"/>
          <w:highlight w:val="none"/>
        </w:rPr>
        <w:t>计分办法</w:t>
      </w:r>
    </w:p>
    <w:p>
      <w:pPr>
        <w:spacing w:beforeAutospacing="0" w:afterAutospacing="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计分过程中按四舍五入的法则，取至小数点后3位，磋商供应商的最终得分为所有评委打分的算术平均值，最终结果取至小数点后2位。</w:t>
      </w:r>
      <w:r>
        <w:rPr>
          <w:rFonts w:hint="eastAsia" w:ascii="宋体" w:hAnsi="宋体"/>
          <w:color w:val="auto"/>
          <w:sz w:val="24"/>
          <w:szCs w:val="24"/>
          <w:highlight w:val="none"/>
          <w:lang w:eastAsia="zh-CN"/>
        </w:rPr>
        <w:t>磋商小组</w:t>
      </w:r>
      <w:r>
        <w:rPr>
          <w:rFonts w:hint="eastAsia" w:ascii="宋体" w:hAnsi="宋体" w:eastAsia="宋体"/>
          <w:color w:val="auto"/>
          <w:sz w:val="24"/>
          <w:szCs w:val="24"/>
          <w:highlight w:val="none"/>
        </w:rPr>
        <w:t>将按磋商供应商得分高低排序向采购人推荐前三名为成交候选人。</w:t>
      </w:r>
    </w:p>
    <w:p>
      <w:pPr>
        <w:spacing w:beforeAutospacing="0" w:afterAutospacing="0" w:line="360" w:lineRule="auto"/>
        <w:ind w:firstLine="480"/>
        <w:rPr>
          <w:rFonts w:hint="eastAsia" w:ascii="宋体" w:hAnsi="宋体" w:eastAsia="宋体"/>
          <w:b/>
          <w:bCs/>
          <w:color w:val="auto"/>
          <w:sz w:val="24"/>
          <w:szCs w:val="24"/>
          <w:highlight w:val="none"/>
        </w:rPr>
      </w:pPr>
      <w:r>
        <w:rPr>
          <w:rFonts w:hint="eastAsia" w:ascii="宋体" w:hAnsi="宋体"/>
          <w:b/>
          <w:bCs/>
          <w:color w:val="auto"/>
          <w:sz w:val="24"/>
          <w:szCs w:val="24"/>
          <w:highlight w:val="none"/>
          <w:lang w:val="en-US" w:eastAsia="zh-CN"/>
        </w:rPr>
        <w:t>3</w:t>
      </w:r>
      <w:r>
        <w:rPr>
          <w:rFonts w:hint="eastAsia" w:ascii="宋体" w:hAnsi="宋体" w:eastAsia="宋体"/>
          <w:b/>
          <w:bCs/>
          <w:color w:val="auto"/>
          <w:sz w:val="24"/>
          <w:szCs w:val="24"/>
          <w:highlight w:val="none"/>
        </w:rPr>
        <w:t>.定标</w:t>
      </w:r>
    </w:p>
    <w:p>
      <w:pPr>
        <w:spacing w:beforeAutospacing="0" w:afterAutospacing="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按评委计分结果,</w:t>
      </w:r>
      <w:r>
        <w:rPr>
          <w:rFonts w:hint="eastAsia" w:ascii="宋体" w:hAnsi="宋体"/>
          <w:color w:val="auto"/>
          <w:sz w:val="24"/>
          <w:szCs w:val="24"/>
          <w:highlight w:val="none"/>
          <w:lang w:eastAsia="zh-CN"/>
        </w:rPr>
        <w:t>磋商小组</w:t>
      </w:r>
      <w:r>
        <w:rPr>
          <w:rFonts w:hint="eastAsia" w:ascii="宋体" w:hAnsi="宋体" w:eastAsia="宋体"/>
          <w:color w:val="auto"/>
          <w:sz w:val="24"/>
          <w:szCs w:val="24"/>
          <w:highlight w:val="none"/>
        </w:rPr>
        <w:t>按照得分由高到低的顺序推荐3名成交候选人，并向采购人提供书面评标报告，由采购人确定成交单位。</w:t>
      </w:r>
    </w:p>
    <w:p>
      <w:pPr>
        <w:spacing w:beforeAutospacing="0" w:afterAutospacing="0" w:line="480" w:lineRule="atLeast"/>
        <w:rPr>
          <w:rFonts w:ascii="宋体" w:hAnsi="宋体" w:eastAsia="仿宋_GB2312"/>
          <w:b/>
          <w:color w:val="auto"/>
          <w:sz w:val="24"/>
          <w:szCs w:val="24"/>
          <w:highlight w:val="none"/>
        </w:rPr>
      </w:pPr>
    </w:p>
    <w:p>
      <w:pPr>
        <w:pStyle w:val="37"/>
        <w:ind w:left="0" w:leftChars="0" w:firstLine="0" w:firstLineChars="0"/>
        <w:rPr>
          <w:color w:val="auto"/>
          <w:highlight w:val="none"/>
        </w:rPr>
      </w:pPr>
    </w:p>
    <w:p>
      <w:pPr>
        <w:snapToGrid w:val="0"/>
        <w:spacing w:beforeAutospacing="0" w:afterAutospacing="0" w:line="360" w:lineRule="auto"/>
        <w:jc w:val="center"/>
        <w:outlineLvl w:val="0"/>
        <w:rPr>
          <w:rFonts w:hint="eastAsia" w:ascii="宋体" w:hAnsi="宋体" w:eastAsia="宋体"/>
          <w:b/>
          <w:bCs/>
          <w:color w:val="auto"/>
          <w:sz w:val="36"/>
          <w:szCs w:val="36"/>
          <w:highlight w:val="none"/>
        </w:rPr>
      </w:pPr>
      <w:bookmarkStart w:id="169" w:name="_Toc8932"/>
      <w:r>
        <w:rPr>
          <w:rFonts w:hint="eastAsia" w:ascii="宋体" w:hAnsi="宋体" w:eastAsia="宋体"/>
          <w:b/>
          <w:bCs/>
          <w:color w:val="auto"/>
          <w:sz w:val="36"/>
          <w:szCs w:val="36"/>
          <w:highlight w:val="none"/>
        </w:rPr>
        <w:t>第</w:t>
      </w:r>
      <w:r>
        <w:rPr>
          <w:rFonts w:hint="eastAsia" w:ascii="宋体" w:hAnsi="宋体" w:eastAsia="宋体"/>
          <w:b/>
          <w:bCs/>
          <w:color w:val="auto"/>
          <w:sz w:val="36"/>
          <w:szCs w:val="36"/>
          <w:highlight w:val="none"/>
          <w:lang w:eastAsia="zh-CN"/>
        </w:rPr>
        <w:t>五</w:t>
      </w:r>
      <w:r>
        <w:rPr>
          <w:rFonts w:hint="eastAsia" w:ascii="宋体" w:hAnsi="宋体" w:eastAsia="宋体"/>
          <w:b/>
          <w:bCs/>
          <w:color w:val="auto"/>
          <w:sz w:val="36"/>
          <w:szCs w:val="36"/>
          <w:highlight w:val="none"/>
        </w:rPr>
        <w:t>章 合同条款及格式</w:t>
      </w:r>
      <w:bookmarkEnd w:id="169"/>
    </w:p>
    <w:p>
      <w:pPr>
        <w:snapToGrid w:val="0"/>
        <w:spacing w:beforeAutospacing="0" w:afterAutospacing="0" w:line="360" w:lineRule="auto"/>
        <w:jc w:val="center"/>
        <w:outlineLvl w:val="9"/>
        <w:rPr>
          <w:rFonts w:hint="eastAsia" w:ascii="宋体" w:hAnsi="宋体" w:eastAsia="宋体"/>
          <w:b/>
          <w:bCs/>
          <w:color w:val="auto"/>
          <w:kern w:val="44"/>
          <w:sz w:val="32"/>
          <w:szCs w:val="44"/>
          <w:highlight w:val="none"/>
        </w:rPr>
      </w:pPr>
      <w:bookmarkStart w:id="170" w:name="_Toc247514245"/>
      <w:bookmarkStart w:id="171" w:name="_Toc300835208"/>
      <w:bookmarkStart w:id="172" w:name="_Toc247527826"/>
      <w:bookmarkStart w:id="173" w:name="_Toc27965"/>
      <w:r>
        <w:rPr>
          <w:rFonts w:hint="eastAsia" w:ascii="宋体" w:hAnsi="宋体" w:eastAsia="宋体"/>
          <w:b/>
          <w:bCs/>
          <w:color w:val="auto"/>
          <w:kern w:val="44"/>
          <w:sz w:val="32"/>
          <w:szCs w:val="44"/>
          <w:highlight w:val="none"/>
        </w:rPr>
        <w:t>（仅供参考）</w:t>
      </w:r>
    </w:p>
    <w:p>
      <w:pPr>
        <w:pStyle w:val="46"/>
        <w:spacing w:beforeAutospacing="0" w:afterAutospacing="0" w:line="480" w:lineRule="auto"/>
        <w:jc w:val="both"/>
        <w:outlineLvl w:val="9"/>
        <w:rPr>
          <w:rFonts w:hint="eastAsia" w:ascii="宋体" w:hAnsi="宋体"/>
          <w:b w:val="0"/>
          <w:bCs w:val="0"/>
          <w:color w:val="auto"/>
          <w:sz w:val="24"/>
          <w:szCs w:val="24"/>
          <w:highlight w:val="none"/>
        </w:rPr>
      </w:pPr>
      <w:bookmarkStart w:id="174" w:name="_Toc25421"/>
      <w:bookmarkEnd w:id="174"/>
      <w:bookmarkStart w:id="175" w:name="_Toc19117"/>
      <w:bookmarkEnd w:id="175"/>
      <w:bookmarkStart w:id="176" w:name="_Toc27231"/>
      <w:r>
        <w:rPr>
          <w:rFonts w:hint="eastAsia" w:ascii="宋体" w:hAnsi="宋体"/>
          <w:b w:val="0"/>
          <w:bCs w:val="0"/>
          <w:color w:val="auto"/>
          <w:sz w:val="24"/>
          <w:szCs w:val="24"/>
          <w:highlight w:val="none"/>
        </w:rPr>
        <w:t>甲</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4"/>
          <w:szCs w:val="24"/>
          <w:highlight w:val="none"/>
        </w:rPr>
        <w:t xml:space="preserve">方： </w:t>
      </w:r>
      <w:r>
        <w:rPr>
          <w:rFonts w:hint="eastAsia" w:ascii="宋体" w:hAnsi="宋体"/>
          <w:b w:val="0"/>
          <w:bCs w:val="0"/>
          <w:color w:val="auto"/>
          <w:sz w:val="24"/>
          <w:szCs w:val="24"/>
          <w:highlight w:val="none"/>
          <w:u w:val="single"/>
        </w:rPr>
        <w:t>（</w:t>
      </w:r>
      <w:r>
        <w:rPr>
          <w:rFonts w:hint="eastAsia" w:ascii="宋体" w:hAnsi="宋体"/>
          <w:b w:val="0"/>
          <w:bCs w:val="0"/>
          <w:color w:val="auto"/>
          <w:sz w:val="24"/>
          <w:szCs w:val="24"/>
          <w:highlight w:val="none"/>
          <w:u w:val="single"/>
          <w:lang w:val="en-US" w:eastAsia="zh-CN"/>
        </w:rPr>
        <w:t>采购</w:t>
      </w:r>
      <w:r>
        <w:rPr>
          <w:rFonts w:hint="eastAsia" w:ascii="宋体" w:hAnsi="宋体"/>
          <w:b w:val="0"/>
          <w:bCs w:val="0"/>
          <w:color w:val="auto"/>
          <w:sz w:val="24"/>
          <w:szCs w:val="24"/>
          <w:highlight w:val="none"/>
          <w:u w:val="single"/>
        </w:rPr>
        <w:t>人）</w:t>
      </w:r>
      <w:bookmarkEnd w:id="176"/>
    </w:p>
    <w:p>
      <w:pPr>
        <w:spacing w:beforeAutospacing="0" w:afterAutospacing="0" w:line="480" w:lineRule="auto"/>
        <w:rPr>
          <w:rFonts w:hint="eastAsia" w:ascii="宋体" w:hAnsi="宋体"/>
          <w:b w:val="0"/>
          <w:bCs w:val="0"/>
          <w:color w:val="auto"/>
          <w:sz w:val="24"/>
          <w:highlight w:val="none"/>
          <w:lang w:bidi="ar"/>
        </w:rPr>
      </w:pPr>
      <w:r>
        <w:rPr>
          <w:rFonts w:hint="eastAsia" w:ascii="宋体" w:hAnsi="宋体"/>
          <w:b w:val="0"/>
          <w:bCs w:val="0"/>
          <w:color w:val="auto"/>
          <w:sz w:val="24"/>
          <w:highlight w:val="none"/>
          <w:lang w:bidi="ar"/>
        </w:rPr>
        <w:t xml:space="preserve">乙   方： </w:t>
      </w:r>
      <w:r>
        <w:rPr>
          <w:rFonts w:hint="eastAsia" w:ascii="宋体" w:hAnsi="宋体"/>
          <w:b w:val="0"/>
          <w:bCs w:val="0"/>
          <w:color w:val="auto"/>
          <w:sz w:val="24"/>
          <w:highlight w:val="none"/>
          <w:u w:val="single"/>
          <w:lang w:bidi="ar"/>
        </w:rPr>
        <w:t xml:space="preserve"> </w:t>
      </w:r>
      <w:r>
        <w:rPr>
          <w:rFonts w:hint="eastAsia" w:ascii="宋体" w:hAnsi="宋体"/>
          <w:color w:val="auto"/>
          <w:sz w:val="24"/>
          <w:highlight w:val="none"/>
          <w:u w:val="single"/>
          <w:lang w:bidi="ar"/>
        </w:rPr>
        <w:t>（中标人）</w:t>
      </w:r>
    </w:p>
    <w:p>
      <w:pPr>
        <w:spacing w:beforeAutospacing="0" w:afterAutospacing="0" w:line="480" w:lineRule="auto"/>
        <w:rPr>
          <w:rFonts w:hint="eastAsia" w:ascii="宋体" w:hAnsi="宋体"/>
          <w:color w:val="auto"/>
          <w:sz w:val="24"/>
          <w:highlight w:val="none"/>
          <w:lang w:bidi="ar"/>
        </w:rPr>
      </w:pPr>
      <w:r>
        <w:rPr>
          <w:rFonts w:hint="eastAsia" w:ascii="宋体" w:hAnsi="宋体"/>
          <w:color w:val="auto"/>
          <w:sz w:val="24"/>
          <w:highlight w:val="none"/>
          <w:lang w:bidi="ar"/>
        </w:rPr>
        <w:t>项目名称：</w:t>
      </w:r>
    </w:p>
    <w:p>
      <w:pPr>
        <w:spacing w:beforeAutospacing="0" w:afterAutospacing="0" w:line="480" w:lineRule="auto"/>
        <w:rPr>
          <w:rFonts w:hint="eastAsia" w:ascii="宋体" w:hAnsi="宋体"/>
          <w:color w:val="auto"/>
          <w:sz w:val="24"/>
          <w:highlight w:val="none"/>
          <w:lang w:bidi="ar"/>
        </w:rPr>
      </w:pPr>
      <w:r>
        <w:rPr>
          <w:rFonts w:hint="eastAsia" w:ascii="宋体" w:hAnsi="宋体"/>
          <w:color w:val="auto"/>
          <w:sz w:val="24"/>
          <w:highlight w:val="none"/>
          <w:lang w:bidi="ar"/>
        </w:rPr>
        <w:t>采购编号：</w:t>
      </w:r>
    </w:p>
    <w:p>
      <w:pPr>
        <w:spacing w:beforeAutospacing="0" w:afterAutospacing="0" w:line="480" w:lineRule="auto"/>
        <w:ind w:firstLine="595" w:firstLineChars="248"/>
        <w:rPr>
          <w:rFonts w:hint="eastAsia" w:ascii="宋体" w:hAnsi="宋体"/>
          <w:color w:val="auto"/>
          <w:sz w:val="24"/>
          <w:highlight w:val="none"/>
          <w:lang w:bidi="ar"/>
        </w:rPr>
      </w:pPr>
      <w:r>
        <w:rPr>
          <w:rFonts w:hint="eastAsia" w:ascii="宋体" w:hAnsi="宋体"/>
          <w:color w:val="auto"/>
          <w:sz w:val="24"/>
          <w:highlight w:val="none"/>
          <w:lang w:bidi="ar"/>
        </w:rPr>
        <w:t>根据</w:t>
      </w:r>
      <w:r>
        <w:rPr>
          <w:rFonts w:hint="eastAsia" w:ascii="宋体" w:hAnsi="宋体"/>
          <w:color w:val="auto"/>
          <w:sz w:val="24"/>
          <w:highlight w:val="none"/>
          <w:u w:val="single"/>
          <w:lang w:bidi="ar"/>
        </w:rPr>
        <w:t xml:space="preserve">                                 项目</w:t>
      </w:r>
      <w:r>
        <w:rPr>
          <w:rFonts w:hint="eastAsia" w:ascii="宋体" w:hAnsi="宋体"/>
          <w:color w:val="auto"/>
          <w:sz w:val="24"/>
          <w:highlight w:val="none"/>
          <w:lang w:bidi="ar"/>
        </w:rPr>
        <w:t>的采购结果 ，按照《中华人民共和国政府采购法》、《合同法》规定 ，经双方协商，本着平等互利和诚实信用的原则，一致同意签订本合同如下。</w:t>
      </w:r>
    </w:p>
    <w:p>
      <w:pPr>
        <w:pStyle w:val="65"/>
        <w:numPr>
          <w:ilvl w:val="0"/>
          <w:numId w:val="15"/>
        </w:numPr>
        <w:tabs>
          <w:tab w:val="clear" w:pos="0"/>
        </w:tabs>
        <w:spacing w:beforeAutospacing="0" w:afterAutospacing="0" w:line="480" w:lineRule="auto"/>
        <w:ind w:firstLineChars="0"/>
        <w:jc w:val="left"/>
        <w:rPr>
          <w:rFonts w:hint="eastAsia" w:ascii="宋体" w:hAnsi="宋体"/>
          <w:color w:val="auto"/>
          <w:sz w:val="24"/>
          <w:szCs w:val="24"/>
          <w:highlight w:val="none"/>
        </w:rPr>
      </w:pPr>
      <w:r>
        <w:rPr>
          <w:rFonts w:hint="eastAsia" w:ascii="宋体" w:hAnsi="宋体"/>
          <w:color w:val="auto"/>
          <w:sz w:val="24"/>
          <w:szCs w:val="24"/>
          <w:highlight w:val="none"/>
        </w:rPr>
        <w:t>合同金额</w:t>
      </w:r>
    </w:p>
    <w:p>
      <w:pPr>
        <w:spacing w:beforeAutospacing="0" w:afterAutospacing="0" w:line="480" w:lineRule="auto"/>
        <w:ind w:left="555"/>
        <w:rPr>
          <w:rFonts w:hint="eastAsia" w:ascii="宋体" w:hAnsi="宋体"/>
          <w:color w:val="auto"/>
          <w:sz w:val="24"/>
          <w:highlight w:val="none"/>
          <w:lang w:bidi="ar"/>
        </w:rPr>
      </w:pPr>
      <w:r>
        <w:rPr>
          <w:rFonts w:hint="eastAsia" w:ascii="宋体" w:hAnsi="宋体"/>
          <w:color w:val="auto"/>
          <w:sz w:val="24"/>
          <w:highlight w:val="none"/>
          <w:lang w:bidi="ar"/>
        </w:rPr>
        <w:t xml:space="preserve">合同金额（大写）：元（ </w:t>
      </w:r>
      <w:r>
        <w:rPr>
          <w:rStyle w:val="60"/>
          <w:rFonts w:hint="eastAsia" w:ascii="宋体" w:hAnsi="宋体"/>
          <w:b/>
          <w:color w:val="auto"/>
          <w:kern w:val="36"/>
          <w:sz w:val="24"/>
          <w:highlight w:val="none"/>
          <w:lang w:bidi="ar"/>
        </w:rPr>
        <w:t>￥</w:t>
      </w:r>
      <w:r>
        <w:rPr>
          <w:rFonts w:hint="eastAsia" w:ascii="宋体" w:hAnsi="宋体"/>
          <w:color w:val="auto"/>
          <w:sz w:val="24"/>
          <w:highlight w:val="none"/>
          <w:lang w:bidi="ar"/>
        </w:rPr>
        <w:t>元）人民币。</w:t>
      </w:r>
    </w:p>
    <w:p>
      <w:pPr>
        <w:pStyle w:val="65"/>
        <w:numPr>
          <w:ilvl w:val="0"/>
          <w:numId w:val="15"/>
        </w:numPr>
        <w:tabs>
          <w:tab w:val="clear" w:pos="0"/>
        </w:tabs>
        <w:spacing w:beforeAutospacing="0" w:afterAutospacing="0" w:line="480"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服务范围</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甲方聘请乙方提供以下服务：</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1．本合同项下的服务指。</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2．……</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3．……</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三、甲方乙方的权利和义务</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（一）甲方的权利和义务</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（二）乙方的权利和义务</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四、服务期间（项目完成期限）</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委托服务期间自年月至年月止。</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五、付款方式：</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由</w:t>
      </w:r>
      <w:r>
        <w:rPr>
          <w:rFonts w:hint="eastAsia" w:ascii="宋体" w:hAnsi="宋体"/>
          <w:color w:val="auto"/>
          <w:sz w:val="24"/>
          <w:highlight w:val="none"/>
        </w:rPr>
        <w:t>甲乙双方协商确定。</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六、知识产权产权归属</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七、保密</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八、违约责任与赔偿缺失</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1）乙方提供的服务有符合采购文件、报价文件或本合同规定的，甲方有权拒收，并且乙方须向甲方支付本合同总价5%违约金。</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2）乙方未能合同规定的交货时间提供服务，从逾期之日起每日按本合同总价的3‰的数额向甲方支付违约金；逾期半个月以上的，甲方有权终止合同，由此造成的甲方经济损失由乙方承担。</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3）甲方无正当理由拒收接受服务，到期拒付服务款项的，甲方向乙方偿付本合同决的5%的违约金。甲方人逾期付款，则每日按本合同总价的3‰向乙方偿付违约金。</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4）其它违约责任按《中华人民共和国合同法》处理。</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九、争端的解决</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1）合同执行过程中发生的任何争议，如双方不能通过友好协商解决，按相关法律法规处理。</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十、不可抗力:任何一方由于不可抗力原因不能履行合同时，应在不可抗力事件结束后1日内向双方通报，以减轻可能给双方造成的损失，在取得有关机构的不可抗力证明或双方谅解确认后，允许延期履行或修订合同，并根据情况可部分或全部免于承担违约责任。</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十一、税费：在中国境内、外发生的与本合同执行有关的一切税费均由乙方负担。</w:t>
      </w:r>
    </w:p>
    <w:p>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十二、其它</w:t>
      </w:r>
    </w:p>
    <w:p>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1）本合同所有附件、采购文件、响应文件、中标通知书均为合同的有效组成部分，与本合同具有同等法律效力。</w:t>
      </w:r>
    </w:p>
    <w:p>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2）在执行本合同的过程中，所有经双方签署确认的文件（包括会议纪要、补充协议、往来信函）即成为本合同的有效组成部分。</w:t>
      </w:r>
    </w:p>
    <w:p>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3）如一方地址、电话、传真号码有变更，应在变更当日内书面通知对方，否则，应承担相应责任。</w:t>
      </w:r>
    </w:p>
    <w:p>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4）除甲方事先书面同意外，乙方不得部分或全部转让其应履行的合同项下的义务。</w:t>
      </w:r>
    </w:p>
    <w:p>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十三、合同生效：</w:t>
      </w:r>
    </w:p>
    <w:p>
      <w:pPr>
        <w:pStyle w:val="65"/>
        <w:numPr>
          <w:ilvl w:val="0"/>
          <w:numId w:val="16"/>
        </w:numPr>
        <w:tabs>
          <w:tab w:val="clear" w:pos="0"/>
        </w:tabs>
        <w:spacing w:beforeAutospacing="0" w:afterAutospacing="0" w:line="480"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代表或其授权代表签字盖章后生效。</w:t>
      </w:r>
    </w:p>
    <w:p>
      <w:pPr>
        <w:pStyle w:val="65"/>
        <w:numPr>
          <w:ilvl w:val="0"/>
          <w:numId w:val="16"/>
        </w:numPr>
        <w:tabs>
          <w:tab w:val="clear" w:pos="0"/>
        </w:tabs>
        <w:spacing w:beforeAutospacing="0" w:afterAutospacing="0" w:line="480"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合同一式份。</w:t>
      </w:r>
    </w:p>
    <w:p>
      <w:pPr>
        <w:spacing w:beforeAutospacing="0" w:afterAutospacing="0" w:line="480" w:lineRule="auto"/>
        <w:ind w:firstLine="360" w:firstLineChars="150"/>
        <w:rPr>
          <w:rFonts w:hint="eastAsia" w:ascii="宋体" w:hAnsi="宋体"/>
          <w:color w:val="auto"/>
          <w:sz w:val="24"/>
          <w:highlight w:val="none"/>
          <w:lang w:bidi="ar"/>
        </w:rPr>
      </w:pPr>
    </w:p>
    <w:p>
      <w:pPr>
        <w:spacing w:beforeAutospacing="0" w:afterAutospacing="0" w:line="480" w:lineRule="auto"/>
        <w:ind w:firstLine="360" w:firstLineChars="150"/>
        <w:rPr>
          <w:rFonts w:hint="eastAsia" w:ascii="宋体" w:hAnsi="宋体"/>
          <w:color w:val="auto"/>
          <w:sz w:val="24"/>
          <w:highlight w:val="none"/>
          <w:lang w:bidi="ar"/>
        </w:rPr>
      </w:pPr>
    </w:p>
    <w:p>
      <w:pPr>
        <w:spacing w:beforeAutospacing="0" w:afterAutospacing="0" w:line="480" w:lineRule="auto"/>
        <w:ind w:firstLine="360" w:firstLineChars="150"/>
        <w:rPr>
          <w:rFonts w:hint="eastAsia" w:ascii="宋体" w:hAnsi="宋体"/>
          <w:color w:val="auto"/>
          <w:sz w:val="24"/>
          <w:highlight w:val="none"/>
          <w:lang w:bidi="ar"/>
        </w:rPr>
      </w:pPr>
    </w:p>
    <w:p>
      <w:pPr>
        <w:rPr>
          <w:rFonts w:hint="eastAsia"/>
          <w:color w:val="auto"/>
          <w:sz w:val="28"/>
          <w:szCs w:val="28"/>
          <w:highlight w:val="none"/>
        </w:rPr>
      </w:pPr>
      <w:r>
        <w:rPr>
          <w:rFonts w:hint="eastAsia"/>
          <w:color w:val="auto"/>
          <w:sz w:val="28"/>
          <w:szCs w:val="28"/>
          <w:highlight w:val="none"/>
        </w:rPr>
        <w:t xml:space="preserve">甲方（盖章）：                      乙方（盖章）：  </w:t>
      </w:r>
    </w:p>
    <w:p>
      <w:pPr>
        <w:rPr>
          <w:rFonts w:hint="eastAsia"/>
          <w:color w:val="auto"/>
          <w:sz w:val="28"/>
          <w:szCs w:val="28"/>
          <w:highlight w:val="none"/>
        </w:rPr>
      </w:pPr>
      <w:r>
        <w:rPr>
          <w:rFonts w:hint="eastAsia"/>
          <w:color w:val="auto"/>
          <w:sz w:val="28"/>
          <w:szCs w:val="28"/>
          <w:highlight w:val="none"/>
        </w:rPr>
        <w:t xml:space="preserve">代表：                             代表： </w:t>
      </w:r>
    </w:p>
    <w:p>
      <w:pPr>
        <w:rPr>
          <w:rFonts w:hint="eastAsia"/>
          <w:color w:val="auto"/>
          <w:sz w:val="28"/>
          <w:szCs w:val="28"/>
          <w:highlight w:val="none"/>
        </w:rPr>
      </w:pPr>
      <w:r>
        <w:rPr>
          <w:rFonts w:hint="eastAsia"/>
          <w:color w:val="auto"/>
          <w:sz w:val="28"/>
          <w:szCs w:val="28"/>
          <w:highlight w:val="none"/>
        </w:rPr>
        <w:t>签定日期：   年   月   日          签定日期：   年   月   日</w:t>
      </w:r>
    </w:p>
    <w:p>
      <w:pPr>
        <w:rPr>
          <w:rFonts w:hint="eastAsia"/>
          <w:color w:val="auto"/>
          <w:sz w:val="28"/>
          <w:szCs w:val="28"/>
          <w:highlight w:val="none"/>
        </w:rPr>
      </w:pPr>
      <w:r>
        <w:rPr>
          <w:rFonts w:hint="eastAsia"/>
          <w:color w:val="auto"/>
          <w:sz w:val="28"/>
          <w:szCs w:val="28"/>
          <w:highlight w:val="none"/>
        </w:rPr>
        <w:t xml:space="preserve">开户名称：                         开户名称： </w:t>
      </w:r>
    </w:p>
    <w:p>
      <w:pPr>
        <w:rPr>
          <w:rFonts w:hint="eastAsia"/>
          <w:color w:val="auto"/>
          <w:sz w:val="28"/>
          <w:szCs w:val="28"/>
          <w:highlight w:val="none"/>
        </w:rPr>
      </w:pPr>
      <w:r>
        <w:rPr>
          <w:rFonts w:hint="eastAsia"/>
          <w:color w:val="auto"/>
          <w:sz w:val="28"/>
          <w:szCs w:val="28"/>
          <w:highlight w:val="none"/>
        </w:rPr>
        <w:t xml:space="preserve">银行账号：                         银行账号： </w:t>
      </w:r>
    </w:p>
    <w:p>
      <w:pPr>
        <w:rPr>
          <w:rFonts w:hint="eastAsia"/>
          <w:color w:val="auto"/>
          <w:sz w:val="28"/>
          <w:szCs w:val="28"/>
          <w:highlight w:val="none"/>
        </w:rPr>
      </w:pPr>
      <w:r>
        <w:rPr>
          <w:rFonts w:hint="eastAsia"/>
          <w:color w:val="auto"/>
          <w:sz w:val="28"/>
          <w:szCs w:val="28"/>
          <w:highlight w:val="none"/>
        </w:rPr>
        <w:t xml:space="preserve">开户行：                           开户行： </w:t>
      </w:r>
    </w:p>
    <w:p>
      <w:pPr>
        <w:snapToGrid w:val="0"/>
        <w:spacing w:beforeAutospacing="0" w:afterAutospacing="0" w:line="360" w:lineRule="auto"/>
        <w:rPr>
          <w:rFonts w:hint="eastAsia" w:ascii="宋体" w:hAnsi="宋体"/>
          <w:color w:val="auto"/>
          <w:highlight w:val="none"/>
        </w:rPr>
      </w:pPr>
      <w:r>
        <w:rPr>
          <w:rFonts w:hint="eastAsia" w:ascii="宋体" w:hAnsi="宋体"/>
          <w:color w:val="auto"/>
          <w:highlight w:val="none"/>
        </w:rPr>
        <w:t xml:space="preserve"> </w:t>
      </w:r>
    </w:p>
    <w:bookmarkEnd w:id="170"/>
    <w:bookmarkEnd w:id="171"/>
    <w:bookmarkEnd w:id="172"/>
    <w:bookmarkEnd w:id="173"/>
    <w:p>
      <w:pPr>
        <w:spacing w:line="500" w:lineRule="exact"/>
        <w:jc w:val="center"/>
        <w:outlineLvl w:val="0"/>
        <w:rPr>
          <w:rFonts w:asciiTheme="majorEastAsia" w:hAnsiTheme="majorEastAsia" w:eastAsiaTheme="majorEastAsia" w:cstheme="majorEastAsia"/>
          <w:b/>
          <w:color w:val="auto"/>
          <w:kern w:val="2"/>
          <w:sz w:val="32"/>
          <w:szCs w:val="32"/>
          <w:highlight w:val="none"/>
        </w:rPr>
      </w:pPr>
      <w:bookmarkStart w:id="177" w:name="_Toc529947772"/>
      <w:bookmarkEnd w:id="177"/>
      <w:r>
        <w:rPr>
          <w:rFonts w:hint="eastAsia" w:ascii="宋体" w:hAnsi="宋体" w:eastAsia="宋体"/>
          <w:color w:val="auto"/>
          <w:highlight w:val="none"/>
        </w:rPr>
        <w:br w:type="page"/>
      </w:r>
      <w:r>
        <w:rPr>
          <w:rFonts w:hint="eastAsia" w:asciiTheme="majorEastAsia" w:hAnsiTheme="majorEastAsia" w:eastAsiaTheme="majorEastAsia" w:cstheme="majorEastAsia"/>
          <w:b/>
          <w:color w:val="auto"/>
          <w:kern w:val="2"/>
          <w:sz w:val="32"/>
          <w:szCs w:val="32"/>
          <w:highlight w:val="none"/>
        </w:rPr>
        <w:t>第六章  磋商响应文件格式</w:t>
      </w:r>
    </w:p>
    <w:p>
      <w:pPr>
        <w:autoSpaceDE w:val="0"/>
        <w:autoSpaceDN w:val="0"/>
        <w:adjustRightInd w:val="0"/>
        <w:spacing w:line="500" w:lineRule="exact"/>
        <w:rPr>
          <w:color w:val="auto"/>
          <w:sz w:val="24"/>
          <w:highlight w:val="none"/>
        </w:rPr>
      </w:pPr>
    </w:p>
    <w:p>
      <w:pPr>
        <w:autoSpaceDE w:val="0"/>
        <w:autoSpaceDN w:val="0"/>
        <w:adjustRightInd w:val="0"/>
        <w:spacing w:line="500" w:lineRule="exact"/>
        <w:rPr>
          <w:color w:val="auto"/>
          <w:sz w:val="24"/>
          <w:highlight w:val="none"/>
        </w:rPr>
      </w:pPr>
    </w:p>
    <w:p>
      <w:pPr>
        <w:autoSpaceDE w:val="0"/>
        <w:autoSpaceDN w:val="0"/>
        <w:adjustRightInd w:val="0"/>
        <w:spacing w:line="500" w:lineRule="exact"/>
        <w:rPr>
          <w:color w:val="auto"/>
          <w:sz w:val="24"/>
          <w:highlight w:val="none"/>
        </w:rPr>
      </w:pPr>
    </w:p>
    <w:p>
      <w:pPr>
        <w:autoSpaceDE w:val="0"/>
        <w:autoSpaceDN w:val="0"/>
        <w:adjustRightInd w:val="0"/>
        <w:spacing w:line="500" w:lineRule="exact"/>
        <w:jc w:val="center"/>
        <w:rPr>
          <w:color w:val="auto"/>
          <w:sz w:val="24"/>
          <w:highlight w:val="none"/>
        </w:rPr>
      </w:pPr>
      <w:r>
        <w:rPr>
          <w:rFonts w:hint="eastAsia"/>
          <w:color w:val="auto"/>
          <w:sz w:val="24"/>
          <w:highlight w:val="none"/>
        </w:rPr>
        <w:t>项目名称</w:t>
      </w:r>
    </w:p>
    <w:p>
      <w:pPr>
        <w:widowControl w:val="0"/>
        <w:spacing w:line="500" w:lineRule="exact"/>
        <w:ind w:firstLine="1269" w:firstLineChars="395"/>
        <w:jc w:val="both"/>
        <w:rPr>
          <w:rFonts w:ascii="宋体" w:hAnsi="宋体"/>
          <w:b/>
          <w:color w:val="auto"/>
          <w:sz w:val="32"/>
          <w:szCs w:val="32"/>
          <w:highlight w:val="none"/>
        </w:rPr>
      </w:pPr>
      <w:r>
        <w:rPr>
          <w:rFonts w:hint="eastAsia" w:ascii="宋体" w:hAnsi="宋体"/>
          <w:b/>
          <w:color w:val="auto"/>
          <w:kern w:val="2"/>
          <w:sz w:val="32"/>
          <w:szCs w:val="32"/>
          <w:highlight w:val="none"/>
        </w:rPr>
        <w:t xml:space="preserve"> </w:t>
      </w:r>
    </w:p>
    <w:p>
      <w:pPr>
        <w:widowControl w:val="0"/>
        <w:spacing w:line="500" w:lineRule="exact"/>
        <w:ind w:firstLine="1590" w:firstLineChars="495"/>
        <w:jc w:val="both"/>
        <w:rPr>
          <w:rFonts w:ascii="宋体" w:hAnsi="宋体" w:cs="宋体"/>
          <w:b/>
          <w:color w:val="auto"/>
          <w:kern w:val="2"/>
          <w:sz w:val="32"/>
          <w:szCs w:val="32"/>
          <w:highlight w:val="none"/>
        </w:rPr>
      </w:pPr>
      <w:bookmarkStart w:id="178" w:name="_Toc453139657"/>
      <w:bookmarkEnd w:id="178"/>
    </w:p>
    <w:p>
      <w:pPr>
        <w:pStyle w:val="14"/>
        <w:ind w:firstLine="210"/>
        <w:rPr>
          <w:color w:val="auto"/>
          <w:highlight w:val="none"/>
        </w:rPr>
      </w:pPr>
    </w:p>
    <w:p>
      <w:pPr>
        <w:widowControl w:val="0"/>
        <w:spacing w:line="500" w:lineRule="exact"/>
        <w:jc w:val="center"/>
        <w:rPr>
          <w:rFonts w:ascii="宋体" w:hAnsi="宋体"/>
          <w:b/>
          <w:color w:val="auto"/>
          <w:sz w:val="48"/>
          <w:szCs w:val="48"/>
          <w:highlight w:val="none"/>
        </w:rPr>
      </w:pPr>
      <w:r>
        <w:rPr>
          <w:rFonts w:hint="eastAsia" w:ascii="宋体" w:hAnsi="宋体" w:cs="宋体"/>
          <w:b/>
          <w:color w:val="auto"/>
          <w:kern w:val="2"/>
          <w:sz w:val="48"/>
          <w:szCs w:val="48"/>
          <w:highlight w:val="none"/>
        </w:rPr>
        <w:t>响应文件</w:t>
      </w:r>
    </w:p>
    <w:p>
      <w:pPr>
        <w:widowControl w:val="0"/>
        <w:spacing w:line="500" w:lineRule="exact"/>
        <w:ind w:firstLine="1430" w:firstLineChars="445"/>
        <w:jc w:val="both"/>
        <w:rPr>
          <w:rFonts w:ascii="宋体" w:hAnsi="宋体"/>
          <w:b/>
          <w:color w:val="auto"/>
          <w:sz w:val="32"/>
          <w:szCs w:val="32"/>
          <w:highlight w:val="none"/>
        </w:rPr>
      </w:pPr>
      <w:r>
        <w:rPr>
          <w:rFonts w:hint="eastAsia" w:ascii="宋体" w:hAnsi="宋体"/>
          <w:b/>
          <w:color w:val="auto"/>
          <w:kern w:val="2"/>
          <w:sz w:val="32"/>
          <w:szCs w:val="32"/>
          <w:highlight w:val="none"/>
        </w:rPr>
        <w:t xml:space="preserve"> </w:t>
      </w:r>
    </w:p>
    <w:p>
      <w:pPr>
        <w:widowControl w:val="0"/>
        <w:spacing w:line="500" w:lineRule="exact"/>
        <w:ind w:firstLine="1430" w:firstLineChars="445"/>
        <w:jc w:val="both"/>
        <w:rPr>
          <w:rFonts w:ascii="宋体" w:hAnsi="宋体"/>
          <w:b/>
          <w:color w:val="auto"/>
          <w:sz w:val="32"/>
          <w:szCs w:val="32"/>
          <w:highlight w:val="none"/>
        </w:rPr>
      </w:pPr>
      <w:r>
        <w:rPr>
          <w:rFonts w:hint="eastAsia" w:ascii="宋体" w:hAnsi="宋体"/>
          <w:b/>
          <w:color w:val="auto"/>
          <w:kern w:val="2"/>
          <w:sz w:val="32"/>
          <w:szCs w:val="32"/>
          <w:highlight w:val="none"/>
        </w:rPr>
        <w:t xml:space="preserve"> </w:t>
      </w:r>
    </w:p>
    <w:p>
      <w:pPr>
        <w:snapToGrid w:val="0"/>
        <w:spacing w:beforeAutospacing="0" w:afterAutospacing="0" w:line="360" w:lineRule="auto"/>
        <w:ind w:firstLine="4176" w:firstLineChars="1300"/>
        <w:rPr>
          <w:rFonts w:hint="eastAsia" w:ascii="宋体" w:hAnsi="宋体" w:eastAsia="宋体"/>
          <w:b/>
          <w:bCs/>
          <w:color w:val="auto"/>
          <w:sz w:val="28"/>
          <w:szCs w:val="28"/>
          <w:highlight w:val="none"/>
        </w:rPr>
      </w:pPr>
      <w:r>
        <w:rPr>
          <w:rFonts w:hint="eastAsia" w:ascii="宋体" w:hAnsi="宋体" w:cs="宋体"/>
          <w:b/>
          <w:color w:val="auto"/>
          <w:kern w:val="2"/>
          <w:sz w:val="32"/>
          <w:szCs w:val="32"/>
          <w:highlight w:val="none"/>
        </w:rPr>
        <w:t>项目编号：</w:t>
      </w:r>
    </w:p>
    <w:p>
      <w:pPr>
        <w:snapToGrid w:val="0"/>
        <w:spacing w:beforeAutospacing="0" w:afterAutospacing="0" w:line="360" w:lineRule="auto"/>
        <w:rPr>
          <w:rFonts w:ascii="宋体" w:hAnsi="宋体" w:eastAsia="宋体"/>
          <w:color w:val="auto"/>
          <w:sz w:val="28"/>
          <w:szCs w:val="28"/>
          <w:highlight w:val="none"/>
        </w:rPr>
      </w:pPr>
    </w:p>
    <w:p>
      <w:pPr>
        <w:snapToGrid w:val="0"/>
        <w:spacing w:beforeAutospacing="0" w:afterAutospacing="0" w:line="360" w:lineRule="auto"/>
        <w:rPr>
          <w:rFonts w:ascii="宋体" w:hAnsi="宋体" w:eastAsia="宋体"/>
          <w:color w:val="auto"/>
          <w:sz w:val="28"/>
          <w:szCs w:val="28"/>
          <w:highlight w:val="none"/>
        </w:rPr>
      </w:pPr>
    </w:p>
    <w:p>
      <w:pPr>
        <w:snapToGrid w:val="0"/>
        <w:spacing w:beforeAutospacing="0" w:afterAutospacing="0" w:line="360" w:lineRule="auto"/>
        <w:rPr>
          <w:rFonts w:ascii="宋体" w:hAnsi="宋体" w:eastAsia="宋体"/>
          <w:color w:val="auto"/>
          <w:sz w:val="28"/>
          <w:szCs w:val="28"/>
          <w:highlight w:val="none"/>
        </w:rPr>
      </w:pPr>
    </w:p>
    <w:p>
      <w:pPr>
        <w:snapToGrid w:val="0"/>
        <w:spacing w:beforeAutospacing="0" w:afterAutospacing="0" w:line="360" w:lineRule="auto"/>
        <w:rPr>
          <w:rFonts w:ascii="宋体" w:hAnsi="宋体" w:eastAsia="宋体"/>
          <w:color w:val="auto"/>
          <w:sz w:val="28"/>
          <w:szCs w:val="28"/>
          <w:highlight w:val="none"/>
        </w:rPr>
      </w:pPr>
    </w:p>
    <w:p>
      <w:pPr>
        <w:snapToGrid w:val="0"/>
        <w:spacing w:beforeAutospacing="0" w:afterAutospacing="0" w:line="360" w:lineRule="auto"/>
        <w:rPr>
          <w:rFonts w:ascii="宋体" w:hAnsi="宋体" w:eastAsia="宋体"/>
          <w:color w:val="auto"/>
          <w:sz w:val="28"/>
          <w:szCs w:val="28"/>
          <w:highlight w:val="none"/>
        </w:rPr>
      </w:pPr>
    </w:p>
    <w:p>
      <w:pPr>
        <w:snapToGrid w:val="0"/>
        <w:spacing w:beforeAutospacing="0" w:afterAutospacing="0" w:line="360" w:lineRule="auto"/>
        <w:rPr>
          <w:rFonts w:ascii="宋体" w:hAnsi="宋体" w:eastAsia="宋体"/>
          <w:color w:val="auto"/>
          <w:sz w:val="28"/>
          <w:szCs w:val="28"/>
          <w:highlight w:val="none"/>
        </w:rPr>
      </w:pPr>
    </w:p>
    <w:p>
      <w:pPr>
        <w:snapToGrid w:val="0"/>
        <w:spacing w:beforeAutospacing="0" w:afterAutospacing="0" w:line="360" w:lineRule="auto"/>
        <w:rPr>
          <w:rFonts w:ascii="宋体" w:hAnsi="宋体" w:eastAsia="宋体"/>
          <w:color w:val="auto"/>
          <w:sz w:val="28"/>
          <w:szCs w:val="28"/>
          <w:highlight w:val="none"/>
        </w:rPr>
      </w:pPr>
    </w:p>
    <w:p>
      <w:pPr>
        <w:widowControl w:val="0"/>
        <w:spacing w:line="500" w:lineRule="exact"/>
        <w:ind w:firstLine="1280" w:firstLineChars="400"/>
        <w:jc w:val="both"/>
        <w:rPr>
          <w:rFonts w:ascii="宋体" w:hAnsi="宋体"/>
          <w:color w:val="auto"/>
          <w:sz w:val="32"/>
          <w:szCs w:val="32"/>
          <w:highlight w:val="none"/>
        </w:rPr>
      </w:pPr>
      <w:r>
        <w:rPr>
          <w:rFonts w:hint="eastAsia" w:ascii="宋体" w:hAnsi="宋体" w:cs="宋体"/>
          <w:color w:val="auto"/>
          <w:kern w:val="2"/>
          <w:sz w:val="32"/>
          <w:szCs w:val="32"/>
          <w:highlight w:val="none"/>
        </w:rPr>
        <w:t>供应商名称：</w:t>
      </w:r>
      <w:r>
        <w:rPr>
          <w:rFonts w:hint="eastAsia" w:ascii="宋体" w:hAnsi="宋体"/>
          <w:color w:val="auto"/>
          <w:kern w:val="2"/>
          <w:sz w:val="32"/>
          <w:szCs w:val="32"/>
          <w:highlight w:val="none"/>
          <w:u w:val="single"/>
        </w:rPr>
        <w:t xml:space="preserve">                </w:t>
      </w:r>
      <w:r>
        <w:rPr>
          <w:rFonts w:hint="eastAsia" w:ascii="宋体" w:hAnsi="宋体" w:cs="宋体"/>
          <w:color w:val="auto"/>
          <w:sz w:val="21"/>
          <w:szCs w:val="21"/>
          <w:highlight w:val="none"/>
        </w:rPr>
        <w:t>（电子签章）</w:t>
      </w:r>
    </w:p>
    <w:p>
      <w:pPr>
        <w:widowControl w:val="0"/>
        <w:spacing w:line="500" w:lineRule="exact"/>
        <w:ind w:firstLine="1280" w:firstLineChars="400"/>
        <w:jc w:val="both"/>
        <w:rPr>
          <w:rFonts w:ascii="宋体" w:hAnsi="宋体"/>
          <w:color w:val="auto"/>
          <w:sz w:val="32"/>
          <w:szCs w:val="32"/>
          <w:highlight w:val="none"/>
        </w:rPr>
      </w:pPr>
      <w:bookmarkStart w:id="179" w:name="_Toc453139660"/>
      <w:bookmarkEnd w:id="179"/>
      <w:r>
        <w:rPr>
          <w:rFonts w:hint="eastAsia" w:ascii="宋体" w:hAnsi="宋体" w:cs="宋体"/>
          <w:color w:val="auto"/>
          <w:kern w:val="2"/>
          <w:sz w:val="32"/>
          <w:szCs w:val="32"/>
          <w:highlight w:val="none"/>
        </w:rPr>
        <w:t>法定代表人：</w:t>
      </w:r>
      <w:r>
        <w:rPr>
          <w:rFonts w:hint="eastAsia" w:ascii="宋体" w:hAnsi="宋体"/>
          <w:color w:val="auto"/>
          <w:kern w:val="2"/>
          <w:sz w:val="32"/>
          <w:szCs w:val="32"/>
          <w:highlight w:val="none"/>
          <w:u w:val="single"/>
        </w:rPr>
        <w:t xml:space="preserve">                </w:t>
      </w:r>
      <w:r>
        <w:rPr>
          <w:rFonts w:hint="eastAsia" w:ascii="宋体" w:hAnsi="宋体" w:cs="宋体"/>
          <w:color w:val="auto"/>
          <w:sz w:val="21"/>
          <w:szCs w:val="21"/>
          <w:highlight w:val="none"/>
        </w:rPr>
        <w:t>（签字或盖章）</w:t>
      </w:r>
    </w:p>
    <w:p>
      <w:pPr>
        <w:widowControl w:val="0"/>
        <w:spacing w:line="500" w:lineRule="exact"/>
        <w:ind w:firstLine="1280" w:firstLineChars="400"/>
        <w:jc w:val="both"/>
        <w:rPr>
          <w:rFonts w:ascii="宋体" w:hAnsi="宋体" w:cs="宋体"/>
          <w:b/>
          <w:color w:val="auto"/>
          <w:sz w:val="24"/>
          <w:szCs w:val="24"/>
          <w:highlight w:val="none"/>
        </w:rPr>
      </w:pPr>
      <w:bookmarkStart w:id="180" w:name="_Toc453139662"/>
      <w:bookmarkEnd w:id="180"/>
      <w:r>
        <w:rPr>
          <w:rFonts w:hint="eastAsia" w:ascii="宋体" w:hAnsi="宋体" w:cs="宋体"/>
          <w:color w:val="auto"/>
          <w:kern w:val="2"/>
          <w:sz w:val="32"/>
          <w:szCs w:val="32"/>
          <w:highlight w:val="none"/>
        </w:rPr>
        <w:t>日</w:t>
      </w:r>
      <w:r>
        <w:rPr>
          <w:rFonts w:hint="eastAsia" w:ascii="宋体" w:hAnsi="宋体"/>
          <w:color w:val="auto"/>
          <w:kern w:val="2"/>
          <w:sz w:val="32"/>
          <w:szCs w:val="32"/>
          <w:highlight w:val="none"/>
        </w:rPr>
        <w:t xml:space="preserve">      </w:t>
      </w:r>
      <w:r>
        <w:rPr>
          <w:rFonts w:hint="eastAsia" w:ascii="宋体" w:hAnsi="宋体" w:cs="宋体"/>
          <w:color w:val="auto"/>
          <w:kern w:val="2"/>
          <w:sz w:val="32"/>
          <w:szCs w:val="32"/>
          <w:highlight w:val="none"/>
        </w:rPr>
        <w:t xml:space="preserve">期：  </w:t>
      </w:r>
      <w:r>
        <w:rPr>
          <w:rFonts w:hint="eastAsia" w:ascii="宋体" w:hAnsi="宋体"/>
          <w:color w:val="auto"/>
          <w:sz w:val="32"/>
          <w:szCs w:val="32"/>
          <w:highlight w:val="none"/>
        </w:rPr>
        <w:t>年    月    日</w:t>
      </w:r>
      <w:r>
        <w:rPr>
          <w:rFonts w:hint="eastAsia" w:ascii="宋体" w:hAnsi="宋体"/>
          <w:color w:val="auto"/>
          <w:kern w:val="2"/>
          <w:sz w:val="32"/>
          <w:szCs w:val="32"/>
          <w:highlight w:val="none"/>
        </w:rPr>
        <w:t xml:space="preserve"> </w:t>
      </w:r>
    </w:p>
    <w:p>
      <w:pPr>
        <w:snapToGrid w:val="0"/>
        <w:spacing w:beforeAutospacing="0" w:afterAutospacing="0" w:line="360" w:lineRule="auto"/>
        <w:rPr>
          <w:rFonts w:ascii="宋体" w:hAnsi="宋体" w:eastAsia="宋体"/>
          <w:color w:val="auto"/>
          <w:sz w:val="20"/>
          <w:szCs w:val="20"/>
          <w:highlight w:val="none"/>
        </w:rPr>
      </w:pPr>
    </w:p>
    <w:p>
      <w:pPr>
        <w:snapToGrid w:val="0"/>
        <w:spacing w:beforeAutospacing="0" w:afterAutospacing="0" w:line="360" w:lineRule="auto"/>
        <w:rPr>
          <w:rFonts w:hint="eastAsia" w:ascii="宋体" w:hAnsi="宋体" w:eastAsia="宋体"/>
          <w:color w:val="auto"/>
          <w:szCs w:val="24"/>
          <w:highlight w:val="none"/>
        </w:rPr>
      </w:pPr>
      <w:r>
        <w:rPr>
          <w:rFonts w:hint="eastAsia" w:ascii="宋体" w:hAnsi="宋体" w:eastAsia="宋体"/>
          <w:color w:val="auto"/>
          <w:szCs w:val="24"/>
          <w:highlight w:val="none"/>
        </w:rPr>
        <w:br w:type="page"/>
      </w:r>
    </w:p>
    <w:p>
      <w:pPr>
        <w:tabs>
          <w:tab w:val="left" w:pos="425"/>
          <w:tab w:val="left" w:pos="840"/>
        </w:tabs>
        <w:wordWrap w:val="0"/>
        <w:spacing w:before="160" w:beforeAutospacing="0" w:after="160" w:afterAutospacing="0" w:line="600" w:lineRule="exact"/>
        <w:ind w:firstLine="723" w:firstLineChars="200"/>
        <w:outlineLvl w:val="1"/>
        <w:rPr>
          <w:rFonts w:ascii="宋体" w:hAnsi="宋体" w:eastAsia="宋体"/>
          <w:b/>
          <w:color w:val="auto"/>
          <w:kern w:val="0"/>
          <w:sz w:val="36"/>
          <w:szCs w:val="36"/>
          <w:highlight w:val="none"/>
        </w:rPr>
      </w:pPr>
    </w:p>
    <w:p>
      <w:pPr>
        <w:tabs>
          <w:tab w:val="left" w:pos="425"/>
          <w:tab w:val="left" w:pos="840"/>
        </w:tabs>
        <w:wordWrap w:val="0"/>
        <w:spacing w:before="160" w:beforeAutospacing="0" w:after="160" w:afterAutospacing="0" w:line="600" w:lineRule="exact"/>
        <w:jc w:val="center"/>
        <w:outlineLvl w:val="9"/>
        <w:rPr>
          <w:rFonts w:hint="eastAsia" w:ascii="宋体" w:hAnsi="宋体" w:eastAsia="宋体"/>
          <w:b/>
          <w:color w:val="auto"/>
          <w:kern w:val="0"/>
          <w:sz w:val="36"/>
          <w:szCs w:val="36"/>
          <w:highlight w:val="none"/>
        </w:rPr>
      </w:pPr>
      <w:r>
        <w:rPr>
          <w:rFonts w:hint="eastAsia" w:ascii="宋体" w:hAnsi="宋体" w:eastAsia="宋体"/>
          <w:b/>
          <w:color w:val="auto"/>
          <w:kern w:val="0"/>
          <w:sz w:val="36"/>
          <w:szCs w:val="36"/>
          <w:highlight w:val="none"/>
        </w:rPr>
        <w:t>目</w:t>
      </w:r>
      <w:r>
        <w:rPr>
          <w:rFonts w:ascii="宋体" w:hAnsi="宋体" w:eastAsia="宋体"/>
          <w:b/>
          <w:color w:val="auto"/>
          <w:kern w:val="0"/>
          <w:sz w:val="36"/>
          <w:szCs w:val="36"/>
          <w:highlight w:val="none"/>
        </w:rPr>
        <w:t xml:space="preserve">  </w:t>
      </w:r>
      <w:r>
        <w:rPr>
          <w:rFonts w:hint="eastAsia" w:ascii="宋体" w:hAnsi="宋体" w:eastAsia="宋体"/>
          <w:b/>
          <w:color w:val="auto"/>
          <w:kern w:val="0"/>
          <w:sz w:val="36"/>
          <w:szCs w:val="36"/>
          <w:highlight w:val="none"/>
        </w:rPr>
        <w:t>录</w:t>
      </w:r>
    </w:p>
    <w:p>
      <w:pPr>
        <w:wordWrap w:val="0"/>
        <w:spacing w:beforeAutospacing="0" w:afterAutospacing="0" w:line="600" w:lineRule="exact"/>
        <w:ind w:firstLine="560" w:firstLineChars="200"/>
        <w:jc w:val="center"/>
        <w:rPr>
          <w:rFonts w:ascii="Calibri" w:hAnsi="Calibri" w:eastAsia="宋体"/>
          <w:color w:val="auto"/>
          <w:sz w:val="28"/>
          <w:szCs w:val="28"/>
          <w:highlight w:val="none"/>
        </w:rPr>
      </w:pPr>
    </w:p>
    <w:p>
      <w:pPr>
        <w:wordWrap w:val="0"/>
        <w:spacing w:beforeAutospacing="0" w:afterAutospacing="0" w:line="600" w:lineRule="exact"/>
        <w:jc w:val="center"/>
        <w:rPr>
          <w:rFonts w:ascii="宋体" w:hAnsi="宋体" w:eastAsia="宋体"/>
          <w:b/>
          <w:bCs/>
          <w:color w:val="auto"/>
          <w:kern w:val="0"/>
          <w:sz w:val="28"/>
          <w:szCs w:val="28"/>
          <w:highlight w:val="none"/>
        </w:rPr>
      </w:pPr>
      <w:bookmarkStart w:id="181" w:name="_Hlt532935814"/>
      <w:bookmarkEnd w:id="181"/>
      <w:bookmarkStart w:id="182" w:name="_Hlt532935815"/>
      <w:bookmarkEnd w:id="182"/>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pPr>
        <w:wordWrap w:val="0"/>
        <w:spacing w:beforeAutospacing="0" w:afterAutospacing="0" w:line="600" w:lineRule="exact"/>
        <w:ind w:firstLine="562" w:firstLineChars="200"/>
        <w:jc w:val="center"/>
        <w:rPr>
          <w:rFonts w:hint="eastAsia"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 xml:space="preserve"> </w:t>
      </w:r>
    </w:p>
    <w:p>
      <w:pPr>
        <w:wordWrap w:val="0"/>
        <w:spacing w:beforeAutospacing="0" w:afterAutospacing="0" w:line="600" w:lineRule="exact"/>
        <w:ind w:firstLine="562" w:firstLineChars="200"/>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 xml:space="preserve"> </w:t>
      </w: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pPr>
        <w:keepNext w:val="0"/>
        <w:keepLines w:val="0"/>
        <w:pageBreakBefore w:val="0"/>
        <w:kinsoku/>
        <w:overflowPunct/>
        <w:topLinePunct w:val="0"/>
        <w:bidi w:val="0"/>
        <w:spacing w:beforeAutospacing="0" w:afterAutospacing="0" w:line="560" w:lineRule="exact"/>
        <w:jc w:val="center"/>
        <w:outlineLvl w:val="0"/>
        <w:rPr>
          <w:color w:val="auto"/>
          <w:sz w:val="28"/>
          <w:szCs w:val="20"/>
          <w:highlight w:val="none"/>
          <w:lang w:val="en-US"/>
        </w:rPr>
      </w:pPr>
      <w:bookmarkStart w:id="183" w:name="_Toc152045788"/>
      <w:bookmarkStart w:id="184" w:name="_Toc152042577"/>
      <w:bookmarkStart w:id="185" w:name="_Toc144974857"/>
      <w:bookmarkStart w:id="186" w:name="_Toc25215"/>
      <w:bookmarkStart w:id="187" w:name="_Toc28978"/>
      <w:bookmarkStart w:id="188" w:name="_Toc8655_WPSOffice_Level1"/>
      <w:bookmarkStart w:id="189" w:name="_Toc487498495"/>
      <w:bookmarkStart w:id="190" w:name="_Toc2045"/>
      <w:bookmarkStart w:id="191" w:name="_Toc440880272"/>
      <w:r>
        <w:rPr>
          <w:rFonts w:hint="eastAsia"/>
          <w:color w:val="auto"/>
          <w:sz w:val="28"/>
          <w:szCs w:val="20"/>
          <w:highlight w:val="none"/>
          <w:lang w:val="en-US"/>
        </w:rPr>
        <w:t>一、磋商函及</w:t>
      </w:r>
      <w:bookmarkEnd w:id="183"/>
      <w:bookmarkEnd w:id="184"/>
      <w:bookmarkEnd w:id="185"/>
      <w:r>
        <w:rPr>
          <w:rFonts w:hint="eastAsia"/>
          <w:color w:val="auto"/>
          <w:sz w:val="28"/>
          <w:szCs w:val="20"/>
          <w:highlight w:val="none"/>
          <w:lang w:val="en-US"/>
        </w:rPr>
        <w:t>磋商函附录</w:t>
      </w:r>
      <w:bookmarkEnd w:id="186"/>
      <w:bookmarkEnd w:id="187"/>
      <w:bookmarkEnd w:id="188"/>
      <w:bookmarkEnd w:id="189"/>
      <w:bookmarkEnd w:id="190"/>
    </w:p>
    <w:p>
      <w:pPr>
        <w:keepNext w:val="0"/>
        <w:keepLines w:val="0"/>
        <w:pageBreakBefore w:val="0"/>
        <w:kinsoku/>
        <w:overflowPunct/>
        <w:topLinePunct w:val="0"/>
        <w:bidi w:val="0"/>
        <w:spacing w:beforeAutospacing="0" w:afterAutospacing="0" w:line="560" w:lineRule="exact"/>
        <w:jc w:val="center"/>
        <w:outlineLvl w:val="2"/>
        <w:rPr>
          <w:color w:val="auto"/>
          <w:sz w:val="28"/>
          <w:szCs w:val="20"/>
          <w:highlight w:val="none"/>
          <w:lang w:val="en-US"/>
        </w:rPr>
      </w:pPr>
      <w:bookmarkStart w:id="192" w:name="_Toc318450744"/>
      <w:bookmarkStart w:id="193" w:name="_Toc8915"/>
      <w:bookmarkStart w:id="194" w:name="_Toc26765"/>
      <w:bookmarkStart w:id="195" w:name="_Toc26262"/>
      <w:bookmarkStart w:id="196" w:name="_Toc455080170"/>
      <w:bookmarkStart w:id="197" w:name="_Toc487498496"/>
      <w:bookmarkStart w:id="198" w:name="_Toc11855"/>
      <w:bookmarkStart w:id="199" w:name="_Toc18705"/>
      <w:bookmarkStart w:id="200" w:name="_Toc464035571"/>
      <w:bookmarkStart w:id="201" w:name="_Toc30581"/>
      <w:bookmarkStart w:id="202" w:name="_Toc23888"/>
      <w:bookmarkStart w:id="203" w:name="_Toc488504497"/>
      <w:bookmarkStart w:id="204" w:name="_Toc152045789"/>
      <w:bookmarkStart w:id="205" w:name="_Toc152042578"/>
      <w:bookmarkStart w:id="206" w:name="_Toc463701092"/>
      <w:bookmarkStart w:id="207" w:name="_Toc7366_WPSOffice_Level2"/>
      <w:bookmarkStart w:id="208" w:name="_Toc144974858"/>
      <w:r>
        <w:rPr>
          <w:rFonts w:hint="eastAsia"/>
          <w:color w:val="auto"/>
          <w:sz w:val="28"/>
          <w:szCs w:val="20"/>
          <w:highlight w:val="none"/>
          <w:lang w:val="en-US"/>
        </w:rPr>
        <w:t>（一）磋商函</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rPr>
          <w:rFonts w:hint="eastAsia" w:ascii="Calibri" w:hAnsi="Calibri" w:eastAsia="宋体"/>
          <w:color w:val="auto"/>
          <w:sz w:val="24"/>
          <w:highlight w:val="none"/>
        </w:rPr>
      </w:pPr>
      <w:r>
        <w:rPr>
          <w:rFonts w:hint="eastAsia" w:ascii="Calibri" w:hAnsi="Calibri" w:eastAsia="宋体"/>
          <w:color w:val="auto"/>
          <w:sz w:val="24"/>
          <w:highlight w:val="none"/>
        </w:rPr>
        <w:t xml:space="preserve">（采购人名称）: </w:t>
      </w:r>
    </w:p>
    <w:p>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1．我方己仔细研究了</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 xml:space="preserve">（项目名称）招标文件的全部内容，愿意以（大写）人民币 </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元（￥</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元 ）的投标</w:t>
      </w:r>
      <w:r>
        <w:rPr>
          <w:rFonts w:hint="eastAsia" w:ascii="Calibri" w:hAnsi="Calibri" w:eastAsia="宋体"/>
          <w:color w:val="auto"/>
          <w:sz w:val="24"/>
          <w:highlight w:val="none"/>
          <w:lang w:val="en-US" w:eastAsia="zh-CN"/>
        </w:rPr>
        <w:t>报</w:t>
      </w:r>
      <w:r>
        <w:rPr>
          <w:rFonts w:hint="eastAsia" w:ascii="Calibri" w:hAnsi="Calibri" w:eastAsia="宋体"/>
          <w:color w:val="auto"/>
          <w:sz w:val="24"/>
          <w:highlight w:val="none"/>
        </w:rPr>
        <w:t>价，服务周期</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，按合同约定实施和完成承包项目，质量达到</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 xml:space="preserve"> ，项目负责人</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w:t>
      </w:r>
    </w:p>
    <w:p>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2．我方承诺在投标有效期内不修改、撤销投标文件。</w:t>
      </w:r>
    </w:p>
    <w:p>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3．如我方中标：</w:t>
      </w:r>
    </w:p>
    <w:p>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(l）我方承诺在收到中标通知书后，在中标通知书规定的期限内与你方签订合同。</w:t>
      </w:r>
    </w:p>
    <w:p>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(2）随同本投标函递交的投标函附录属于合同文件的组成部分。</w:t>
      </w:r>
      <w:r>
        <w:rPr>
          <w:rFonts w:hint="eastAsia" w:ascii="Calibri" w:hAnsi="Calibri" w:eastAsia="宋体"/>
          <w:color w:val="auto"/>
          <w:sz w:val="24"/>
          <w:highlight w:val="none"/>
        </w:rPr>
        <w:tab/>
      </w:r>
    </w:p>
    <w:p>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(3）我方承诺在合同约定的期限内完成全部设计文件。</w:t>
      </w:r>
    </w:p>
    <w:p>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4．我方在此声明，所递交的投标文件及有关资料内容完整、真实和准确。</w:t>
      </w:r>
    </w:p>
    <w:p>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5．如果我方中标，不更换项目负责人及项目管理机构主要人员。</w:t>
      </w:r>
    </w:p>
    <w:p>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 </w:t>
      </w:r>
    </w:p>
    <w:p>
      <w:pPr>
        <w:autoSpaceDE w:val="0"/>
        <w:autoSpaceDN w:val="0"/>
        <w:adjustRightInd w:val="0"/>
        <w:snapToGrid w:val="0"/>
        <w:spacing w:after="200" w:line="500" w:lineRule="exact"/>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pPr>
        <w:autoSpaceDE w:val="0"/>
        <w:autoSpaceDN w:val="0"/>
        <w:adjustRightInd w:val="0"/>
        <w:snapToGrid w:val="0"/>
        <w:spacing w:after="200"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pPr>
        <w:rPr>
          <w:rFonts w:hint="eastAsia" w:ascii="Calibri" w:hAnsi="Calibri" w:eastAsia="宋体"/>
          <w:color w:val="auto"/>
          <w:highlight w:val="none"/>
        </w:rPr>
      </w:pPr>
      <w:r>
        <w:rPr>
          <w:rFonts w:hint="eastAsia" w:ascii="Calibri" w:hAnsi="Calibri" w:eastAsia="宋体"/>
          <w:color w:val="auto"/>
          <w:highlight w:val="none"/>
        </w:rPr>
        <w:t> </w:t>
      </w:r>
    </w:p>
    <w:bookmarkEnd w:id="191"/>
    <w:p>
      <w:pPr>
        <w:wordWrap w:val="0"/>
        <w:spacing w:beforeAutospacing="0" w:afterAutospacing="0" w:line="600" w:lineRule="exact"/>
        <w:ind w:firstLine="420" w:firstLineChars="200"/>
        <w:jc w:val="center"/>
        <w:rPr>
          <w:rFonts w:hint="default" w:ascii="Calibri" w:hAnsi="Calibri" w:eastAsia="宋体"/>
          <w:color w:val="auto"/>
          <w:highlight w:val="none"/>
          <w:lang w:val="en-US" w:eastAsia="zh-CN"/>
        </w:rPr>
      </w:pPr>
      <w:r>
        <w:rPr>
          <w:rFonts w:hint="eastAsia" w:ascii="Calibri" w:hAnsi="Calibri" w:eastAsia="宋体"/>
          <w:color w:val="auto"/>
          <w:highlight w:val="none"/>
        </w:rPr>
        <w:br w:type="page"/>
      </w:r>
      <w:bookmarkStart w:id="209" w:name="_Toc403418420"/>
      <w:bookmarkStart w:id="210" w:name="_Toc216842529"/>
      <w:bookmarkStart w:id="211" w:name="_Toc403418354"/>
      <w:bookmarkStart w:id="212" w:name="_Toc20293"/>
      <w:bookmarkStart w:id="213" w:name="_Toc25194"/>
      <w:bookmarkStart w:id="214" w:name="_Toc14822"/>
      <w:bookmarkStart w:id="215" w:name="_Toc13604_WPSOffice_Level2"/>
      <w:r>
        <w:rPr>
          <w:rFonts w:hint="eastAsia"/>
          <w:color w:val="auto"/>
          <w:sz w:val="28"/>
          <w:szCs w:val="20"/>
          <w:highlight w:val="none"/>
          <w:lang w:val="en-US"/>
        </w:rPr>
        <w:t>（二）</w:t>
      </w:r>
      <w:bookmarkEnd w:id="209"/>
      <w:bookmarkEnd w:id="210"/>
      <w:bookmarkEnd w:id="211"/>
      <w:r>
        <w:rPr>
          <w:rFonts w:hint="eastAsia"/>
          <w:color w:val="auto"/>
          <w:sz w:val="28"/>
          <w:szCs w:val="20"/>
          <w:highlight w:val="none"/>
          <w:lang w:val="en-US"/>
        </w:rPr>
        <w:t>磋商函附录</w:t>
      </w:r>
      <w:bookmarkEnd w:id="212"/>
      <w:bookmarkEnd w:id="213"/>
      <w:bookmarkEnd w:id="214"/>
      <w:bookmarkEnd w:id="215"/>
    </w:p>
    <w:tbl>
      <w:tblPr>
        <w:tblStyle w:val="16"/>
        <w:tblpPr w:leftFromText="181" w:rightFromText="181" w:vertAnchor="text" w:horzAnchor="margin" w:tblpXSpec="center" w:tblpY="372"/>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9"/>
        <w:gridCol w:w="3658"/>
        <w:gridCol w:w="1387"/>
        <w:gridCol w:w="1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宋体" w:eastAsia="宋体"/>
                <w:color w:val="auto"/>
                <w:kern w:val="0"/>
                <w:sz w:val="24"/>
                <w:szCs w:val="28"/>
                <w:highlight w:val="none"/>
              </w:rPr>
              <w:t>供</w:t>
            </w:r>
            <w:r>
              <w:rPr>
                <w:rFonts w:hint="eastAsia" w:ascii="宋体" w:hAnsi="宋体"/>
                <w:color w:val="auto"/>
                <w:kern w:val="0"/>
                <w:sz w:val="24"/>
                <w:szCs w:val="28"/>
                <w:highlight w:val="none"/>
                <w:lang w:val="en-US" w:eastAsia="zh-CN"/>
              </w:rPr>
              <w:t>应</w:t>
            </w:r>
            <w:r>
              <w:rPr>
                <w:rFonts w:hint="eastAsia" w:ascii="宋体" w:hAnsi="宋体" w:eastAsia="宋体"/>
                <w:color w:val="auto"/>
                <w:kern w:val="0"/>
                <w:sz w:val="24"/>
                <w:szCs w:val="28"/>
                <w:highlight w:val="none"/>
              </w:rPr>
              <w:t>商名称</w:t>
            </w:r>
          </w:p>
        </w:tc>
        <w:tc>
          <w:tcPr>
            <w:tcW w:w="6508" w:type="dxa"/>
            <w:gridSpan w:val="3"/>
            <w:vAlign w:val="center"/>
          </w:tcPr>
          <w:p>
            <w:pPr>
              <w:wordWrap w:val="0"/>
              <w:spacing w:beforeAutospacing="0" w:afterAutospacing="0" w:line="600" w:lineRule="exact"/>
              <w:ind w:firstLine="480" w:firstLineChars="200"/>
              <w:jc w:val="center"/>
              <w:rPr>
                <w:rFonts w:ascii="宋体" w:hAnsi="Calibri" w:eastAsia="宋体"/>
                <w:color w:val="auto"/>
                <w:sz w:val="24"/>
                <w:szCs w:val="28"/>
                <w:highlight w:val="none"/>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Times New Roman" w:eastAsia="宋体"/>
                <w:color w:val="auto"/>
                <w:kern w:val="0"/>
                <w:sz w:val="24"/>
                <w:szCs w:val="28"/>
                <w:highlight w:val="none"/>
              </w:rPr>
              <w:t>项目名称</w:t>
            </w:r>
          </w:p>
        </w:tc>
        <w:tc>
          <w:tcPr>
            <w:tcW w:w="6508" w:type="dxa"/>
            <w:gridSpan w:val="3"/>
            <w:vAlign w:val="center"/>
          </w:tcPr>
          <w:p>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Times New Roman" w:eastAsia="宋体"/>
                <w:color w:val="auto"/>
                <w:kern w:val="0"/>
                <w:sz w:val="24"/>
                <w:szCs w:val="28"/>
                <w:highlight w:val="none"/>
              </w:rPr>
              <w:t>项目编号</w:t>
            </w:r>
            <w:r>
              <w:rPr>
                <w:rFonts w:ascii="宋体" w:hAnsi="Times New Roman" w:eastAsia="宋体"/>
                <w:color w:val="auto"/>
                <w:kern w:val="0"/>
                <w:sz w:val="24"/>
                <w:szCs w:val="28"/>
                <w:highlight w:val="none"/>
              </w:rPr>
              <w:t xml:space="preserve"> </w:t>
            </w:r>
          </w:p>
        </w:tc>
        <w:tc>
          <w:tcPr>
            <w:tcW w:w="6508" w:type="dxa"/>
            <w:gridSpan w:val="3"/>
            <w:vAlign w:val="center"/>
          </w:tcPr>
          <w:p>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8" w:hRule="atLeast"/>
        </w:trPr>
        <w:tc>
          <w:tcPr>
            <w:tcW w:w="2009" w:type="dxa"/>
            <w:vAlign w:val="center"/>
          </w:tcPr>
          <w:p>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color w:val="auto"/>
                <w:sz w:val="24"/>
                <w:szCs w:val="28"/>
                <w:highlight w:val="none"/>
                <w:lang w:eastAsia="zh-CN"/>
              </w:rPr>
              <w:t>磋商</w:t>
            </w:r>
            <w:r>
              <w:rPr>
                <w:rFonts w:hint="eastAsia" w:ascii="宋体" w:hAnsi="宋体" w:eastAsia="宋体"/>
                <w:color w:val="auto"/>
                <w:sz w:val="24"/>
                <w:szCs w:val="28"/>
                <w:highlight w:val="none"/>
                <w:lang w:val="en-US" w:eastAsia="zh-CN"/>
              </w:rPr>
              <w:t>报</w:t>
            </w:r>
            <w:r>
              <w:rPr>
                <w:rFonts w:hint="eastAsia" w:ascii="宋体" w:hAnsi="宋体" w:eastAsia="宋体"/>
                <w:color w:val="auto"/>
                <w:sz w:val="24"/>
                <w:szCs w:val="28"/>
                <w:highlight w:val="none"/>
              </w:rPr>
              <w:t>价</w:t>
            </w:r>
          </w:p>
        </w:tc>
        <w:tc>
          <w:tcPr>
            <w:tcW w:w="6508" w:type="dxa"/>
            <w:gridSpan w:val="3"/>
            <w:vAlign w:val="center"/>
          </w:tcPr>
          <w:p>
            <w:pPr>
              <w:wordWrap w:val="0"/>
              <w:spacing w:beforeAutospacing="0" w:afterAutospacing="0" w:line="600" w:lineRule="exact"/>
              <w:ind w:firstLine="424" w:firstLineChars="200"/>
              <w:rPr>
                <w:rFonts w:hint="eastAsia" w:ascii="Calibri" w:hAnsi="Calibri" w:eastAsia="宋体"/>
                <w:color w:val="auto"/>
                <w:spacing w:val="-14"/>
                <w:sz w:val="24"/>
                <w:szCs w:val="28"/>
                <w:highlight w:val="none"/>
              </w:rPr>
            </w:pPr>
            <w:r>
              <w:rPr>
                <w:rFonts w:hint="eastAsia" w:ascii="Calibri" w:hAnsi="Calibri" w:eastAsia="宋体"/>
                <w:color w:val="auto"/>
                <w:spacing w:val="-14"/>
                <w:sz w:val="24"/>
                <w:szCs w:val="28"/>
                <w:highlight w:val="none"/>
              </w:rPr>
              <w:t>大写：</w:t>
            </w:r>
          </w:p>
          <w:p>
            <w:pPr>
              <w:wordWrap w:val="0"/>
              <w:spacing w:beforeAutospacing="0" w:afterAutospacing="0" w:line="600" w:lineRule="exact"/>
              <w:ind w:firstLine="424" w:firstLineChars="200"/>
              <w:rPr>
                <w:rFonts w:hint="eastAsia" w:ascii="Calibri" w:hAnsi="Calibri" w:eastAsia="宋体"/>
                <w:color w:val="auto"/>
                <w:spacing w:val="-14"/>
                <w:sz w:val="24"/>
                <w:szCs w:val="28"/>
                <w:highlight w:val="none"/>
              </w:rPr>
            </w:pPr>
            <w:r>
              <w:rPr>
                <w:rFonts w:hint="eastAsia" w:ascii="Calibri" w:hAnsi="Calibri" w:eastAsia="宋体"/>
                <w:color w:val="auto"/>
                <w:spacing w:val="-14"/>
                <w:sz w:val="24"/>
                <w:szCs w:val="28"/>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服务周期</w:t>
            </w:r>
          </w:p>
        </w:tc>
        <w:tc>
          <w:tcPr>
            <w:tcW w:w="6508" w:type="dxa"/>
            <w:gridSpan w:val="3"/>
            <w:vAlign w:val="center"/>
          </w:tcPr>
          <w:p>
            <w:pPr>
              <w:wordWrap w:val="0"/>
              <w:spacing w:beforeAutospacing="0" w:afterAutospacing="0" w:line="600" w:lineRule="exact"/>
              <w:ind w:firstLine="480" w:firstLineChars="200"/>
              <w:rPr>
                <w:rFonts w:ascii="宋体" w:hAnsi="Calibri" w:eastAsia="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质量标准</w:t>
            </w:r>
          </w:p>
        </w:tc>
        <w:tc>
          <w:tcPr>
            <w:tcW w:w="6508" w:type="dxa"/>
            <w:gridSpan w:val="3"/>
            <w:vAlign w:val="center"/>
          </w:tcPr>
          <w:p>
            <w:pPr>
              <w:wordWrap w:val="0"/>
              <w:spacing w:beforeAutospacing="0" w:afterAutospacing="0" w:line="600" w:lineRule="exact"/>
              <w:ind w:firstLine="480" w:firstLineChars="200"/>
              <w:rPr>
                <w:rFonts w:ascii="宋体" w:hAnsi="Calibri" w:eastAsia="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项目负责人</w:t>
            </w:r>
          </w:p>
        </w:tc>
        <w:tc>
          <w:tcPr>
            <w:tcW w:w="3658" w:type="dxa"/>
            <w:vAlign w:val="center"/>
          </w:tcPr>
          <w:p>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c>
          <w:tcPr>
            <w:tcW w:w="1387" w:type="dxa"/>
            <w:vAlign w:val="center"/>
          </w:tcPr>
          <w:p>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联系电话</w:t>
            </w:r>
          </w:p>
        </w:tc>
        <w:tc>
          <w:tcPr>
            <w:tcW w:w="1463" w:type="dxa"/>
            <w:vAlign w:val="center"/>
          </w:tcPr>
          <w:p>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投标有效期</w:t>
            </w:r>
          </w:p>
        </w:tc>
        <w:tc>
          <w:tcPr>
            <w:tcW w:w="6508" w:type="dxa"/>
            <w:gridSpan w:val="3"/>
            <w:vAlign w:val="center"/>
          </w:tcPr>
          <w:p>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9" w:hRule="atLeast"/>
        </w:trPr>
        <w:tc>
          <w:tcPr>
            <w:tcW w:w="2009" w:type="dxa"/>
            <w:vAlign w:val="center"/>
          </w:tcPr>
          <w:p>
            <w:pPr>
              <w:wordWrap w:val="0"/>
              <w:autoSpaceDE w:val="0"/>
              <w:autoSpaceDN w:val="0"/>
              <w:spacing w:beforeAutospacing="0" w:afterAutospacing="0" w:line="600" w:lineRule="exact"/>
              <w:jc w:val="left"/>
              <w:rPr>
                <w:rFonts w:hint="eastAsia" w:ascii="Calibri" w:hAnsi="Calibri" w:eastAsia="宋体"/>
                <w:color w:val="auto"/>
                <w:sz w:val="24"/>
                <w:szCs w:val="28"/>
                <w:highlight w:val="none"/>
              </w:rPr>
            </w:pPr>
            <w:r>
              <w:rPr>
                <w:rFonts w:hint="eastAsia" w:ascii="宋体" w:hAnsi="Times New Roman" w:eastAsia="宋体"/>
                <w:color w:val="auto"/>
                <w:kern w:val="0"/>
                <w:sz w:val="24"/>
                <w:szCs w:val="28"/>
                <w:highlight w:val="none"/>
              </w:rPr>
              <w:t>其它优惠</w:t>
            </w:r>
            <w:r>
              <w:rPr>
                <w:rFonts w:hint="eastAsia" w:ascii="Calibri" w:hAnsi="Calibri" w:eastAsia="宋体"/>
                <w:color w:val="auto"/>
                <w:sz w:val="24"/>
                <w:szCs w:val="28"/>
                <w:highlight w:val="none"/>
              </w:rPr>
              <w:t>条件</w:t>
            </w:r>
            <w:r>
              <w:rPr>
                <w:rFonts w:ascii="Calibri" w:hAnsi="Calibri" w:eastAsia="宋体"/>
                <w:color w:val="auto"/>
                <w:sz w:val="24"/>
                <w:szCs w:val="28"/>
                <w:highlight w:val="none"/>
              </w:rPr>
              <w:t xml:space="preserve"> </w:t>
            </w:r>
          </w:p>
        </w:tc>
        <w:tc>
          <w:tcPr>
            <w:tcW w:w="6508" w:type="dxa"/>
            <w:gridSpan w:val="3"/>
            <w:vAlign w:val="center"/>
          </w:tcPr>
          <w:p>
            <w:pPr>
              <w:wordWrap w:val="0"/>
              <w:spacing w:beforeAutospacing="0" w:afterAutospacing="0" w:line="600" w:lineRule="exact"/>
              <w:ind w:firstLine="480" w:firstLineChars="200"/>
              <w:rPr>
                <w:rFonts w:ascii="宋体" w:hAnsi="Calibri" w:eastAsia="宋体"/>
                <w:color w:val="auto"/>
                <w:sz w:val="24"/>
                <w:szCs w:val="28"/>
                <w:highlight w:val="none"/>
              </w:rPr>
            </w:pPr>
          </w:p>
        </w:tc>
      </w:tr>
    </w:tbl>
    <w:p>
      <w:pPr>
        <w:wordWrap w:val="0"/>
        <w:spacing w:beforeAutospacing="0" w:afterAutospacing="0" w:line="600" w:lineRule="exact"/>
        <w:ind w:firstLine="480" w:firstLineChars="200"/>
        <w:rPr>
          <w:rFonts w:ascii="新宋体" w:hAnsi="新宋体" w:eastAsia="新宋体"/>
          <w:color w:val="auto"/>
          <w:sz w:val="24"/>
          <w:szCs w:val="28"/>
          <w:highlight w:val="none"/>
        </w:rPr>
      </w:pPr>
    </w:p>
    <w:p>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pPr>
        <w:autoSpaceDE w:val="0"/>
        <w:autoSpaceDN w:val="0"/>
        <w:adjustRightInd w:val="0"/>
        <w:snapToGrid w:val="0"/>
        <w:spacing w:after="200" w:line="500" w:lineRule="exact"/>
        <w:jc w:val="right"/>
        <w:rPr>
          <w:rFonts w:hint="eastAsia" w:ascii="宋体" w:hAnsi="宋体" w:cs="宋体"/>
          <w:color w:val="auto"/>
          <w:sz w:val="24"/>
          <w:szCs w:val="24"/>
          <w:highlight w:val="none"/>
        </w:rPr>
      </w:pPr>
    </w:p>
    <w:p>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pPr>
        <w:keepNext w:val="0"/>
        <w:keepLines w:val="0"/>
        <w:pageBreakBefore w:val="0"/>
        <w:numPr>
          <w:ilvl w:val="0"/>
          <w:numId w:val="0"/>
        </w:numPr>
        <w:kinsoku/>
        <w:overflowPunct/>
        <w:topLinePunct w:val="0"/>
        <w:bidi w:val="0"/>
        <w:spacing w:beforeAutospacing="0" w:afterAutospacing="0" w:line="560" w:lineRule="exact"/>
        <w:ind w:firstLine="422" w:firstLineChars="200"/>
        <w:rPr>
          <w:rFonts w:hint="eastAsia" w:eastAsia="宋体"/>
          <w:b/>
          <w:bCs/>
          <w:color w:val="auto"/>
          <w:szCs w:val="21"/>
          <w:highlight w:val="none"/>
          <w:lang w:eastAsia="zh-CN"/>
        </w:rPr>
      </w:pPr>
      <w:r>
        <w:rPr>
          <w:rFonts w:hint="eastAsia"/>
          <w:b/>
          <w:bCs/>
          <w:color w:val="auto"/>
          <w:szCs w:val="21"/>
          <w:highlight w:val="none"/>
        </w:rPr>
        <w:t>注：</w:t>
      </w:r>
      <w:r>
        <w:rPr>
          <w:rFonts w:hint="eastAsia" w:eastAsia="宋体"/>
          <w:b/>
          <w:bCs/>
          <w:color w:val="auto"/>
          <w:szCs w:val="21"/>
          <w:highlight w:val="none"/>
          <w:lang w:eastAsia="zh-CN"/>
        </w:rPr>
        <w:t>1、投标供应商必须以人民币报价。响应文件中的大写金额和小写金额不一致的，以大写金额为准；总价金额与单价金额和数量乘积不一致的，以单价金额和数量乘积为准，但单价金额小数点有明显错误的除外。</w:t>
      </w:r>
    </w:p>
    <w:p>
      <w:pPr>
        <w:keepNext w:val="0"/>
        <w:keepLines w:val="0"/>
        <w:pageBreakBefore w:val="0"/>
        <w:kinsoku/>
        <w:overflowPunct/>
        <w:topLinePunct w:val="0"/>
        <w:bidi w:val="0"/>
        <w:spacing w:beforeAutospacing="0" w:afterAutospacing="0" w:line="560" w:lineRule="exact"/>
        <w:ind w:firstLine="843" w:firstLineChars="400"/>
        <w:rPr>
          <w:rFonts w:hint="eastAsia" w:eastAsia="宋体"/>
          <w:b/>
          <w:bCs/>
          <w:color w:val="auto"/>
          <w:szCs w:val="21"/>
          <w:highlight w:val="none"/>
          <w:lang w:eastAsia="zh-CN"/>
        </w:rPr>
      </w:pPr>
      <w:r>
        <w:rPr>
          <w:rFonts w:hint="eastAsia" w:eastAsia="宋体"/>
          <w:b/>
          <w:bCs/>
          <w:color w:val="auto"/>
          <w:szCs w:val="21"/>
          <w:highlight w:val="none"/>
          <w:lang w:eastAsia="zh-CN"/>
        </w:rPr>
        <w:t>2、总报价包含完成项目全部费用及相关税费。</w:t>
      </w:r>
    </w:p>
    <w:p>
      <w:pPr>
        <w:keepNext w:val="0"/>
        <w:keepLines w:val="0"/>
        <w:pageBreakBefore w:val="0"/>
        <w:kinsoku/>
        <w:overflowPunct/>
        <w:topLinePunct w:val="0"/>
        <w:bidi w:val="0"/>
        <w:spacing w:beforeAutospacing="0" w:afterAutospacing="0" w:line="560" w:lineRule="exact"/>
        <w:ind w:firstLine="843" w:firstLineChars="400"/>
        <w:rPr>
          <w:rFonts w:hint="eastAsia" w:eastAsia="宋体"/>
          <w:b/>
          <w:bCs/>
          <w:color w:val="auto"/>
          <w:szCs w:val="21"/>
          <w:highlight w:val="none"/>
          <w:lang w:eastAsia="zh-CN"/>
        </w:rPr>
      </w:pPr>
      <w:r>
        <w:rPr>
          <w:rFonts w:hint="eastAsia" w:eastAsia="宋体"/>
          <w:b/>
          <w:bCs/>
          <w:color w:val="auto"/>
          <w:szCs w:val="21"/>
          <w:highlight w:val="none"/>
          <w:lang w:eastAsia="zh-CN"/>
        </w:rPr>
        <w:t>3、上述日期均以日历天为单位，包括法定节假日。</w:t>
      </w:r>
    </w:p>
    <w:p>
      <w:pPr>
        <w:autoSpaceDE w:val="0"/>
        <w:autoSpaceDN w:val="0"/>
        <w:adjustRightInd w:val="0"/>
        <w:snapToGrid w:val="0"/>
        <w:spacing w:after="200" w:line="500" w:lineRule="exact"/>
        <w:jc w:val="right"/>
        <w:rPr>
          <w:rFonts w:hint="eastAsia" w:ascii="宋体" w:hAnsi="宋体" w:cs="宋体"/>
          <w:color w:val="auto"/>
          <w:sz w:val="24"/>
          <w:szCs w:val="24"/>
          <w:highlight w:val="none"/>
          <w:lang w:val="en-GB"/>
        </w:rPr>
      </w:pPr>
      <w:r>
        <w:rPr>
          <w:rFonts w:hint="eastAsia" w:eastAsiaTheme="minorEastAsia"/>
          <w:b/>
          <w:bCs/>
          <w:color w:val="auto"/>
          <w:szCs w:val="21"/>
          <w:highlight w:val="none"/>
          <w:lang w:val="en-US" w:eastAsia="zh-CN"/>
        </w:rPr>
        <w:t xml:space="preserve"> </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lang w:val="en-GB"/>
        </w:rPr>
        <w:t>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pPr>
        <w:autoSpaceDE w:val="0"/>
        <w:autoSpaceDN w:val="0"/>
        <w:adjustRightInd w:val="0"/>
        <w:snapToGrid w:val="0"/>
        <w:spacing w:after="200"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pPr>
        <w:wordWrap w:val="0"/>
        <w:spacing w:beforeAutospacing="0" w:afterAutospacing="0" w:line="600" w:lineRule="exact"/>
        <w:ind w:firstLine="560" w:firstLineChars="200"/>
        <w:rPr>
          <w:rFonts w:hint="eastAsia"/>
          <w:b w:val="0"/>
          <w:bCs/>
          <w:color w:val="auto"/>
          <w:sz w:val="28"/>
          <w:szCs w:val="21"/>
          <w:highlight w:val="none"/>
          <w:lang w:eastAsia="zh-CN"/>
        </w:rPr>
      </w:pPr>
      <w:r>
        <w:rPr>
          <w:rFonts w:hint="eastAsia"/>
          <w:b w:val="0"/>
          <w:bCs/>
          <w:color w:val="auto"/>
          <w:sz w:val="28"/>
          <w:szCs w:val="21"/>
          <w:highlight w:val="none"/>
          <w:lang w:eastAsia="zh-CN"/>
        </w:rPr>
        <w:t>附表一：报价明细表</w:t>
      </w:r>
    </w:p>
    <w:p>
      <w:pPr>
        <w:pStyle w:val="4"/>
        <w:rPr>
          <w:rFonts w:hint="eastAsia"/>
          <w:b w:val="0"/>
          <w:bCs/>
          <w:color w:val="auto"/>
          <w:sz w:val="28"/>
          <w:szCs w:val="21"/>
          <w:highlight w:val="none"/>
          <w:lang w:eastAsia="zh-CN"/>
        </w:rPr>
      </w:pPr>
    </w:p>
    <w:p>
      <w:pPr>
        <w:pStyle w:val="14"/>
        <w:jc w:val="center"/>
        <w:rPr>
          <w:rFonts w:hint="eastAsia"/>
          <w:b w:val="0"/>
          <w:bCs/>
          <w:color w:val="auto"/>
          <w:sz w:val="28"/>
          <w:szCs w:val="21"/>
          <w:highlight w:val="none"/>
          <w:lang w:eastAsia="zh-CN"/>
        </w:rPr>
      </w:pPr>
      <w:r>
        <w:rPr>
          <w:rFonts w:hint="eastAsia"/>
          <w:b w:val="0"/>
          <w:bCs/>
          <w:color w:val="auto"/>
          <w:sz w:val="28"/>
          <w:szCs w:val="21"/>
          <w:highlight w:val="none"/>
          <w:lang w:eastAsia="zh-CN"/>
        </w:rPr>
        <w:t>（</w:t>
      </w:r>
      <w:r>
        <w:rPr>
          <w:rFonts w:hint="eastAsia"/>
          <w:b w:val="0"/>
          <w:bCs/>
          <w:color w:val="auto"/>
          <w:sz w:val="28"/>
          <w:szCs w:val="21"/>
          <w:highlight w:val="none"/>
          <w:lang w:val="en-US" w:eastAsia="zh-CN"/>
        </w:rPr>
        <w:t>格式自拟</w:t>
      </w:r>
      <w:r>
        <w:rPr>
          <w:rFonts w:hint="eastAsia"/>
          <w:b w:val="0"/>
          <w:bCs/>
          <w:color w:val="auto"/>
          <w:sz w:val="28"/>
          <w:szCs w:val="21"/>
          <w:highlight w:val="none"/>
          <w:lang w:eastAsia="zh-CN"/>
        </w:rPr>
        <w:t>）</w:t>
      </w:r>
    </w:p>
    <w:p>
      <w:pPr>
        <w:pStyle w:val="14"/>
        <w:rPr>
          <w:rFonts w:hint="eastAsia"/>
          <w:b w:val="0"/>
          <w:bCs/>
          <w:color w:val="auto"/>
          <w:sz w:val="28"/>
          <w:szCs w:val="21"/>
          <w:highlight w:val="none"/>
          <w:lang w:eastAsia="zh-CN"/>
        </w:rPr>
      </w:pPr>
    </w:p>
    <w:p>
      <w:pPr>
        <w:pStyle w:val="14"/>
        <w:rPr>
          <w:rFonts w:hint="eastAsia"/>
          <w:b w:val="0"/>
          <w:bCs/>
          <w:color w:val="auto"/>
          <w:sz w:val="28"/>
          <w:szCs w:val="21"/>
          <w:highlight w:val="none"/>
          <w:lang w:eastAsia="zh-CN"/>
        </w:rPr>
      </w:pPr>
    </w:p>
    <w:p>
      <w:pPr>
        <w:pStyle w:val="14"/>
        <w:rPr>
          <w:rFonts w:hint="eastAsia"/>
          <w:b w:val="0"/>
          <w:bCs/>
          <w:color w:val="auto"/>
          <w:sz w:val="28"/>
          <w:szCs w:val="21"/>
          <w:highlight w:val="none"/>
          <w:lang w:eastAsia="zh-CN"/>
        </w:rPr>
      </w:pPr>
    </w:p>
    <w:p>
      <w:pPr>
        <w:pStyle w:val="14"/>
        <w:rPr>
          <w:rFonts w:hint="eastAsia"/>
          <w:b w:val="0"/>
          <w:bCs/>
          <w:color w:val="auto"/>
          <w:sz w:val="28"/>
          <w:szCs w:val="21"/>
          <w:highlight w:val="none"/>
          <w:lang w:eastAsia="zh-CN"/>
        </w:rPr>
      </w:pPr>
    </w:p>
    <w:p>
      <w:pPr>
        <w:pStyle w:val="14"/>
        <w:rPr>
          <w:rFonts w:hint="eastAsia"/>
          <w:b w:val="0"/>
          <w:bCs/>
          <w:color w:val="auto"/>
          <w:sz w:val="28"/>
          <w:szCs w:val="21"/>
          <w:highlight w:val="none"/>
          <w:lang w:eastAsia="zh-CN"/>
        </w:rPr>
      </w:pPr>
    </w:p>
    <w:p>
      <w:pPr>
        <w:pStyle w:val="14"/>
        <w:rPr>
          <w:rFonts w:hint="eastAsia"/>
          <w:b w:val="0"/>
          <w:bCs/>
          <w:color w:val="auto"/>
          <w:sz w:val="28"/>
          <w:szCs w:val="21"/>
          <w:highlight w:val="none"/>
          <w:lang w:eastAsia="zh-CN"/>
        </w:rPr>
      </w:pPr>
    </w:p>
    <w:p>
      <w:pPr>
        <w:pStyle w:val="14"/>
        <w:rPr>
          <w:rFonts w:hint="eastAsia"/>
          <w:b w:val="0"/>
          <w:bCs/>
          <w:color w:val="auto"/>
          <w:sz w:val="28"/>
          <w:szCs w:val="21"/>
          <w:highlight w:val="none"/>
          <w:lang w:eastAsia="zh-CN"/>
        </w:rPr>
      </w:pPr>
    </w:p>
    <w:p>
      <w:pPr>
        <w:pStyle w:val="14"/>
        <w:rPr>
          <w:rFonts w:hint="eastAsia"/>
          <w:b w:val="0"/>
          <w:bCs/>
          <w:color w:val="auto"/>
          <w:sz w:val="28"/>
          <w:szCs w:val="21"/>
          <w:highlight w:val="none"/>
          <w:lang w:eastAsia="zh-CN"/>
        </w:rPr>
      </w:pPr>
    </w:p>
    <w:p>
      <w:pPr>
        <w:pStyle w:val="14"/>
        <w:rPr>
          <w:rFonts w:hint="eastAsia"/>
          <w:b w:val="0"/>
          <w:bCs/>
          <w:color w:val="auto"/>
          <w:sz w:val="28"/>
          <w:szCs w:val="21"/>
          <w:highlight w:val="none"/>
          <w:lang w:eastAsia="zh-CN"/>
        </w:rPr>
      </w:pPr>
    </w:p>
    <w:p>
      <w:pPr>
        <w:pStyle w:val="14"/>
        <w:rPr>
          <w:rFonts w:hint="eastAsia"/>
          <w:b w:val="0"/>
          <w:bCs/>
          <w:color w:val="auto"/>
          <w:sz w:val="28"/>
          <w:szCs w:val="21"/>
          <w:highlight w:val="none"/>
          <w:lang w:eastAsia="zh-CN"/>
        </w:rPr>
      </w:pPr>
    </w:p>
    <w:p>
      <w:pPr>
        <w:pStyle w:val="14"/>
        <w:rPr>
          <w:rFonts w:hint="eastAsia"/>
          <w:b w:val="0"/>
          <w:bCs/>
          <w:color w:val="auto"/>
          <w:sz w:val="28"/>
          <w:szCs w:val="21"/>
          <w:highlight w:val="none"/>
          <w:lang w:eastAsia="zh-CN"/>
        </w:rPr>
      </w:pPr>
    </w:p>
    <w:p>
      <w:pPr>
        <w:pStyle w:val="14"/>
        <w:rPr>
          <w:rFonts w:hint="eastAsia"/>
          <w:b w:val="0"/>
          <w:bCs/>
          <w:color w:val="auto"/>
          <w:sz w:val="28"/>
          <w:szCs w:val="21"/>
          <w:highlight w:val="none"/>
          <w:lang w:eastAsia="zh-CN"/>
        </w:rPr>
      </w:pPr>
    </w:p>
    <w:p>
      <w:pPr>
        <w:pStyle w:val="14"/>
        <w:rPr>
          <w:rFonts w:hint="eastAsia"/>
          <w:b w:val="0"/>
          <w:bCs/>
          <w:color w:val="auto"/>
          <w:sz w:val="28"/>
          <w:szCs w:val="21"/>
          <w:highlight w:val="none"/>
          <w:lang w:eastAsia="zh-CN"/>
        </w:rPr>
      </w:pPr>
    </w:p>
    <w:p>
      <w:pPr>
        <w:pStyle w:val="14"/>
        <w:rPr>
          <w:color w:val="auto"/>
          <w:highlight w:val="none"/>
        </w:rPr>
      </w:pPr>
    </w:p>
    <w:p>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eastAsia="宋体"/>
          <w:b/>
          <w:bCs/>
          <w:color w:val="auto"/>
          <w:kern w:val="0"/>
          <w:sz w:val="36"/>
          <w:szCs w:val="36"/>
          <w:highlight w:val="none"/>
        </w:rPr>
        <w:t>二、法定代表人身份证明书</w:t>
      </w:r>
    </w:p>
    <w:p>
      <w:pPr>
        <w:wordWrap w:val="0"/>
        <w:spacing w:beforeAutospacing="0" w:afterAutospacing="0" w:line="600" w:lineRule="exact"/>
        <w:ind w:firstLine="482" w:firstLineChars="200"/>
        <w:rPr>
          <w:rFonts w:hint="eastAsia" w:ascii="宋体" w:hAnsi="宋体" w:eastAsia="宋体"/>
          <w:b/>
          <w:bCs/>
          <w:color w:val="auto"/>
          <w:kern w:val="0"/>
          <w:sz w:val="24"/>
          <w:szCs w:val="28"/>
          <w:highlight w:val="none"/>
        </w:rPr>
      </w:pPr>
      <w:r>
        <w:rPr>
          <w:rFonts w:hint="eastAsia" w:ascii="宋体" w:hAnsi="宋体" w:eastAsia="宋体"/>
          <w:b/>
          <w:bCs/>
          <w:color w:val="auto"/>
          <w:kern w:val="0"/>
          <w:sz w:val="24"/>
          <w:szCs w:val="28"/>
          <w:highlight w:val="none"/>
        </w:rPr>
        <w:t xml:space="preserve"> </w:t>
      </w:r>
    </w:p>
    <w:p>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单位名称：</w:t>
      </w:r>
      <w:r>
        <w:rPr>
          <w:rFonts w:hint="eastAsia" w:ascii="宋体" w:hAnsi="宋体" w:eastAsia="宋体"/>
          <w:color w:val="auto"/>
          <w:kern w:val="0"/>
          <w:sz w:val="24"/>
          <w:szCs w:val="28"/>
          <w:highlight w:val="none"/>
          <w:u w:val="single"/>
        </w:rPr>
        <w:t xml:space="preserve">                     </w:t>
      </w:r>
    </w:p>
    <w:p>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单位性质：</w:t>
      </w:r>
      <w:r>
        <w:rPr>
          <w:rFonts w:hint="eastAsia" w:ascii="宋体" w:hAnsi="宋体" w:eastAsia="宋体"/>
          <w:color w:val="auto"/>
          <w:kern w:val="0"/>
          <w:sz w:val="24"/>
          <w:szCs w:val="28"/>
          <w:highlight w:val="none"/>
          <w:u w:val="single"/>
        </w:rPr>
        <w:t xml:space="preserve">                       </w:t>
      </w:r>
    </w:p>
    <w:p>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地 址：</w:t>
      </w:r>
      <w:r>
        <w:rPr>
          <w:rFonts w:hint="eastAsia" w:ascii="宋体" w:hAnsi="宋体" w:eastAsia="宋体"/>
          <w:color w:val="auto"/>
          <w:kern w:val="0"/>
          <w:sz w:val="24"/>
          <w:szCs w:val="28"/>
          <w:highlight w:val="none"/>
          <w:u w:val="single"/>
        </w:rPr>
        <w:t xml:space="preserve">                         </w:t>
      </w:r>
    </w:p>
    <w:p>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成立时间：年 月 日</w:t>
      </w:r>
    </w:p>
    <w:p>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经营期限：</w:t>
      </w:r>
      <w:r>
        <w:rPr>
          <w:rFonts w:hint="eastAsia" w:ascii="宋体" w:hAnsi="宋体" w:eastAsia="宋体"/>
          <w:color w:val="auto"/>
          <w:kern w:val="0"/>
          <w:sz w:val="24"/>
          <w:szCs w:val="28"/>
          <w:highlight w:val="none"/>
          <w:u w:val="single"/>
        </w:rPr>
        <w:t xml:space="preserve">       </w:t>
      </w:r>
    </w:p>
    <w:p>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姓 名： 性别： 年龄： 职务：</w:t>
      </w:r>
      <w:r>
        <w:rPr>
          <w:rFonts w:hint="eastAsia" w:ascii="宋体" w:hAnsi="宋体" w:eastAsia="宋体"/>
          <w:color w:val="auto"/>
          <w:kern w:val="0"/>
          <w:sz w:val="24"/>
          <w:szCs w:val="28"/>
          <w:highlight w:val="none"/>
          <w:u w:val="single"/>
        </w:rPr>
        <w:t xml:space="preserve">       </w:t>
      </w:r>
    </w:p>
    <w:p>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系</w:t>
      </w:r>
      <w:r>
        <w:rPr>
          <w:rFonts w:hint="eastAsia" w:ascii="宋体" w:hAnsi="宋体" w:eastAsia="宋体"/>
          <w:color w:val="auto"/>
          <w:kern w:val="0"/>
          <w:sz w:val="24"/>
          <w:szCs w:val="28"/>
          <w:highlight w:val="none"/>
          <w:u w:val="single"/>
        </w:rPr>
        <w:t xml:space="preserve"> （供应商名称） </w:t>
      </w:r>
      <w:r>
        <w:rPr>
          <w:rFonts w:hint="eastAsia" w:ascii="宋体" w:hAnsi="宋体" w:eastAsia="宋体"/>
          <w:color w:val="auto"/>
          <w:kern w:val="0"/>
          <w:sz w:val="24"/>
          <w:szCs w:val="28"/>
          <w:highlight w:val="none"/>
        </w:rPr>
        <w:t>的法定代表人。</w:t>
      </w:r>
    </w:p>
    <w:p>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特此证明。</w:t>
      </w:r>
    </w:p>
    <w:p>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pPr>
        <w:autoSpaceDE w:val="0"/>
        <w:autoSpaceDN w:val="0"/>
        <w:adjustRightInd w:val="0"/>
        <w:snapToGrid w:val="0"/>
        <w:spacing w:after="200" w:line="500" w:lineRule="exact"/>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 xml:space="preserve"> 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pPr>
        <w:wordWrap w:val="0"/>
        <w:spacing w:beforeAutospacing="0" w:afterAutospacing="0" w:line="600" w:lineRule="exact"/>
        <w:ind w:firstLine="3840" w:firstLineChars="1600"/>
        <w:rPr>
          <w:rFonts w:hint="eastAsia" w:ascii="宋体" w:hAnsi="宋体" w:eastAsia="宋体"/>
          <w:color w:val="auto"/>
          <w:kern w:val="0"/>
          <w:sz w:val="24"/>
          <w:szCs w:val="28"/>
          <w:highlight w:val="none"/>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r>
        <w:rPr>
          <w:rFonts w:hint="eastAsia" w:ascii="宋体" w:hAnsi="宋体" w:eastAsia="宋体"/>
          <w:color w:val="auto"/>
          <w:kern w:val="0"/>
          <w:sz w:val="24"/>
          <w:szCs w:val="28"/>
          <w:highlight w:val="none"/>
        </w:rPr>
        <w:t xml:space="preserve"> </w:t>
      </w:r>
    </w:p>
    <w:p>
      <w:pPr>
        <w:wordWrap w:val="0"/>
        <w:spacing w:beforeAutospacing="0" w:afterAutospacing="0" w:line="600" w:lineRule="exact"/>
        <w:ind w:firstLine="480" w:firstLineChars="200"/>
        <w:jc w:val="center"/>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日 期： 年 </w:t>
      </w:r>
      <w:r>
        <w:rPr>
          <w:rFonts w:hint="eastAsia" w:ascii="宋体" w:hAnsi="宋体"/>
          <w:color w:val="auto"/>
          <w:kern w:val="0"/>
          <w:sz w:val="24"/>
          <w:szCs w:val="28"/>
          <w:highlight w:val="none"/>
          <w:lang w:val="en-US" w:eastAsia="zh-CN"/>
        </w:rPr>
        <w:t xml:space="preserve"> </w:t>
      </w:r>
      <w:r>
        <w:rPr>
          <w:rFonts w:hint="eastAsia" w:ascii="宋体" w:hAnsi="宋体" w:eastAsia="宋体"/>
          <w:color w:val="auto"/>
          <w:kern w:val="0"/>
          <w:sz w:val="24"/>
          <w:szCs w:val="28"/>
          <w:highlight w:val="none"/>
        </w:rPr>
        <w:t xml:space="preserve">月 </w:t>
      </w:r>
      <w:r>
        <w:rPr>
          <w:rFonts w:hint="eastAsia" w:ascii="宋体" w:hAnsi="宋体"/>
          <w:color w:val="auto"/>
          <w:kern w:val="0"/>
          <w:sz w:val="24"/>
          <w:szCs w:val="28"/>
          <w:highlight w:val="none"/>
          <w:lang w:val="en-US" w:eastAsia="zh-CN"/>
        </w:rPr>
        <w:t xml:space="preserve"> </w:t>
      </w:r>
      <w:r>
        <w:rPr>
          <w:rFonts w:hint="eastAsia" w:ascii="宋体" w:hAnsi="宋体" w:eastAsia="宋体"/>
          <w:color w:val="auto"/>
          <w:kern w:val="0"/>
          <w:sz w:val="24"/>
          <w:szCs w:val="28"/>
          <w:highlight w:val="none"/>
        </w:rPr>
        <w:t>日</w:t>
      </w:r>
    </w:p>
    <w:p>
      <w:pPr>
        <w:wordWrap w:val="0"/>
        <w:spacing w:beforeAutospacing="0" w:afterAutospacing="0" w:line="600" w:lineRule="exact"/>
        <w:ind w:firstLine="560" w:firstLineChars="200"/>
        <w:jc w:val="center"/>
        <w:rPr>
          <w:rFonts w:hint="eastAsia" w:ascii="宋体" w:hAnsi="宋体" w:eastAsia="宋体"/>
          <w:color w:val="auto"/>
          <w:kern w:val="0"/>
          <w:sz w:val="28"/>
          <w:szCs w:val="28"/>
          <w:highlight w:val="none"/>
        </w:rPr>
      </w:pPr>
      <w:r>
        <w:rPr>
          <w:rFonts w:hint="eastAsia" w:ascii="宋体" w:hAnsi="宋体" w:eastAsia="宋体"/>
          <w:color w:val="auto"/>
          <w:kern w:val="0"/>
          <w:sz w:val="28"/>
          <w:szCs w:val="28"/>
          <w:highlight w:val="none"/>
        </w:rPr>
        <w:t xml:space="preserve"> </w:t>
      </w:r>
    </w:p>
    <w:p>
      <w:pPr>
        <w:wordWrap w:val="0"/>
        <w:spacing w:beforeAutospacing="0" w:afterAutospacing="0" w:line="600" w:lineRule="exact"/>
        <w:ind w:firstLine="560" w:firstLineChars="200"/>
        <w:jc w:val="center"/>
        <w:rPr>
          <w:rFonts w:hint="eastAsia" w:ascii="宋体" w:hAnsi="宋体" w:eastAsia="宋体"/>
          <w:color w:val="auto"/>
          <w:kern w:val="0"/>
          <w:sz w:val="28"/>
          <w:szCs w:val="28"/>
          <w:highlight w:val="none"/>
        </w:rPr>
      </w:pPr>
      <w:r>
        <w:rPr>
          <w:rFonts w:hint="eastAsia" w:ascii="宋体" w:hAnsi="宋体" w:eastAsia="宋体"/>
          <w:color w:val="auto"/>
          <w:kern w:val="0"/>
          <w:sz w:val="28"/>
          <w:szCs w:val="28"/>
          <w:highlight w:val="none"/>
        </w:rPr>
        <w:t xml:space="preserve"> </w:t>
      </w:r>
    </w:p>
    <w:p>
      <w:pPr>
        <w:wordWrap w:val="0"/>
        <w:spacing w:beforeAutospacing="0" w:afterAutospacing="0" w:line="600" w:lineRule="exact"/>
        <w:ind w:firstLine="560" w:firstLineChars="200"/>
        <w:jc w:val="center"/>
        <w:rPr>
          <w:rFonts w:ascii="Calibri" w:hAnsi="Calibri" w:eastAsia="宋体"/>
          <w:color w:val="auto"/>
          <w:kern w:val="0"/>
          <w:sz w:val="28"/>
          <w:szCs w:val="28"/>
          <w:highlight w:val="none"/>
        </w:rPr>
      </w:pPr>
      <w:r>
        <w:rPr>
          <w:rFonts w:ascii="Calibri" w:hAnsi="Calibri" w:eastAsia="宋体"/>
          <w:color w:val="auto"/>
          <w:kern w:val="0"/>
          <w:sz w:val="28"/>
          <w:szCs w:val="28"/>
          <w:highlight w:val="none"/>
        </w:rPr>
        <w:t xml:space="preserve"> </w:t>
      </w: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三、</w:t>
      </w:r>
      <w:r>
        <w:rPr>
          <w:rFonts w:hint="eastAsia" w:ascii="宋体" w:hAnsi="宋体" w:eastAsia="宋体"/>
          <w:b/>
          <w:bCs/>
          <w:color w:val="auto"/>
          <w:kern w:val="0"/>
          <w:sz w:val="36"/>
          <w:szCs w:val="36"/>
          <w:highlight w:val="none"/>
        </w:rPr>
        <w:t>授权委托书</w:t>
      </w:r>
    </w:p>
    <w:p>
      <w:pPr>
        <w:wordWrap w:val="0"/>
        <w:spacing w:beforeAutospacing="0" w:after="160" w:afterAutospacing="0" w:line="600" w:lineRule="exact"/>
        <w:ind w:firstLine="562" w:firstLineChars="200"/>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 xml:space="preserve"> </w:t>
      </w:r>
    </w:p>
    <w:p>
      <w:pPr>
        <w:snapToGrid w:val="0"/>
        <w:spacing w:line="500" w:lineRule="exact"/>
        <w:ind w:firstLine="480" w:firstLineChars="200"/>
        <w:jc w:val="both"/>
        <w:textAlignment w:val="baseline"/>
        <w:rPr>
          <w:rFonts w:ascii="宋体" w:hAnsi="宋体"/>
          <w:color w:val="auto"/>
          <w:sz w:val="24"/>
          <w:szCs w:val="24"/>
          <w:highlight w:val="none"/>
        </w:rPr>
      </w:pPr>
      <w:r>
        <w:rPr>
          <w:rFonts w:hint="eastAsia" w:ascii="宋体" w:hAnsi="宋体"/>
          <w:color w:val="auto"/>
          <w:sz w:val="24"/>
          <w:szCs w:val="24"/>
          <w:highlight w:val="none"/>
        </w:rPr>
        <w:t>本人</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（姓名）系</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（供应商名称）的法定代表人，现委托</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（姓名）为我方代理人。代理人根据授权，以我方名义签署、澄清、说明、补正、递交、撤回、修改</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（项目名称）响应文件、签订合同和处理有关事宜，其法律后果由我方承担。</w:t>
      </w:r>
    </w:p>
    <w:p>
      <w:pPr>
        <w:snapToGrid w:val="0"/>
        <w:spacing w:before="312" w:after="312" w:line="500" w:lineRule="exact"/>
        <w:ind w:firstLine="480" w:firstLineChars="200"/>
        <w:jc w:val="both"/>
        <w:textAlignment w:val="baseline"/>
        <w:rPr>
          <w:rFonts w:ascii="宋体" w:hAnsi="宋体"/>
          <w:color w:val="auto"/>
          <w:sz w:val="24"/>
          <w:szCs w:val="24"/>
          <w:highlight w:val="none"/>
        </w:rPr>
      </w:pPr>
      <w:r>
        <w:rPr>
          <w:rFonts w:hint="eastAsia" w:ascii="宋体" w:hAnsi="宋体"/>
          <w:color w:val="auto"/>
          <w:sz w:val="24"/>
          <w:szCs w:val="24"/>
          <w:highlight w:val="none"/>
        </w:rPr>
        <w:t>委托期限：</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w:t>
      </w:r>
    </w:p>
    <w:p>
      <w:pPr>
        <w:snapToGrid w:val="0"/>
        <w:spacing w:before="312" w:after="312" w:line="500" w:lineRule="exact"/>
        <w:ind w:firstLine="480" w:firstLineChars="200"/>
        <w:jc w:val="both"/>
        <w:textAlignment w:val="baseline"/>
        <w:rPr>
          <w:rFonts w:ascii="宋体" w:hAnsi="宋体"/>
          <w:color w:val="auto"/>
          <w:sz w:val="24"/>
          <w:szCs w:val="24"/>
          <w:highlight w:val="none"/>
        </w:rPr>
      </w:pPr>
      <w:r>
        <w:rPr>
          <w:rFonts w:hint="eastAsia" w:ascii="宋体" w:hAnsi="宋体"/>
          <w:color w:val="auto"/>
          <w:sz w:val="24"/>
          <w:szCs w:val="24"/>
          <w:highlight w:val="none"/>
        </w:rPr>
        <w:t>代理人无转委托权。</w:t>
      </w:r>
    </w:p>
    <w:p>
      <w:pPr>
        <w:snapToGrid w:val="0"/>
        <w:spacing w:after="312" w:line="500" w:lineRule="exact"/>
        <w:ind w:firstLine="480" w:firstLineChars="200"/>
        <w:jc w:val="both"/>
        <w:textAlignment w:val="baseline"/>
        <w:rPr>
          <w:rFonts w:hint="eastAsia" w:ascii="宋体" w:hAnsi="宋体"/>
          <w:color w:val="auto"/>
          <w:sz w:val="24"/>
          <w:szCs w:val="24"/>
          <w:highlight w:val="none"/>
        </w:rPr>
      </w:pPr>
      <w:r>
        <w:rPr>
          <w:rFonts w:hint="eastAsia" w:ascii="宋体" w:hAnsi="宋体"/>
          <w:color w:val="auto"/>
          <w:sz w:val="24"/>
          <w:szCs w:val="24"/>
          <w:highlight w:val="none"/>
        </w:rPr>
        <w:t>附：法定代表人及委托代理人身份证明</w:t>
      </w:r>
    </w:p>
    <w:p>
      <w:pPr>
        <w:snapToGrid w:val="0"/>
        <w:spacing w:after="312" w:line="500" w:lineRule="exact"/>
        <w:ind w:firstLine="480" w:firstLineChars="200"/>
        <w:jc w:val="both"/>
        <w:textAlignment w:val="baseline"/>
        <w:rPr>
          <w:rFonts w:hint="eastAsia" w:ascii="宋体" w:hAnsi="宋体"/>
          <w:color w:val="auto"/>
          <w:sz w:val="24"/>
          <w:szCs w:val="24"/>
          <w:highlight w:val="none"/>
        </w:rPr>
      </w:pPr>
    </w:p>
    <w:p>
      <w:pPr>
        <w:snapToGrid w:val="0"/>
        <w:spacing w:after="312" w:line="500" w:lineRule="exact"/>
        <w:ind w:firstLine="480" w:firstLineChars="200"/>
        <w:jc w:val="both"/>
        <w:textAlignment w:val="baseline"/>
        <w:rPr>
          <w:rFonts w:hint="eastAsia" w:ascii="宋体" w:hAnsi="宋体"/>
          <w:color w:val="auto"/>
          <w:sz w:val="24"/>
          <w:szCs w:val="24"/>
          <w:highlight w:val="none"/>
        </w:rPr>
      </w:pPr>
    </w:p>
    <w:p>
      <w:pPr>
        <w:snapToGrid w:val="0"/>
        <w:spacing w:line="500" w:lineRule="exact"/>
        <w:ind w:firstLine="480" w:firstLineChars="20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w:t>
      </w:r>
      <w:r>
        <w:rPr>
          <w:rFonts w:hint="eastAsia"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rPr>
        <w:t>（电子签章）</w:t>
      </w:r>
    </w:p>
    <w:p>
      <w:pPr>
        <w:snapToGrid w:val="0"/>
        <w:spacing w:line="500" w:lineRule="exact"/>
        <w:ind w:firstLine="480" w:firstLineChars="20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rPr>
        <w:t>（签字或盖章）</w:t>
      </w:r>
    </w:p>
    <w:p>
      <w:pPr>
        <w:snapToGrid w:val="0"/>
        <w:spacing w:line="500" w:lineRule="exact"/>
        <w:ind w:firstLine="2640" w:firstLineChars="1100"/>
        <w:jc w:val="both"/>
        <w:textAlignment w:val="baseline"/>
        <w:rPr>
          <w:rFonts w:ascii="宋体" w:hAnsi="宋体"/>
          <w:color w:val="auto"/>
          <w:sz w:val="24"/>
          <w:szCs w:val="24"/>
          <w:highlight w:val="none"/>
          <w:u w:val="singl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pPr>
        <w:snapToGrid w:val="0"/>
        <w:spacing w:line="500" w:lineRule="exact"/>
        <w:ind w:firstLine="480" w:firstLineChars="200"/>
        <w:jc w:val="center"/>
        <w:textAlignment w:val="baseline"/>
        <w:rPr>
          <w:rFonts w:ascii="宋体" w:hAnsi="宋体" w:cs="宋体"/>
          <w:color w:val="auto"/>
          <w:sz w:val="24"/>
          <w:szCs w:val="24"/>
          <w:highlight w:val="none"/>
        </w:rPr>
      </w:pPr>
      <w:r>
        <w:rPr>
          <w:rFonts w:hint="eastAsia" w:ascii="宋体" w:hAnsi="宋体"/>
          <w:color w:val="auto"/>
          <w:sz w:val="24"/>
          <w:szCs w:val="24"/>
          <w:highlight w:val="none"/>
        </w:rPr>
        <w:t xml:space="preserve">                  委托人：</w:t>
      </w:r>
      <w:r>
        <w:rPr>
          <w:rFonts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u w:val="single" w:color="000000"/>
        </w:rPr>
        <w:t xml:space="preserve">           </w:t>
      </w:r>
      <w:r>
        <w:rPr>
          <w:rFonts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rPr>
        <w:t>（签字或盖章）</w:t>
      </w:r>
    </w:p>
    <w:p>
      <w:pPr>
        <w:snapToGrid w:val="0"/>
        <w:spacing w:line="500" w:lineRule="exact"/>
        <w:ind w:firstLine="2640" w:firstLineChars="1100"/>
        <w:jc w:val="both"/>
        <w:textAlignment w:val="baseline"/>
        <w:rPr>
          <w:rFonts w:ascii="宋体" w:hAnsi="宋体"/>
          <w:color w:val="auto"/>
          <w:sz w:val="24"/>
          <w:szCs w:val="24"/>
          <w:highlight w:val="none"/>
          <w:u w:val="single"/>
        </w:rPr>
      </w:pPr>
      <w:r>
        <w:rPr>
          <w:rFonts w:hint="eastAsia" w:ascii="宋体" w:hAnsi="宋体"/>
          <w:color w:val="auto"/>
          <w:sz w:val="24"/>
          <w:szCs w:val="24"/>
          <w:highlight w:val="none"/>
        </w:rPr>
        <w:t>委托代理人身份证号码：</w:t>
      </w:r>
      <w:r>
        <w:rPr>
          <w:rFonts w:hint="eastAsia" w:ascii="宋体" w:hAnsi="宋体"/>
          <w:color w:val="auto"/>
          <w:sz w:val="24"/>
          <w:szCs w:val="24"/>
          <w:highlight w:val="none"/>
          <w:u w:val="single"/>
        </w:rPr>
        <w:t xml:space="preserve">                 </w:t>
      </w:r>
    </w:p>
    <w:p>
      <w:pPr>
        <w:wordWrap w:val="0"/>
        <w:spacing w:beforeAutospacing="0" w:afterAutospacing="0" w:line="600" w:lineRule="exact"/>
        <w:ind w:firstLine="4080" w:firstLineChars="1700"/>
        <w:rPr>
          <w:rFonts w:ascii="Calibri" w:hAnsi="Calibri" w:eastAsia="宋体"/>
          <w:b/>
          <w:bCs/>
          <w:color w:val="auto"/>
          <w:kern w:val="0"/>
          <w:sz w:val="28"/>
          <w:szCs w:val="28"/>
          <w:highlight w:val="none"/>
        </w:rPr>
      </w:pPr>
      <w:r>
        <w:rPr>
          <w:rFonts w:hint="eastAsia" w:ascii="宋体" w:hAnsi="宋体"/>
          <w:color w:val="auto"/>
          <w:sz w:val="24"/>
          <w:szCs w:val="24"/>
          <w:highlight w:val="none"/>
        </w:rPr>
        <w:t>年</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pStyle w:val="4"/>
        <w:rPr>
          <w:color w:val="auto"/>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四</w:t>
      </w:r>
      <w:r>
        <w:rPr>
          <w:rFonts w:hint="eastAsia" w:ascii="宋体" w:hAnsi="宋体" w:eastAsia="宋体"/>
          <w:b/>
          <w:bCs/>
          <w:color w:val="auto"/>
          <w:kern w:val="0"/>
          <w:sz w:val="36"/>
          <w:szCs w:val="36"/>
          <w:highlight w:val="none"/>
        </w:rPr>
        <w:t>、</w:t>
      </w:r>
      <w:r>
        <w:rPr>
          <w:rFonts w:hint="eastAsia" w:ascii="宋体" w:hAnsi="宋体"/>
          <w:b/>
          <w:bCs/>
          <w:color w:val="auto"/>
          <w:kern w:val="0"/>
          <w:sz w:val="36"/>
          <w:szCs w:val="36"/>
          <w:highlight w:val="none"/>
          <w:lang w:val="en-US" w:eastAsia="zh-CN"/>
        </w:rPr>
        <w:t>磋商报价</w:t>
      </w:r>
      <w:r>
        <w:rPr>
          <w:rFonts w:hint="eastAsia" w:ascii="宋体" w:hAnsi="宋体" w:eastAsia="宋体"/>
          <w:b/>
          <w:bCs/>
          <w:color w:val="auto"/>
          <w:kern w:val="0"/>
          <w:sz w:val="36"/>
          <w:szCs w:val="36"/>
          <w:highlight w:val="none"/>
        </w:rPr>
        <w:t>承诺函</w:t>
      </w:r>
    </w:p>
    <w:p>
      <w:pPr>
        <w:tabs>
          <w:tab w:val="left" w:pos="6300"/>
        </w:tabs>
        <w:snapToGrid w:val="0"/>
        <w:spacing w:line="500" w:lineRule="exact"/>
        <w:ind w:firstLine="480"/>
        <w:rPr>
          <w:rFonts w:ascii="宋体" w:hAnsi="宋体"/>
          <w:color w:val="auto"/>
          <w:sz w:val="24"/>
          <w:highlight w:val="none"/>
        </w:rPr>
      </w:pPr>
    </w:p>
    <w:p>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本公司郑重承诺：</w:t>
      </w:r>
    </w:p>
    <w:p>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将遵循公开、公平、公正和诚实守信的原则，参加本项目的磋商报价。在此作如下承诺：</w:t>
      </w:r>
    </w:p>
    <w:p>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l、完全理解和接受竞争性磋商文件的一切规定和要求。</w:t>
      </w:r>
    </w:p>
    <w:p>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2、不提供有违真实的材料。</w:t>
      </w:r>
    </w:p>
    <w:p>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3、不在报价中哄抬价格或恶意压价。</w:t>
      </w:r>
    </w:p>
    <w:p>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4、不以非法手段骗取或谋取成交。</w:t>
      </w:r>
    </w:p>
    <w:p>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5、若成交，我方将按照竞争性磋商文件的具体规定与采购人签订合同，并且严格履行合同义务。如果在合同执行过程中，发现问题，我方一定尽快处理，并承担相应的经济责任。</w:t>
      </w:r>
    </w:p>
    <w:p>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6、在整个招标过程中，我方若有违规行为，采购人可按竞争性磋商文件及国家相应之规定给予惩罚，我方愿承担相应法律责任。</w:t>
      </w:r>
    </w:p>
    <w:p>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7、若成交，本承诺函将成为合同不可分割的组成部分，与合同具有同等法律效力。</w:t>
      </w:r>
    </w:p>
    <w:p>
      <w:pPr>
        <w:spacing w:line="500" w:lineRule="exact"/>
        <w:ind w:firstLine="420"/>
        <w:rPr>
          <w:rFonts w:ascii="宋体" w:hAnsi="宋体" w:cs="宋体"/>
          <w:color w:val="auto"/>
          <w:sz w:val="24"/>
          <w:szCs w:val="24"/>
          <w:highlight w:val="none"/>
        </w:rPr>
      </w:pPr>
    </w:p>
    <w:p>
      <w:pPr>
        <w:topLinePunct/>
        <w:spacing w:line="500" w:lineRule="exact"/>
        <w:ind w:firstLine="480"/>
        <w:rPr>
          <w:rFonts w:ascii="宋体" w:hAnsi="宋体"/>
          <w:bCs/>
          <w:color w:val="auto"/>
          <w:sz w:val="24"/>
          <w:highlight w:val="none"/>
        </w:rPr>
      </w:pPr>
    </w:p>
    <w:p>
      <w:pPr>
        <w:topLinePunct/>
        <w:spacing w:line="500" w:lineRule="exact"/>
        <w:ind w:firstLine="480"/>
        <w:rPr>
          <w:rFonts w:ascii="宋体" w:hAnsi="宋体"/>
          <w:bCs/>
          <w:color w:val="auto"/>
          <w:sz w:val="24"/>
          <w:highlight w:val="none"/>
        </w:rPr>
      </w:pPr>
    </w:p>
    <w:p>
      <w:pPr>
        <w:spacing w:line="500" w:lineRule="exact"/>
        <w:ind w:firstLine="2736" w:firstLineChars="950"/>
        <w:rPr>
          <w:rFonts w:ascii="宋体"/>
          <w:color w:val="auto"/>
          <w:spacing w:val="24"/>
          <w:sz w:val="24"/>
          <w:highlight w:val="none"/>
        </w:rPr>
      </w:pPr>
      <w:r>
        <w:rPr>
          <w:rFonts w:hint="eastAsia" w:ascii="宋体" w:hAnsi="宋体"/>
          <w:color w:val="auto"/>
          <w:spacing w:val="24"/>
          <w:sz w:val="24"/>
          <w:highlight w:val="none"/>
        </w:rPr>
        <w:t>磋商供应商：</w:t>
      </w:r>
      <w:r>
        <w:rPr>
          <w:rFonts w:hint="eastAsia" w:ascii="宋体" w:hAnsi="宋体"/>
          <w:color w:val="auto"/>
          <w:spacing w:val="24"/>
          <w:sz w:val="24"/>
          <w:highlight w:val="none"/>
          <w:u w:val="single"/>
        </w:rPr>
        <w:t xml:space="preserve">         </w:t>
      </w:r>
      <w:r>
        <w:rPr>
          <w:rFonts w:hint="eastAsia" w:ascii="宋体" w:hAnsi="宋体"/>
          <w:color w:val="auto"/>
          <w:spacing w:val="24"/>
          <w:sz w:val="24"/>
          <w:highlight w:val="none"/>
        </w:rPr>
        <w:t>（</w:t>
      </w:r>
      <w:r>
        <w:rPr>
          <w:rFonts w:hint="eastAsia" w:ascii="宋体" w:hAnsi="宋体" w:cs="宋体"/>
          <w:color w:val="auto"/>
          <w:sz w:val="24"/>
          <w:highlight w:val="none"/>
          <w:lang w:val="zh-CN" w:bidi="zh-CN"/>
        </w:rPr>
        <w:t>电子签章</w:t>
      </w:r>
      <w:r>
        <w:rPr>
          <w:rFonts w:hint="eastAsia" w:ascii="宋体" w:hAnsi="宋体"/>
          <w:color w:val="auto"/>
          <w:spacing w:val="24"/>
          <w:sz w:val="24"/>
          <w:highlight w:val="none"/>
        </w:rPr>
        <w:t>）</w:t>
      </w:r>
    </w:p>
    <w:p>
      <w:pPr>
        <w:spacing w:line="500" w:lineRule="exact"/>
        <w:ind w:firstLine="2736" w:firstLineChars="950"/>
        <w:rPr>
          <w:rFonts w:ascii="宋体"/>
          <w:color w:val="auto"/>
          <w:spacing w:val="24"/>
          <w:sz w:val="24"/>
          <w:highlight w:val="none"/>
        </w:rPr>
      </w:pPr>
      <w:r>
        <w:rPr>
          <w:rFonts w:hint="eastAsia" w:ascii="宋体" w:hAnsi="宋体"/>
          <w:color w:val="auto"/>
          <w:spacing w:val="24"/>
          <w:sz w:val="24"/>
          <w:highlight w:val="none"/>
        </w:rPr>
        <w:t>法定代表人：</w:t>
      </w:r>
      <w:r>
        <w:rPr>
          <w:rFonts w:hint="eastAsia" w:ascii="宋体" w:hAnsi="宋体"/>
          <w:color w:val="auto"/>
          <w:spacing w:val="24"/>
          <w:sz w:val="24"/>
          <w:highlight w:val="none"/>
          <w:u w:val="single"/>
        </w:rPr>
        <w:t xml:space="preserve">         </w:t>
      </w:r>
      <w:r>
        <w:rPr>
          <w:rFonts w:hint="eastAsia" w:cs="宋体" w:asciiTheme="minorEastAsia" w:hAnsiTheme="minorEastAsia" w:eastAsiaTheme="minorEastAsia"/>
          <w:color w:val="auto"/>
          <w:sz w:val="24"/>
          <w:szCs w:val="24"/>
          <w:highlight w:val="none"/>
          <w:lang w:val="en-GB"/>
        </w:rPr>
        <w:t>（签字或盖章）</w:t>
      </w:r>
    </w:p>
    <w:p>
      <w:pPr>
        <w:spacing w:line="500" w:lineRule="exact"/>
        <w:ind w:left="-7" w:leftChars="-95" w:right="452" w:hanging="192" w:hangingChars="67"/>
        <w:jc w:val="center"/>
        <w:rPr>
          <w:rFonts w:ascii="宋体" w:hAnsi="宋体" w:cs="宋体"/>
          <w:color w:val="auto"/>
          <w:spacing w:val="8"/>
          <w:sz w:val="24"/>
          <w:highlight w:val="none"/>
        </w:rPr>
      </w:pPr>
      <w:r>
        <w:rPr>
          <w:rFonts w:hint="eastAsia" w:ascii="宋体" w:hAnsi="宋体"/>
          <w:color w:val="auto"/>
          <w:spacing w:val="24"/>
          <w:sz w:val="24"/>
          <w:highlight w:val="none"/>
        </w:rPr>
        <w:t xml:space="preserve">           日    期：</w:t>
      </w:r>
      <w:r>
        <w:rPr>
          <w:rFonts w:hint="eastAsia" w:ascii="宋体" w:hAnsi="宋体"/>
          <w:color w:val="auto"/>
          <w:spacing w:val="24"/>
          <w:sz w:val="24"/>
          <w:highlight w:val="none"/>
          <w:u w:val="single"/>
        </w:rPr>
        <w:t xml:space="preserve">    </w:t>
      </w:r>
      <w:r>
        <w:rPr>
          <w:rFonts w:hint="eastAsia" w:ascii="宋体" w:hAnsi="宋体"/>
          <w:color w:val="auto"/>
          <w:spacing w:val="24"/>
          <w:sz w:val="24"/>
          <w:highlight w:val="none"/>
        </w:rPr>
        <w:t>年</w:t>
      </w:r>
      <w:r>
        <w:rPr>
          <w:rFonts w:hint="eastAsia" w:ascii="宋体" w:hAnsi="宋体"/>
          <w:color w:val="auto"/>
          <w:spacing w:val="24"/>
          <w:sz w:val="24"/>
          <w:highlight w:val="none"/>
          <w:u w:val="single"/>
        </w:rPr>
        <w:t xml:space="preserve">   </w:t>
      </w:r>
      <w:r>
        <w:rPr>
          <w:rFonts w:hint="eastAsia" w:ascii="宋体" w:hAnsi="宋体"/>
          <w:color w:val="auto"/>
          <w:spacing w:val="24"/>
          <w:sz w:val="24"/>
          <w:highlight w:val="none"/>
        </w:rPr>
        <w:t>月</w:t>
      </w:r>
      <w:r>
        <w:rPr>
          <w:rFonts w:hint="eastAsia" w:ascii="宋体" w:hAnsi="宋体"/>
          <w:color w:val="auto"/>
          <w:spacing w:val="24"/>
          <w:sz w:val="24"/>
          <w:highlight w:val="none"/>
          <w:u w:val="single"/>
        </w:rPr>
        <w:t xml:space="preserve">   </w:t>
      </w:r>
      <w:r>
        <w:rPr>
          <w:rFonts w:hint="eastAsia" w:ascii="宋体" w:hAnsi="宋体"/>
          <w:color w:val="auto"/>
          <w:spacing w:val="24"/>
          <w:sz w:val="24"/>
          <w:highlight w:val="none"/>
        </w:rPr>
        <w:t>日</w:t>
      </w:r>
    </w:p>
    <w:p>
      <w:pPr>
        <w:wordWrap w:val="0"/>
        <w:spacing w:beforeAutospacing="0" w:afterAutospacing="0" w:line="600" w:lineRule="exact"/>
        <w:ind w:left="560" w:firstLine="480" w:firstLineChars="200"/>
        <w:outlineLvl w:val="9"/>
        <w:rPr>
          <w:rFonts w:hint="eastAsia" w:ascii="宋体" w:hAnsi="宋体" w:eastAsia="宋体"/>
          <w:color w:val="auto"/>
          <w:sz w:val="24"/>
          <w:szCs w:val="24"/>
          <w:highlight w:val="none"/>
        </w:rPr>
      </w:pPr>
    </w:p>
    <w:p>
      <w:pPr>
        <w:wordWrap w:val="0"/>
        <w:spacing w:beforeAutospacing="0" w:afterAutospacing="0" w:line="600" w:lineRule="exact"/>
        <w:ind w:firstLine="560" w:firstLineChars="200"/>
        <w:rPr>
          <w:rFonts w:ascii="宋体" w:hAnsi="宋体" w:eastAsia="宋体"/>
          <w:bCs/>
          <w:color w:val="auto"/>
          <w:kern w:val="0"/>
          <w:sz w:val="28"/>
          <w:szCs w:val="28"/>
          <w:highlight w:val="none"/>
        </w:rPr>
      </w:pPr>
    </w:p>
    <w:p>
      <w:pPr>
        <w:wordWrap w:val="0"/>
        <w:spacing w:beforeAutospacing="0" w:afterAutospacing="0" w:line="600" w:lineRule="exact"/>
        <w:ind w:firstLine="560" w:firstLineChars="200"/>
        <w:jc w:val="center"/>
        <w:rPr>
          <w:rFonts w:ascii="宋体" w:hAnsi="宋体" w:eastAsia="宋体"/>
          <w:color w:val="auto"/>
          <w:kern w:val="0"/>
          <w:sz w:val="28"/>
          <w:szCs w:val="28"/>
          <w:highlight w:val="none"/>
        </w:rPr>
      </w:pPr>
    </w:p>
    <w:p>
      <w:pPr>
        <w:wordWrap w:val="0"/>
        <w:spacing w:beforeAutospacing="0" w:afterAutospacing="0" w:line="600" w:lineRule="exact"/>
        <w:ind w:firstLine="560" w:firstLineChars="200"/>
        <w:rPr>
          <w:rFonts w:ascii="宋体" w:hAnsi="宋体" w:eastAsia="宋体"/>
          <w:color w:val="auto"/>
          <w:kern w:val="0"/>
          <w:sz w:val="28"/>
          <w:szCs w:val="28"/>
          <w:highlight w:val="none"/>
        </w:rPr>
      </w:pPr>
    </w:p>
    <w:p>
      <w:pPr>
        <w:wordWrap w:val="0"/>
        <w:spacing w:beforeAutospacing="0" w:afterAutospacing="0" w:line="600" w:lineRule="exact"/>
        <w:ind w:firstLine="562" w:firstLineChars="200"/>
        <w:rPr>
          <w:rFonts w:ascii="Calibri" w:hAnsi="Calibri" w:eastAsia="宋体"/>
          <w:b/>
          <w:bCs/>
          <w:color w:val="auto"/>
          <w:kern w:val="0"/>
          <w:sz w:val="28"/>
          <w:szCs w:val="28"/>
          <w:highlight w:val="none"/>
        </w:rPr>
      </w:pPr>
    </w:p>
    <w:p>
      <w:pPr>
        <w:wordWrap w:val="0"/>
        <w:spacing w:beforeAutospacing="0" w:afterAutospacing="0" w:line="600" w:lineRule="exact"/>
        <w:ind w:firstLine="562" w:firstLineChars="200"/>
        <w:rPr>
          <w:rFonts w:ascii="Calibri" w:hAnsi="Calibri" w:eastAsia="宋体"/>
          <w:b/>
          <w:bCs/>
          <w:color w:val="auto"/>
          <w:kern w:val="0"/>
          <w:sz w:val="28"/>
          <w:szCs w:val="28"/>
          <w:highlight w:val="none"/>
        </w:rPr>
      </w:pPr>
    </w:p>
    <w:p>
      <w:pPr>
        <w:wordWrap w:val="0"/>
        <w:spacing w:beforeAutospacing="0" w:afterAutospacing="0" w:line="600" w:lineRule="exact"/>
        <w:ind w:firstLine="562" w:firstLineChars="200"/>
        <w:rPr>
          <w:rFonts w:ascii="Calibri" w:hAnsi="Calibri" w:eastAsia="宋体"/>
          <w:b/>
          <w:bCs/>
          <w:color w:val="auto"/>
          <w:kern w:val="0"/>
          <w:sz w:val="28"/>
          <w:szCs w:val="28"/>
          <w:highlight w:val="none"/>
        </w:rPr>
      </w:pPr>
    </w:p>
    <w:p>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五</w:t>
      </w:r>
      <w:r>
        <w:rPr>
          <w:rFonts w:hint="eastAsia" w:ascii="宋体" w:hAnsi="宋体" w:eastAsia="宋体"/>
          <w:b/>
          <w:bCs/>
          <w:color w:val="auto"/>
          <w:kern w:val="0"/>
          <w:sz w:val="36"/>
          <w:szCs w:val="36"/>
          <w:highlight w:val="none"/>
        </w:rPr>
        <w:t>、资格审查资料</w:t>
      </w:r>
    </w:p>
    <w:p>
      <w:pPr>
        <w:wordWrap w:val="0"/>
        <w:spacing w:beforeAutospacing="0" w:afterAutospacing="0" w:line="600" w:lineRule="exact"/>
        <w:ind w:firstLine="482" w:firstLineChars="200"/>
        <w:jc w:val="center"/>
        <w:rPr>
          <w:rFonts w:hint="eastAsia" w:ascii="新宋体" w:hAnsi="新宋体" w:eastAsia="新宋体"/>
          <w:b/>
          <w:color w:val="auto"/>
          <w:sz w:val="24"/>
          <w:szCs w:val="28"/>
          <w:highlight w:val="none"/>
        </w:rPr>
      </w:pPr>
      <w:r>
        <w:rPr>
          <w:rFonts w:hint="eastAsia" w:ascii="新宋体" w:hAnsi="新宋体" w:eastAsia="新宋体"/>
          <w:b/>
          <w:color w:val="auto"/>
          <w:sz w:val="24"/>
          <w:szCs w:val="28"/>
          <w:highlight w:val="none"/>
        </w:rPr>
        <w:t>（一）基本情况表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2"/>
        <w:gridCol w:w="827"/>
        <w:gridCol w:w="1547"/>
        <w:gridCol w:w="1186"/>
        <w:gridCol w:w="1413"/>
        <w:gridCol w:w="851"/>
        <w:gridCol w:w="1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exact"/>
          <w:jc w:val="center"/>
        </w:trPr>
        <w:tc>
          <w:tcPr>
            <w:tcW w:w="2532" w:type="dxa"/>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投标供应商名称</w:t>
            </w:r>
          </w:p>
        </w:tc>
        <w:tc>
          <w:tcPr>
            <w:tcW w:w="6891" w:type="dxa"/>
            <w:gridSpan w:val="6"/>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2532" w:type="dxa"/>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注册地址</w:t>
            </w:r>
          </w:p>
        </w:tc>
        <w:tc>
          <w:tcPr>
            <w:tcW w:w="3560" w:type="dxa"/>
            <w:gridSpan w:val="3"/>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413" w:type="dxa"/>
            <w:vAlign w:val="center"/>
          </w:tcPr>
          <w:p>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成立时间</w:t>
            </w:r>
          </w:p>
        </w:tc>
        <w:tc>
          <w:tcPr>
            <w:tcW w:w="1918" w:type="dxa"/>
            <w:gridSpan w:val="2"/>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2532" w:type="dxa"/>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法定代表人</w:t>
            </w:r>
          </w:p>
        </w:tc>
        <w:tc>
          <w:tcPr>
            <w:tcW w:w="827" w:type="dxa"/>
            <w:vAlign w:val="center"/>
          </w:tcPr>
          <w:p>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姓名</w:t>
            </w:r>
          </w:p>
        </w:tc>
        <w:tc>
          <w:tcPr>
            <w:tcW w:w="1547" w:type="dxa"/>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职称</w:t>
            </w:r>
          </w:p>
        </w:tc>
        <w:tc>
          <w:tcPr>
            <w:tcW w:w="1413" w:type="dxa"/>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851" w:type="dxa"/>
            <w:vAlign w:val="center"/>
          </w:tcPr>
          <w:p>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电话</w:t>
            </w:r>
          </w:p>
        </w:tc>
        <w:tc>
          <w:tcPr>
            <w:tcW w:w="1067" w:type="dxa"/>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2532" w:type="dxa"/>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项目负责人</w:t>
            </w:r>
          </w:p>
        </w:tc>
        <w:tc>
          <w:tcPr>
            <w:tcW w:w="827" w:type="dxa"/>
            <w:vAlign w:val="center"/>
          </w:tcPr>
          <w:p>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姓名</w:t>
            </w:r>
          </w:p>
        </w:tc>
        <w:tc>
          <w:tcPr>
            <w:tcW w:w="1547" w:type="dxa"/>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职称</w:t>
            </w:r>
          </w:p>
        </w:tc>
        <w:tc>
          <w:tcPr>
            <w:tcW w:w="1413" w:type="dxa"/>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851" w:type="dxa"/>
            <w:vAlign w:val="center"/>
          </w:tcPr>
          <w:p>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电话</w:t>
            </w:r>
          </w:p>
        </w:tc>
        <w:tc>
          <w:tcPr>
            <w:tcW w:w="1067" w:type="dxa"/>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2532" w:type="dxa"/>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注册资金</w:t>
            </w:r>
          </w:p>
        </w:tc>
        <w:tc>
          <w:tcPr>
            <w:tcW w:w="2374" w:type="dxa"/>
            <w:gridSpan w:val="2"/>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资质</w:t>
            </w:r>
          </w:p>
        </w:tc>
        <w:tc>
          <w:tcPr>
            <w:tcW w:w="3331" w:type="dxa"/>
            <w:gridSpan w:val="3"/>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exact"/>
          <w:jc w:val="center"/>
        </w:trPr>
        <w:tc>
          <w:tcPr>
            <w:tcW w:w="2532" w:type="dxa"/>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营业执照号</w:t>
            </w:r>
          </w:p>
        </w:tc>
        <w:tc>
          <w:tcPr>
            <w:tcW w:w="2374" w:type="dxa"/>
            <w:gridSpan w:val="2"/>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认证情况</w:t>
            </w:r>
          </w:p>
        </w:tc>
        <w:tc>
          <w:tcPr>
            <w:tcW w:w="3331" w:type="dxa"/>
            <w:gridSpan w:val="3"/>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2532" w:type="dxa"/>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备注</w:t>
            </w:r>
          </w:p>
        </w:tc>
        <w:tc>
          <w:tcPr>
            <w:tcW w:w="6891" w:type="dxa"/>
            <w:gridSpan w:val="6"/>
            <w:vAlign w:val="center"/>
          </w:tcPr>
          <w:p>
            <w:pPr>
              <w:wordWrap w:val="0"/>
              <w:spacing w:beforeAutospacing="0" w:afterAutospacing="0" w:line="600" w:lineRule="exact"/>
              <w:ind w:firstLine="480" w:firstLineChars="200"/>
              <w:rPr>
                <w:rFonts w:ascii="新宋体" w:hAnsi="新宋体" w:eastAsia="新宋体"/>
                <w:color w:val="auto"/>
                <w:sz w:val="24"/>
                <w:szCs w:val="28"/>
                <w:highlight w:val="none"/>
              </w:rPr>
            </w:pPr>
          </w:p>
        </w:tc>
      </w:tr>
    </w:tbl>
    <w:p>
      <w:pPr>
        <w:wordWrap w:val="0"/>
        <w:spacing w:beforeAutospacing="0" w:afterAutospacing="0" w:line="600" w:lineRule="exact"/>
        <w:ind w:firstLine="482" w:firstLineChars="200"/>
        <w:rPr>
          <w:rFonts w:hint="eastAsia" w:ascii="Calibri" w:hAnsi="Calibri" w:eastAsia="宋体"/>
          <w:b/>
          <w:color w:val="auto"/>
          <w:sz w:val="24"/>
          <w:szCs w:val="28"/>
          <w:highlight w:val="none"/>
        </w:rPr>
      </w:pPr>
      <w:r>
        <w:rPr>
          <w:rFonts w:hint="eastAsia" w:ascii="Calibri" w:hAnsi="Calibri" w:eastAsia="宋体"/>
          <w:b/>
          <w:color w:val="auto"/>
          <w:sz w:val="24"/>
          <w:szCs w:val="28"/>
          <w:highlight w:val="none"/>
        </w:rPr>
        <w:t>注：此表后应附营业执照等企业证件。</w:t>
      </w:r>
    </w:p>
    <w:p>
      <w:pPr>
        <w:wordWrap w:val="0"/>
        <w:spacing w:beforeAutospacing="0" w:afterAutospacing="0" w:line="600" w:lineRule="exact"/>
        <w:ind w:firstLine="482" w:firstLineChars="200"/>
        <w:rPr>
          <w:rFonts w:hint="eastAsia" w:ascii="Calibri" w:hAnsi="Calibri" w:eastAsia="宋体"/>
          <w:b/>
          <w:color w:val="auto"/>
          <w:sz w:val="24"/>
          <w:szCs w:val="28"/>
          <w:highlight w:val="none"/>
        </w:rPr>
      </w:pPr>
    </w:p>
    <w:p>
      <w:pPr>
        <w:autoSpaceDE w:val="0"/>
        <w:autoSpaceDN w:val="0"/>
        <w:adjustRightInd w:val="0"/>
        <w:snapToGrid w:val="0"/>
        <w:spacing w:after="200" w:line="500" w:lineRule="exact"/>
        <w:ind w:firstLine="3120" w:firstLineChars="1300"/>
        <w:jc w:val="both"/>
        <w:rPr>
          <w:rFonts w:cs="宋体" w:asciiTheme="minorEastAsia" w:hAnsiTheme="minorEastAsia" w:eastAsiaTheme="minorEastAsia"/>
          <w:color w:val="auto"/>
          <w:sz w:val="24"/>
          <w:szCs w:val="24"/>
          <w:highlight w:val="none"/>
          <w:lang w:val="en-GB"/>
        </w:rPr>
      </w:pPr>
      <w:r>
        <w:rPr>
          <w:rFonts w:ascii="宋体" w:hAnsi="宋体" w:eastAsia="宋体"/>
          <w:color w:val="auto"/>
          <w:sz w:val="24"/>
          <w:szCs w:val="28"/>
          <w:highlight w:val="none"/>
        </w:rPr>
        <w:t xml:space="preserve">       </w:t>
      </w:r>
      <w:r>
        <w:rPr>
          <w:rFonts w:hint="eastAsia" w:ascii="宋体" w:hAnsi="宋体" w:eastAsia="宋体"/>
          <w:color w:val="auto"/>
          <w:sz w:val="24"/>
          <w:szCs w:val="28"/>
          <w:highlight w:val="none"/>
        </w:rPr>
        <w:t xml:space="preserve"> </w:t>
      </w:r>
      <w:r>
        <w:rPr>
          <w:rFonts w:ascii="宋体" w:hAnsi="宋体" w:eastAsia="宋体"/>
          <w:color w:val="auto"/>
          <w:sz w:val="24"/>
          <w:szCs w:val="28"/>
          <w:highlight w:val="none"/>
        </w:rPr>
        <w:t xml:space="preserve"> </w:t>
      </w:r>
      <w:r>
        <w:rPr>
          <w:rFonts w:hint="eastAsia" w:cs="宋体" w:asciiTheme="minorEastAsia" w:hAnsiTheme="minorEastAsia" w:eastAsiaTheme="minorEastAsia"/>
          <w:color w:val="auto"/>
          <w:sz w:val="24"/>
          <w:szCs w:val="24"/>
          <w:highlight w:val="none"/>
          <w:lang w:val="en-GB"/>
        </w:rPr>
        <w:t>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pPr>
        <w:autoSpaceDE w:val="0"/>
        <w:autoSpaceDN w:val="0"/>
        <w:adjustRightInd w:val="0"/>
        <w:snapToGrid w:val="0"/>
        <w:spacing w:after="200"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pPr>
        <w:wordWrap w:val="0"/>
        <w:spacing w:beforeAutospacing="0" w:afterAutospacing="0" w:line="600" w:lineRule="exact"/>
        <w:ind w:firstLine="480" w:firstLineChars="200"/>
        <w:jc w:val="center"/>
        <w:rPr>
          <w:rFonts w:ascii="宋体" w:hAnsi="宋体" w:eastAsia="宋体"/>
          <w:color w:val="auto"/>
          <w:sz w:val="24"/>
          <w:szCs w:val="28"/>
          <w:highlight w:val="none"/>
        </w:rPr>
      </w:pPr>
    </w:p>
    <w:p>
      <w:pPr>
        <w:wordWrap w:val="0"/>
        <w:spacing w:beforeAutospacing="0" w:afterAutospacing="0" w:line="600" w:lineRule="exact"/>
        <w:ind w:firstLine="723" w:firstLineChars="200"/>
        <w:jc w:val="center"/>
        <w:rPr>
          <w:rFonts w:hint="eastAsia" w:ascii="新宋体" w:hAnsi="新宋体" w:eastAsia="新宋体"/>
          <w:b/>
          <w:color w:val="auto"/>
          <w:sz w:val="36"/>
          <w:szCs w:val="36"/>
          <w:highlight w:val="none"/>
        </w:rPr>
      </w:pPr>
      <w:r>
        <w:rPr>
          <w:rFonts w:hint="eastAsia" w:ascii="新宋体" w:hAnsi="新宋体" w:eastAsia="新宋体"/>
          <w:b/>
          <w:color w:val="auto"/>
          <w:sz w:val="36"/>
          <w:szCs w:val="36"/>
          <w:highlight w:val="none"/>
        </w:rPr>
        <w:t>（二）</w:t>
      </w:r>
      <w:r>
        <w:rPr>
          <w:rFonts w:ascii="新宋体" w:hAnsi="新宋体" w:eastAsia="新宋体"/>
          <w:b/>
          <w:color w:val="auto"/>
          <w:sz w:val="36"/>
          <w:szCs w:val="36"/>
          <w:highlight w:val="none"/>
        </w:rPr>
        <w:t xml:space="preserve"> </w:t>
      </w:r>
      <w:r>
        <w:rPr>
          <w:rFonts w:hint="eastAsia" w:ascii="新宋体" w:hAnsi="新宋体" w:eastAsia="新宋体"/>
          <w:b/>
          <w:color w:val="auto"/>
          <w:sz w:val="36"/>
          <w:szCs w:val="36"/>
          <w:highlight w:val="none"/>
        </w:rPr>
        <w:t>拟派</w:t>
      </w:r>
      <w:r>
        <w:rPr>
          <w:rFonts w:hint="eastAsia" w:ascii="新宋体" w:hAnsi="新宋体" w:eastAsia="新宋体"/>
          <w:b/>
          <w:color w:val="auto"/>
          <w:sz w:val="36"/>
          <w:szCs w:val="36"/>
          <w:highlight w:val="none"/>
          <w:lang w:eastAsia="zh-CN"/>
        </w:rPr>
        <w:t>本项目</w:t>
      </w:r>
      <w:r>
        <w:rPr>
          <w:rFonts w:hint="eastAsia" w:ascii="新宋体" w:hAnsi="新宋体" w:eastAsia="新宋体"/>
          <w:b/>
          <w:color w:val="auto"/>
          <w:sz w:val="36"/>
          <w:szCs w:val="36"/>
          <w:highlight w:val="none"/>
        </w:rPr>
        <w:t>负责人情况表</w:t>
      </w:r>
    </w:p>
    <w:p>
      <w:pPr>
        <w:wordWrap w:val="0"/>
        <w:spacing w:beforeAutospacing="0" w:afterAutospacing="0" w:line="600" w:lineRule="exact"/>
        <w:ind w:firstLine="482" w:firstLineChars="200"/>
        <w:jc w:val="center"/>
        <w:rPr>
          <w:rFonts w:ascii="新宋体" w:hAnsi="新宋体" w:eastAsia="新宋体"/>
          <w:b/>
          <w:color w:val="auto"/>
          <w:sz w:val="24"/>
          <w:szCs w:val="28"/>
          <w:highlight w:val="none"/>
        </w:r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0"/>
        <w:gridCol w:w="573"/>
        <w:gridCol w:w="2351"/>
        <w:gridCol w:w="2426"/>
        <w:gridCol w:w="2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名</w:t>
            </w:r>
          </w:p>
        </w:tc>
        <w:tc>
          <w:tcPr>
            <w:tcW w:w="2351" w:type="dxa"/>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年</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龄</w:t>
            </w:r>
          </w:p>
        </w:tc>
        <w:tc>
          <w:tcPr>
            <w:tcW w:w="2639" w:type="dxa"/>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学</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历</w:t>
            </w:r>
          </w:p>
        </w:tc>
        <w:tc>
          <w:tcPr>
            <w:tcW w:w="2351" w:type="dxa"/>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pPr>
              <w:wordWrap w:val="0"/>
              <w:spacing w:beforeAutospacing="0" w:afterAutospacing="0" w:line="600" w:lineRule="exact"/>
              <w:ind w:left="420"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注册证书情况</w:t>
            </w:r>
          </w:p>
        </w:tc>
        <w:tc>
          <w:tcPr>
            <w:tcW w:w="2639" w:type="dxa"/>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务</w:t>
            </w:r>
          </w:p>
        </w:tc>
        <w:tc>
          <w:tcPr>
            <w:tcW w:w="2351" w:type="dxa"/>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称</w:t>
            </w:r>
          </w:p>
        </w:tc>
        <w:tc>
          <w:tcPr>
            <w:tcW w:w="2639" w:type="dxa"/>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574" w:type="dxa"/>
            <w:gridSpan w:val="3"/>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从事工作年限</w:t>
            </w:r>
          </w:p>
        </w:tc>
        <w:tc>
          <w:tcPr>
            <w:tcW w:w="5065" w:type="dxa"/>
            <w:gridSpan w:val="2"/>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574" w:type="dxa"/>
            <w:gridSpan w:val="3"/>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在本项目中拟担任的职务</w:t>
            </w:r>
          </w:p>
        </w:tc>
        <w:tc>
          <w:tcPr>
            <w:tcW w:w="5065" w:type="dxa"/>
            <w:gridSpan w:val="2"/>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联系方式</w:t>
            </w:r>
          </w:p>
        </w:tc>
        <w:tc>
          <w:tcPr>
            <w:tcW w:w="7416" w:type="dxa"/>
            <w:gridSpan w:val="3"/>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9" w:type="dxa"/>
            <w:gridSpan w:val="5"/>
            <w:vAlign w:val="center"/>
          </w:tcPr>
          <w:p>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r>
              <w:rPr>
                <w:rFonts w:ascii="新宋体" w:hAnsi="新宋体" w:eastAsia="新宋体"/>
                <w:color w:val="auto"/>
                <w:sz w:val="24"/>
                <w:szCs w:val="28"/>
                <w:highlight w:val="none"/>
              </w:rPr>
              <w:t>20</w:t>
            </w:r>
            <w:r>
              <w:rPr>
                <w:rFonts w:hint="eastAsia" w:ascii="新宋体" w:hAnsi="新宋体" w:eastAsia="新宋体"/>
                <w:color w:val="auto"/>
                <w:sz w:val="24"/>
                <w:szCs w:val="28"/>
                <w:highlight w:val="none"/>
                <w:lang w:val="en-US" w:eastAsia="zh-CN"/>
              </w:rPr>
              <w:t>20</w:t>
            </w:r>
            <w:r>
              <w:rPr>
                <w:rFonts w:hint="eastAsia" w:ascii="新宋体" w:hAnsi="新宋体" w:eastAsia="新宋体"/>
                <w:color w:val="auto"/>
                <w:sz w:val="24"/>
                <w:szCs w:val="28"/>
                <w:highlight w:val="none"/>
              </w:rPr>
              <w:t>以来完成过的项目业绩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时间</w:t>
            </w:r>
          </w:p>
        </w:tc>
        <w:tc>
          <w:tcPr>
            <w:tcW w:w="7989" w:type="dxa"/>
            <w:gridSpan w:val="4"/>
            <w:vAlign w:val="center"/>
          </w:tcPr>
          <w:p>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（项目内容及本人承担工作）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bl>
    <w:p>
      <w:pPr>
        <w:wordWrap w:val="0"/>
        <w:spacing w:beforeAutospacing="0" w:afterAutospacing="0" w:line="600" w:lineRule="exact"/>
        <w:rPr>
          <w:rFonts w:ascii="新宋体" w:hAnsi="新宋体" w:eastAsia="新宋体"/>
          <w:b/>
          <w:bCs/>
          <w:color w:val="auto"/>
          <w:sz w:val="24"/>
          <w:szCs w:val="28"/>
          <w:highlight w:val="none"/>
        </w:rPr>
      </w:pPr>
    </w:p>
    <w:p>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 xml:space="preserve">               供应商：（</w:t>
      </w:r>
      <w:r>
        <w:rPr>
          <w:rFonts w:hint="eastAsia" w:ascii="宋体" w:hAnsi="宋体" w:cs="宋体"/>
          <w:color w:val="auto"/>
          <w:sz w:val="24"/>
          <w:szCs w:val="24"/>
          <w:highlight w:val="none"/>
        </w:rPr>
        <w:t>电子签章</w:t>
      </w:r>
      <w:r>
        <w:rPr>
          <w:rFonts w:hint="eastAsia" w:ascii="宋体" w:hAnsi="宋体" w:eastAsia="宋体"/>
          <w:color w:val="auto"/>
          <w:sz w:val="24"/>
          <w:szCs w:val="28"/>
          <w:highlight w:val="none"/>
        </w:rPr>
        <w:t>）</w:t>
      </w:r>
    </w:p>
    <w:p>
      <w:pPr>
        <w:wordWrap w:val="0"/>
        <w:spacing w:beforeAutospacing="0" w:afterAutospacing="0" w:line="600" w:lineRule="exact"/>
        <w:ind w:firstLine="480" w:firstLineChars="200"/>
        <w:rPr>
          <w:rFonts w:ascii="宋体" w:hAnsi="宋体" w:eastAsia="宋体"/>
          <w:color w:val="auto"/>
          <w:sz w:val="24"/>
          <w:szCs w:val="28"/>
          <w:highlight w:val="none"/>
        </w:rPr>
      </w:pPr>
      <w:r>
        <w:rPr>
          <w:rFonts w:ascii="宋体" w:hAnsi="宋体" w:eastAsia="宋体"/>
          <w:color w:val="auto"/>
          <w:sz w:val="24"/>
          <w:szCs w:val="28"/>
          <w:highlight w:val="none"/>
        </w:rPr>
        <w:t xml:space="preserve">                             </w:t>
      </w:r>
      <w:r>
        <w:rPr>
          <w:rFonts w:hint="eastAsia" w:ascii="宋体" w:hAnsi="宋体"/>
          <w:color w:val="auto"/>
          <w:sz w:val="24"/>
          <w:szCs w:val="28"/>
          <w:highlight w:val="none"/>
          <w:lang w:val="en-US" w:eastAsia="zh-CN"/>
        </w:rPr>
        <w:t xml:space="preserve">       </w:t>
      </w:r>
      <w:r>
        <w:rPr>
          <w:rFonts w:hint="eastAsia" w:ascii="宋体" w:hAnsi="宋体" w:eastAsia="宋体"/>
          <w:color w:val="auto"/>
          <w:sz w:val="24"/>
          <w:szCs w:val="28"/>
          <w:highlight w:val="none"/>
        </w:rPr>
        <w:t>法定代表人：（</w:t>
      </w:r>
      <w:r>
        <w:rPr>
          <w:rFonts w:hint="eastAsia" w:cs="宋体" w:asciiTheme="minorEastAsia" w:hAnsiTheme="minorEastAsia" w:eastAsiaTheme="minorEastAsia"/>
          <w:color w:val="auto"/>
          <w:sz w:val="24"/>
          <w:szCs w:val="24"/>
          <w:highlight w:val="none"/>
          <w:lang w:val="en-GB"/>
        </w:rPr>
        <w:t>签字或盖章</w:t>
      </w:r>
      <w:r>
        <w:rPr>
          <w:rFonts w:ascii="宋体" w:hAnsi="宋体" w:eastAsia="宋体"/>
          <w:color w:val="auto"/>
          <w:sz w:val="24"/>
          <w:szCs w:val="28"/>
          <w:highlight w:val="none"/>
        </w:rPr>
        <w:t>)</w:t>
      </w:r>
    </w:p>
    <w:p>
      <w:pPr>
        <w:wordWrap w:val="0"/>
        <w:spacing w:beforeAutospacing="0" w:afterAutospacing="0" w:line="600" w:lineRule="exact"/>
        <w:ind w:firstLine="480" w:firstLineChars="200"/>
        <w:rPr>
          <w:rFonts w:hint="eastAsia" w:ascii="宋体" w:hAnsi="Calibri" w:eastAsia="宋体"/>
          <w:color w:val="auto"/>
          <w:sz w:val="24"/>
          <w:szCs w:val="28"/>
          <w:highlight w:val="none"/>
        </w:rPr>
      </w:pPr>
      <w:r>
        <w:rPr>
          <w:rFonts w:hint="eastAsia" w:ascii="宋体" w:hAnsi="Calibri" w:eastAsia="宋体"/>
          <w:color w:val="auto"/>
          <w:sz w:val="24"/>
          <w:szCs w:val="28"/>
          <w:highlight w:val="none"/>
        </w:rPr>
        <w:t xml:space="preserve">                            </w:t>
      </w:r>
      <w:r>
        <w:rPr>
          <w:rFonts w:hint="eastAsia" w:ascii="宋体"/>
          <w:color w:val="auto"/>
          <w:sz w:val="24"/>
          <w:szCs w:val="28"/>
          <w:highlight w:val="none"/>
          <w:lang w:val="en-US" w:eastAsia="zh-CN"/>
        </w:rPr>
        <w:t xml:space="preserve">        </w:t>
      </w:r>
      <w:r>
        <w:rPr>
          <w:rFonts w:hint="eastAsia" w:cs="宋体" w:asciiTheme="minorEastAsia" w:hAnsiTheme="minorEastAsia" w:eastAsiaTheme="minorEastAsia"/>
          <w:color w:val="auto"/>
          <w:sz w:val="24"/>
          <w:szCs w:val="24"/>
          <w:highlight w:val="none"/>
          <w:lang w:val="en-GB"/>
        </w:rPr>
        <w:t>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r>
        <w:rPr>
          <w:rFonts w:hint="eastAsia" w:ascii="宋体" w:hAnsi="宋体" w:eastAsia="宋体"/>
          <w:b/>
          <w:bCs/>
          <w:color w:val="auto"/>
          <w:kern w:val="0"/>
          <w:sz w:val="36"/>
          <w:szCs w:val="36"/>
          <w:highlight w:val="none"/>
        </w:rPr>
        <w:t>（三）证明投标供应商资格和能力的资料</w:t>
      </w:r>
    </w:p>
    <w:p>
      <w:pPr>
        <w:pStyle w:val="37"/>
        <w:rPr>
          <w:rFonts w:hint="eastAsia" w:ascii="宋体" w:hAnsi="宋体" w:eastAsia="宋体"/>
          <w:color w:val="auto"/>
          <w:sz w:val="28"/>
          <w:szCs w:val="24"/>
          <w:highlight w:val="none"/>
          <w:lang w:eastAsia="zh-CN"/>
        </w:rPr>
      </w:pPr>
      <w:r>
        <w:rPr>
          <w:rFonts w:hint="eastAsia"/>
          <w:bCs/>
          <w:color w:val="auto"/>
          <w:sz w:val="24"/>
          <w:szCs w:val="21"/>
          <w:highlight w:val="none"/>
          <w:lang w:val="en-US" w:eastAsia="zh-CN"/>
        </w:rPr>
        <w:t xml:space="preserve"> </w:t>
      </w:r>
    </w:p>
    <w:p>
      <w:pPr>
        <w:pStyle w:val="40"/>
        <w:rPr>
          <w:rFonts w:ascii="宋体" w:hAnsi="宋体" w:eastAsia="宋体"/>
          <w:color w:val="auto"/>
          <w:sz w:val="28"/>
          <w:szCs w:val="24"/>
          <w:highlight w:val="none"/>
        </w:rPr>
      </w:pPr>
    </w:p>
    <w:p>
      <w:pPr>
        <w:pStyle w:val="40"/>
        <w:rPr>
          <w:rFonts w:ascii="宋体" w:hAnsi="宋体" w:eastAsia="宋体"/>
          <w:color w:val="auto"/>
          <w:sz w:val="28"/>
          <w:szCs w:val="24"/>
          <w:highlight w:val="none"/>
        </w:rPr>
      </w:pPr>
    </w:p>
    <w:p>
      <w:pPr>
        <w:pStyle w:val="37"/>
        <w:rPr>
          <w:color w:val="auto"/>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六</w:t>
      </w:r>
      <w:r>
        <w:rPr>
          <w:rFonts w:hint="eastAsia" w:ascii="宋体" w:hAnsi="宋体" w:eastAsia="宋体"/>
          <w:b/>
          <w:bCs/>
          <w:color w:val="auto"/>
          <w:kern w:val="0"/>
          <w:sz w:val="36"/>
          <w:szCs w:val="36"/>
          <w:highlight w:val="none"/>
        </w:rPr>
        <w:t>、完成的主要业绩表</w:t>
      </w:r>
    </w:p>
    <w:tbl>
      <w:tblPr>
        <w:tblStyle w:val="16"/>
        <w:tblpPr w:leftFromText="180" w:rightFromText="180" w:vertAnchor="text" w:horzAnchor="page" w:tblpX="1470" w:tblpY="756"/>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693"/>
        <w:gridCol w:w="1560"/>
        <w:gridCol w:w="2126"/>
        <w:gridCol w:w="1417"/>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851" w:type="dxa"/>
            <w:vAlign w:val="center"/>
          </w:tcPr>
          <w:p>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序号</w:t>
            </w:r>
          </w:p>
        </w:tc>
        <w:tc>
          <w:tcPr>
            <w:tcW w:w="2693" w:type="dxa"/>
            <w:vAlign w:val="center"/>
          </w:tcPr>
          <w:p>
            <w:pPr>
              <w:wordWrap w:val="0"/>
              <w:spacing w:beforeAutospacing="0" w:afterAutospacing="0" w:line="600" w:lineRule="exact"/>
              <w:ind w:firstLine="480" w:firstLineChars="20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项目名称</w:t>
            </w:r>
          </w:p>
        </w:tc>
        <w:tc>
          <w:tcPr>
            <w:tcW w:w="1560" w:type="dxa"/>
            <w:vAlign w:val="center"/>
          </w:tcPr>
          <w:p>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投资金额</w:t>
            </w:r>
          </w:p>
        </w:tc>
        <w:tc>
          <w:tcPr>
            <w:tcW w:w="2126" w:type="dxa"/>
            <w:vAlign w:val="center"/>
          </w:tcPr>
          <w:p>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业主单位名称</w:t>
            </w:r>
          </w:p>
        </w:tc>
        <w:tc>
          <w:tcPr>
            <w:tcW w:w="1417" w:type="dxa"/>
            <w:vAlign w:val="center"/>
          </w:tcPr>
          <w:p>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完成时间</w:t>
            </w:r>
          </w:p>
        </w:tc>
        <w:tc>
          <w:tcPr>
            <w:tcW w:w="993" w:type="dxa"/>
            <w:vAlign w:val="center"/>
          </w:tcPr>
          <w:p>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851" w:type="dxa"/>
            <w:vAlign w:val="center"/>
          </w:tcPr>
          <w:p>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1</w:t>
            </w:r>
          </w:p>
        </w:tc>
        <w:tc>
          <w:tcPr>
            <w:tcW w:w="26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851" w:type="dxa"/>
            <w:vAlign w:val="center"/>
          </w:tcPr>
          <w:p>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2</w:t>
            </w:r>
          </w:p>
        </w:tc>
        <w:tc>
          <w:tcPr>
            <w:tcW w:w="26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851" w:type="dxa"/>
            <w:vAlign w:val="center"/>
          </w:tcPr>
          <w:p>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3</w:t>
            </w:r>
          </w:p>
        </w:tc>
        <w:tc>
          <w:tcPr>
            <w:tcW w:w="26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851" w:type="dxa"/>
            <w:vAlign w:val="center"/>
          </w:tcPr>
          <w:p>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4</w:t>
            </w:r>
          </w:p>
        </w:tc>
        <w:tc>
          <w:tcPr>
            <w:tcW w:w="26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851" w:type="dxa"/>
            <w:vAlign w:val="center"/>
          </w:tcPr>
          <w:p>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5</w:t>
            </w:r>
          </w:p>
        </w:tc>
        <w:tc>
          <w:tcPr>
            <w:tcW w:w="26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851" w:type="dxa"/>
            <w:vAlign w:val="center"/>
          </w:tcPr>
          <w:p>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6</w:t>
            </w:r>
          </w:p>
        </w:tc>
        <w:tc>
          <w:tcPr>
            <w:tcW w:w="26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851" w:type="dxa"/>
            <w:vAlign w:val="center"/>
          </w:tcPr>
          <w:p>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7</w:t>
            </w:r>
          </w:p>
        </w:tc>
        <w:tc>
          <w:tcPr>
            <w:tcW w:w="26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851" w:type="dxa"/>
            <w:vAlign w:val="center"/>
          </w:tcPr>
          <w:p>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8</w:t>
            </w:r>
          </w:p>
        </w:tc>
        <w:tc>
          <w:tcPr>
            <w:tcW w:w="26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851" w:type="dxa"/>
            <w:vAlign w:val="center"/>
          </w:tcPr>
          <w:p>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9</w:t>
            </w:r>
          </w:p>
        </w:tc>
        <w:tc>
          <w:tcPr>
            <w:tcW w:w="26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2126"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417"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bl>
    <w:p>
      <w:pPr>
        <w:wordWrap w:val="0"/>
        <w:spacing w:beforeAutospacing="0" w:afterAutospacing="0" w:line="600" w:lineRule="exact"/>
        <w:ind w:firstLine="480" w:firstLineChars="200"/>
        <w:rPr>
          <w:rFonts w:ascii="新宋体" w:hAnsi="新宋体" w:eastAsia="新宋体"/>
          <w:color w:val="auto"/>
          <w:sz w:val="24"/>
          <w:szCs w:val="28"/>
          <w:highlight w:val="none"/>
        </w:rPr>
      </w:pPr>
    </w:p>
    <w:p>
      <w:pPr>
        <w:wordWrap w:val="0"/>
        <w:spacing w:beforeAutospacing="0" w:afterAutospacing="0" w:line="600" w:lineRule="exact"/>
        <w:ind w:firstLine="480" w:firstLineChars="200"/>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注：此表后附项目业绩合同的复印件。</w:t>
      </w: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jc w:val="both"/>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七</w:t>
      </w:r>
      <w:r>
        <w:rPr>
          <w:rFonts w:hint="eastAsia" w:ascii="宋体" w:hAnsi="宋体" w:eastAsia="宋体"/>
          <w:b/>
          <w:bCs/>
          <w:color w:val="auto"/>
          <w:kern w:val="0"/>
          <w:sz w:val="36"/>
          <w:szCs w:val="36"/>
          <w:highlight w:val="none"/>
        </w:rPr>
        <w:t>、服务方案</w:t>
      </w:r>
    </w:p>
    <w:p>
      <w:pPr>
        <w:wordWrap w:val="0"/>
        <w:spacing w:beforeAutospacing="0" w:afterAutospacing="0" w:line="600" w:lineRule="exact"/>
        <w:ind w:firstLine="560" w:firstLineChars="200"/>
        <w:rPr>
          <w:rFonts w:ascii="宋体" w:hAnsi="宋体" w:eastAsia="宋体"/>
          <w:color w:val="auto"/>
          <w:sz w:val="28"/>
          <w:szCs w:val="28"/>
          <w:highlight w:val="none"/>
        </w:rPr>
      </w:pPr>
    </w:p>
    <w:p>
      <w:pPr>
        <w:wordWrap w:val="0"/>
        <w:spacing w:beforeAutospacing="0" w:afterAutospacing="0" w:line="600" w:lineRule="exact"/>
        <w:ind w:firstLine="560" w:firstLineChars="200"/>
        <w:rPr>
          <w:rFonts w:ascii="宋体" w:hAnsi="宋体" w:eastAsia="宋体"/>
          <w:color w:val="auto"/>
          <w:sz w:val="28"/>
          <w:szCs w:val="28"/>
          <w:highlight w:val="none"/>
        </w:rPr>
      </w:pPr>
    </w:p>
    <w:p>
      <w:pPr>
        <w:wordWrap w:val="0"/>
        <w:spacing w:beforeAutospacing="0" w:afterAutospacing="0" w:line="600" w:lineRule="exact"/>
        <w:ind w:firstLine="480" w:firstLineChars="20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此项格式自理，内容应包括但不限制于评分办法提到的内容。</w:t>
      </w: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rPr>
          <w:rFonts w:ascii="宋体" w:hAnsi="宋体" w:eastAsia="宋体"/>
          <w:b/>
          <w:bCs/>
          <w:color w:val="auto"/>
          <w:kern w:val="0"/>
          <w:sz w:val="28"/>
          <w:szCs w:val="28"/>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八</w:t>
      </w:r>
      <w:r>
        <w:rPr>
          <w:rFonts w:hint="eastAsia" w:ascii="宋体" w:hAnsi="宋体" w:eastAsia="宋体"/>
          <w:b/>
          <w:bCs/>
          <w:color w:val="auto"/>
          <w:kern w:val="0"/>
          <w:sz w:val="36"/>
          <w:szCs w:val="36"/>
          <w:highlight w:val="none"/>
        </w:rPr>
        <w:t>、其它相关资料</w:t>
      </w:r>
    </w:p>
    <w:p>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pPr>
        <w:wordWrap w:val="0"/>
        <w:spacing w:beforeAutospacing="0" w:afterAutospacing="0" w:line="600" w:lineRule="exact"/>
        <w:ind w:firstLine="562" w:firstLineChars="200"/>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w:t>
      </w:r>
      <w:r>
        <w:rPr>
          <w:rFonts w:hint="eastAsia" w:ascii="宋体" w:hAnsi="宋体" w:eastAsia="宋体"/>
          <w:b/>
          <w:bCs/>
          <w:color w:val="auto"/>
          <w:kern w:val="0"/>
          <w:sz w:val="24"/>
          <w:szCs w:val="28"/>
          <w:highlight w:val="none"/>
        </w:rPr>
        <w:t>一）无商业贿赂、不正当竞争行为承诺书</w:t>
      </w:r>
    </w:p>
    <w:p>
      <w:pPr>
        <w:wordWrap w:val="0"/>
        <w:spacing w:beforeAutospacing="0" w:afterAutospacing="0" w:line="600" w:lineRule="exact"/>
        <w:ind w:firstLine="482" w:firstLineChars="200"/>
        <w:rPr>
          <w:rFonts w:ascii="Calibri" w:hAnsi="Calibri" w:eastAsia="宋体"/>
          <w:b/>
          <w:color w:val="auto"/>
          <w:sz w:val="24"/>
          <w:szCs w:val="28"/>
          <w:highlight w:val="none"/>
        </w:rPr>
      </w:pPr>
    </w:p>
    <w:p>
      <w:pPr>
        <w:wordWrap w:val="0"/>
        <w:spacing w:beforeAutospacing="0" w:afterAutospacing="0" w:line="600" w:lineRule="exact"/>
        <w:ind w:firstLine="482" w:firstLineChars="200"/>
        <w:rPr>
          <w:rFonts w:hint="eastAsia" w:ascii="Calibri" w:hAnsi="Calibri" w:eastAsia="宋体"/>
          <w:b/>
          <w:color w:val="auto"/>
          <w:sz w:val="24"/>
          <w:szCs w:val="28"/>
          <w:highlight w:val="none"/>
        </w:rPr>
      </w:pPr>
      <w:r>
        <w:rPr>
          <w:rFonts w:hint="eastAsia" w:ascii="Calibri" w:hAnsi="Calibri" w:eastAsia="宋体"/>
          <w:b/>
          <w:color w:val="auto"/>
          <w:sz w:val="24"/>
          <w:szCs w:val="28"/>
          <w:highlight w:val="none"/>
        </w:rPr>
        <w:t>我公司承诺：</w:t>
      </w:r>
    </w:p>
    <w:p>
      <w:pPr>
        <w:wordWrap w:val="0"/>
        <w:spacing w:beforeAutospacing="0" w:afterAutospacing="0" w:line="600" w:lineRule="exact"/>
        <w:ind w:firstLine="480" w:firstLineChars="200"/>
        <w:rPr>
          <w:rFonts w:ascii="Calibri" w:hAnsi="Calibri" w:eastAsia="宋体"/>
          <w:color w:val="auto"/>
          <w:sz w:val="24"/>
          <w:szCs w:val="28"/>
          <w:highlight w:val="none"/>
        </w:rPr>
      </w:pPr>
    </w:p>
    <w:p>
      <w:pPr>
        <w:wordWrap w:val="0"/>
        <w:spacing w:beforeAutospacing="0" w:afterAutospacing="0" w:line="600" w:lineRule="exact"/>
        <w:ind w:firstLine="480" w:firstLineChars="200"/>
        <w:rPr>
          <w:rFonts w:hint="eastAsia" w:ascii="Calibri" w:hAnsi="Calibri" w:eastAsia="宋体"/>
          <w:color w:val="auto"/>
          <w:sz w:val="24"/>
          <w:szCs w:val="28"/>
          <w:highlight w:val="none"/>
        </w:rPr>
      </w:pPr>
      <w:r>
        <w:rPr>
          <w:rFonts w:hint="eastAsia" w:ascii="Calibri" w:hAnsi="Calibri" w:eastAsia="宋体"/>
          <w:color w:val="auto"/>
          <w:sz w:val="24"/>
          <w:szCs w:val="28"/>
          <w:highlight w:val="none"/>
        </w:rPr>
        <w:t>在招标活动中，我公司保证做到：</w:t>
      </w:r>
    </w:p>
    <w:p>
      <w:pPr>
        <w:wordWrap w:val="0"/>
        <w:spacing w:beforeAutospacing="0" w:afterAutospacing="0" w:line="600" w:lineRule="exact"/>
        <w:ind w:firstLine="480" w:firstLineChars="200"/>
        <w:rPr>
          <w:rFonts w:hint="eastAsia" w:ascii="Calibri" w:hAnsi="Calibri" w:eastAsia="宋体"/>
          <w:color w:val="auto"/>
          <w:sz w:val="24"/>
          <w:szCs w:val="28"/>
          <w:highlight w:val="none"/>
        </w:rPr>
      </w:pPr>
      <w:r>
        <w:rPr>
          <w:rFonts w:hint="eastAsia" w:ascii="Calibri" w:hAnsi="Calibri" w:eastAsia="宋体"/>
          <w:color w:val="auto"/>
          <w:sz w:val="24"/>
          <w:szCs w:val="28"/>
          <w:highlight w:val="none"/>
        </w:rPr>
        <w:t>一、公平竞争参加本次招标活动。</w:t>
      </w:r>
    </w:p>
    <w:p>
      <w:pPr>
        <w:wordWrap w:val="0"/>
        <w:spacing w:beforeAutospacing="0" w:afterAutospacing="0" w:line="600" w:lineRule="exact"/>
        <w:ind w:firstLine="480" w:firstLineChars="200"/>
        <w:rPr>
          <w:rFonts w:hint="eastAsia" w:ascii="Calibri" w:hAnsi="Calibri" w:eastAsia="宋体"/>
          <w:color w:val="auto"/>
          <w:sz w:val="24"/>
          <w:szCs w:val="28"/>
          <w:highlight w:val="none"/>
        </w:rPr>
      </w:pPr>
      <w:r>
        <w:rPr>
          <w:rFonts w:hint="eastAsia" w:ascii="Calibri" w:hAnsi="Calibri" w:eastAsia="宋体"/>
          <w:color w:val="auto"/>
          <w:sz w:val="24"/>
          <w:szCs w:val="28"/>
          <w:highlight w:val="none"/>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pPr>
        <w:wordWrap w:val="0"/>
        <w:spacing w:beforeAutospacing="0" w:afterAutospacing="0" w:line="600" w:lineRule="exact"/>
        <w:ind w:firstLine="480" w:firstLineChars="200"/>
        <w:rPr>
          <w:rFonts w:hint="eastAsia" w:ascii="Calibri" w:hAnsi="Calibri" w:eastAsia="宋体"/>
          <w:color w:val="auto"/>
          <w:sz w:val="24"/>
          <w:szCs w:val="28"/>
          <w:highlight w:val="none"/>
        </w:rPr>
      </w:pPr>
      <w:r>
        <w:rPr>
          <w:rFonts w:hint="eastAsia" w:ascii="Calibri" w:hAnsi="Calibri" w:eastAsia="宋体"/>
          <w:color w:val="auto"/>
          <w:sz w:val="24"/>
          <w:szCs w:val="28"/>
          <w:highlight w:val="none"/>
        </w:rPr>
        <w:t>三、若出现上述行为，我公司及参与投标的工作人员愿意接受按照国家法律法规等有关规定给予的处罚。</w:t>
      </w:r>
    </w:p>
    <w:p>
      <w:pPr>
        <w:wordWrap w:val="0"/>
        <w:spacing w:beforeAutospacing="0" w:afterAutospacing="0" w:line="600" w:lineRule="exact"/>
        <w:ind w:firstLine="480" w:firstLineChars="200"/>
        <w:rPr>
          <w:rFonts w:ascii="宋体" w:hAnsi="宋体" w:eastAsia="宋体"/>
          <w:color w:val="auto"/>
          <w:kern w:val="0"/>
          <w:sz w:val="24"/>
          <w:szCs w:val="28"/>
          <w:highlight w:val="none"/>
        </w:rPr>
      </w:pPr>
    </w:p>
    <w:p>
      <w:pPr>
        <w:wordWrap w:val="0"/>
        <w:spacing w:beforeAutospacing="0" w:afterAutospacing="0" w:line="600" w:lineRule="exact"/>
        <w:ind w:firstLine="480" w:firstLineChars="200"/>
        <w:rPr>
          <w:rFonts w:ascii="宋体" w:hAnsi="宋体" w:eastAsia="宋体"/>
          <w:color w:val="auto"/>
          <w:kern w:val="0"/>
          <w:sz w:val="24"/>
          <w:szCs w:val="28"/>
          <w:highlight w:val="none"/>
        </w:rPr>
      </w:pPr>
    </w:p>
    <w:p>
      <w:pPr>
        <w:wordWrap w:val="0"/>
        <w:spacing w:beforeAutospacing="0" w:afterAutospacing="0" w:line="600" w:lineRule="exact"/>
        <w:ind w:firstLine="480" w:firstLineChars="200"/>
        <w:rPr>
          <w:rFonts w:ascii="宋体" w:hAnsi="宋体" w:eastAsia="宋体"/>
          <w:color w:val="auto"/>
          <w:kern w:val="0"/>
          <w:sz w:val="24"/>
          <w:szCs w:val="28"/>
          <w:highlight w:val="none"/>
        </w:rPr>
      </w:pPr>
    </w:p>
    <w:p>
      <w:pPr>
        <w:autoSpaceDE w:val="0"/>
        <w:autoSpaceDN w:val="0"/>
        <w:adjustRightInd w:val="0"/>
        <w:snapToGrid w:val="0"/>
        <w:spacing w:after="200" w:line="500" w:lineRule="exact"/>
        <w:ind w:firstLine="2880" w:firstLineChars="1200"/>
        <w:jc w:val="both"/>
        <w:rPr>
          <w:rFonts w:cs="宋体" w:asciiTheme="minorEastAsia" w:hAnsiTheme="minorEastAsia" w:eastAsiaTheme="minorEastAsia"/>
          <w:color w:val="auto"/>
          <w:sz w:val="24"/>
          <w:szCs w:val="24"/>
          <w:highlight w:val="none"/>
          <w:lang w:val="en-GB"/>
        </w:rPr>
      </w:pPr>
      <w:r>
        <w:rPr>
          <w:rFonts w:hint="eastAsia" w:ascii="宋体" w:hAnsi="宋体" w:eastAsia="宋体"/>
          <w:color w:val="auto"/>
          <w:kern w:val="0"/>
          <w:sz w:val="24"/>
          <w:szCs w:val="28"/>
          <w:highlight w:val="none"/>
        </w:rPr>
        <w:t xml:space="preserve"> </w:t>
      </w:r>
      <w:r>
        <w:rPr>
          <w:rFonts w:hint="eastAsia" w:ascii="宋体" w:hAnsi="宋体"/>
          <w:color w:val="auto"/>
          <w:kern w:val="0"/>
          <w:sz w:val="24"/>
          <w:szCs w:val="28"/>
          <w:highlight w:val="none"/>
          <w:lang w:val="en-US" w:eastAsia="zh-CN"/>
        </w:rPr>
        <w:t xml:space="preserve">        </w:t>
      </w:r>
      <w:r>
        <w:rPr>
          <w:rFonts w:hint="eastAsia" w:cs="宋体" w:asciiTheme="minorEastAsia" w:hAnsiTheme="minorEastAsia" w:eastAsiaTheme="minorEastAsia"/>
          <w:color w:val="auto"/>
          <w:sz w:val="24"/>
          <w:szCs w:val="24"/>
          <w:highlight w:val="none"/>
          <w:lang w:val="en-GB"/>
        </w:rPr>
        <w:t>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p>
    <w:p>
      <w:pPr>
        <w:wordWrap w:val="0"/>
        <w:spacing w:beforeAutospacing="0" w:afterAutospacing="0" w:line="600" w:lineRule="exact"/>
        <w:jc w:val="center"/>
        <w:rPr>
          <w:rFonts w:hint="eastAsia" w:ascii="宋体" w:hAnsi="宋体" w:eastAsia="宋体"/>
          <w:b/>
          <w:bCs/>
          <w:color w:val="auto"/>
          <w:kern w:val="0"/>
          <w:sz w:val="36"/>
          <w:szCs w:val="36"/>
          <w:highlight w:val="none"/>
        </w:rPr>
      </w:pPr>
      <w:r>
        <w:rPr>
          <w:rFonts w:hint="eastAsia" w:ascii="宋体" w:hAnsi="宋体" w:eastAsia="宋体"/>
          <w:b/>
          <w:bCs/>
          <w:color w:val="auto"/>
          <w:kern w:val="0"/>
          <w:sz w:val="36"/>
          <w:szCs w:val="36"/>
          <w:highlight w:val="none"/>
        </w:rPr>
        <w:t>（二）投标供应商认为应附的其它相关资料</w:t>
      </w: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pPr>
        <w:pStyle w:val="15"/>
        <w:rPr>
          <w:color w:val="auto"/>
          <w:highlight w:val="none"/>
        </w:rPr>
      </w:pPr>
    </w:p>
    <w:p>
      <w:pPr>
        <w:wordWrap w:val="0"/>
        <w:spacing w:beforeAutospacing="0" w:afterAutospacing="0" w:line="600" w:lineRule="exact"/>
        <w:rPr>
          <w:rFonts w:ascii="宋体" w:hAnsi="宋体" w:eastAsia="宋体"/>
          <w:b/>
          <w:bCs/>
          <w:color w:val="auto"/>
          <w:kern w:val="0"/>
          <w:sz w:val="36"/>
          <w:szCs w:val="36"/>
          <w:highlight w:val="none"/>
        </w:rPr>
      </w:pPr>
    </w:p>
    <w:p>
      <w:pPr>
        <w:rPr>
          <w:rFonts w:hint="eastAsia" w:ascii="宋体" w:hAnsi="宋体"/>
          <w:b/>
          <w:bCs/>
          <w:color w:val="auto"/>
          <w:sz w:val="24"/>
          <w:szCs w:val="24"/>
          <w:highlight w:val="none"/>
        </w:rPr>
      </w:pPr>
      <w:r>
        <w:rPr>
          <w:rFonts w:hint="eastAsia" w:ascii="宋体" w:hAnsi="宋体"/>
          <w:b/>
          <w:bCs/>
          <w:color w:val="auto"/>
          <w:sz w:val="24"/>
          <w:szCs w:val="24"/>
          <w:highlight w:val="none"/>
        </w:rPr>
        <w:t>附件</w:t>
      </w:r>
    </w:p>
    <w:p>
      <w:pPr>
        <w:spacing w:line="360" w:lineRule="auto"/>
        <w:jc w:val="center"/>
        <w:outlineLvl w:val="1"/>
        <w:rPr>
          <w:rFonts w:hint="eastAsia" w:ascii="宋体" w:hAnsi="宋体" w:cs="宋体"/>
          <w:b/>
          <w:bCs/>
          <w:color w:val="auto"/>
          <w:sz w:val="32"/>
          <w:szCs w:val="32"/>
          <w:highlight w:val="none"/>
        </w:rPr>
      </w:pPr>
      <w:bookmarkStart w:id="216" w:name="_Toc15511"/>
      <w:r>
        <w:rPr>
          <w:rFonts w:hint="eastAsia" w:ascii="宋体" w:hAnsi="宋体" w:cs="宋体"/>
          <w:b/>
          <w:bCs/>
          <w:color w:val="auto"/>
          <w:sz w:val="32"/>
          <w:szCs w:val="32"/>
          <w:highlight w:val="none"/>
        </w:rPr>
        <w:t>中小企业声明函（服务）（如有）</w:t>
      </w:r>
      <w:bookmarkEnd w:id="216"/>
    </w:p>
    <w:p>
      <w:pPr>
        <w:spacing w:line="360" w:lineRule="auto"/>
        <w:rPr>
          <w:rFonts w:hint="eastAsia" w:ascii="宋体" w:hAnsi="宋体" w:cs="宋体"/>
          <w:color w:val="auto"/>
          <w:sz w:val="28"/>
          <w:szCs w:val="28"/>
          <w:highlight w:val="none"/>
          <w:u w:val="single"/>
        </w:rPr>
      </w:pPr>
    </w:p>
    <w:p>
      <w:pPr>
        <w:spacing w:line="600" w:lineRule="exact"/>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本公司郑重声明，根据《政府采购促进中小企业发展管理办法》（财库</w:t>
      </w:r>
      <w:r>
        <w:rPr>
          <w:rFonts w:hint="eastAsia" w:ascii="宋体" w:hAnsi="宋体" w:cs="宋体"/>
          <w:color w:val="auto"/>
          <w:sz w:val="24"/>
          <w:szCs w:val="24"/>
          <w:highlight w:val="none"/>
        </w:rPr>
        <w:t>(</w:t>
      </w:r>
      <w:r>
        <w:rPr>
          <w:rFonts w:ascii="宋体" w:hAnsi="宋体" w:cs="宋体"/>
          <w:color w:val="auto"/>
          <w:sz w:val="24"/>
          <w:szCs w:val="24"/>
          <w:highlight w:val="none"/>
        </w:rPr>
        <w:t>2020</w:t>
      </w:r>
      <w:r>
        <w:rPr>
          <w:rFonts w:hint="eastAsia" w:ascii="宋体" w:hAnsi="宋体" w:cs="宋体"/>
          <w:color w:val="auto"/>
          <w:sz w:val="24"/>
          <w:szCs w:val="24"/>
          <w:highlight w:val="none"/>
        </w:rPr>
        <w:t>)</w:t>
      </w:r>
      <w:r>
        <w:rPr>
          <w:rFonts w:ascii="宋体" w:hAnsi="宋体" w:cs="宋体"/>
          <w:color w:val="auto"/>
          <w:sz w:val="24"/>
          <w:szCs w:val="24"/>
          <w:highlight w:val="none"/>
        </w:rPr>
        <w:t>46号）的规定，本公司参加</w:t>
      </w:r>
      <w:r>
        <w:rPr>
          <w:rFonts w:ascii="宋体" w:hAnsi="宋体" w:cs="宋体"/>
          <w:color w:val="auto"/>
          <w:sz w:val="24"/>
          <w:szCs w:val="24"/>
          <w:highlight w:val="none"/>
          <w:u w:val="single"/>
        </w:rPr>
        <w:t>（单位名称）</w:t>
      </w:r>
      <w:r>
        <w:rPr>
          <w:rFonts w:ascii="宋体" w:hAnsi="宋体" w:cs="宋体"/>
          <w:color w:val="auto"/>
          <w:sz w:val="24"/>
          <w:szCs w:val="24"/>
          <w:highlight w:val="none"/>
        </w:rPr>
        <w:t>的</w:t>
      </w:r>
      <w:r>
        <w:rPr>
          <w:rFonts w:ascii="宋体" w:hAnsi="宋体" w:cs="宋体"/>
          <w:color w:val="auto"/>
          <w:sz w:val="24"/>
          <w:szCs w:val="24"/>
          <w:highlight w:val="none"/>
          <w:u w:val="single"/>
        </w:rPr>
        <w:t>（项目名称）</w:t>
      </w:r>
      <w:r>
        <w:rPr>
          <w:rFonts w:ascii="宋体" w:hAnsi="宋体" w:cs="宋体"/>
          <w:color w:val="auto"/>
          <w:sz w:val="24"/>
          <w:szCs w:val="24"/>
          <w:highlight w:val="none"/>
        </w:rPr>
        <w:t>采购</w:t>
      </w:r>
      <w:r>
        <w:rPr>
          <w:rFonts w:hint="eastAsia" w:ascii="宋体" w:hAnsi="宋体" w:cs="宋体"/>
          <w:color w:val="auto"/>
          <w:sz w:val="24"/>
          <w:szCs w:val="24"/>
          <w:highlight w:val="none"/>
        </w:rPr>
        <w:t>活动</w:t>
      </w:r>
      <w:r>
        <w:rPr>
          <w:rFonts w:ascii="宋体" w:hAnsi="宋体" w:cs="宋体"/>
          <w:color w:val="auto"/>
          <w:sz w:val="24"/>
          <w:szCs w:val="24"/>
          <w:highlight w:val="none"/>
        </w:rPr>
        <w:t>，服务全部由符合政策要求的中小企业承接</w:t>
      </w:r>
      <w:r>
        <w:rPr>
          <w:rFonts w:hint="eastAsia" w:ascii="宋体" w:hAnsi="宋体" w:cs="宋体"/>
          <w:color w:val="auto"/>
          <w:sz w:val="24"/>
          <w:szCs w:val="24"/>
          <w:highlight w:val="none"/>
        </w:rPr>
        <w:t>。</w:t>
      </w:r>
      <w:r>
        <w:rPr>
          <w:rFonts w:ascii="宋体" w:hAnsi="宋体" w:cs="宋体"/>
          <w:color w:val="auto"/>
          <w:sz w:val="24"/>
          <w:szCs w:val="24"/>
          <w:highlight w:val="none"/>
        </w:rPr>
        <w:t>相关企业的具体情况如下</w:t>
      </w:r>
      <w:r>
        <w:rPr>
          <w:rFonts w:hint="eastAsia" w:ascii="宋体" w:hAnsi="宋体" w:cs="宋体"/>
          <w:color w:val="auto"/>
          <w:sz w:val="24"/>
          <w:szCs w:val="24"/>
          <w:highlight w:val="none"/>
        </w:rPr>
        <w:t>：</w:t>
      </w:r>
    </w:p>
    <w:p>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pPr>
        <w:spacing w:line="600" w:lineRule="exact"/>
        <w:ind w:right="560" w:firstLine="480" w:firstLineChars="200"/>
        <w:rPr>
          <w:rFonts w:hint="eastAsia" w:ascii="宋体" w:hAnsi="宋体" w:cs="宋体"/>
          <w:color w:val="auto"/>
          <w:sz w:val="24"/>
          <w:szCs w:val="24"/>
          <w:highlight w:val="none"/>
        </w:rPr>
      </w:pPr>
    </w:p>
    <w:p>
      <w:pPr>
        <w:spacing w:line="600" w:lineRule="exact"/>
        <w:ind w:right="560" w:firstLine="480" w:firstLineChars="200"/>
        <w:rPr>
          <w:rFonts w:hint="eastAsia" w:ascii="宋体" w:hAnsi="宋体" w:cs="宋体"/>
          <w:color w:val="auto"/>
          <w:sz w:val="24"/>
          <w:szCs w:val="24"/>
          <w:highlight w:val="none"/>
        </w:rPr>
      </w:pPr>
    </w:p>
    <w:p>
      <w:pPr>
        <w:spacing w:line="600" w:lineRule="exact"/>
        <w:ind w:right="56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企业名称（盖章）：</w:t>
      </w:r>
    </w:p>
    <w:p>
      <w:pPr>
        <w:spacing w:line="600" w:lineRule="exact"/>
        <w:ind w:right="56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p>
    <w:p>
      <w:pPr>
        <w:spacing w:line="360" w:lineRule="auto"/>
        <w:ind w:right="560" w:firstLine="480" w:firstLineChars="200"/>
        <w:rPr>
          <w:rFonts w:hint="eastAsia" w:ascii="宋体" w:hAnsi="宋体" w:cs="宋体"/>
          <w:color w:val="auto"/>
          <w:sz w:val="24"/>
          <w:szCs w:val="24"/>
          <w:highlight w:val="none"/>
        </w:rPr>
      </w:pPr>
    </w:p>
    <w:p>
      <w:pPr>
        <w:spacing w:line="360" w:lineRule="auto"/>
        <w:ind w:right="560" w:firstLine="480" w:firstLineChars="200"/>
        <w:rPr>
          <w:rFonts w:hint="eastAsia" w:ascii="宋体" w:hAnsi="宋体" w:cs="宋体"/>
          <w:color w:val="auto"/>
          <w:sz w:val="24"/>
          <w:szCs w:val="24"/>
          <w:highlight w:val="none"/>
        </w:rPr>
      </w:pPr>
    </w:p>
    <w:p>
      <w:pPr>
        <w:spacing w:line="360" w:lineRule="auto"/>
        <w:ind w:right="56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注：从业人员、营业收入、资产总额填报上一年度数据，无上一年度数据的新成立企业可不填报。</w:t>
      </w:r>
    </w:p>
    <w:p>
      <w:pPr>
        <w:spacing w:line="360" w:lineRule="auto"/>
        <w:ind w:right="560" w:firstLine="420" w:firstLineChars="200"/>
        <w:rPr>
          <w:rFonts w:hint="eastAsia" w:ascii="宋体" w:hAnsi="宋体" w:cs="宋体"/>
          <w:color w:val="auto"/>
          <w:szCs w:val="28"/>
          <w:highlight w:val="none"/>
        </w:rPr>
      </w:pPr>
    </w:p>
    <w:p>
      <w:pPr>
        <w:spacing w:line="360" w:lineRule="auto"/>
        <w:ind w:right="560" w:firstLine="420" w:firstLineChars="200"/>
        <w:rPr>
          <w:rFonts w:hint="eastAsia" w:ascii="宋体" w:hAnsi="宋体" w:cs="宋体"/>
          <w:color w:val="auto"/>
          <w:szCs w:val="28"/>
          <w:highlight w:val="none"/>
        </w:rPr>
      </w:pPr>
    </w:p>
    <w:p>
      <w:pPr>
        <w:rPr>
          <w:rFonts w:ascii="宋体" w:hAnsi="宋体" w:eastAsia="宋体"/>
          <w:b/>
          <w:bCs/>
          <w:color w:val="auto"/>
          <w:kern w:val="0"/>
          <w:sz w:val="36"/>
          <w:szCs w:val="36"/>
          <w:highlight w:val="none"/>
        </w:rPr>
      </w:pPr>
    </w:p>
    <w:sectPr>
      <w:headerReference r:id="rId8" w:type="default"/>
      <w:footerReference r:id="rId9" w:type="default"/>
      <w:pgSz w:w="11906" w:h="16838"/>
      <w:pgMar w:top="1361" w:right="1077" w:bottom="1361" w:left="1077" w:header="851" w:footer="96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体">
    <w:altName w:val="仿宋"/>
    <w:panose1 w:val="00000000000000000000"/>
    <w:charset w:val="86"/>
    <w:family w:val="modern"/>
    <w:pitch w:val="default"/>
    <w:sig w:usb0="00000000" w:usb1="00000000" w:usb2="00000010" w:usb3="00000000" w:csb0="00040001" w:csb1="00000000"/>
  </w:font>
  <w:font w:name="Plotter">
    <w:altName w:val="Arial"/>
    <w:panose1 w:val="00000000000000000000"/>
    <w:charset w:val="00"/>
    <w:family w:val="moder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DejaVu Sans">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114300" cy="152400"/>
              <wp:effectExtent l="0" t="0" r="0" b="0"/>
              <wp:wrapNone/>
              <wp:docPr id="3" name="_x0000_s2054"/>
              <wp:cNvGraphicFramePr/>
              <a:graphic xmlns:a="http://schemas.openxmlformats.org/drawingml/2006/main">
                <a:graphicData uri="http://schemas.microsoft.com/office/word/2010/wordprocessingShape">
                  <wps:wsp>
                    <wps:cNvSpPr/>
                    <wps:spPr>
                      <a:xfrm>
                        <a:off x="0" y="0"/>
                        <a:ext cx="114300" cy="152400"/>
                      </a:xfrm>
                      <a:prstGeom prst="rect">
                        <a:avLst/>
                      </a:prstGeom>
                    </wps:spPr>
                    <wps:txbx>
                      <w:txbxContent>
                        <w:p/>
                        <w:p/>
                      </w:txbxContent>
                    </wps:txbx>
                    <wps:bodyPr rot="0" vert="horz" wrap="square" lIns="0" tIns="0" rIns="0" bIns="0" anchor="t" anchorCtr="0"/>
                  </wps:wsp>
                </a:graphicData>
              </a:graphic>
            </wp:anchor>
          </w:drawing>
        </mc:Choice>
        <mc:Fallback>
          <w:pict>
            <v:rect id="_x0000_s2054" o:spid="_x0000_s1026" o:spt="1" style="position:absolute;left:0pt;margin-top:0pt;height:12pt;width:9pt;mso-position-horizontal:right;mso-position-horizontal-relative:margin;z-index:251660288;mso-width-relative:page;mso-height-relative:page;" filled="f" stroked="f" coordsize="21600,21600" o:gfxdata="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dtk8m&#10;1AAAAAMBAAAPAAAAAAAAAAEAIAAAACIAAABkcnMvZG93bnJldi54bWxQSwECFAAUAAAACACHTuJA&#10;Lje+m7MBAAB0AwAADgAAAAAAAAABACAAAAAjAQAAZHJzL2Uyb0RvYy54bWxQSwUGAAAAAAYABgBZ&#10;AQAASAUAAAAA&#10;">
              <v:fill on="f" focussize="0,0"/>
              <v:stroke on="f"/>
              <v:imagedata o:title=""/>
              <o:lock v:ext="edit" aspectratio="f"/>
              <v:textbox inset="0mm,0mm,0mm,0mm">
                <w:txbxContent>
                  <w:p/>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framePr w:wrap="around" w:vAnchor="text" w:hAnchor="margin" w:xAlign="right" w:y="1"/>
      <w:tabs>
        <w:tab w:val="clear" w:pos="4153"/>
        <w:tab w:val="clear" w:pos="8306"/>
      </w:tabs>
    </w:pPr>
    <w:r>
      <w:fldChar w:fldCharType="begin"/>
    </w:r>
    <w:r>
      <w:rPr>
        <w:rStyle w:val="48"/>
      </w:rPr>
      <w:instrText xml:space="preserve">PAGE  </w:instrText>
    </w:r>
    <w:r>
      <w:fldChar w:fldCharType="separate"/>
    </w:r>
    <w:r>
      <w:rPr>
        <w:rStyle w:val="48"/>
      </w:rPr>
      <w:t>1</w:t>
    </w:r>
    <w:r>
      <w:fldChar w:fldCharType="end"/>
    </w:r>
  </w:p>
  <w:p>
    <w:pPr>
      <w:pStyle w:val="44"/>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top w:val="single" w:color="000000" w:sz="4" w:space="6"/>
      </w:pBdr>
      <w:tabs>
        <w:tab w:val="center" w:pos="7058"/>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IsvcoBAACb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7CkhLLDU78/P3b+cev88+v&#10;5G2ZBOo9VJj35DEzDnduwOTZD+hMvIc2mPRFRgTjKO/pIq8cIhHpUbkqywJDAmPzBfHZ83MfIL6X&#10;zpBk1DTg/LKs/PgIcUydU1I16+6V1nmG2v7lQMzkYan3scdkxWE3TIR2rjkhnx5HX1OLm06JfrCo&#10;bNqS2QizsZuNgw9q3+U1SvXA3x4iNpF7SxVG2Kkwziyzm/YrLcWf95z1/E9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LIsvcoBAACbAwAADgAAAAAAAAABACAAAAAeAQAAZHJzL2Uyb0Rv&#10;Yy54bWxQSwUGAAAAAAYABgBZAQAAWg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27000"/>
              <wp:effectExtent l="0" t="0" r="0" b="0"/>
              <wp:wrapNone/>
              <wp:docPr id="10" name="矩形 32"/>
              <wp:cNvGraphicFramePr/>
              <a:graphic xmlns:a="http://schemas.openxmlformats.org/drawingml/2006/main">
                <a:graphicData uri="http://schemas.microsoft.com/office/word/2010/wordprocessingShape">
                  <wps:wsp>
                    <wps:cNvSpPr/>
                    <wps:spPr>
                      <a:xfrm>
                        <a:off x="0" y="0"/>
                        <a:ext cx="114300" cy="127000"/>
                      </a:xfrm>
                      <a:prstGeom prst="rect">
                        <a:avLst/>
                      </a:prstGeom>
                      <a:noFill/>
                      <a:ln>
                        <a:noFill/>
                      </a:ln>
                    </wps:spPr>
                    <wps:txbx>
                      <w:txbxContent>
                        <w:p>
                          <w:pPr>
                            <w:pStyle w:val="44"/>
                            <w:tabs>
                              <w:tab w:val="clear" w:pos="4153"/>
                              <w:tab w:val="clear" w:pos="8306"/>
                            </w:tabs>
                            <w:rPr>
                              <w:rFonts w:hint="eastAsia" w:eastAsia="宋体"/>
                              <w:lang w:val="en-US" w:eastAsia="zh-CN"/>
                            </w:rPr>
                          </w:pPr>
                        </w:p>
                        <w:p/>
                      </w:txbxContent>
                    </wps:txbx>
                    <wps:bodyPr lIns="0" tIns="0" rIns="0" bIns="0" upright="1"/>
                  </wps:wsp>
                </a:graphicData>
              </a:graphic>
            </wp:anchor>
          </w:drawing>
        </mc:Choice>
        <mc:Fallback>
          <w:pict>
            <v:rect id="矩形 32" o:spid="_x0000_s1026" o:spt="1" style="position:absolute;left:0pt;margin-top:0pt;height:10pt;width:9pt;mso-position-horizontal:center;mso-position-horizontal-relative:margin;z-index:251661312;mso-width-relative:page;mso-height-relative:page;" filled="f" stroked="f" coordsize="21600,21600" o:gfxdata="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EXaJo0wAAAAMB&#10;AAAPAAAAAAAAAAEAIAAAACIAAABkcnMvZG93bnJldi54bWxQSwECFAAUAAAACACHTuJAmaqOOK4B&#10;AABmAwAADgAAAAAAAAABACAAAAAiAQAAZHJzL2Uyb0RvYy54bWxQSwUGAAAAAAYABgBZAQAAQgUA&#10;AAAA&#10;">
              <v:fill on="f" focussize="0,0"/>
              <v:stroke on="f"/>
              <v:imagedata o:title=""/>
              <o:lock v:ext="edit" aspectratio="f"/>
              <v:textbox inset="0mm,0mm,0mm,0mm">
                <w:txbxContent>
                  <w:p>
                    <w:pPr>
                      <w:pStyle w:val="44"/>
                      <w:tabs>
                        <w:tab w:val="clear" w:pos="4153"/>
                        <w:tab w:val="clear" w:pos="8306"/>
                      </w:tabs>
                      <w:rPr>
                        <w:rFonts w:hint="eastAsia" w:eastAsia="宋体"/>
                        <w:lang w:val="en-US" w:eastAsia="zh-CN"/>
                      </w:rPr>
                    </w:pPr>
                  </w:p>
                  <w:p/>
                </w:txbxContent>
              </v:textbox>
            </v:rect>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Bdr>
        <w:bottom w:val="none" w:color="000000" w:sz="0" w:space="0"/>
      </w:pBdr>
      <w:tabs>
        <w:tab w:val="clear" w:pos="4153"/>
        <w:tab w:val="clear" w:pos="8306"/>
      </w:tabs>
      <w:jc w:val="left"/>
    </w:pPr>
  </w:p>
  <w:p>
    <w:pPr>
      <w:pStyle w:val="45"/>
      <w:pBdr>
        <w:bottom w:val="none" w:color="000000" w:sz="0" w:space="0"/>
      </w:pBdr>
      <w:tabs>
        <w:tab w:val="clear" w:pos="4153"/>
        <w:tab w:val="clear" w:pos="8306"/>
      </w:tabs>
      <w:ind w:firstLine="90" w:firstLineChars="5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Bdr>
        <w:bottom w:val="none" w:color="000000" w:sz="0" w:space="1"/>
      </w:pBdr>
      <w:tabs>
        <w:tab w:val="clear" w:pos="4153"/>
        <w:tab w:val="clear" w:pos="8306"/>
      </w:tabs>
      <w:ind w:left="8640" w:hanging="8640" w:hangingChars="480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21"/>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
    <w:nsid w:val="B0F1ACD9"/>
    <w:multiLevelType w:val="multilevel"/>
    <w:tmpl w:val="B0F1ACD9"/>
    <w:lvl w:ilvl="0" w:tentative="0">
      <w:start w:val="28"/>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2">
    <w:nsid w:val="BE923771"/>
    <w:multiLevelType w:val="multilevel"/>
    <w:tmpl w:val="BE923771"/>
    <w:lvl w:ilvl="0" w:tentative="0">
      <w:start w:val="1"/>
      <w:numFmt w:val="decimal"/>
      <w:lvlText w:val="(%1)"/>
      <w:lvlJc w:val="left"/>
      <w:pPr>
        <w:ind w:left="1220" w:hanging="480"/>
      </w:pPr>
      <w:rPr>
        <w:rFonts w:hint="default" w:ascii="宋体" w:hAnsi="宋体" w:eastAsia="宋体" w:cs="宋体"/>
        <w:w w:val="100"/>
        <w:sz w:val="24"/>
        <w:szCs w:val="24"/>
        <w:lang w:val="zh-CN" w:eastAsia="zh-CN" w:bidi="zh-CN"/>
      </w:rPr>
    </w:lvl>
    <w:lvl w:ilvl="1" w:tentative="0">
      <w:start w:val="0"/>
      <w:numFmt w:val="bullet"/>
      <w:lvlText w:val="•"/>
      <w:lvlJc w:val="left"/>
      <w:pPr>
        <w:ind w:left="2082" w:hanging="480"/>
      </w:pPr>
      <w:rPr>
        <w:rFonts w:hint="default"/>
        <w:lang w:val="zh-CN" w:eastAsia="zh-CN" w:bidi="zh-CN"/>
      </w:rPr>
    </w:lvl>
    <w:lvl w:ilvl="2" w:tentative="0">
      <w:start w:val="0"/>
      <w:numFmt w:val="bullet"/>
      <w:lvlText w:val="•"/>
      <w:lvlJc w:val="left"/>
      <w:pPr>
        <w:ind w:left="2945" w:hanging="480"/>
      </w:pPr>
      <w:rPr>
        <w:rFonts w:hint="default"/>
        <w:lang w:val="zh-CN" w:eastAsia="zh-CN" w:bidi="zh-CN"/>
      </w:rPr>
    </w:lvl>
    <w:lvl w:ilvl="3" w:tentative="0">
      <w:start w:val="0"/>
      <w:numFmt w:val="bullet"/>
      <w:lvlText w:val="•"/>
      <w:lvlJc w:val="left"/>
      <w:pPr>
        <w:ind w:left="3807" w:hanging="480"/>
      </w:pPr>
      <w:rPr>
        <w:rFonts w:hint="default"/>
        <w:lang w:val="zh-CN" w:eastAsia="zh-CN" w:bidi="zh-CN"/>
      </w:rPr>
    </w:lvl>
    <w:lvl w:ilvl="4" w:tentative="0">
      <w:start w:val="0"/>
      <w:numFmt w:val="bullet"/>
      <w:lvlText w:val="•"/>
      <w:lvlJc w:val="left"/>
      <w:pPr>
        <w:ind w:left="4670" w:hanging="480"/>
      </w:pPr>
      <w:rPr>
        <w:rFonts w:hint="default"/>
        <w:lang w:val="zh-CN" w:eastAsia="zh-CN" w:bidi="zh-CN"/>
      </w:rPr>
    </w:lvl>
    <w:lvl w:ilvl="5" w:tentative="0">
      <w:start w:val="0"/>
      <w:numFmt w:val="bullet"/>
      <w:lvlText w:val="•"/>
      <w:lvlJc w:val="left"/>
      <w:pPr>
        <w:ind w:left="5533" w:hanging="480"/>
      </w:pPr>
      <w:rPr>
        <w:rFonts w:hint="default"/>
        <w:lang w:val="zh-CN" w:eastAsia="zh-CN" w:bidi="zh-CN"/>
      </w:rPr>
    </w:lvl>
    <w:lvl w:ilvl="6" w:tentative="0">
      <w:start w:val="0"/>
      <w:numFmt w:val="bullet"/>
      <w:lvlText w:val="•"/>
      <w:lvlJc w:val="left"/>
      <w:pPr>
        <w:ind w:left="6395" w:hanging="480"/>
      </w:pPr>
      <w:rPr>
        <w:rFonts w:hint="default"/>
        <w:lang w:val="zh-CN" w:eastAsia="zh-CN" w:bidi="zh-CN"/>
      </w:rPr>
    </w:lvl>
    <w:lvl w:ilvl="7" w:tentative="0">
      <w:start w:val="0"/>
      <w:numFmt w:val="bullet"/>
      <w:lvlText w:val="•"/>
      <w:lvlJc w:val="left"/>
      <w:pPr>
        <w:ind w:left="7258" w:hanging="480"/>
      </w:pPr>
      <w:rPr>
        <w:rFonts w:hint="default"/>
        <w:lang w:val="zh-CN" w:eastAsia="zh-CN" w:bidi="zh-CN"/>
      </w:rPr>
    </w:lvl>
    <w:lvl w:ilvl="8" w:tentative="0">
      <w:start w:val="0"/>
      <w:numFmt w:val="bullet"/>
      <w:lvlText w:val="•"/>
      <w:lvlJc w:val="left"/>
      <w:pPr>
        <w:ind w:left="8120" w:hanging="480"/>
      </w:pPr>
      <w:rPr>
        <w:rFonts w:hint="default"/>
        <w:lang w:val="zh-CN" w:eastAsia="zh-CN" w:bidi="zh-CN"/>
      </w:rPr>
    </w:lvl>
  </w:abstractNum>
  <w:abstractNum w:abstractNumId="3">
    <w:nsid w:val="DCBA6B53"/>
    <w:multiLevelType w:val="multilevel"/>
    <w:tmpl w:val="DCBA6B53"/>
    <w:lvl w:ilvl="0" w:tentative="0">
      <w:start w:val="20"/>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3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177" w:hanging="780"/>
      </w:pPr>
      <w:rPr>
        <w:rFonts w:hint="default"/>
        <w:lang w:val="zh-CN" w:eastAsia="zh-CN" w:bidi="zh-CN"/>
      </w:rPr>
    </w:lvl>
    <w:lvl w:ilvl="4" w:tentative="0">
      <w:start w:val="0"/>
      <w:numFmt w:val="bullet"/>
      <w:lvlText w:val="•"/>
      <w:lvlJc w:val="left"/>
      <w:pPr>
        <w:ind w:left="4130" w:hanging="780"/>
      </w:pPr>
      <w:rPr>
        <w:rFonts w:hint="default"/>
        <w:lang w:val="zh-CN" w:eastAsia="zh-CN" w:bidi="zh-CN"/>
      </w:rPr>
    </w:lvl>
    <w:lvl w:ilvl="5" w:tentative="0">
      <w:start w:val="0"/>
      <w:numFmt w:val="bullet"/>
      <w:lvlText w:val="•"/>
      <w:lvlJc w:val="left"/>
      <w:pPr>
        <w:ind w:left="5083" w:hanging="780"/>
      </w:pPr>
      <w:rPr>
        <w:rFonts w:hint="default"/>
        <w:lang w:val="zh-CN" w:eastAsia="zh-CN" w:bidi="zh-CN"/>
      </w:rPr>
    </w:lvl>
    <w:lvl w:ilvl="6" w:tentative="0">
      <w:start w:val="0"/>
      <w:numFmt w:val="bullet"/>
      <w:lvlText w:val="•"/>
      <w:lvlJc w:val="left"/>
      <w:pPr>
        <w:ind w:left="6035" w:hanging="780"/>
      </w:pPr>
      <w:rPr>
        <w:rFonts w:hint="default"/>
        <w:lang w:val="zh-CN" w:eastAsia="zh-CN" w:bidi="zh-CN"/>
      </w:rPr>
    </w:lvl>
    <w:lvl w:ilvl="7" w:tentative="0">
      <w:start w:val="0"/>
      <w:numFmt w:val="bullet"/>
      <w:lvlText w:val="•"/>
      <w:lvlJc w:val="left"/>
      <w:pPr>
        <w:ind w:left="6988" w:hanging="780"/>
      </w:pPr>
      <w:rPr>
        <w:rFonts w:hint="default"/>
        <w:lang w:val="zh-CN" w:eastAsia="zh-CN" w:bidi="zh-CN"/>
      </w:rPr>
    </w:lvl>
    <w:lvl w:ilvl="8" w:tentative="0">
      <w:start w:val="0"/>
      <w:numFmt w:val="bullet"/>
      <w:lvlText w:val="•"/>
      <w:lvlJc w:val="left"/>
      <w:pPr>
        <w:ind w:left="7940" w:hanging="780"/>
      </w:pPr>
      <w:rPr>
        <w:rFonts w:hint="default"/>
        <w:lang w:val="zh-CN" w:eastAsia="zh-CN" w:bidi="zh-CN"/>
      </w:rPr>
    </w:lvl>
  </w:abstractNum>
  <w:abstractNum w:abstractNumId="4">
    <w:nsid w:val="F4B5D9F5"/>
    <w:multiLevelType w:val="multilevel"/>
    <w:tmpl w:val="F4B5D9F5"/>
    <w:lvl w:ilvl="0" w:tentative="0">
      <w:start w:val="18"/>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31" w:hanging="540"/>
      </w:pPr>
      <w:rPr>
        <w:rFonts w:hint="default"/>
        <w:lang w:val="zh-CN" w:eastAsia="zh-CN" w:bidi="zh-CN"/>
      </w:rPr>
    </w:lvl>
    <w:lvl w:ilvl="3" w:tentative="0">
      <w:start w:val="0"/>
      <w:numFmt w:val="bullet"/>
      <w:lvlText w:val="•"/>
      <w:lvlJc w:val="left"/>
      <w:pPr>
        <w:ind w:left="3183" w:hanging="540"/>
      </w:pPr>
      <w:rPr>
        <w:rFonts w:hint="default"/>
        <w:lang w:val="zh-CN" w:eastAsia="zh-CN" w:bidi="zh-CN"/>
      </w:rPr>
    </w:lvl>
    <w:lvl w:ilvl="4" w:tentative="0">
      <w:start w:val="0"/>
      <w:numFmt w:val="bullet"/>
      <w:lvlText w:val="•"/>
      <w:lvlJc w:val="left"/>
      <w:pPr>
        <w:ind w:left="4135" w:hanging="540"/>
      </w:pPr>
      <w:rPr>
        <w:rFonts w:hint="default"/>
        <w:lang w:val="zh-CN" w:eastAsia="zh-CN" w:bidi="zh-CN"/>
      </w:rPr>
    </w:lvl>
    <w:lvl w:ilvl="5" w:tentative="0">
      <w:start w:val="0"/>
      <w:numFmt w:val="bullet"/>
      <w:lvlText w:val="•"/>
      <w:lvlJc w:val="left"/>
      <w:pPr>
        <w:ind w:left="5087" w:hanging="540"/>
      </w:pPr>
      <w:rPr>
        <w:rFonts w:hint="default"/>
        <w:lang w:val="zh-CN" w:eastAsia="zh-CN" w:bidi="zh-CN"/>
      </w:rPr>
    </w:lvl>
    <w:lvl w:ilvl="6" w:tentative="0">
      <w:start w:val="0"/>
      <w:numFmt w:val="bullet"/>
      <w:lvlText w:val="•"/>
      <w:lvlJc w:val="left"/>
      <w:pPr>
        <w:ind w:left="6038" w:hanging="540"/>
      </w:pPr>
      <w:rPr>
        <w:rFonts w:hint="default"/>
        <w:lang w:val="zh-CN" w:eastAsia="zh-CN" w:bidi="zh-CN"/>
      </w:rPr>
    </w:lvl>
    <w:lvl w:ilvl="7" w:tentative="0">
      <w:start w:val="0"/>
      <w:numFmt w:val="bullet"/>
      <w:lvlText w:val="•"/>
      <w:lvlJc w:val="left"/>
      <w:pPr>
        <w:ind w:left="6990" w:hanging="540"/>
      </w:pPr>
      <w:rPr>
        <w:rFonts w:hint="default"/>
        <w:lang w:val="zh-CN" w:eastAsia="zh-CN" w:bidi="zh-CN"/>
      </w:rPr>
    </w:lvl>
    <w:lvl w:ilvl="8" w:tentative="0">
      <w:start w:val="0"/>
      <w:numFmt w:val="bullet"/>
      <w:lvlText w:val="•"/>
      <w:lvlJc w:val="left"/>
      <w:pPr>
        <w:ind w:left="7942" w:hanging="540"/>
      </w:pPr>
      <w:rPr>
        <w:rFonts w:hint="default"/>
        <w:lang w:val="zh-CN" w:eastAsia="zh-CN" w:bidi="zh-CN"/>
      </w:rPr>
    </w:lvl>
  </w:abstractNum>
  <w:abstractNum w:abstractNumId="5">
    <w:nsid w:val="0E640482"/>
    <w:multiLevelType w:val="multilevel"/>
    <w:tmpl w:val="0E640482"/>
    <w:lvl w:ilvl="0" w:tentative="0">
      <w:start w:val="25"/>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993" w:hanging="540"/>
      </w:pPr>
      <w:rPr>
        <w:rFonts w:hint="default"/>
        <w:lang w:val="zh-CN" w:eastAsia="zh-CN" w:bidi="zh-CN"/>
      </w:rPr>
    </w:lvl>
    <w:lvl w:ilvl="3" w:tentative="0">
      <w:start w:val="0"/>
      <w:numFmt w:val="bullet"/>
      <w:lvlText w:val="•"/>
      <w:lvlJc w:val="left"/>
      <w:pPr>
        <w:ind w:left="3849" w:hanging="540"/>
      </w:pPr>
      <w:rPr>
        <w:rFonts w:hint="default"/>
        <w:lang w:val="zh-CN" w:eastAsia="zh-CN" w:bidi="zh-CN"/>
      </w:rPr>
    </w:lvl>
    <w:lvl w:ilvl="4" w:tentative="0">
      <w:start w:val="0"/>
      <w:numFmt w:val="bullet"/>
      <w:lvlText w:val="•"/>
      <w:lvlJc w:val="left"/>
      <w:pPr>
        <w:ind w:left="4706" w:hanging="540"/>
      </w:pPr>
      <w:rPr>
        <w:rFonts w:hint="default"/>
        <w:lang w:val="zh-CN" w:eastAsia="zh-CN" w:bidi="zh-CN"/>
      </w:rPr>
    </w:lvl>
    <w:lvl w:ilvl="5" w:tentative="0">
      <w:start w:val="0"/>
      <w:numFmt w:val="bullet"/>
      <w:lvlText w:val="•"/>
      <w:lvlJc w:val="left"/>
      <w:pPr>
        <w:ind w:left="5563" w:hanging="540"/>
      </w:pPr>
      <w:rPr>
        <w:rFonts w:hint="default"/>
        <w:lang w:val="zh-CN" w:eastAsia="zh-CN" w:bidi="zh-CN"/>
      </w:rPr>
    </w:lvl>
    <w:lvl w:ilvl="6" w:tentative="0">
      <w:start w:val="0"/>
      <w:numFmt w:val="bullet"/>
      <w:lvlText w:val="•"/>
      <w:lvlJc w:val="left"/>
      <w:pPr>
        <w:ind w:left="6419" w:hanging="540"/>
      </w:pPr>
      <w:rPr>
        <w:rFonts w:hint="default"/>
        <w:lang w:val="zh-CN" w:eastAsia="zh-CN" w:bidi="zh-CN"/>
      </w:rPr>
    </w:lvl>
    <w:lvl w:ilvl="7" w:tentative="0">
      <w:start w:val="0"/>
      <w:numFmt w:val="bullet"/>
      <w:lvlText w:val="•"/>
      <w:lvlJc w:val="left"/>
      <w:pPr>
        <w:ind w:left="7276" w:hanging="540"/>
      </w:pPr>
      <w:rPr>
        <w:rFonts w:hint="default"/>
        <w:lang w:val="zh-CN" w:eastAsia="zh-CN" w:bidi="zh-CN"/>
      </w:rPr>
    </w:lvl>
    <w:lvl w:ilvl="8" w:tentative="0">
      <w:start w:val="0"/>
      <w:numFmt w:val="bullet"/>
      <w:lvlText w:val="•"/>
      <w:lvlJc w:val="left"/>
      <w:pPr>
        <w:ind w:left="8132" w:hanging="540"/>
      </w:pPr>
      <w:rPr>
        <w:rFonts w:hint="default"/>
        <w:lang w:val="zh-CN" w:eastAsia="zh-CN" w:bidi="zh-CN"/>
      </w:rPr>
    </w:lvl>
  </w:abstractNum>
  <w:abstractNum w:abstractNumId="6">
    <w:nsid w:val="2470EC97"/>
    <w:multiLevelType w:val="multilevel"/>
    <w:tmpl w:val="2470EC97"/>
    <w:lvl w:ilvl="0" w:tentative="0">
      <w:start w:val="19"/>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7">
    <w:nsid w:val="25B654F3"/>
    <w:multiLevelType w:val="multilevel"/>
    <w:tmpl w:val="25B654F3"/>
    <w:lvl w:ilvl="0" w:tentative="0">
      <w:start w:val="5"/>
      <w:numFmt w:val="decimal"/>
      <w:lvlText w:val="%1"/>
      <w:lvlJc w:val="left"/>
      <w:pPr>
        <w:ind w:left="320" w:hanging="420"/>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abstractNum w:abstractNumId="8">
    <w:nsid w:val="3F1C44AF"/>
    <w:multiLevelType w:val="singleLevel"/>
    <w:tmpl w:val="3F1C44AF"/>
    <w:lvl w:ilvl="0" w:tentative="0">
      <w:start w:val="1"/>
      <w:numFmt w:val="chineseCounting"/>
      <w:suff w:val="nothing"/>
      <w:lvlText w:val="%1、"/>
      <w:lvlJc w:val="left"/>
      <w:rPr>
        <w:rFonts w:hint="eastAsia"/>
      </w:rPr>
    </w:lvl>
  </w:abstractNum>
  <w:abstractNum w:abstractNumId="9">
    <w:nsid w:val="4BE48CBF"/>
    <w:multiLevelType w:val="multilevel"/>
    <w:tmpl w:val="4BE48CBF"/>
    <w:lvl w:ilvl="0" w:tentative="0">
      <w:start w:val="1"/>
      <w:numFmt w:val="decimal"/>
      <w:lvlText w:val="%1）"/>
      <w:lvlJc w:val="left"/>
      <w:pPr>
        <w:tabs>
          <w:tab w:val="left" w:pos="0"/>
        </w:tabs>
        <w:ind w:left="2000" w:hanging="720"/>
      </w:pPr>
      <w:rPr>
        <w:rFonts w:ascii="Calibri" w:hAnsi="Calibri" w:eastAsia="宋体"/>
      </w:rPr>
    </w:lvl>
    <w:lvl w:ilvl="1" w:tentative="0">
      <w:start w:val="1"/>
      <w:numFmt w:val="lowerLetter"/>
      <w:lvlText w:val="%2)"/>
      <w:lvlJc w:val="left"/>
      <w:pPr>
        <w:tabs>
          <w:tab w:val="left" w:pos="0"/>
        </w:tabs>
        <w:ind w:left="2120" w:hanging="420"/>
      </w:pPr>
    </w:lvl>
    <w:lvl w:ilvl="2" w:tentative="0">
      <w:start w:val="1"/>
      <w:numFmt w:val="lowerRoman"/>
      <w:lvlText w:val="%3."/>
      <w:lvlJc w:val="right"/>
      <w:pPr>
        <w:tabs>
          <w:tab w:val="left" w:pos="0"/>
        </w:tabs>
        <w:ind w:left="2540" w:hanging="420"/>
      </w:pPr>
    </w:lvl>
    <w:lvl w:ilvl="3" w:tentative="0">
      <w:start w:val="1"/>
      <w:numFmt w:val="decimal"/>
      <w:lvlText w:val="%4."/>
      <w:lvlJc w:val="left"/>
      <w:pPr>
        <w:tabs>
          <w:tab w:val="left" w:pos="0"/>
        </w:tabs>
        <w:ind w:left="2960" w:hanging="420"/>
      </w:pPr>
    </w:lvl>
    <w:lvl w:ilvl="4" w:tentative="0">
      <w:start w:val="1"/>
      <w:numFmt w:val="lowerLetter"/>
      <w:lvlText w:val="%5)"/>
      <w:lvlJc w:val="left"/>
      <w:pPr>
        <w:tabs>
          <w:tab w:val="left" w:pos="0"/>
        </w:tabs>
        <w:ind w:left="3380" w:hanging="420"/>
      </w:pPr>
    </w:lvl>
    <w:lvl w:ilvl="5" w:tentative="0">
      <w:start w:val="1"/>
      <w:numFmt w:val="lowerRoman"/>
      <w:lvlText w:val="%6."/>
      <w:lvlJc w:val="right"/>
      <w:pPr>
        <w:tabs>
          <w:tab w:val="left" w:pos="0"/>
        </w:tabs>
        <w:ind w:left="3800" w:hanging="420"/>
      </w:pPr>
    </w:lvl>
    <w:lvl w:ilvl="6" w:tentative="0">
      <w:start w:val="1"/>
      <w:numFmt w:val="decimal"/>
      <w:lvlText w:val="%7."/>
      <w:lvlJc w:val="left"/>
      <w:pPr>
        <w:tabs>
          <w:tab w:val="left" w:pos="0"/>
        </w:tabs>
        <w:ind w:left="4220" w:hanging="420"/>
      </w:pPr>
    </w:lvl>
    <w:lvl w:ilvl="7" w:tentative="0">
      <w:start w:val="1"/>
      <w:numFmt w:val="lowerLetter"/>
      <w:lvlText w:val="%8)"/>
      <w:lvlJc w:val="left"/>
      <w:pPr>
        <w:tabs>
          <w:tab w:val="left" w:pos="0"/>
        </w:tabs>
        <w:ind w:left="4640" w:hanging="420"/>
      </w:pPr>
    </w:lvl>
    <w:lvl w:ilvl="8" w:tentative="0">
      <w:start w:val="1"/>
      <w:numFmt w:val="lowerRoman"/>
      <w:lvlText w:val="%9."/>
      <w:lvlJc w:val="right"/>
      <w:pPr>
        <w:tabs>
          <w:tab w:val="left" w:pos="0"/>
        </w:tabs>
        <w:ind w:left="5060" w:hanging="420"/>
      </w:pPr>
    </w:lvl>
  </w:abstractNum>
  <w:abstractNum w:abstractNumId="10">
    <w:nsid w:val="4C1BAE26"/>
    <w:multiLevelType w:val="multilevel"/>
    <w:tmpl w:val="4C1BAE26"/>
    <w:lvl w:ilvl="0" w:tentative="0">
      <w:start w:val="22"/>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1">
    <w:nsid w:val="4D4DC07F"/>
    <w:multiLevelType w:val="multilevel"/>
    <w:tmpl w:val="4D4DC07F"/>
    <w:lvl w:ilvl="0" w:tentative="0">
      <w:start w:val="17"/>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2">
    <w:nsid w:val="60382F6E"/>
    <w:multiLevelType w:val="multilevel"/>
    <w:tmpl w:val="60382F6E"/>
    <w:lvl w:ilvl="0" w:tentative="0">
      <w:start w:val="23"/>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15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370" w:hanging="780"/>
      </w:pPr>
      <w:rPr>
        <w:rFonts w:hint="default"/>
        <w:lang w:val="zh-CN" w:eastAsia="zh-CN" w:bidi="zh-CN"/>
      </w:rPr>
    </w:lvl>
    <w:lvl w:ilvl="4" w:tentative="0">
      <w:start w:val="0"/>
      <w:numFmt w:val="bullet"/>
      <w:lvlText w:val="•"/>
      <w:lvlJc w:val="left"/>
      <w:pPr>
        <w:ind w:left="4295" w:hanging="780"/>
      </w:pPr>
      <w:rPr>
        <w:rFonts w:hint="default"/>
        <w:lang w:val="zh-CN" w:eastAsia="zh-CN" w:bidi="zh-CN"/>
      </w:rPr>
    </w:lvl>
    <w:lvl w:ilvl="5" w:tentative="0">
      <w:start w:val="0"/>
      <w:numFmt w:val="bullet"/>
      <w:lvlText w:val="•"/>
      <w:lvlJc w:val="left"/>
      <w:pPr>
        <w:ind w:left="5220" w:hanging="780"/>
      </w:pPr>
      <w:rPr>
        <w:rFonts w:hint="default"/>
        <w:lang w:val="zh-CN" w:eastAsia="zh-CN" w:bidi="zh-CN"/>
      </w:rPr>
    </w:lvl>
    <w:lvl w:ilvl="6" w:tentative="0">
      <w:start w:val="0"/>
      <w:numFmt w:val="bullet"/>
      <w:lvlText w:val="•"/>
      <w:lvlJc w:val="left"/>
      <w:pPr>
        <w:ind w:left="6145" w:hanging="780"/>
      </w:pPr>
      <w:rPr>
        <w:rFonts w:hint="default"/>
        <w:lang w:val="zh-CN" w:eastAsia="zh-CN" w:bidi="zh-CN"/>
      </w:rPr>
    </w:lvl>
    <w:lvl w:ilvl="7" w:tentative="0">
      <w:start w:val="0"/>
      <w:numFmt w:val="bullet"/>
      <w:lvlText w:val="•"/>
      <w:lvlJc w:val="left"/>
      <w:pPr>
        <w:ind w:left="7070" w:hanging="780"/>
      </w:pPr>
      <w:rPr>
        <w:rFonts w:hint="default"/>
        <w:lang w:val="zh-CN" w:eastAsia="zh-CN" w:bidi="zh-CN"/>
      </w:rPr>
    </w:lvl>
    <w:lvl w:ilvl="8" w:tentative="0">
      <w:start w:val="0"/>
      <w:numFmt w:val="bullet"/>
      <w:lvlText w:val="•"/>
      <w:lvlJc w:val="left"/>
      <w:pPr>
        <w:ind w:left="7995" w:hanging="780"/>
      </w:pPr>
      <w:rPr>
        <w:rFonts w:hint="default"/>
        <w:lang w:val="zh-CN" w:eastAsia="zh-CN" w:bidi="zh-CN"/>
      </w:rPr>
    </w:lvl>
  </w:abstractNum>
  <w:abstractNum w:abstractNumId="13">
    <w:nsid w:val="77B70FC0"/>
    <w:multiLevelType w:val="multilevel"/>
    <w:tmpl w:val="77B70FC0"/>
    <w:lvl w:ilvl="0" w:tentative="0">
      <w:start w:val="1"/>
      <w:numFmt w:val="japaneseCounting"/>
      <w:lvlText w:val="%1、"/>
      <w:lvlJc w:val="left"/>
      <w:pPr>
        <w:tabs>
          <w:tab w:val="left" w:pos="0"/>
        </w:tabs>
        <w:ind w:left="4831" w:hanging="720"/>
      </w:pPr>
    </w:lvl>
    <w:lvl w:ilvl="1" w:tentative="0">
      <w:start w:val="1"/>
      <w:numFmt w:val="lowerLetter"/>
      <w:lvlText w:val="%2)"/>
      <w:lvlJc w:val="left"/>
      <w:pPr>
        <w:tabs>
          <w:tab w:val="left" w:pos="0"/>
        </w:tabs>
        <w:ind w:left="1395" w:hanging="420"/>
      </w:pPr>
    </w:lvl>
    <w:lvl w:ilvl="2" w:tentative="0">
      <w:start w:val="1"/>
      <w:numFmt w:val="lowerRoman"/>
      <w:lvlText w:val="%3."/>
      <w:lvlJc w:val="right"/>
      <w:pPr>
        <w:tabs>
          <w:tab w:val="left" w:pos="0"/>
        </w:tabs>
        <w:ind w:left="1815" w:hanging="420"/>
      </w:pPr>
    </w:lvl>
    <w:lvl w:ilvl="3" w:tentative="0">
      <w:start w:val="1"/>
      <w:numFmt w:val="decimal"/>
      <w:lvlText w:val="%4."/>
      <w:lvlJc w:val="left"/>
      <w:pPr>
        <w:tabs>
          <w:tab w:val="left" w:pos="0"/>
        </w:tabs>
        <w:ind w:left="2235" w:hanging="420"/>
      </w:pPr>
    </w:lvl>
    <w:lvl w:ilvl="4" w:tentative="0">
      <w:start w:val="1"/>
      <w:numFmt w:val="lowerLetter"/>
      <w:lvlText w:val="%5)"/>
      <w:lvlJc w:val="left"/>
      <w:pPr>
        <w:tabs>
          <w:tab w:val="left" w:pos="0"/>
        </w:tabs>
        <w:ind w:left="2655" w:hanging="420"/>
      </w:pPr>
    </w:lvl>
    <w:lvl w:ilvl="5" w:tentative="0">
      <w:start w:val="1"/>
      <w:numFmt w:val="lowerRoman"/>
      <w:lvlText w:val="%6."/>
      <w:lvlJc w:val="right"/>
      <w:pPr>
        <w:tabs>
          <w:tab w:val="left" w:pos="0"/>
        </w:tabs>
        <w:ind w:left="3075" w:hanging="420"/>
      </w:pPr>
    </w:lvl>
    <w:lvl w:ilvl="6" w:tentative="0">
      <w:start w:val="1"/>
      <w:numFmt w:val="decimal"/>
      <w:lvlText w:val="%7."/>
      <w:lvlJc w:val="left"/>
      <w:pPr>
        <w:tabs>
          <w:tab w:val="left" w:pos="0"/>
        </w:tabs>
        <w:ind w:left="3495" w:hanging="420"/>
      </w:pPr>
    </w:lvl>
    <w:lvl w:ilvl="7" w:tentative="0">
      <w:start w:val="1"/>
      <w:numFmt w:val="lowerLetter"/>
      <w:lvlText w:val="%8)"/>
      <w:lvlJc w:val="left"/>
      <w:pPr>
        <w:tabs>
          <w:tab w:val="left" w:pos="0"/>
        </w:tabs>
        <w:ind w:left="3915" w:hanging="420"/>
      </w:pPr>
    </w:lvl>
    <w:lvl w:ilvl="8" w:tentative="0">
      <w:start w:val="1"/>
      <w:numFmt w:val="lowerRoman"/>
      <w:lvlText w:val="%9."/>
      <w:lvlJc w:val="right"/>
      <w:pPr>
        <w:tabs>
          <w:tab w:val="left" w:pos="0"/>
        </w:tabs>
        <w:ind w:left="4335" w:hanging="420"/>
      </w:pPr>
    </w:lvl>
  </w:abstractNum>
  <w:abstractNum w:abstractNumId="14">
    <w:nsid w:val="77ECEA79"/>
    <w:multiLevelType w:val="multilevel"/>
    <w:tmpl w:val="77ECEA79"/>
    <w:lvl w:ilvl="0" w:tentative="0">
      <w:start w:val="1"/>
      <w:numFmt w:val="decimal"/>
      <w:lvlText w:val="（%1）"/>
      <w:lvlJc w:val="left"/>
      <w:pPr>
        <w:ind w:left="134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90" w:hanging="601"/>
      </w:pPr>
      <w:rPr>
        <w:rFonts w:hint="default"/>
        <w:lang w:val="zh-CN" w:eastAsia="zh-CN" w:bidi="zh-CN"/>
      </w:rPr>
    </w:lvl>
    <w:lvl w:ilvl="2" w:tentative="0">
      <w:start w:val="0"/>
      <w:numFmt w:val="bullet"/>
      <w:lvlText w:val="•"/>
      <w:lvlJc w:val="left"/>
      <w:pPr>
        <w:ind w:left="3041" w:hanging="601"/>
      </w:pPr>
      <w:rPr>
        <w:rFonts w:hint="default"/>
        <w:lang w:val="zh-CN" w:eastAsia="zh-CN" w:bidi="zh-CN"/>
      </w:rPr>
    </w:lvl>
    <w:lvl w:ilvl="3" w:tentative="0">
      <w:start w:val="0"/>
      <w:numFmt w:val="bullet"/>
      <w:lvlText w:val="•"/>
      <w:lvlJc w:val="left"/>
      <w:pPr>
        <w:ind w:left="3891" w:hanging="601"/>
      </w:pPr>
      <w:rPr>
        <w:rFonts w:hint="default"/>
        <w:lang w:val="zh-CN" w:eastAsia="zh-CN" w:bidi="zh-CN"/>
      </w:rPr>
    </w:lvl>
    <w:lvl w:ilvl="4" w:tentative="0">
      <w:start w:val="0"/>
      <w:numFmt w:val="bullet"/>
      <w:lvlText w:val="•"/>
      <w:lvlJc w:val="left"/>
      <w:pPr>
        <w:ind w:left="4742" w:hanging="601"/>
      </w:pPr>
      <w:rPr>
        <w:rFonts w:hint="default"/>
        <w:lang w:val="zh-CN" w:eastAsia="zh-CN" w:bidi="zh-CN"/>
      </w:rPr>
    </w:lvl>
    <w:lvl w:ilvl="5" w:tentative="0">
      <w:start w:val="0"/>
      <w:numFmt w:val="bullet"/>
      <w:lvlText w:val="•"/>
      <w:lvlJc w:val="left"/>
      <w:pPr>
        <w:ind w:left="5593" w:hanging="601"/>
      </w:pPr>
      <w:rPr>
        <w:rFonts w:hint="default"/>
        <w:lang w:val="zh-CN" w:eastAsia="zh-CN" w:bidi="zh-CN"/>
      </w:rPr>
    </w:lvl>
    <w:lvl w:ilvl="6" w:tentative="0">
      <w:start w:val="0"/>
      <w:numFmt w:val="bullet"/>
      <w:lvlText w:val="•"/>
      <w:lvlJc w:val="left"/>
      <w:pPr>
        <w:ind w:left="6443" w:hanging="601"/>
      </w:pPr>
      <w:rPr>
        <w:rFonts w:hint="default"/>
        <w:lang w:val="zh-CN" w:eastAsia="zh-CN" w:bidi="zh-CN"/>
      </w:rPr>
    </w:lvl>
    <w:lvl w:ilvl="7" w:tentative="0">
      <w:start w:val="0"/>
      <w:numFmt w:val="bullet"/>
      <w:lvlText w:val="•"/>
      <w:lvlJc w:val="left"/>
      <w:pPr>
        <w:ind w:left="7294" w:hanging="601"/>
      </w:pPr>
      <w:rPr>
        <w:rFonts w:hint="default"/>
        <w:lang w:val="zh-CN" w:eastAsia="zh-CN" w:bidi="zh-CN"/>
      </w:rPr>
    </w:lvl>
    <w:lvl w:ilvl="8" w:tentative="0">
      <w:start w:val="0"/>
      <w:numFmt w:val="bullet"/>
      <w:lvlText w:val="•"/>
      <w:lvlJc w:val="left"/>
      <w:pPr>
        <w:ind w:left="8144" w:hanging="601"/>
      </w:pPr>
      <w:rPr>
        <w:rFonts w:hint="default"/>
        <w:lang w:val="zh-CN" w:eastAsia="zh-CN" w:bidi="zh-CN"/>
      </w:rPr>
    </w:lvl>
  </w:abstractNum>
  <w:abstractNum w:abstractNumId="15">
    <w:nsid w:val="7C246926"/>
    <w:multiLevelType w:val="multilevel"/>
    <w:tmpl w:val="7C246926"/>
    <w:lvl w:ilvl="0" w:tentative="0">
      <w:start w:val="29"/>
      <w:numFmt w:val="decimal"/>
      <w:lvlText w:val="%1."/>
      <w:lvlJc w:val="left"/>
      <w:pPr>
        <w:ind w:left="1221" w:hanging="481"/>
      </w:pPr>
      <w:rPr>
        <w:rFonts w:hint="default"/>
        <w:w w:val="100"/>
        <w:lang w:val="zh-CN" w:eastAsia="zh-CN" w:bidi="zh-CN"/>
      </w:rPr>
    </w:lvl>
    <w:lvl w:ilvl="1" w:tentative="0">
      <w:start w:val="1"/>
      <w:numFmt w:val="decimal"/>
      <w:lvlText w:val="%1.%2"/>
      <w:lvlJc w:val="left"/>
      <w:pPr>
        <w:ind w:left="1340" w:hanging="600"/>
      </w:pPr>
      <w:rPr>
        <w:rFonts w:hint="default" w:ascii="宋体" w:hAnsi="宋体" w:eastAsia="宋体" w:cs="宋体"/>
        <w:w w:val="100"/>
        <w:sz w:val="24"/>
        <w:szCs w:val="24"/>
        <w:lang w:val="zh-CN" w:eastAsia="zh-CN" w:bidi="zh-CN"/>
      </w:rPr>
    </w:lvl>
    <w:lvl w:ilvl="2" w:tentative="0">
      <w:start w:val="0"/>
      <w:numFmt w:val="bullet"/>
      <w:lvlText w:val="•"/>
      <w:lvlJc w:val="left"/>
      <w:pPr>
        <w:ind w:left="1340" w:hanging="600"/>
      </w:pPr>
      <w:rPr>
        <w:rFonts w:hint="default"/>
        <w:lang w:val="zh-CN" w:eastAsia="zh-CN" w:bidi="zh-CN"/>
      </w:rPr>
    </w:lvl>
    <w:lvl w:ilvl="3" w:tentative="0">
      <w:start w:val="0"/>
      <w:numFmt w:val="bullet"/>
      <w:lvlText w:val="•"/>
      <w:lvlJc w:val="left"/>
      <w:pPr>
        <w:ind w:left="2403" w:hanging="600"/>
      </w:pPr>
      <w:rPr>
        <w:rFonts w:hint="default"/>
        <w:lang w:val="zh-CN" w:eastAsia="zh-CN" w:bidi="zh-CN"/>
      </w:rPr>
    </w:lvl>
    <w:lvl w:ilvl="4" w:tentative="0">
      <w:start w:val="0"/>
      <w:numFmt w:val="bullet"/>
      <w:lvlText w:val="•"/>
      <w:lvlJc w:val="left"/>
      <w:pPr>
        <w:ind w:left="3466" w:hanging="600"/>
      </w:pPr>
      <w:rPr>
        <w:rFonts w:hint="default"/>
        <w:lang w:val="zh-CN" w:eastAsia="zh-CN" w:bidi="zh-CN"/>
      </w:rPr>
    </w:lvl>
    <w:lvl w:ilvl="5" w:tentative="0">
      <w:start w:val="0"/>
      <w:numFmt w:val="bullet"/>
      <w:lvlText w:val="•"/>
      <w:lvlJc w:val="left"/>
      <w:pPr>
        <w:ind w:left="4529" w:hanging="600"/>
      </w:pPr>
      <w:rPr>
        <w:rFonts w:hint="default"/>
        <w:lang w:val="zh-CN" w:eastAsia="zh-CN" w:bidi="zh-CN"/>
      </w:rPr>
    </w:lvl>
    <w:lvl w:ilvl="6" w:tentative="0">
      <w:start w:val="0"/>
      <w:numFmt w:val="bullet"/>
      <w:lvlText w:val="•"/>
      <w:lvlJc w:val="left"/>
      <w:pPr>
        <w:ind w:left="5593" w:hanging="600"/>
      </w:pPr>
      <w:rPr>
        <w:rFonts w:hint="default"/>
        <w:lang w:val="zh-CN" w:eastAsia="zh-CN" w:bidi="zh-CN"/>
      </w:rPr>
    </w:lvl>
    <w:lvl w:ilvl="7" w:tentative="0">
      <w:start w:val="0"/>
      <w:numFmt w:val="bullet"/>
      <w:lvlText w:val="•"/>
      <w:lvlJc w:val="left"/>
      <w:pPr>
        <w:ind w:left="6656" w:hanging="600"/>
      </w:pPr>
      <w:rPr>
        <w:rFonts w:hint="default"/>
        <w:lang w:val="zh-CN" w:eastAsia="zh-CN" w:bidi="zh-CN"/>
      </w:rPr>
    </w:lvl>
    <w:lvl w:ilvl="8" w:tentative="0">
      <w:start w:val="0"/>
      <w:numFmt w:val="bullet"/>
      <w:lvlText w:val="•"/>
      <w:lvlJc w:val="left"/>
      <w:pPr>
        <w:ind w:left="7719" w:hanging="600"/>
      </w:pPr>
      <w:rPr>
        <w:rFonts w:hint="default"/>
        <w:lang w:val="zh-CN" w:eastAsia="zh-CN" w:bidi="zh-CN"/>
      </w:rPr>
    </w:lvl>
  </w:abstractNum>
  <w:num w:numId="1">
    <w:abstractNumId w:val="8"/>
  </w:num>
  <w:num w:numId="2">
    <w:abstractNumId w:val="7"/>
  </w:num>
  <w:num w:numId="3">
    <w:abstractNumId w:val="11"/>
  </w:num>
  <w:num w:numId="4">
    <w:abstractNumId w:val="4"/>
  </w:num>
  <w:num w:numId="5">
    <w:abstractNumId w:val="6"/>
  </w:num>
  <w:num w:numId="6">
    <w:abstractNumId w:val="3"/>
  </w:num>
  <w:num w:numId="7">
    <w:abstractNumId w:val="0"/>
  </w:num>
  <w:num w:numId="8">
    <w:abstractNumId w:val="10"/>
  </w:num>
  <w:num w:numId="9">
    <w:abstractNumId w:val="12"/>
  </w:num>
  <w:num w:numId="10">
    <w:abstractNumId w:val="5"/>
  </w:num>
  <w:num w:numId="11">
    <w:abstractNumId w:val="1"/>
  </w:num>
  <w:num w:numId="12">
    <w:abstractNumId w:val="15"/>
  </w:num>
  <w:num w:numId="13">
    <w:abstractNumId w:val="14"/>
  </w:num>
  <w:num w:numId="14">
    <w:abstractNumId w:val="2"/>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1" w:cryptProviderType="rsaFull" w:cryptAlgorithmClass="hash" w:cryptAlgorithmType="typeAny" w:cryptAlgorithmSid="4" w:cryptSpinCount="0" w:hash="uZ8SHG1ZeL3q8gTJj7GV9G8P3Ds=" w:salt="vaG5fPV8Sn5KIpZxldzbWA=="/>
  <w:defaultTabStop w:val="420"/>
  <w:displayHorizontalDrawingGridEvery w:val="1"/>
  <w:displayVerticalDrawingGridEvery w:val="1"/>
  <w:noPunctuationKerning w:val="1"/>
  <w:hdrShapeDefaults>
    <o:shapelayout v:ext="edit">
      <o:idmap v:ext="edit" data="2"/>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ZWVmNTI4OWI1M2VkNjM2NDE3YjU2M2Q5NzAwZTIifQ=="/>
  </w:docVars>
  <w:rsids>
    <w:rsidRoot w:val="00000000"/>
    <w:rsid w:val="00303F39"/>
    <w:rsid w:val="0070213B"/>
    <w:rsid w:val="014B4ED6"/>
    <w:rsid w:val="019404F8"/>
    <w:rsid w:val="02BB2688"/>
    <w:rsid w:val="037E7315"/>
    <w:rsid w:val="04FE7F74"/>
    <w:rsid w:val="06127C3D"/>
    <w:rsid w:val="069C001E"/>
    <w:rsid w:val="090C7ACE"/>
    <w:rsid w:val="09CF031F"/>
    <w:rsid w:val="0B187AA4"/>
    <w:rsid w:val="0B85620A"/>
    <w:rsid w:val="0BAD287B"/>
    <w:rsid w:val="0C405504"/>
    <w:rsid w:val="0CA710DF"/>
    <w:rsid w:val="0CA9722B"/>
    <w:rsid w:val="0CAA31AB"/>
    <w:rsid w:val="0CD67C16"/>
    <w:rsid w:val="0D0E5602"/>
    <w:rsid w:val="0DCD726B"/>
    <w:rsid w:val="0DE87C01"/>
    <w:rsid w:val="0EEE273B"/>
    <w:rsid w:val="0F6E4136"/>
    <w:rsid w:val="0FE947F9"/>
    <w:rsid w:val="10252517"/>
    <w:rsid w:val="1106587D"/>
    <w:rsid w:val="11140D0D"/>
    <w:rsid w:val="12211934"/>
    <w:rsid w:val="12C67A1B"/>
    <w:rsid w:val="12ED5CBA"/>
    <w:rsid w:val="13BF1404"/>
    <w:rsid w:val="13C92283"/>
    <w:rsid w:val="155913E5"/>
    <w:rsid w:val="176D39E7"/>
    <w:rsid w:val="17C31F7C"/>
    <w:rsid w:val="17C43514"/>
    <w:rsid w:val="18B21538"/>
    <w:rsid w:val="19306900"/>
    <w:rsid w:val="1ABF618E"/>
    <w:rsid w:val="1AFF22D4"/>
    <w:rsid w:val="1C630856"/>
    <w:rsid w:val="1D305121"/>
    <w:rsid w:val="1D3C1D18"/>
    <w:rsid w:val="1DF3687A"/>
    <w:rsid w:val="203942EC"/>
    <w:rsid w:val="208732AA"/>
    <w:rsid w:val="20FF5536"/>
    <w:rsid w:val="22406B6B"/>
    <w:rsid w:val="22456F79"/>
    <w:rsid w:val="227F60BB"/>
    <w:rsid w:val="229F5922"/>
    <w:rsid w:val="23504C16"/>
    <w:rsid w:val="236E69A3"/>
    <w:rsid w:val="237C10C0"/>
    <w:rsid w:val="241E2177"/>
    <w:rsid w:val="247962E4"/>
    <w:rsid w:val="25675458"/>
    <w:rsid w:val="256A4F48"/>
    <w:rsid w:val="258F4FD1"/>
    <w:rsid w:val="273121C1"/>
    <w:rsid w:val="291110A1"/>
    <w:rsid w:val="2B6943AA"/>
    <w:rsid w:val="2C2B3683"/>
    <w:rsid w:val="2CA853E3"/>
    <w:rsid w:val="2CBE60CD"/>
    <w:rsid w:val="2D2B320F"/>
    <w:rsid w:val="2D6F190F"/>
    <w:rsid w:val="2E542CE9"/>
    <w:rsid w:val="2EB3705D"/>
    <w:rsid w:val="2F8C4439"/>
    <w:rsid w:val="2F8F217B"/>
    <w:rsid w:val="309A166C"/>
    <w:rsid w:val="310B2784"/>
    <w:rsid w:val="31216519"/>
    <w:rsid w:val="315E2B5E"/>
    <w:rsid w:val="31604FB1"/>
    <w:rsid w:val="32102A0D"/>
    <w:rsid w:val="333A23FE"/>
    <w:rsid w:val="33DF6B01"/>
    <w:rsid w:val="35F3067E"/>
    <w:rsid w:val="360A35C3"/>
    <w:rsid w:val="37F222D9"/>
    <w:rsid w:val="38AF2F46"/>
    <w:rsid w:val="38EA21D0"/>
    <w:rsid w:val="39A86313"/>
    <w:rsid w:val="39DB0F96"/>
    <w:rsid w:val="39F96E2B"/>
    <w:rsid w:val="3A615CDE"/>
    <w:rsid w:val="3B584BE9"/>
    <w:rsid w:val="3D0F195F"/>
    <w:rsid w:val="3D6356D0"/>
    <w:rsid w:val="3DB75DEA"/>
    <w:rsid w:val="3F6A1723"/>
    <w:rsid w:val="40C76D0D"/>
    <w:rsid w:val="428F6F84"/>
    <w:rsid w:val="445F1CC4"/>
    <w:rsid w:val="45991206"/>
    <w:rsid w:val="45AE528C"/>
    <w:rsid w:val="468D3C72"/>
    <w:rsid w:val="48D304C0"/>
    <w:rsid w:val="49AB775A"/>
    <w:rsid w:val="49CF3F47"/>
    <w:rsid w:val="49E84067"/>
    <w:rsid w:val="4A085228"/>
    <w:rsid w:val="4CFB09F8"/>
    <w:rsid w:val="4D41465D"/>
    <w:rsid w:val="4E676345"/>
    <w:rsid w:val="519D118C"/>
    <w:rsid w:val="519F231A"/>
    <w:rsid w:val="5237602E"/>
    <w:rsid w:val="52D53536"/>
    <w:rsid w:val="53A2515F"/>
    <w:rsid w:val="543C3DD0"/>
    <w:rsid w:val="54E163A8"/>
    <w:rsid w:val="553B6AE9"/>
    <w:rsid w:val="55B16862"/>
    <w:rsid w:val="56A13495"/>
    <w:rsid w:val="570404A9"/>
    <w:rsid w:val="58CE0D6F"/>
    <w:rsid w:val="58D02D39"/>
    <w:rsid w:val="5B5C3E13"/>
    <w:rsid w:val="5B8B2F47"/>
    <w:rsid w:val="5BCC5A39"/>
    <w:rsid w:val="5C183225"/>
    <w:rsid w:val="5C216AB1"/>
    <w:rsid w:val="5C590219"/>
    <w:rsid w:val="5CB97A26"/>
    <w:rsid w:val="5D283F87"/>
    <w:rsid w:val="5D557CB0"/>
    <w:rsid w:val="5DD82C45"/>
    <w:rsid w:val="5E420235"/>
    <w:rsid w:val="5E511897"/>
    <w:rsid w:val="5F1A6ABC"/>
    <w:rsid w:val="60076417"/>
    <w:rsid w:val="605940A9"/>
    <w:rsid w:val="609250B7"/>
    <w:rsid w:val="617E1E4C"/>
    <w:rsid w:val="61B76DED"/>
    <w:rsid w:val="61E56BBF"/>
    <w:rsid w:val="635E1262"/>
    <w:rsid w:val="64430278"/>
    <w:rsid w:val="653F73F1"/>
    <w:rsid w:val="65580D48"/>
    <w:rsid w:val="6583420E"/>
    <w:rsid w:val="66417024"/>
    <w:rsid w:val="67786A75"/>
    <w:rsid w:val="688E4077"/>
    <w:rsid w:val="690D561E"/>
    <w:rsid w:val="69A47FF6"/>
    <w:rsid w:val="69D31B7F"/>
    <w:rsid w:val="69DA7573"/>
    <w:rsid w:val="6B0C7747"/>
    <w:rsid w:val="6CD209D6"/>
    <w:rsid w:val="73F5000F"/>
    <w:rsid w:val="74F657E4"/>
    <w:rsid w:val="760065B4"/>
    <w:rsid w:val="78F85B35"/>
    <w:rsid w:val="79B9499B"/>
    <w:rsid w:val="79CC3D56"/>
    <w:rsid w:val="7A067F11"/>
    <w:rsid w:val="7A6F3AAA"/>
    <w:rsid w:val="7AB1291E"/>
    <w:rsid w:val="7C8C2D25"/>
    <w:rsid w:val="7CCA0683"/>
    <w:rsid w:val="7D53622B"/>
    <w:rsid w:val="7D5F62B6"/>
    <w:rsid w:val="7DDA1DE0"/>
    <w:rsid w:val="7E1E69A4"/>
    <w:rsid w:val="7E5A6A7D"/>
    <w:rsid w:val="7EA07F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4"/>
    <w:qFormat/>
    <w:uiPriority w:val="0"/>
    <w:pPr>
      <w:widowControl w:val="0"/>
      <w:jc w:val="both"/>
    </w:pPr>
    <w:rPr>
      <w:rFonts w:ascii="Calibri" w:hAnsi="Calibri" w:eastAsia="宋体" w:cstheme="minorBidi"/>
      <w:kern w:val="2"/>
      <w:sz w:val="21"/>
      <w:szCs w:val="22"/>
      <w:lang w:val="en-US" w:eastAsia="zh-CN" w:bidi="ar-SA"/>
    </w:rPr>
  </w:style>
  <w:style w:type="paragraph" w:styleId="2">
    <w:name w:val="heading 2"/>
    <w:basedOn w:val="1"/>
    <w:next w:val="1"/>
    <w:autoRedefine/>
    <w:qFormat/>
    <w:uiPriority w:val="9"/>
    <w:pPr>
      <w:keepNext/>
      <w:keepLines/>
      <w:spacing w:before="260" w:after="260" w:line="415" w:lineRule="auto"/>
      <w:outlineLvl w:val="1"/>
    </w:pPr>
    <w:rPr>
      <w:rFonts w:ascii="Arial" w:hAnsi="Arial" w:eastAsia="黑体"/>
      <w:b/>
      <w:bCs/>
      <w:sz w:val="32"/>
      <w:szCs w:val="32"/>
    </w:rPr>
  </w:style>
  <w:style w:type="paragraph" w:styleId="3">
    <w:name w:val="heading 4"/>
    <w:basedOn w:val="1"/>
    <w:next w:val="1"/>
    <w:autoRedefine/>
    <w:qFormat/>
    <w:uiPriority w:val="1"/>
    <w:pPr>
      <w:ind w:left="740"/>
      <w:outlineLvl w:val="3"/>
    </w:pPr>
    <w:rPr>
      <w:b/>
      <w:bCs/>
      <w:sz w:val="24"/>
      <w:szCs w:val="24"/>
    </w:rPr>
  </w:style>
  <w:style w:type="character" w:default="1" w:styleId="18">
    <w:name w:val="Default Paragraph Font"/>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Default"/>
    <w:basedOn w:val="6"/>
    <w:next w:val="1"/>
    <w:autoRedefine/>
    <w:qFormat/>
    <w:uiPriority w:val="0"/>
    <w:pPr>
      <w:widowControl w:val="0"/>
      <w:autoSpaceDE w:val="0"/>
      <w:autoSpaceDN w:val="0"/>
    </w:pPr>
    <w:rPr>
      <w:rFonts w:ascii="宋体" w:hAnsi="Times New Roman" w:eastAsia="宋体" w:cstheme="minorBidi"/>
      <w:color w:val="000000"/>
      <w:sz w:val="24"/>
      <w:szCs w:val="22"/>
      <w:lang w:val="en-US" w:eastAsia="zh-CN" w:bidi="ar-SA"/>
    </w:rPr>
  </w:style>
  <w:style w:type="paragraph" w:styleId="6">
    <w:name w:val="Plain Text"/>
    <w:basedOn w:val="1"/>
    <w:autoRedefine/>
    <w:unhideWhenUsed/>
    <w:qFormat/>
    <w:uiPriority w:val="0"/>
    <w:pPr>
      <w:widowControl w:val="0"/>
      <w:jc w:val="both"/>
    </w:pPr>
    <w:rPr>
      <w:rFonts w:ascii="宋体" w:hAnsi="Courier New"/>
    </w:rPr>
  </w:style>
  <w:style w:type="paragraph" w:styleId="7">
    <w:name w:val="Body Text Indent"/>
    <w:basedOn w:val="1"/>
    <w:autoRedefine/>
    <w:unhideWhenUsed/>
    <w:qFormat/>
    <w:uiPriority w:val="0"/>
    <w:pPr>
      <w:spacing w:line="360" w:lineRule="auto"/>
      <w:ind w:firstLine="482" w:firstLineChars="100"/>
      <w:jc w:val="center"/>
    </w:pPr>
    <w:rPr>
      <w:rFonts w:ascii="黑体" w:eastAsia="黑体" w:cs="Times New Roman"/>
      <w:b/>
      <w:sz w:val="48"/>
      <w:szCs w:val="2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10">
    <w:name w:val="toc 1"/>
    <w:basedOn w:val="1"/>
    <w:next w:val="1"/>
    <w:autoRedefine/>
    <w:qFormat/>
    <w:uiPriority w:val="0"/>
  </w:style>
  <w:style w:type="paragraph" w:styleId="11">
    <w:name w:val="toc 2"/>
    <w:basedOn w:val="1"/>
    <w:next w:val="1"/>
    <w:qFormat/>
    <w:uiPriority w:val="1"/>
    <w:pPr>
      <w:spacing w:before="43"/>
      <w:ind w:left="881"/>
    </w:pPr>
    <w:rPr>
      <w:rFonts w:ascii="宋体" w:hAnsi="宋体" w:eastAsia="宋体" w:cs="宋体"/>
      <w:sz w:val="21"/>
      <w:szCs w:val="21"/>
      <w:lang w:val="en-US" w:eastAsia="zh-CN" w:bidi="ar-SA"/>
    </w:rPr>
  </w:style>
  <w:style w:type="paragraph" w:styleId="12">
    <w:name w:val="Body Text 2"/>
    <w:basedOn w:val="1"/>
    <w:next w:val="4"/>
    <w:autoRedefine/>
    <w:qFormat/>
    <w:uiPriority w:val="0"/>
    <w:pPr>
      <w:spacing w:line="480" w:lineRule="auto"/>
    </w:pPr>
    <w:rPr>
      <w:sz w:val="28"/>
    </w:rPr>
  </w:style>
  <w:style w:type="paragraph" w:styleId="13">
    <w:name w:val="Normal (Web)"/>
    <w:basedOn w:val="1"/>
    <w:autoRedefine/>
    <w:qFormat/>
    <w:uiPriority w:val="0"/>
    <w:pPr>
      <w:spacing w:line="432" w:lineRule="auto"/>
    </w:pPr>
    <w:rPr>
      <w:sz w:val="24"/>
    </w:rPr>
  </w:style>
  <w:style w:type="paragraph" w:styleId="14">
    <w:name w:val="Body Text First Indent"/>
    <w:basedOn w:val="4"/>
    <w:autoRedefine/>
    <w:unhideWhenUsed/>
    <w:qFormat/>
    <w:uiPriority w:val="99"/>
    <w:pPr>
      <w:spacing w:before="100" w:beforeAutospacing="1" w:after="0"/>
      <w:ind w:firstLine="420" w:firstLineChars="100"/>
      <w:jc w:val="left"/>
      <w:textAlignment w:val="auto"/>
    </w:pPr>
    <w:rPr>
      <w:rFonts w:ascii="仿宋体"/>
      <w:kern w:val="0"/>
      <w:sz w:val="20"/>
      <w:szCs w:val="20"/>
    </w:rPr>
  </w:style>
  <w:style w:type="paragraph" w:styleId="15">
    <w:name w:val="Body Text First Indent 2"/>
    <w:basedOn w:val="7"/>
    <w:autoRedefine/>
    <w:qFormat/>
    <w:uiPriority w:val="99"/>
    <w:pPr>
      <w:spacing w:after="120" w:line="500" w:lineRule="atLeast"/>
      <w:ind w:left="420" w:leftChars="200" w:firstLine="420" w:firstLineChars="200"/>
    </w:pPr>
    <w:rPr>
      <w:rFonts w:hAnsi="Plotter"/>
      <w:color w:val="000000"/>
      <w:sz w:val="28"/>
      <w:szCs w:val="20"/>
    </w:r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autoRedefine/>
    <w:qFormat/>
    <w:uiPriority w:val="0"/>
    <w:rPr>
      <w:b/>
      <w:bCs/>
    </w:rPr>
  </w:style>
  <w:style w:type="character" w:styleId="20">
    <w:name w:val="FollowedHyperlink"/>
    <w:basedOn w:val="18"/>
    <w:autoRedefine/>
    <w:qFormat/>
    <w:uiPriority w:val="0"/>
    <w:rPr>
      <w:color w:val="800080"/>
      <w:u w:val="none"/>
    </w:rPr>
  </w:style>
  <w:style w:type="character" w:styleId="21">
    <w:name w:val="Emphasis"/>
    <w:basedOn w:val="18"/>
    <w:autoRedefine/>
    <w:qFormat/>
    <w:uiPriority w:val="0"/>
    <w:rPr>
      <w:b/>
      <w:bCs/>
    </w:rPr>
  </w:style>
  <w:style w:type="character" w:styleId="22">
    <w:name w:val="HTML Definition"/>
    <w:basedOn w:val="18"/>
    <w:autoRedefine/>
    <w:qFormat/>
    <w:uiPriority w:val="0"/>
  </w:style>
  <w:style w:type="character" w:styleId="23">
    <w:name w:val="HTML Typewriter"/>
    <w:basedOn w:val="18"/>
    <w:autoRedefine/>
    <w:qFormat/>
    <w:uiPriority w:val="0"/>
    <w:rPr>
      <w:rFonts w:hint="default" w:ascii="monospace" w:hAnsi="monospace" w:eastAsia="monospace" w:cs="monospace"/>
      <w:sz w:val="20"/>
    </w:rPr>
  </w:style>
  <w:style w:type="character" w:styleId="24">
    <w:name w:val="HTML Acronym"/>
    <w:basedOn w:val="18"/>
    <w:autoRedefine/>
    <w:qFormat/>
    <w:uiPriority w:val="0"/>
  </w:style>
  <w:style w:type="character" w:styleId="25">
    <w:name w:val="HTML Variable"/>
    <w:basedOn w:val="18"/>
    <w:autoRedefine/>
    <w:qFormat/>
    <w:uiPriority w:val="0"/>
  </w:style>
  <w:style w:type="character" w:styleId="26">
    <w:name w:val="Hyperlink"/>
    <w:basedOn w:val="18"/>
    <w:autoRedefine/>
    <w:qFormat/>
    <w:uiPriority w:val="0"/>
    <w:rPr>
      <w:color w:val="0000FF"/>
      <w:u w:val="none"/>
    </w:rPr>
  </w:style>
  <w:style w:type="character" w:styleId="27">
    <w:name w:val="HTML Code"/>
    <w:basedOn w:val="18"/>
    <w:autoRedefine/>
    <w:qFormat/>
    <w:uiPriority w:val="0"/>
    <w:rPr>
      <w:rFonts w:hint="default" w:ascii="monospace" w:hAnsi="monospace" w:eastAsia="monospace" w:cs="monospace"/>
      <w:sz w:val="20"/>
    </w:rPr>
  </w:style>
  <w:style w:type="character" w:styleId="28">
    <w:name w:val="HTML Cite"/>
    <w:basedOn w:val="18"/>
    <w:autoRedefine/>
    <w:qFormat/>
    <w:uiPriority w:val="0"/>
  </w:style>
  <w:style w:type="character" w:styleId="29">
    <w:name w:val="HTML Keyboard"/>
    <w:basedOn w:val="18"/>
    <w:autoRedefine/>
    <w:qFormat/>
    <w:uiPriority w:val="0"/>
    <w:rPr>
      <w:rFonts w:ascii="monospace" w:hAnsi="monospace" w:eastAsia="monospace" w:cs="monospace"/>
      <w:sz w:val="0"/>
      <w:szCs w:val="0"/>
      <w:bdr w:val="single" w:color="auto" w:sz="2" w:space="0"/>
    </w:rPr>
  </w:style>
  <w:style w:type="character" w:styleId="30">
    <w:name w:val="HTML Sample"/>
    <w:basedOn w:val="18"/>
    <w:autoRedefine/>
    <w:qFormat/>
    <w:uiPriority w:val="0"/>
    <w:rPr>
      <w:rFonts w:hint="default" w:ascii="monospace" w:hAnsi="monospace" w:eastAsia="monospace" w:cs="monospace"/>
    </w:rPr>
  </w:style>
  <w:style w:type="paragraph" w:customStyle="1" w:styleId="31">
    <w:name w:val="BodyText1I"/>
    <w:basedOn w:val="32"/>
    <w:qFormat/>
    <w:uiPriority w:val="99"/>
    <w:pPr>
      <w:ind w:firstLine="420" w:firstLineChars="100"/>
    </w:pPr>
  </w:style>
  <w:style w:type="paragraph" w:customStyle="1" w:styleId="32">
    <w:name w:val="BodyText"/>
    <w:basedOn w:val="1"/>
    <w:autoRedefine/>
    <w:qFormat/>
    <w:uiPriority w:val="99"/>
    <w:pPr>
      <w:spacing w:after="120"/>
    </w:pPr>
  </w:style>
  <w:style w:type="paragraph" w:customStyle="1" w:styleId="33">
    <w:name w:val="标题 11"/>
    <w:basedOn w:val="1"/>
    <w:link w:val="43"/>
    <w:autoRedefine/>
    <w:qFormat/>
    <w:uiPriority w:val="0"/>
    <w:pPr>
      <w:spacing w:before="340" w:beforeAutospacing="0" w:after="330" w:afterAutospacing="0" w:line="576" w:lineRule="auto"/>
      <w:outlineLvl w:val="0"/>
    </w:pPr>
    <w:rPr>
      <w:rFonts w:ascii="Calibri" w:hAnsi="Calibri" w:eastAsia="宋体"/>
      <w:b/>
      <w:bCs/>
      <w:kern w:val="44"/>
      <w:sz w:val="44"/>
      <w:szCs w:val="44"/>
    </w:rPr>
  </w:style>
  <w:style w:type="paragraph" w:customStyle="1" w:styleId="34">
    <w:name w:val="标题 21"/>
    <w:basedOn w:val="1"/>
    <w:autoRedefine/>
    <w:qFormat/>
    <w:uiPriority w:val="0"/>
    <w:pPr>
      <w:spacing w:before="260" w:beforeAutospacing="0" w:after="260" w:afterAutospacing="0" w:line="416" w:lineRule="auto"/>
      <w:outlineLvl w:val="1"/>
    </w:pPr>
    <w:rPr>
      <w:rFonts w:ascii="Cambria" w:hAnsi="Cambria" w:eastAsia="宋体"/>
      <w:b/>
      <w:bCs/>
      <w:sz w:val="32"/>
      <w:szCs w:val="32"/>
    </w:rPr>
  </w:style>
  <w:style w:type="character" w:customStyle="1" w:styleId="35">
    <w:name w:val="默认段落字体1"/>
    <w:link w:val="1"/>
    <w:autoRedefine/>
    <w:semiHidden/>
    <w:qFormat/>
    <w:uiPriority w:val="0"/>
  </w:style>
  <w:style w:type="table" w:customStyle="1" w:styleId="36">
    <w:name w:val="普通表格1"/>
    <w:autoRedefine/>
    <w:semiHidden/>
    <w:qFormat/>
    <w:uiPriority w:val="0"/>
  </w:style>
  <w:style w:type="paragraph" w:customStyle="1" w:styleId="37">
    <w:name w:val="正文首行缩进 21"/>
    <w:basedOn w:val="38"/>
    <w:autoRedefine/>
    <w:qFormat/>
    <w:uiPriority w:val="0"/>
    <w:pPr>
      <w:ind w:firstLine="420" w:firstLineChars="200"/>
    </w:pPr>
  </w:style>
  <w:style w:type="paragraph" w:customStyle="1" w:styleId="38">
    <w:name w:val="正文文本缩进1"/>
    <w:basedOn w:val="1"/>
    <w:autoRedefine/>
    <w:qFormat/>
    <w:uiPriority w:val="0"/>
    <w:pPr>
      <w:ind w:left="405"/>
    </w:pPr>
    <w:rPr>
      <w:rFonts w:ascii="宋体" w:hAnsi="宋体"/>
      <w:spacing w:val="-30"/>
      <w:sz w:val="28"/>
      <w:szCs w:val="24"/>
      <w:u w:val="single"/>
    </w:rPr>
  </w:style>
  <w:style w:type="paragraph" w:customStyle="1" w:styleId="39">
    <w:name w:val="寄信人地址1"/>
    <w:basedOn w:val="1"/>
    <w:autoRedefine/>
    <w:qFormat/>
    <w:uiPriority w:val="0"/>
    <w:pPr>
      <w:snapToGrid w:val="0"/>
    </w:pPr>
    <w:rPr>
      <w:rFonts w:ascii="Arial" w:hAnsi="Arial"/>
    </w:rPr>
  </w:style>
  <w:style w:type="paragraph" w:customStyle="1" w:styleId="40">
    <w:name w:val="正文首行缩进1"/>
    <w:basedOn w:val="41"/>
    <w:autoRedefine/>
    <w:qFormat/>
    <w:uiPriority w:val="0"/>
    <w:pPr>
      <w:ind w:firstLine="420" w:firstLineChars="100"/>
    </w:pPr>
  </w:style>
  <w:style w:type="paragraph" w:customStyle="1" w:styleId="41">
    <w:name w:val="正文文本1"/>
    <w:basedOn w:val="1"/>
    <w:qFormat/>
    <w:uiPriority w:val="0"/>
    <w:pPr>
      <w:spacing w:beforeAutospacing="0" w:after="120" w:afterAutospacing="0"/>
    </w:pPr>
    <w:rPr>
      <w:rFonts w:ascii="Times New Roman" w:hAnsi="Times New Roman"/>
      <w:szCs w:val="24"/>
    </w:rPr>
  </w:style>
  <w:style w:type="paragraph" w:customStyle="1" w:styleId="42">
    <w:name w:val="正文文本 21"/>
    <w:basedOn w:val="1"/>
    <w:qFormat/>
    <w:uiPriority w:val="0"/>
    <w:pPr>
      <w:spacing w:beforeAutospacing="0" w:after="120" w:afterAutospacing="0" w:line="480" w:lineRule="auto"/>
    </w:pPr>
  </w:style>
  <w:style w:type="character" w:customStyle="1" w:styleId="43">
    <w:name w:val=" Char Char24"/>
    <w:link w:val="33"/>
    <w:autoRedefine/>
    <w:qFormat/>
    <w:uiPriority w:val="0"/>
    <w:rPr>
      <w:rFonts w:ascii="Calibri" w:hAnsi="Calibri" w:eastAsia="宋体"/>
      <w:b/>
      <w:bCs/>
      <w:kern w:val="44"/>
      <w:sz w:val="44"/>
      <w:szCs w:val="44"/>
    </w:rPr>
  </w:style>
  <w:style w:type="paragraph" w:customStyle="1" w:styleId="44">
    <w:name w:val="页脚1"/>
    <w:basedOn w:val="1"/>
    <w:autoRedefine/>
    <w:qFormat/>
    <w:uiPriority w:val="0"/>
    <w:pPr>
      <w:tabs>
        <w:tab w:val="center" w:pos="4153"/>
        <w:tab w:val="right" w:pos="8306"/>
      </w:tabs>
      <w:snapToGrid w:val="0"/>
      <w:jc w:val="left"/>
    </w:pPr>
    <w:rPr>
      <w:sz w:val="18"/>
      <w:szCs w:val="18"/>
    </w:rPr>
  </w:style>
  <w:style w:type="paragraph" w:customStyle="1" w:styleId="45">
    <w:name w:val="页眉1"/>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customStyle="1" w:styleId="46">
    <w:name w:val="标题1"/>
    <w:basedOn w:val="1"/>
    <w:qFormat/>
    <w:uiPriority w:val="0"/>
    <w:pPr>
      <w:spacing w:before="240" w:beforeAutospacing="0" w:after="60" w:afterAutospacing="0"/>
      <w:jc w:val="center"/>
      <w:outlineLvl w:val="0"/>
    </w:pPr>
    <w:rPr>
      <w:rFonts w:ascii="Cambria" w:hAnsi="Cambria"/>
      <w:b/>
      <w:bCs/>
      <w:sz w:val="32"/>
      <w:szCs w:val="32"/>
    </w:rPr>
  </w:style>
  <w:style w:type="character" w:customStyle="1" w:styleId="47">
    <w:name w:val="要点1"/>
    <w:basedOn w:val="35"/>
    <w:link w:val="1"/>
    <w:autoRedefine/>
    <w:qFormat/>
    <w:uiPriority w:val="0"/>
    <w:rPr>
      <w:b/>
    </w:rPr>
  </w:style>
  <w:style w:type="character" w:customStyle="1" w:styleId="48">
    <w:name w:val="页码1"/>
    <w:basedOn w:val="35"/>
    <w:link w:val="1"/>
    <w:autoRedefine/>
    <w:qFormat/>
    <w:uiPriority w:val="0"/>
    <w:rPr>
      <w:rFonts w:ascii="Arial" w:hAnsi="Arial" w:eastAsia="黑体"/>
      <w:kern w:val="2"/>
      <w:sz w:val="21"/>
      <w:szCs w:val="21"/>
      <w:lang w:val="en-US" w:eastAsia="zh-CN" w:bidi="ar-SA"/>
    </w:rPr>
  </w:style>
  <w:style w:type="character" w:customStyle="1" w:styleId="49">
    <w:name w:val="已访问的超链接1"/>
    <w:basedOn w:val="35"/>
    <w:link w:val="1"/>
    <w:autoRedefine/>
    <w:qFormat/>
    <w:uiPriority w:val="0"/>
    <w:rPr>
      <w:color w:val="800080"/>
      <w:u w:val="none"/>
    </w:rPr>
  </w:style>
  <w:style w:type="character" w:customStyle="1" w:styleId="50">
    <w:name w:val="强调1"/>
    <w:basedOn w:val="35"/>
    <w:link w:val="1"/>
    <w:autoRedefine/>
    <w:qFormat/>
    <w:uiPriority w:val="0"/>
    <w:rPr>
      <w:b/>
    </w:rPr>
  </w:style>
  <w:style w:type="character" w:customStyle="1" w:styleId="51">
    <w:name w:val="HTML 定义1"/>
    <w:basedOn w:val="35"/>
    <w:link w:val="1"/>
    <w:qFormat/>
    <w:uiPriority w:val="0"/>
  </w:style>
  <w:style w:type="character" w:customStyle="1" w:styleId="52">
    <w:name w:val="HTML 打字机1"/>
    <w:basedOn w:val="35"/>
    <w:link w:val="1"/>
    <w:autoRedefine/>
    <w:qFormat/>
    <w:uiPriority w:val="0"/>
    <w:rPr>
      <w:rFonts w:ascii="monospace" w:hAnsi="monospace" w:eastAsia="monospace"/>
      <w:vanish/>
      <w:sz w:val="20"/>
    </w:rPr>
  </w:style>
  <w:style w:type="character" w:customStyle="1" w:styleId="53">
    <w:name w:val="HTML 缩写1"/>
    <w:basedOn w:val="35"/>
    <w:link w:val="1"/>
    <w:qFormat/>
    <w:uiPriority w:val="0"/>
  </w:style>
  <w:style w:type="character" w:customStyle="1" w:styleId="54">
    <w:name w:val="HTML 变量1"/>
    <w:basedOn w:val="35"/>
    <w:link w:val="1"/>
    <w:qFormat/>
    <w:uiPriority w:val="0"/>
  </w:style>
  <w:style w:type="character" w:customStyle="1" w:styleId="55">
    <w:name w:val="超链接1"/>
    <w:link w:val="1"/>
    <w:autoRedefine/>
    <w:qFormat/>
    <w:uiPriority w:val="0"/>
    <w:rPr>
      <w:color w:val="0000FF"/>
      <w:u w:val="none"/>
    </w:rPr>
  </w:style>
  <w:style w:type="character" w:customStyle="1" w:styleId="56">
    <w:name w:val="HTML 代码1"/>
    <w:basedOn w:val="35"/>
    <w:link w:val="1"/>
    <w:qFormat/>
    <w:uiPriority w:val="0"/>
    <w:rPr>
      <w:rFonts w:ascii="monospace" w:hAnsi="monospace" w:eastAsia="monospace"/>
      <w:sz w:val="20"/>
    </w:rPr>
  </w:style>
  <w:style w:type="character" w:customStyle="1" w:styleId="57">
    <w:name w:val="HTML 引文1"/>
    <w:basedOn w:val="35"/>
    <w:link w:val="1"/>
    <w:qFormat/>
    <w:uiPriority w:val="0"/>
  </w:style>
  <w:style w:type="character" w:customStyle="1" w:styleId="58">
    <w:name w:val="HTML 键盘1"/>
    <w:basedOn w:val="35"/>
    <w:link w:val="1"/>
    <w:qFormat/>
    <w:uiPriority w:val="0"/>
    <w:rPr>
      <w:rFonts w:ascii="monospace" w:hAnsi="monospace" w:eastAsia="monospace"/>
      <w:sz w:val="20"/>
    </w:rPr>
  </w:style>
  <w:style w:type="character" w:customStyle="1" w:styleId="59">
    <w:name w:val="HTML 样本1"/>
    <w:basedOn w:val="35"/>
    <w:link w:val="1"/>
    <w:qFormat/>
    <w:uiPriority w:val="0"/>
    <w:rPr>
      <w:rFonts w:ascii="monospace" w:hAnsi="monospace" w:eastAsia="monospace"/>
    </w:rPr>
  </w:style>
  <w:style w:type="character" w:customStyle="1" w:styleId="60">
    <w:name w:val="question-title2"/>
    <w:link w:val="1"/>
    <w:autoRedefine/>
    <w:qFormat/>
    <w:uiPriority w:val="0"/>
    <w:rPr>
      <w:rFonts w:ascii="Times New Roman" w:hAnsi="Times New Roman"/>
    </w:rPr>
  </w:style>
  <w:style w:type="character" w:customStyle="1" w:styleId="61">
    <w:name w:val="hover1"/>
    <w:basedOn w:val="35"/>
    <w:link w:val="1"/>
    <w:qFormat/>
    <w:uiPriority w:val="0"/>
    <w:rPr>
      <w:color w:val="2590EB"/>
    </w:rPr>
  </w:style>
  <w:style w:type="character" w:customStyle="1" w:styleId="62">
    <w:name w:val="hover2"/>
    <w:basedOn w:val="35"/>
    <w:link w:val="1"/>
    <w:autoRedefine/>
    <w:qFormat/>
    <w:uiPriority w:val="0"/>
    <w:rPr>
      <w:color w:val="2590EB"/>
    </w:rPr>
  </w:style>
  <w:style w:type="character" w:customStyle="1" w:styleId="63">
    <w:name w:val="hover3"/>
    <w:basedOn w:val="35"/>
    <w:link w:val="1"/>
    <w:autoRedefine/>
    <w:qFormat/>
    <w:uiPriority w:val="0"/>
  </w:style>
  <w:style w:type="character" w:customStyle="1" w:styleId="64">
    <w:name w:val="mini-outputtext1"/>
    <w:basedOn w:val="35"/>
    <w:link w:val="1"/>
    <w:autoRedefine/>
    <w:qFormat/>
    <w:uiPriority w:val="0"/>
  </w:style>
  <w:style w:type="paragraph" w:customStyle="1" w:styleId="65">
    <w:name w:val="列出段落2"/>
    <w:basedOn w:val="1"/>
    <w:autoRedefine/>
    <w:qFormat/>
    <w:uiPriority w:val="0"/>
    <w:pPr>
      <w:ind w:firstLine="420" w:firstLineChars="200"/>
    </w:pPr>
    <w:rPr>
      <w:rFonts w:ascii="Calibri" w:hAnsi="Calibri"/>
      <w:szCs w:val="22"/>
    </w:rPr>
  </w:style>
  <w:style w:type="paragraph" w:customStyle="1" w:styleId="66">
    <w:name w:val="Table Paragraph"/>
    <w:basedOn w:val="1"/>
    <w:autoRedefine/>
    <w:qFormat/>
    <w:uiPriority w:val="0"/>
    <w:pPr>
      <w:jc w:val="left"/>
    </w:pPr>
    <w:rPr>
      <w:rFonts w:ascii="Calibri" w:hAnsi="Calibri" w:eastAsia="Calibri"/>
      <w:kern w:val="0"/>
      <w:sz w:val="22"/>
      <w:lang w:eastAsia="en-US"/>
    </w:rPr>
  </w:style>
  <w:style w:type="paragraph" w:customStyle="1" w:styleId="67">
    <w:name w:val="List Paragraph1"/>
    <w:basedOn w:val="1"/>
    <w:autoRedefine/>
    <w:qFormat/>
    <w:uiPriority w:val="0"/>
    <w:pPr>
      <w:ind w:firstLine="420" w:firstLineChars="200"/>
      <w:jc w:val="both"/>
    </w:pPr>
    <w:rPr>
      <w:kern w:val="2"/>
      <w:sz w:val="21"/>
      <w:szCs w:val="21"/>
      <w:lang w:eastAsia="zh-CN"/>
    </w:rPr>
  </w:style>
  <w:style w:type="character" w:customStyle="1" w:styleId="68">
    <w:name w:val="hover"/>
    <w:basedOn w:val="18"/>
    <w:qFormat/>
    <w:uiPriority w:val="0"/>
    <w:rPr>
      <w:color w:val="2590EB"/>
    </w:rPr>
  </w:style>
  <w:style w:type="character" w:customStyle="1" w:styleId="69">
    <w:name w:val="font61"/>
    <w:basedOn w:val="18"/>
    <w:autoRedefine/>
    <w:qFormat/>
    <w:uiPriority w:val="0"/>
    <w:rPr>
      <w:rFonts w:hint="default" w:ascii="DejaVu Sans" w:hAnsi="DejaVu Sans" w:eastAsia="DejaVu Sans" w:cs="DejaVu Sans"/>
      <w:color w:val="000000"/>
      <w:sz w:val="24"/>
      <w:szCs w:val="24"/>
      <w:u w:val="none"/>
    </w:rPr>
  </w:style>
  <w:style w:type="character" w:customStyle="1" w:styleId="70">
    <w:name w:val="font41"/>
    <w:basedOn w:val="18"/>
    <w:autoRedefine/>
    <w:qFormat/>
    <w:uiPriority w:val="0"/>
    <w:rPr>
      <w:rFonts w:hint="default" w:ascii="仿宋_GB2312" w:eastAsia="仿宋_GB2312" w:cs="仿宋_GB2312"/>
      <w:color w:val="000000"/>
      <w:sz w:val="24"/>
      <w:szCs w:val="24"/>
      <w:u w:val="none"/>
    </w:rPr>
  </w:style>
  <w:style w:type="paragraph" w:customStyle="1" w:styleId="71">
    <w:name w:val="样式 标题 2 + Times New Roman 四号 非加粗 段前: 5 磅 段后: 0 磅 行距: 固定值 20..."/>
    <w:basedOn w:val="2"/>
    <w:autoRedefine/>
    <w:qFormat/>
    <w:uiPriority w:val="0"/>
    <w:pPr>
      <w:spacing w:before="100" w:line="400" w:lineRule="exact"/>
    </w:pPr>
    <w:rPr>
      <w:rFonts w:ascii="Times New Roman" w:hAnsi="Times New Roman"/>
      <w:b w:val="0"/>
      <w:bCs w:val="0"/>
      <w:sz w:val="28"/>
      <w:szCs w:val="20"/>
    </w:rPr>
  </w:style>
  <w:style w:type="paragraph" w:styleId="72">
    <w:name w:val="List Paragraph"/>
    <w:basedOn w:val="1"/>
    <w:autoRedefine/>
    <w:qFormat/>
    <w:uiPriority w:val="99"/>
    <w:pPr>
      <w:ind w:firstLine="420" w:firstLineChars="200"/>
    </w:pPr>
  </w:style>
  <w:style w:type="paragraph" w:customStyle="1" w:styleId="73">
    <w:name w:val="Body text|1"/>
    <w:basedOn w:val="1"/>
    <w:qFormat/>
    <w:uiPriority w:val="0"/>
    <w:pPr>
      <w:widowControl w:val="0"/>
      <w:shd w:val="clear" w:color="auto" w:fill="auto"/>
      <w:spacing w:line="454" w:lineRule="auto"/>
      <w:ind w:firstLine="400"/>
    </w:pPr>
    <w:rPr>
      <w:rFonts w:ascii="宋体" w:hAnsi="宋体" w:eastAsia="宋体" w:cs="宋体"/>
      <w:sz w:val="22"/>
      <w:szCs w:val="22"/>
      <w:u w:val="none"/>
      <w:shd w:val="clear" w:color="auto" w:fill="auto"/>
      <w:lang w:val="zh-TW" w:eastAsia="zh-TW" w:bidi="zh-TW"/>
    </w:rPr>
  </w:style>
  <w:style w:type="character" w:customStyle="1" w:styleId="74">
    <w:name w:val="font101"/>
    <w:basedOn w:val="18"/>
    <w:qFormat/>
    <w:uiPriority w:val="0"/>
    <w:rPr>
      <w:rFonts w:hint="default" w:ascii="DejaVu Sans" w:hAnsi="DejaVu Sans" w:eastAsia="DejaVu Sans" w:cs="DejaVu Sans"/>
      <w:color w:val="000000"/>
      <w:sz w:val="24"/>
      <w:szCs w:val="24"/>
      <w:u w:val="none"/>
    </w:rPr>
  </w:style>
  <w:style w:type="character" w:customStyle="1" w:styleId="75">
    <w:name w:val="font71"/>
    <w:basedOn w:val="18"/>
    <w:qFormat/>
    <w:uiPriority w:val="0"/>
    <w:rPr>
      <w:rFonts w:hint="default" w:ascii="仿宋_GB2312" w:eastAsia="仿宋_GB2312" w:cs="仿宋_GB2312"/>
      <w:color w:val="000000"/>
      <w:sz w:val="24"/>
      <w:szCs w:val="24"/>
      <w:u w:val="none"/>
    </w:rPr>
  </w:style>
  <w:style w:type="paragraph" w:customStyle="1" w:styleId="76">
    <w:name w:val="样式 小四"/>
    <w:autoRedefine/>
    <w:qFormat/>
    <w:uiPriority w:val="99"/>
    <w:pPr>
      <w:widowControl w:val="0"/>
      <w:adjustRightInd w:val="0"/>
      <w:spacing w:line="360" w:lineRule="atLeast"/>
      <w:textAlignment w:val="baseline"/>
    </w:pPr>
    <w:rPr>
      <w:rFonts w:ascii="Calibri" w:hAnsi="Calibri" w:eastAsia="宋体" w:cs="Calibri"/>
      <w:sz w:val="24"/>
      <w:szCs w:val="24"/>
      <w:lang w:val="en-US" w:eastAsia="zh-CN" w:bidi="ar-SA"/>
    </w:rPr>
  </w:style>
  <w:style w:type="character" w:customStyle="1" w:styleId="77">
    <w:name w:val="font3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6019</Words>
  <Characters>6629</Characters>
  <Lines>0</Lines>
  <Paragraphs>0</Paragraphs>
  <TotalTime>66</TotalTime>
  <ScaleCrop>false</ScaleCrop>
  <LinksUpToDate>false</LinksUpToDate>
  <CharactersWithSpaces>6663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2023-03-26T08:53:00Z</dcterms:created>
  <dc:creator>Administrator</dc:creator>
  <cp:lastModifiedBy>Administrator</cp:lastModifiedBy>
  <cp:lastPrinted>2025-11-20T08:36:00Z</cp:lastPrinted>
  <dcterms:modified xsi:type="dcterms:W3CDTF">2025-11-21T08:38:05Z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2163427F83044D6DADED131F2E79684F_13</vt:lpwstr>
  </property>
  <property fmtid="{D5CDD505-2E9C-101B-9397-08002B2CF9AE}" pid="4" name="KSOTemplateDocerSaveRecord">
    <vt:lpwstr>eyJoZGlkIjoiZTBlOTI2ZGIyYjhjMjQwZjY1NTM0NDkwYjQxZTJhZWIiLCJ1c2VySWQiOiIyNzAwNDM4NDUifQ==</vt:lpwstr>
  </property>
</Properties>
</file>