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8C79">
      <w:pPr>
        <w:pStyle w:val="20"/>
        <w:ind w:left="0" w:leftChars="0" w:firstLine="0" w:firstLineChars="0"/>
        <w:jc w:val="center"/>
        <w:rPr>
          <w:rFonts w:hint="eastAsia" w:ascii="宋体" w:hAnsi="宋体" w:cs="宋体"/>
          <w:b/>
          <w:bCs/>
          <w:color w:val="auto"/>
          <w:sz w:val="44"/>
          <w:szCs w:val="44"/>
          <w:highlight w:val="none"/>
          <w:lang w:eastAsia="zh-CN"/>
        </w:rPr>
      </w:pPr>
    </w:p>
    <w:p w14:paraId="25DD9975">
      <w:pPr>
        <w:pStyle w:val="20"/>
        <w:ind w:left="0" w:leftChars="0" w:firstLine="0" w:firstLineChars="0"/>
        <w:jc w:val="center"/>
        <w:rPr>
          <w:rFonts w:hint="eastAsia" w:ascii="宋体" w:hAnsi="宋体" w:eastAsia="宋体" w:cs="宋体"/>
          <w:color w:val="auto"/>
          <w:sz w:val="40"/>
          <w:szCs w:val="40"/>
          <w:highlight w:val="none"/>
        </w:rPr>
      </w:pPr>
      <w:r>
        <w:rPr>
          <w:rFonts w:hint="eastAsia" w:ascii="宋体" w:hAnsi="宋体" w:cs="宋体"/>
          <w:b/>
          <w:bCs/>
          <w:color w:val="auto"/>
          <w:sz w:val="40"/>
          <w:szCs w:val="40"/>
          <w:highlight w:val="none"/>
          <w:lang w:eastAsia="zh-CN"/>
        </w:rPr>
        <w:t>卢氏县2025年地膜科学使用回收试点项目</w:t>
      </w:r>
    </w:p>
    <w:p w14:paraId="6A09852A">
      <w:pPr>
        <w:pStyle w:val="20"/>
        <w:ind w:firstLine="480"/>
        <w:jc w:val="center"/>
        <w:rPr>
          <w:rFonts w:hint="eastAsia" w:ascii="宋体" w:hAnsi="宋体" w:eastAsia="宋体" w:cs="宋体"/>
          <w:color w:val="auto"/>
          <w:sz w:val="28"/>
          <w:szCs w:val="22"/>
          <w:highlight w:val="none"/>
        </w:rPr>
      </w:pPr>
    </w:p>
    <w:p w14:paraId="6FCD9282">
      <w:pPr>
        <w:widowControl/>
        <w:spacing w:line="264"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pacing w:val="20"/>
          <w:kern w:val="0"/>
          <w:sz w:val="52"/>
          <w:szCs w:val="52"/>
          <w:highlight w:val="none"/>
        </w:rPr>
        <w:t>招 标 文 件</w:t>
      </w:r>
    </w:p>
    <w:p w14:paraId="12FC584B">
      <w:pPr>
        <w:widowControl/>
        <w:spacing w:line="360" w:lineRule="auto"/>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项目编号：三卢公开采购-2025-82</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b/>
          <w:bCs/>
          <w:color w:val="auto"/>
          <w:kern w:val="0"/>
          <w:sz w:val="18"/>
          <w:szCs w:val="18"/>
          <w:highlight w:val="none"/>
          <w:lang w:val="en-US" w:eastAsia="zh-CN"/>
        </w:rPr>
        <w:t>LSGZ[2025]335-ZC190</w:t>
      </w:r>
    </w:p>
    <w:p w14:paraId="05A05B49">
      <w:pPr>
        <w:widowControl/>
        <w:spacing w:line="360" w:lineRule="auto"/>
        <w:jc w:val="center"/>
        <w:rPr>
          <w:rFonts w:hint="eastAsia" w:ascii="宋体" w:hAnsi="宋体" w:eastAsia="宋体" w:cs="宋体"/>
          <w:b/>
          <w:bCs/>
          <w:color w:val="auto"/>
          <w:kern w:val="0"/>
          <w:sz w:val="32"/>
          <w:szCs w:val="32"/>
          <w:highlight w:val="none"/>
          <w:lang w:val="en-US" w:eastAsia="zh-CN"/>
        </w:rPr>
      </w:pPr>
    </w:p>
    <w:p w14:paraId="33D030F4">
      <w:pPr>
        <w:widowControl/>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p>
    <w:p w14:paraId="343CC7C3">
      <w:pPr>
        <w:widowControl/>
        <w:spacing w:line="480" w:lineRule="exact"/>
        <w:ind w:firstLine="1546" w:firstLineChars="550"/>
        <w:jc w:val="left"/>
        <w:rPr>
          <w:rFonts w:hint="eastAsia" w:ascii="宋体" w:hAnsi="宋体" w:eastAsia="宋体" w:cs="宋体"/>
          <w:b/>
          <w:bCs/>
          <w:color w:val="auto"/>
          <w:kern w:val="0"/>
          <w:sz w:val="28"/>
          <w:szCs w:val="28"/>
          <w:highlight w:val="none"/>
        </w:rPr>
      </w:pPr>
    </w:p>
    <w:p w14:paraId="5882AADA">
      <w:pPr>
        <w:widowControl/>
        <w:spacing w:line="360" w:lineRule="auto"/>
        <w:ind w:firstLine="1656" w:firstLineChars="550"/>
        <w:jc w:val="left"/>
        <w:rPr>
          <w:rFonts w:hint="eastAsia" w:ascii="宋体" w:hAnsi="宋体" w:eastAsia="宋体" w:cs="宋体"/>
          <w:b/>
          <w:bCs/>
          <w:color w:val="auto"/>
          <w:kern w:val="0"/>
          <w:sz w:val="30"/>
          <w:szCs w:val="30"/>
          <w:highlight w:val="none"/>
        </w:rPr>
      </w:pPr>
    </w:p>
    <w:p w14:paraId="4EF0D530">
      <w:pPr>
        <w:pStyle w:val="13"/>
        <w:rPr>
          <w:rFonts w:hint="eastAsia" w:ascii="宋体" w:hAnsi="宋体" w:eastAsia="宋体" w:cs="宋体"/>
          <w:b/>
          <w:bCs/>
          <w:color w:val="auto"/>
          <w:kern w:val="0"/>
          <w:sz w:val="30"/>
          <w:szCs w:val="30"/>
          <w:highlight w:val="none"/>
        </w:rPr>
      </w:pPr>
      <w:r>
        <w:rPr>
          <w:rFonts w:ascii="宋体" w:hAnsi="宋体" w:eastAsia="仿宋_GB2312"/>
          <w:b/>
          <w:color w:val="000000"/>
          <w:kern w:val="2"/>
          <w:sz w:val="30"/>
          <w:szCs w:val="22"/>
          <w:u w:val="none" w:color="000000"/>
        </w:rPr>
        <w:pict>
          <v:shape id="_x0000_s2050" o:spid="_x0000_s2050" o:spt="75" alt="" type="#_x0000_t75" style="position:absolute;left:0pt;margin-left:95.95pt;margin-top:16.1pt;height:167.7pt;width:232.2pt;z-index:-251657216;mso-width-relative:page;mso-height-relative:page;" filled="f" o:preferrelative="t" stroked="f" coordsize="21600,21600">
            <v:path/>
            <v:fill on="f" focussize="0,0"/>
            <v:stroke on="f"/>
            <v:imagedata r:id="rId9" o:title=""/>
            <o:lock v:ext="edit" rotation="t" aspectratio="t"/>
          </v:shape>
        </w:pict>
      </w:r>
    </w:p>
    <w:p w14:paraId="31A576F9">
      <w:pPr>
        <w:rPr>
          <w:rFonts w:hint="eastAsia" w:ascii="宋体" w:hAnsi="宋体" w:eastAsia="宋体" w:cs="宋体"/>
          <w:b/>
          <w:bCs/>
          <w:color w:val="auto"/>
          <w:kern w:val="0"/>
          <w:sz w:val="30"/>
          <w:szCs w:val="30"/>
          <w:highlight w:val="none"/>
        </w:rPr>
      </w:pPr>
    </w:p>
    <w:p w14:paraId="7E0BE5A3">
      <w:pPr>
        <w:pStyle w:val="13"/>
        <w:rPr>
          <w:rFonts w:hint="eastAsia" w:ascii="宋体" w:hAnsi="宋体" w:eastAsia="宋体" w:cs="宋体"/>
          <w:b/>
          <w:bCs/>
          <w:color w:val="auto"/>
          <w:kern w:val="0"/>
          <w:sz w:val="30"/>
          <w:szCs w:val="30"/>
          <w:highlight w:val="none"/>
        </w:rPr>
      </w:pPr>
    </w:p>
    <w:p w14:paraId="05E067CF">
      <w:pPr>
        <w:rPr>
          <w:rFonts w:hint="eastAsia" w:ascii="宋体" w:hAnsi="宋体" w:eastAsia="宋体" w:cs="宋体"/>
          <w:b/>
          <w:bCs/>
          <w:color w:val="auto"/>
          <w:kern w:val="0"/>
          <w:sz w:val="30"/>
          <w:szCs w:val="30"/>
          <w:highlight w:val="none"/>
        </w:rPr>
      </w:pPr>
    </w:p>
    <w:p w14:paraId="172FDDF8">
      <w:pPr>
        <w:pStyle w:val="13"/>
        <w:rPr>
          <w:rFonts w:hint="eastAsia" w:ascii="宋体" w:hAnsi="宋体" w:eastAsia="宋体" w:cs="宋体"/>
          <w:b/>
          <w:bCs/>
          <w:color w:val="auto"/>
          <w:kern w:val="0"/>
          <w:sz w:val="30"/>
          <w:szCs w:val="30"/>
          <w:highlight w:val="none"/>
        </w:rPr>
      </w:pPr>
    </w:p>
    <w:p w14:paraId="0061DE81">
      <w:pPr>
        <w:rPr>
          <w:rFonts w:hint="eastAsia" w:ascii="宋体" w:hAnsi="宋体" w:eastAsia="宋体" w:cs="宋体"/>
          <w:b/>
          <w:bCs/>
          <w:color w:val="auto"/>
          <w:kern w:val="0"/>
          <w:sz w:val="30"/>
          <w:szCs w:val="30"/>
          <w:highlight w:val="none"/>
        </w:rPr>
      </w:pPr>
    </w:p>
    <w:p w14:paraId="0BB27C15">
      <w:pPr>
        <w:pStyle w:val="13"/>
        <w:rPr>
          <w:rFonts w:hint="eastAsia"/>
        </w:rPr>
      </w:pPr>
    </w:p>
    <w:p w14:paraId="0CFDD1CB">
      <w:pPr>
        <w:pStyle w:val="20"/>
        <w:ind w:firstLine="480"/>
        <w:rPr>
          <w:rFonts w:hint="eastAsia" w:ascii="宋体" w:hAnsi="宋体" w:eastAsia="宋体" w:cs="宋体"/>
          <w:color w:val="auto"/>
          <w:highlight w:val="none"/>
        </w:rPr>
      </w:pPr>
    </w:p>
    <w:p w14:paraId="0A8EC83C">
      <w:pPr>
        <w:widowControl/>
        <w:spacing w:line="700" w:lineRule="exact"/>
        <w:ind w:left="0" w:leftChars="0" w:firstLine="2339" w:firstLineChars="728"/>
        <w:jc w:val="both"/>
        <w:rPr>
          <w:rFonts w:hint="eastAsia" w:ascii="宋体" w:hAnsi="宋体" w:eastAsia="宋体" w:cs="宋体"/>
          <w:b/>
          <w:bCs/>
          <w:color w:val="auto"/>
          <w:kern w:val="0"/>
          <w:sz w:val="32"/>
          <w:szCs w:val="32"/>
          <w:highlight w:val="none"/>
        </w:rPr>
      </w:pPr>
    </w:p>
    <w:p w14:paraId="41134278">
      <w:pPr>
        <w:keepNext w:val="0"/>
        <w:keepLines w:val="0"/>
        <w:pageBreakBefore w:val="0"/>
        <w:widowControl/>
        <w:kinsoku/>
        <w:wordWrap/>
        <w:overflowPunct/>
        <w:topLinePunct w:val="0"/>
        <w:autoSpaceDE/>
        <w:autoSpaceDN/>
        <w:bidi w:val="0"/>
        <w:adjustRightInd/>
        <w:snapToGrid/>
        <w:spacing w:line="640" w:lineRule="exact"/>
        <w:ind w:left="0" w:leftChars="0" w:firstLine="2474" w:firstLineChars="1027"/>
        <w:jc w:val="both"/>
        <w:textAlignment w:val="auto"/>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采</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购</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人：</w:t>
      </w:r>
      <w:r>
        <w:rPr>
          <w:rFonts w:hint="eastAsia" w:ascii="宋体" w:hAnsi="宋体" w:cs="宋体"/>
          <w:b/>
          <w:bCs/>
          <w:color w:val="auto"/>
          <w:kern w:val="0"/>
          <w:sz w:val="24"/>
          <w:szCs w:val="24"/>
          <w:highlight w:val="none"/>
          <w:lang w:eastAsia="zh-CN"/>
        </w:rPr>
        <w:t>卢氏县农业农村局</w:t>
      </w:r>
    </w:p>
    <w:p w14:paraId="3659D6B6">
      <w:pPr>
        <w:keepNext w:val="0"/>
        <w:keepLines w:val="0"/>
        <w:pageBreakBefore w:val="0"/>
        <w:widowControl/>
        <w:kinsoku/>
        <w:wordWrap/>
        <w:overflowPunct/>
        <w:topLinePunct w:val="0"/>
        <w:autoSpaceDE/>
        <w:autoSpaceDN/>
        <w:bidi w:val="0"/>
        <w:adjustRightInd/>
        <w:snapToGrid/>
        <w:spacing w:line="640" w:lineRule="exact"/>
        <w:ind w:left="0" w:leftChars="0" w:firstLine="316" w:firstLineChars="131"/>
        <w:jc w:val="center"/>
        <w:textAlignment w:val="auto"/>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采购代理机构：</w:t>
      </w:r>
      <w:r>
        <w:rPr>
          <w:rFonts w:hint="eastAsia" w:ascii="宋体" w:hAnsi="宋体" w:cs="宋体"/>
          <w:b/>
          <w:bCs/>
          <w:color w:val="auto"/>
          <w:kern w:val="0"/>
          <w:sz w:val="24"/>
          <w:szCs w:val="24"/>
          <w:highlight w:val="none"/>
          <w:lang w:eastAsia="zh-CN"/>
        </w:rPr>
        <w:t>河南高誉工程咨询有限公司</w:t>
      </w:r>
    </w:p>
    <w:p w14:paraId="4CC675F9">
      <w:pPr>
        <w:keepNext w:val="0"/>
        <w:keepLines w:val="0"/>
        <w:pageBreakBefore w:val="0"/>
        <w:widowControl/>
        <w:kinsoku/>
        <w:wordWrap/>
        <w:overflowPunct/>
        <w:topLinePunct w:val="0"/>
        <w:autoSpaceDE/>
        <w:autoSpaceDN/>
        <w:bidi w:val="0"/>
        <w:adjustRightInd/>
        <w:snapToGrid/>
        <w:spacing w:line="640" w:lineRule="exact"/>
        <w:ind w:firstLine="2409" w:firstLineChars="10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期：二〇二</w:t>
      </w: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十一</w:t>
      </w:r>
      <w:r>
        <w:rPr>
          <w:rFonts w:hint="eastAsia" w:ascii="宋体" w:hAnsi="宋体" w:eastAsia="宋体" w:cs="宋体"/>
          <w:b/>
          <w:bCs/>
          <w:color w:val="auto"/>
          <w:kern w:val="0"/>
          <w:sz w:val="24"/>
          <w:szCs w:val="24"/>
          <w:highlight w:val="none"/>
        </w:rPr>
        <w:t>月</w:t>
      </w:r>
    </w:p>
    <w:p w14:paraId="43252EF5">
      <w:pPr>
        <w:pStyle w:val="94"/>
        <w:rPr>
          <w:rFonts w:hint="eastAsia" w:ascii="宋体" w:hAnsi="宋体" w:eastAsia="宋体" w:cs="宋体"/>
          <w:b/>
          <w:bCs/>
          <w:color w:val="auto"/>
          <w:kern w:val="0"/>
          <w:sz w:val="22"/>
          <w:szCs w:val="22"/>
          <w:highlight w:val="none"/>
        </w:rPr>
      </w:pPr>
    </w:p>
    <w:p w14:paraId="39DAB17E">
      <w:pPr>
        <w:pStyle w:val="94"/>
        <w:rPr>
          <w:rFonts w:hint="eastAsia" w:ascii="宋体" w:hAnsi="宋体" w:eastAsia="宋体" w:cs="宋体"/>
          <w:b/>
          <w:bCs/>
          <w:color w:val="auto"/>
          <w:kern w:val="0"/>
          <w:sz w:val="32"/>
          <w:szCs w:val="32"/>
          <w:highlight w:val="none"/>
        </w:rPr>
      </w:pPr>
    </w:p>
    <w:p w14:paraId="33A1830F">
      <w:pPr>
        <w:pStyle w:val="94"/>
        <w:rPr>
          <w:rFonts w:hint="eastAsia" w:ascii="宋体" w:hAnsi="宋体" w:eastAsia="宋体" w:cs="宋体"/>
          <w:b/>
          <w:bCs/>
          <w:color w:val="auto"/>
          <w:kern w:val="0"/>
          <w:sz w:val="32"/>
          <w:szCs w:val="32"/>
          <w:highlight w:val="none"/>
        </w:rPr>
      </w:pPr>
    </w:p>
    <w:p w14:paraId="458FB2FC">
      <w:pPr>
        <w:autoSpaceDE w:val="0"/>
        <w:autoSpaceDN w:val="0"/>
        <w:adjustRightInd w:val="0"/>
        <w:spacing w:line="500" w:lineRule="exact"/>
        <w:jc w:val="center"/>
        <w:rPr>
          <w:rFonts w:hint="eastAsia" w:ascii="宋体" w:hAnsi="宋体" w:eastAsia="宋体" w:cs="宋体"/>
          <w:b/>
          <w:color w:val="auto"/>
          <w:kern w:val="0"/>
          <w:sz w:val="44"/>
          <w:szCs w:val="44"/>
          <w:highlight w:val="none"/>
        </w:rPr>
      </w:pPr>
    </w:p>
    <w:p w14:paraId="2A93BA2F">
      <w:pPr>
        <w:autoSpaceDE w:val="0"/>
        <w:autoSpaceDN w:val="0"/>
        <w:adjustRightInd w:val="0"/>
        <w:spacing w:line="500" w:lineRule="exact"/>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目  录</w:t>
      </w:r>
    </w:p>
    <w:p w14:paraId="23ED04CF">
      <w:pPr>
        <w:widowControl/>
        <w:tabs>
          <w:tab w:val="right" w:leader="dot" w:pos="9690"/>
        </w:tabs>
        <w:jc w:val="left"/>
        <w:rPr>
          <w:rFonts w:hint="eastAsia" w:ascii="宋体" w:hAnsi="宋体" w:eastAsia="宋体" w:cs="宋体"/>
          <w:color w:val="auto"/>
          <w:kern w:val="0"/>
          <w:sz w:val="32"/>
          <w:szCs w:val="32"/>
          <w:highlight w:val="none"/>
        </w:rPr>
      </w:pPr>
    </w:p>
    <w:p w14:paraId="0D220764">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_Toc2498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lang w:val="en-US"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_Toc2498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95C20A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_Toc14238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投标供应商须知</w:t>
      </w:r>
      <w:r>
        <w:rPr>
          <w:rFonts w:hint="eastAsia" w:ascii="宋体" w:hAnsi="宋体" w:eastAsia="宋体" w:cs="宋体"/>
          <w:sz w:val="32"/>
          <w:szCs w:val="32"/>
          <w:lang w:val="en-US"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_Toc14238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76A68E6">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_Toc903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采购需求和技术要求</w:t>
      </w:r>
      <w:r>
        <w:rPr>
          <w:rFonts w:hint="eastAsia" w:ascii="宋体" w:hAnsi="宋体" w:eastAsia="宋体" w:cs="宋体"/>
          <w:sz w:val="32"/>
          <w:szCs w:val="32"/>
          <w:lang w:val="en-US"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_Toc903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006B08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_Toc12230 </w:instrText>
      </w:r>
      <w:r>
        <w:rPr>
          <w:rFonts w:hint="eastAsia" w:ascii="宋体" w:hAnsi="宋体" w:eastAsia="宋体" w:cs="宋体"/>
          <w:sz w:val="32"/>
          <w:szCs w:val="32"/>
        </w:rPr>
        <w:fldChar w:fldCharType="separate"/>
      </w:r>
      <w:r>
        <w:rPr>
          <w:rFonts w:hint="eastAsia" w:ascii="宋体" w:hAnsi="宋体" w:eastAsia="宋体" w:cs="宋体"/>
          <w:sz w:val="32"/>
          <w:szCs w:val="32"/>
        </w:rPr>
        <w:t>第四章 评标办法</w:t>
      </w:r>
      <w:r>
        <w:rPr>
          <w:rFonts w:hint="eastAsia" w:ascii="宋体" w:hAnsi="宋体" w:eastAsia="宋体" w:cs="宋体"/>
          <w:sz w:val="32"/>
          <w:szCs w:val="32"/>
          <w:lang w:val="en-US" w:eastAsia="zh-CN"/>
        </w:rPr>
        <w:t>......................................3</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1</w:t>
      </w:r>
    </w:p>
    <w:p w14:paraId="0A9132D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_Toc24560 </w:instrText>
      </w:r>
      <w:r>
        <w:rPr>
          <w:rFonts w:hint="eastAsia" w:ascii="宋体" w:hAnsi="宋体" w:eastAsia="宋体" w:cs="宋体"/>
          <w:sz w:val="32"/>
          <w:szCs w:val="32"/>
        </w:rPr>
        <w:fldChar w:fldCharType="separate"/>
      </w:r>
      <w:r>
        <w:rPr>
          <w:rFonts w:hint="eastAsia" w:ascii="宋体" w:hAnsi="宋体" w:eastAsia="宋体" w:cs="宋体"/>
          <w:sz w:val="32"/>
          <w:szCs w:val="32"/>
        </w:rPr>
        <w:t>第五章 合同条款及格式</w:t>
      </w:r>
      <w:r>
        <w:rPr>
          <w:rFonts w:hint="eastAsia" w:ascii="宋体" w:hAnsi="宋体" w:eastAsia="宋体" w:cs="宋体"/>
          <w:sz w:val="32"/>
          <w:szCs w:val="32"/>
          <w:lang w:val="en-US" w:eastAsia="zh-CN"/>
        </w:rPr>
        <w:t>................................3</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8</w:t>
      </w:r>
    </w:p>
    <w:p w14:paraId="0DEF34F6">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_Toc23982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lang w:val="en-US"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_Toc23982 \h </w:instrText>
      </w:r>
      <w:r>
        <w:rPr>
          <w:rFonts w:hint="eastAsia" w:ascii="宋体" w:hAnsi="宋体" w:eastAsia="宋体" w:cs="宋体"/>
          <w:sz w:val="32"/>
          <w:szCs w:val="32"/>
        </w:rPr>
        <w:fldChar w:fldCharType="separate"/>
      </w:r>
      <w:r>
        <w:rPr>
          <w:rFonts w:hint="eastAsia" w:ascii="宋体" w:hAnsi="宋体" w:eastAsia="宋体" w:cs="宋体"/>
          <w:sz w:val="32"/>
          <w:szCs w:val="32"/>
        </w:rPr>
        <w:t>43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0B359EE">
      <w:pPr>
        <w:rPr>
          <w:rFonts w:hint="eastAsia" w:ascii="宋体" w:hAnsi="宋体" w:eastAsia="宋体" w:cs="宋体"/>
          <w:color w:val="auto"/>
          <w:sz w:val="32"/>
          <w:szCs w:val="32"/>
          <w:highlight w:val="none"/>
        </w:rPr>
        <w:sectPr>
          <w:footerReference r:id="rId3" w:type="default"/>
          <w:pgSz w:w="11915" w:h="16840"/>
          <w:pgMar w:top="1440" w:right="1404" w:bottom="1440" w:left="1691" w:header="720" w:footer="720" w:gutter="0"/>
          <w:pgNumType w:fmt="decimal" w:start="1"/>
          <w:cols w:space="720" w:num="1"/>
          <w:docGrid w:type="lines" w:linePitch="312" w:charSpace="0"/>
        </w:sectPr>
      </w:pPr>
    </w:p>
    <w:p w14:paraId="38E7E90D">
      <w:pPr>
        <w:pStyle w:val="4"/>
        <w:bidi w:val="0"/>
        <w:jc w:val="center"/>
        <w:rPr>
          <w:rFonts w:hint="eastAsia"/>
          <w:color w:val="auto"/>
        </w:rPr>
      </w:pPr>
      <w:bookmarkStart w:id="0" w:name="_Toc80256504"/>
      <w:bookmarkStart w:id="1" w:name="_Toc2498"/>
      <w:r>
        <w:rPr>
          <w:rFonts w:hint="eastAsia"/>
          <w:color w:val="auto"/>
        </w:rPr>
        <w:t>第一章  招标公告</w:t>
      </w:r>
      <w:bookmarkEnd w:id="0"/>
      <w:bookmarkEnd w:id="1"/>
    </w:p>
    <w:p w14:paraId="78FF5C0D">
      <w:pPr>
        <w:pStyle w:val="29"/>
        <w:keepNext w:val="0"/>
        <w:keepLines w:val="0"/>
        <w:pageBreakBefore w:val="0"/>
        <w:widowControl/>
        <w:kinsoku/>
        <w:overflowPunct/>
        <w:topLinePunct w:val="0"/>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sz w:val="22"/>
          <w:szCs w:val="22"/>
          <w:highlight w:val="none"/>
        </w:rPr>
      </w:pPr>
      <w:bookmarkStart w:id="2" w:name="OLE_LINK1"/>
      <w:r>
        <w:rPr>
          <w:rFonts w:hint="eastAsia" w:ascii="宋体" w:hAnsi="宋体" w:eastAsia="宋体" w:cs="宋体"/>
          <w:color w:val="auto"/>
          <w:sz w:val="22"/>
          <w:szCs w:val="22"/>
          <w:highlight w:val="none"/>
          <w:lang w:eastAsia="zh-CN"/>
        </w:rPr>
        <w:t>河南高誉工程咨询有限公司</w:t>
      </w:r>
      <w:r>
        <w:rPr>
          <w:rFonts w:hint="eastAsia" w:ascii="宋体" w:hAnsi="宋体" w:eastAsia="宋体" w:cs="宋体"/>
          <w:color w:val="auto"/>
          <w:sz w:val="22"/>
          <w:szCs w:val="22"/>
          <w:highlight w:val="none"/>
        </w:rPr>
        <w:t>受</w:t>
      </w:r>
      <w:r>
        <w:rPr>
          <w:rFonts w:hint="eastAsia" w:ascii="宋体" w:hAnsi="宋体" w:eastAsia="宋体" w:cs="宋体"/>
          <w:color w:val="auto"/>
          <w:sz w:val="22"/>
          <w:szCs w:val="22"/>
          <w:highlight w:val="none"/>
          <w:lang w:eastAsia="zh-CN"/>
        </w:rPr>
        <w:t>卢氏县农业农村局</w:t>
      </w:r>
      <w:r>
        <w:rPr>
          <w:rFonts w:hint="eastAsia" w:ascii="宋体" w:hAnsi="宋体" w:eastAsia="宋体" w:cs="宋体"/>
          <w:color w:val="auto"/>
          <w:sz w:val="22"/>
          <w:szCs w:val="22"/>
          <w:highlight w:val="none"/>
        </w:rPr>
        <w:t>的委托，对</w:t>
      </w:r>
      <w:r>
        <w:rPr>
          <w:rFonts w:hint="eastAsia" w:ascii="宋体" w:hAnsi="宋体" w:eastAsia="宋体" w:cs="宋体"/>
          <w:color w:val="auto"/>
          <w:sz w:val="22"/>
          <w:szCs w:val="22"/>
          <w:highlight w:val="none"/>
          <w:lang w:eastAsia="zh-CN"/>
        </w:rPr>
        <w:t>卢氏县2025年地膜科学使用回收试点项目</w:t>
      </w:r>
      <w:r>
        <w:rPr>
          <w:rFonts w:hint="eastAsia" w:ascii="宋体" w:hAnsi="宋体" w:eastAsia="宋体" w:cs="宋体"/>
          <w:color w:val="auto"/>
          <w:sz w:val="22"/>
          <w:szCs w:val="22"/>
          <w:highlight w:val="none"/>
        </w:rPr>
        <w:t>进行公开招标，确定全县加厚高强度地膜</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优质供应商，欢迎符合资格条件的供应商参加投标。</w:t>
      </w:r>
    </w:p>
    <w:p w14:paraId="3C4FAF1B">
      <w:pPr>
        <w:keepNext w:val="0"/>
        <w:keepLines w:val="0"/>
        <w:pageBreakBefore w:val="0"/>
        <w:widowControl/>
        <w:numPr>
          <w:ilvl w:val="0"/>
          <w:numId w:val="1"/>
        </w:numPr>
        <w:kinsoku/>
        <w:overflowPunct/>
        <w:topLinePunct w:val="0"/>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项目概况与采购范围</w:t>
      </w:r>
    </w:p>
    <w:p w14:paraId="2A88272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1、项目名称：卢氏县2025年地膜科学使用回收试点项目</w:t>
      </w:r>
    </w:p>
    <w:p w14:paraId="2AD45E2F">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2、项目编号：三卢公开采购-2025-82、LSGZ[2025]335-ZC190</w:t>
      </w:r>
    </w:p>
    <w:p w14:paraId="1FE9C4A8">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3、采购人：卢氏县农业农村局</w:t>
      </w:r>
    </w:p>
    <w:p w14:paraId="2E9FF4A0">
      <w:pPr>
        <w:pStyle w:val="29"/>
        <w:keepNext w:val="0"/>
        <w:keepLines w:val="0"/>
        <w:pageBreakBefore w:val="0"/>
        <w:widowControl/>
        <w:kinsoku/>
        <w:overflowPunct/>
        <w:topLinePunct w:val="0"/>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4、资金来源：财政资金，已落实</w:t>
      </w:r>
    </w:p>
    <w:p w14:paraId="663E3ACE">
      <w:pPr>
        <w:pStyle w:val="29"/>
        <w:keepNext w:val="0"/>
        <w:keepLines w:val="0"/>
        <w:pageBreakBefore w:val="0"/>
        <w:widowControl/>
        <w:kinsoku/>
        <w:overflowPunct/>
        <w:topLinePunct w:val="0"/>
        <w:autoSpaceDN/>
        <w:bidi w:val="0"/>
        <w:adjustRightInd w:val="0"/>
        <w:snapToGrid w:val="0"/>
        <w:spacing w:beforeAutospacing="0" w:afterAutospacing="0"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5、预算资金：总预算价3188125.00元（项目结算以实际供货数量结算为准）,地膜单价12.4元/kg；</w:t>
      </w:r>
    </w:p>
    <w:p w14:paraId="31DBACD2">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6、采购内容：加厚高强度地膜推广11万亩（具体内容详见采购内容及要求）</w:t>
      </w:r>
    </w:p>
    <w:p w14:paraId="77944D74">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7、供货期：根据采购人要求阶段性供货。</w:t>
      </w:r>
    </w:p>
    <w:p w14:paraId="54D6F8DE">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8、质量要求：需符合聚乙烯吹塑农用地面覆盖薄膜《GB13735-2017》标准，使用全新的聚乙烯原料生产，不得使用再生料或回收料。</w:t>
      </w:r>
    </w:p>
    <w:p w14:paraId="6E3A5EDD">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9、质保期：一年</w:t>
      </w:r>
    </w:p>
    <w:p w14:paraId="43C0689E">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10、是否专门面向中小企业：否</w:t>
      </w:r>
    </w:p>
    <w:p w14:paraId="0A34BF1D">
      <w:pPr>
        <w:keepNext w:val="0"/>
        <w:keepLines w:val="0"/>
        <w:pageBreakBefore w:val="0"/>
        <w:kinsoku/>
        <w:overflowPunct/>
        <w:topLinePunct w:val="0"/>
        <w:autoSpaceDN/>
        <w:bidi w:val="0"/>
        <w:adjustRightInd w:val="0"/>
        <w:snapToGrid w:val="0"/>
        <w:spacing w:line="360" w:lineRule="auto"/>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val="en-US" w:eastAsia="zh-CN"/>
        </w:rPr>
        <w:t>二</w:t>
      </w:r>
      <w:r>
        <w:rPr>
          <w:rFonts w:hint="eastAsia" w:ascii="宋体" w:hAnsi="宋体" w:eastAsia="宋体" w:cs="宋体"/>
          <w:b/>
          <w:color w:val="auto"/>
          <w:sz w:val="22"/>
          <w:szCs w:val="22"/>
          <w:highlight w:val="none"/>
        </w:rPr>
        <w:t>、供应商资格要求</w:t>
      </w:r>
    </w:p>
    <w:p w14:paraId="225ED200">
      <w:pPr>
        <w:keepNext w:val="0"/>
        <w:keepLines w:val="0"/>
        <w:pageBreakBefore w:val="0"/>
        <w:widowControl/>
        <w:kinsoku/>
        <w:overflowPunct/>
        <w:topLinePunct w:val="0"/>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(一)落实政府采购政策满足的资格要求：本项目落实促进中小微企业、残疾人福利性企业、监狱企业发展等政府采购政策。</w:t>
      </w:r>
    </w:p>
    <w:p w14:paraId="626942D0">
      <w:pPr>
        <w:keepNext w:val="0"/>
        <w:keepLines w:val="0"/>
        <w:pageBreakBefore w:val="0"/>
        <w:widowControl/>
        <w:kinsoku/>
        <w:overflowPunct/>
        <w:topLinePunct w:val="0"/>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 xml:space="preserve">（二）本项目的特定资格要求  </w:t>
      </w:r>
    </w:p>
    <w:p w14:paraId="5DF9F946">
      <w:pPr>
        <w:keepNext w:val="0"/>
        <w:keepLines w:val="0"/>
        <w:pageBreakBefore w:val="0"/>
        <w:widowControl/>
        <w:kinsoku/>
        <w:overflowPunct/>
        <w:topLinePunct w:val="0"/>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（1）满足《中华人民共和国政府采购法》第二十二条的规定（相关证明资料或承诺）。</w:t>
      </w:r>
    </w:p>
    <w:p w14:paraId="6C41A090">
      <w:pPr>
        <w:keepNext w:val="0"/>
        <w:keepLines w:val="0"/>
        <w:pageBreakBefore w:val="0"/>
        <w:widowControl/>
        <w:kinsoku/>
        <w:overflowPunct/>
        <w:topLinePunct w:val="0"/>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1、具有在中华人民共和国境内注册的能够独立承担民事责任的独立法人；具有有效的营业执照、税务登记证、组织机构代码证(或“三证合一”的营业执照)；</w:t>
      </w:r>
    </w:p>
    <w:p w14:paraId="794E95E6">
      <w:pPr>
        <w:keepNext w:val="0"/>
        <w:keepLines w:val="0"/>
        <w:pageBreakBefore w:val="0"/>
        <w:widowControl/>
        <w:kinsoku/>
        <w:overflowPunct/>
        <w:topLinePunct w:val="0"/>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2、具有履行合同所必需的设备和专业技术能力；（提供证明材料或承诺书）</w:t>
      </w:r>
    </w:p>
    <w:p w14:paraId="575AA0F9">
      <w:pPr>
        <w:keepNext w:val="0"/>
        <w:keepLines w:val="0"/>
        <w:pageBreakBefore w:val="0"/>
        <w:widowControl/>
        <w:kinsoku/>
        <w:overflowPunct/>
        <w:topLinePunct w:val="0"/>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3、具有良好的商业信誉和健全的财务会计制度；</w:t>
      </w:r>
    </w:p>
    <w:p w14:paraId="6A21FF79">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4、依法缴纳税收（提供2025年01月以来任意一个月企业依法缴纳税收证明材料）和缴纳社会保障资金（提供2025年01月以来连续三个月拟派项目负责人依法缴纳社保证明材料）；</w:t>
      </w:r>
    </w:p>
    <w:p w14:paraId="463CD0BD">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5、参加政府采购活动前3年内无行贿犯罪记录，（开标时提供《中国裁判文书网》查询结果网页截图或企业自行承诺的无行贿犯罪承诺书，查询&lt;承诺&gt;对象为“企业，法定代表人，项目负责人”）；</w:t>
      </w:r>
    </w:p>
    <w:p w14:paraId="51E2C4FB">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6.参加政府采购活动前3年内无商业贿赂、不正当竞争行为、骗取中标、严重违约及重大项目质量等问题（供应商须自行出具承诺书）；</w:t>
      </w:r>
    </w:p>
    <w:p w14:paraId="055C32C4">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AF93E68">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8、单位负责人为同一人或者存在控股、管理关系的不同单位，不得同时参加本项目的投标；（提供“国家企业信用信息公示系统”中公示的公司信息、股东或投资人信息查询截图）；</w:t>
      </w:r>
    </w:p>
    <w:p w14:paraId="6E599B48">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9、本项目不接受联合体投标；</w:t>
      </w:r>
    </w:p>
    <w:p w14:paraId="7D7F2BD9">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10、本次招标实行资格后审；</w:t>
      </w:r>
    </w:p>
    <w:p w14:paraId="2C15CAE0">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注：被列入失信被执行人及重大税收违法失信主体的企业做无效标处理。招标人或招标代理机构有权对投标人信用记录进行甄别和复查。</w:t>
      </w:r>
    </w:p>
    <w:p w14:paraId="5B2DCFC0">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三、获取</w:t>
      </w:r>
      <w:r>
        <w:rPr>
          <w:rFonts w:hint="eastAsia" w:ascii="宋体" w:hAnsi="宋体" w:eastAsia="宋体" w:cs="宋体"/>
          <w:b/>
          <w:bCs/>
          <w:color w:val="000000" w:themeColor="text1"/>
          <w:kern w:val="0"/>
          <w:sz w:val="22"/>
          <w:szCs w:val="22"/>
          <w:highlight w:val="none"/>
          <w:lang w:val="en-US" w:eastAsia="zh-CN"/>
        </w:rPr>
        <w:t>招标</w:t>
      </w:r>
      <w:r>
        <w:rPr>
          <w:rFonts w:hint="eastAsia" w:ascii="宋体" w:hAnsi="宋体" w:eastAsia="宋体" w:cs="宋体"/>
          <w:b/>
          <w:bCs/>
          <w:color w:val="000000" w:themeColor="text1"/>
          <w:kern w:val="0"/>
          <w:sz w:val="22"/>
          <w:szCs w:val="22"/>
          <w:highlight w:val="none"/>
          <w:lang w:eastAsia="zh-CN"/>
        </w:rPr>
        <w:t>文件</w:t>
      </w:r>
    </w:p>
    <w:p w14:paraId="28F11CAF">
      <w:pPr>
        <w:widowControl/>
        <w:spacing w:line="480" w:lineRule="exact"/>
        <w:ind w:firstLine="442"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bCs w:val="0"/>
          <w:color w:val="000000" w:themeColor="text1"/>
          <w:sz w:val="22"/>
          <w:szCs w:val="22"/>
          <w:highlight w:val="none"/>
          <w:lang w:val="en-US" w:eastAsia="zh-CN"/>
        </w:rPr>
        <w:t>1、</w:t>
      </w:r>
      <w:r>
        <w:rPr>
          <w:rFonts w:hint="eastAsia" w:ascii="宋体" w:hAnsi="宋体" w:eastAsia="宋体" w:cs="宋体"/>
          <w:b w:val="0"/>
          <w:bCs/>
          <w:color w:val="000000" w:themeColor="text1"/>
          <w:sz w:val="22"/>
          <w:szCs w:val="22"/>
          <w:highlight w:val="none"/>
          <w:lang w:val="en-US" w:eastAsia="zh-CN"/>
        </w:rPr>
        <w:t>招标文件获取方式：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2B9C42B0">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办理CA证书：</w:t>
      </w:r>
    </w:p>
    <w:p w14:paraId="6DF1B6FD">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http：//gzjy.smx.gov.cn/bzzx/008001/20211105/57b16af9-ab87-4395-a723-7758c628a3f8.html</w:t>
      </w:r>
    </w:p>
    <w:p w14:paraId="2A62F5B2">
      <w:pPr>
        <w:widowControl/>
        <w:spacing w:line="480" w:lineRule="exact"/>
        <w:ind w:firstLine="442"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bCs/>
          <w:color w:val="000000" w:themeColor="text1"/>
          <w:kern w:val="0"/>
          <w:sz w:val="22"/>
          <w:szCs w:val="22"/>
          <w:highlight w:val="none"/>
          <w:lang w:val="en-US" w:eastAsia="zh-CN"/>
        </w:rPr>
        <w:t>2、</w:t>
      </w:r>
      <w:r>
        <w:rPr>
          <w:rFonts w:hint="eastAsia" w:ascii="宋体" w:hAnsi="宋体" w:eastAsia="宋体" w:cs="宋体"/>
          <w:b w:val="0"/>
          <w:bCs/>
          <w:color w:val="000000" w:themeColor="text1"/>
          <w:sz w:val="22"/>
          <w:szCs w:val="22"/>
          <w:highlight w:val="none"/>
          <w:lang w:val="en-US" w:eastAsia="zh-CN"/>
        </w:rPr>
        <w:t>招标文件下载时间：2025年11月20日至2025年12月11日08时40分（北京时间）。</w:t>
      </w:r>
    </w:p>
    <w:p w14:paraId="642F10C5">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3、本项目为不见面开标项目。开标当日，供应商无需到开标现场参加开标会议，供应商应当在投标截止时间前，登陆不见面开标大厅选择登陆三门峡市公共资源电子招投标系统进行登陆（网址http：//120.194.249.36:10094/BidOpening/bidopeninghallaction/hall/login）,在线准时参加开标活动并进行投标文件解密等。每位供应商的解密时间为开标时间起30分钟内完成。</w:t>
      </w:r>
    </w:p>
    <w:p w14:paraId="4784713D">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四、投标文件的递交截止时间及开评标地点</w:t>
      </w:r>
    </w:p>
    <w:p w14:paraId="4D097C17">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1、投标文件递交的截止时间：2025年12月11日08时40分（北京时间）；</w:t>
      </w:r>
    </w:p>
    <w:p w14:paraId="1055A339">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2、开标地点：卢氏县公共资源交易中心四楼第二开标室；</w:t>
      </w:r>
    </w:p>
    <w:p w14:paraId="63139D7A">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3、评标地点：卢氏县公共资源交易中心二楼第二评标室。</w:t>
      </w:r>
    </w:p>
    <w:p w14:paraId="209D17E1">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五、投标资料的提交</w:t>
      </w:r>
    </w:p>
    <w:p w14:paraId="09C9E073">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本项目实行资格后审，审查内容以投标截止时间前在三门峡市公共资源交易系统上传的投标文件的信息为准。供应商对投标文件信息的真实性、有效性、清晰可辩性负责，同时，供应商需要完善主体库信息。否则，由此造成应得分而未得分或资格审查不合格等情况的，由供应商承担责任。</w:t>
      </w:r>
    </w:p>
    <w:p w14:paraId="671C09AB">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六、其他事项</w:t>
      </w:r>
    </w:p>
    <w:p w14:paraId="74B6ACF7">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bookmarkStart w:id="3" w:name="_Toc12114"/>
      <w:bookmarkStart w:id="4" w:name="_Toc494288834"/>
      <w:bookmarkStart w:id="5" w:name="_Toc184635067"/>
      <w:bookmarkStart w:id="6" w:name="_Toc28016"/>
      <w:r>
        <w:rPr>
          <w:rFonts w:hint="eastAsia" w:ascii="宋体" w:hAnsi="宋体" w:eastAsia="宋体" w:cs="宋体"/>
          <w:b w:val="0"/>
          <w:bCs/>
          <w:color w:val="000000" w:themeColor="text1"/>
          <w:sz w:val="22"/>
          <w:szCs w:val="22"/>
          <w:highlight w:val="none"/>
          <w:lang w:val="en-US" w:eastAsia="zh-CN"/>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p>
    <w:p w14:paraId="17E0AA12">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2、投标所发生一切费用由各投标人自行承担，并承担相应的风险和责任；</w:t>
      </w:r>
    </w:p>
    <w:p w14:paraId="5A7C0936">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3、供应商递交的投标文件不论中标与否均不予退还。</w:t>
      </w:r>
    </w:p>
    <w:p w14:paraId="45FCA597">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4、</w:t>
      </w:r>
      <w:r>
        <w:rPr>
          <w:rFonts w:hint="eastAsia" w:ascii="宋体" w:hAnsi="宋体" w:eastAsia="宋体" w:cs="宋体"/>
          <w:b/>
          <w:bCs w:val="0"/>
          <w:color w:val="000000" w:themeColor="text1"/>
          <w:sz w:val="22"/>
          <w:szCs w:val="22"/>
          <w:highlight w:val="none"/>
          <w:lang w:val="en-US" w:eastAsia="zh-CN"/>
        </w:rPr>
        <w:t>投标人（供应商）在投标前，一定先登录到三门峡公共资源中心中心主体库内，检查其“单位类型” 栏选择为 “企业”，且统一社会信用代码号是否完整且准确无误。</w:t>
      </w:r>
    </w:p>
    <w:p w14:paraId="2B5B6174">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七、</w:t>
      </w:r>
      <w:r>
        <w:rPr>
          <w:rFonts w:hint="eastAsia" w:ascii="宋体" w:hAnsi="宋体" w:eastAsia="宋体" w:cs="宋体"/>
          <w:b/>
          <w:bCs/>
          <w:color w:val="000000" w:themeColor="text1"/>
          <w:kern w:val="0"/>
          <w:sz w:val="22"/>
          <w:szCs w:val="22"/>
          <w:highlight w:val="none"/>
          <w:lang w:val="en-US" w:eastAsia="zh-CN"/>
        </w:rPr>
        <w:t>投标</w:t>
      </w:r>
      <w:r>
        <w:rPr>
          <w:rFonts w:hint="eastAsia" w:ascii="宋体" w:hAnsi="宋体" w:eastAsia="宋体" w:cs="宋体"/>
          <w:b/>
          <w:bCs/>
          <w:color w:val="000000" w:themeColor="text1"/>
          <w:kern w:val="0"/>
          <w:sz w:val="22"/>
          <w:szCs w:val="22"/>
          <w:highlight w:val="none"/>
          <w:lang w:eastAsia="zh-CN"/>
        </w:rPr>
        <w:t>保证金</w:t>
      </w:r>
    </w:p>
    <w:p w14:paraId="043C7D27">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按照《河南省财政厅关于优化政府采购营商环境有关问题的通知》（豫财购[2019]4号文）的要求本项目不再收取投标保证金。</w:t>
      </w:r>
    </w:p>
    <w:p w14:paraId="4F45820F">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八、发布</w:t>
      </w:r>
      <w:r>
        <w:rPr>
          <w:rFonts w:hint="eastAsia" w:ascii="宋体" w:hAnsi="宋体" w:eastAsia="宋体" w:cs="宋体"/>
          <w:b/>
          <w:bCs/>
          <w:color w:val="000000" w:themeColor="text1"/>
          <w:kern w:val="0"/>
          <w:sz w:val="22"/>
          <w:szCs w:val="22"/>
          <w:highlight w:val="none"/>
          <w:lang w:val="en-US" w:eastAsia="zh-CN"/>
        </w:rPr>
        <w:t>招标</w:t>
      </w:r>
      <w:r>
        <w:rPr>
          <w:rFonts w:hint="eastAsia" w:ascii="宋体" w:hAnsi="宋体" w:eastAsia="宋体" w:cs="宋体"/>
          <w:b/>
          <w:bCs/>
          <w:color w:val="000000" w:themeColor="text1"/>
          <w:kern w:val="0"/>
          <w:sz w:val="22"/>
          <w:szCs w:val="22"/>
          <w:highlight w:val="none"/>
          <w:lang w:eastAsia="zh-CN"/>
        </w:rPr>
        <w:t>公告的媒介</w:t>
      </w:r>
    </w:p>
    <w:p w14:paraId="1CAD1AA9">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本次招标公告同时在《河南省政府采购网》、《三门峡市公共资源交易平台》、《中国招标投标公共服务平台》等媒体上公开发布。</w:t>
      </w:r>
    </w:p>
    <w:p w14:paraId="0486954F">
      <w:pPr>
        <w:spacing w:line="500" w:lineRule="exact"/>
        <w:ind w:firstLine="442" w:firstLineChars="200"/>
        <w:rPr>
          <w:rFonts w:hint="eastAsia" w:ascii="宋体" w:hAnsi="宋体" w:eastAsia="宋体" w:cs="宋体"/>
          <w:b/>
          <w:bCs/>
          <w:color w:val="000000" w:themeColor="text1"/>
          <w:kern w:val="0"/>
          <w:sz w:val="22"/>
          <w:szCs w:val="22"/>
          <w:highlight w:val="none"/>
          <w:lang w:eastAsia="zh-CN"/>
        </w:rPr>
      </w:pPr>
      <w:r>
        <w:rPr>
          <w:rFonts w:hint="eastAsia" w:ascii="宋体" w:hAnsi="宋体" w:eastAsia="宋体" w:cs="宋体"/>
          <w:b/>
          <w:bCs/>
          <w:color w:val="000000" w:themeColor="text1"/>
          <w:kern w:val="0"/>
          <w:sz w:val="22"/>
          <w:szCs w:val="22"/>
          <w:highlight w:val="none"/>
          <w:lang w:eastAsia="zh-CN"/>
        </w:rPr>
        <w:t>九、联系方式</w:t>
      </w:r>
    </w:p>
    <w:p w14:paraId="00B08E20">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监督单位：卢氏县政府采购办公室</w:t>
      </w:r>
    </w:p>
    <w:p w14:paraId="46034ADC">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联系人：郭伟静</w:t>
      </w:r>
    </w:p>
    <w:p w14:paraId="320B1503">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电话：0398-7863556  13949795722</w:t>
      </w:r>
    </w:p>
    <w:p w14:paraId="3B4B0916">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地址：卢氏县城关镇解放路中段</w:t>
      </w:r>
    </w:p>
    <w:p w14:paraId="0FC43F0C">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监督单位：中共卢氏县委农村工作领导小组办公室</w:t>
      </w:r>
    </w:p>
    <w:p w14:paraId="3438240E">
      <w:pPr>
        <w:widowControl/>
        <w:spacing w:line="480" w:lineRule="exact"/>
        <w:ind w:firstLine="440" w:firstLineChars="200"/>
        <w:rPr>
          <w:rFonts w:hint="default"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联系人：薛浩颖</w:t>
      </w:r>
    </w:p>
    <w:p w14:paraId="12D1D0CC">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电话：0398-7872655、18339878502</w:t>
      </w:r>
    </w:p>
    <w:p w14:paraId="7CF34CE2">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地址：卢氏县西街二街坊62号</w:t>
      </w:r>
    </w:p>
    <w:p w14:paraId="5588C4C2">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采购人：卢氏县农业农村局</w:t>
      </w:r>
    </w:p>
    <w:p w14:paraId="50AD5CB7">
      <w:pPr>
        <w:widowControl/>
        <w:spacing w:line="480" w:lineRule="exact"/>
        <w:ind w:firstLine="440" w:firstLineChars="200"/>
        <w:rPr>
          <w:rFonts w:hint="default"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联系人：骆伟</w:t>
      </w:r>
    </w:p>
    <w:p w14:paraId="64871357">
      <w:pPr>
        <w:widowControl/>
        <w:spacing w:line="480" w:lineRule="exact"/>
        <w:ind w:firstLine="440" w:firstLineChars="200"/>
        <w:rPr>
          <w:rFonts w:hint="default"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电话：17839815658</w:t>
      </w:r>
    </w:p>
    <w:p w14:paraId="4A1FE874">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地址：卢氏县西街二街坊62号</w:t>
      </w:r>
    </w:p>
    <w:bookmarkEnd w:id="3"/>
    <w:bookmarkEnd w:id="4"/>
    <w:bookmarkEnd w:id="5"/>
    <w:bookmarkEnd w:id="6"/>
    <w:p w14:paraId="61C8874D">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代理机构：河南高誉工程咨询有限公司</w:t>
      </w:r>
    </w:p>
    <w:p w14:paraId="0F6D22BD">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联系人：姚琳</w:t>
      </w:r>
    </w:p>
    <w:p w14:paraId="112F161B">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电话：18039927130</w:t>
      </w:r>
    </w:p>
    <w:p w14:paraId="747E699D">
      <w:pPr>
        <w:widowControl/>
        <w:spacing w:line="480" w:lineRule="exact"/>
        <w:ind w:firstLine="440" w:firstLineChars="200"/>
        <w:rPr>
          <w:rFonts w:hint="eastAsia" w:ascii="宋体" w:hAnsi="宋体" w:eastAsia="宋体" w:cs="宋体"/>
          <w:b w:val="0"/>
          <w:bCs/>
          <w:color w:val="000000" w:themeColor="text1"/>
          <w:sz w:val="22"/>
          <w:szCs w:val="22"/>
          <w:highlight w:val="none"/>
          <w:lang w:val="en-US" w:eastAsia="zh-CN"/>
        </w:rPr>
      </w:pPr>
      <w:r>
        <w:rPr>
          <w:rFonts w:hint="eastAsia" w:ascii="宋体" w:hAnsi="宋体" w:eastAsia="宋体" w:cs="宋体"/>
          <w:b w:val="0"/>
          <w:bCs/>
          <w:color w:val="000000" w:themeColor="text1"/>
          <w:sz w:val="22"/>
          <w:szCs w:val="22"/>
          <w:highlight w:val="none"/>
          <w:lang w:val="en-US" w:eastAsia="zh-CN"/>
        </w:rPr>
        <w:t>地址：新乡市牧野区靖业滨湖新城1号楼1单元602</w:t>
      </w:r>
    </w:p>
    <w:p w14:paraId="62A7CEDE">
      <w:pPr>
        <w:keepNext w:val="0"/>
        <w:keepLines w:val="0"/>
        <w:pageBreakBefore w:val="0"/>
        <w:widowControl/>
        <w:kinsoku/>
        <w:overflowPunct/>
        <w:topLinePunct w:val="0"/>
        <w:autoSpaceDE w:val="0"/>
        <w:autoSpaceDN/>
        <w:bidi w:val="0"/>
        <w:adjustRightInd w:val="0"/>
        <w:snapToGrid w:val="0"/>
        <w:spacing w:line="360" w:lineRule="auto"/>
        <w:ind w:firstLine="440" w:firstLineChars="2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2"/>
          <w:szCs w:val="22"/>
          <w:highlight w:val="none"/>
        </w:rPr>
        <w:br w:type="page"/>
      </w:r>
    </w:p>
    <w:bookmarkEnd w:id="2"/>
    <w:p w14:paraId="5D9A33D7">
      <w:pPr>
        <w:pStyle w:val="4"/>
        <w:numPr>
          <w:ilvl w:val="0"/>
          <w:numId w:val="2"/>
        </w:numPr>
        <w:bidi w:val="0"/>
        <w:jc w:val="center"/>
        <w:rPr>
          <w:rFonts w:hint="eastAsia"/>
          <w:color w:val="auto"/>
        </w:rPr>
      </w:pPr>
      <w:bookmarkStart w:id="7" w:name="_Toc80256505"/>
      <w:bookmarkStart w:id="8" w:name="_Toc14238"/>
      <w:r>
        <w:rPr>
          <w:rFonts w:hint="eastAsia"/>
          <w:color w:val="auto"/>
        </w:rPr>
        <w:t>投标供应商须知</w:t>
      </w:r>
      <w:bookmarkEnd w:id="7"/>
      <w:bookmarkEnd w:id="8"/>
    </w:p>
    <w:p w14:paraId="495D72AC">
      <w:pPr>
        <w:snapToGrid w:val="0"/>
        <w:spacing w:line="600" w:lineRule="exact"/>
        <w:jc w:val="center"/>
        <w:outlineLvl w:val="0"/>
        <w:rPr>
          <w:rFonts w:hint="eastAsia" w:ascii="宋体" w:hAnsi="宋体" w:eastAsia="宋体" w:cs="宋体"/>
          <w:b/>
          <w:color w:val="auto"/>
          <w:sz w:val="30"/>
          <w:szCs w:val="30"/>
          <w:highlight w:val="none"/>
          <w:shd w:val="clear" w:color="auto" w:fill="FFFFFF"/>
        </w:rPr>
      </w:pPr>
      <w:bookmarkStart w:id="9" w:name="_Toc29062"/>
      <w:r>
        <w:rPr>
          <w:rFonts w:hint="eastAsia" w:ascii="宋体" w:hAnsi="宋体" w:eastAsia="宋体" w:cs="宋体"/>
          <w:b/>
          <w:color w:val="auto"/>
          <w:sz w:val="30"/>
          <w:szCs w:val="30"/>
          <w:highlight w:val="none"/>
          <w:shd w:val="clear" w:color="auto" w:fill="FFFFFF"/>
        </w:rPr>
        <w:t>供应商须知前附表</w:t>
      </w:r>
      <w:bookmarkEnd w:id="9"/>
    </w:p>
    <w:tbl>
      <w:tblPr>
        <w:tblStyle w:val="32"/>
        <w:tblW w:w="9530" w:type="dxa"/>
        <w:jc w:val="center"/>
        <w:tblLayout w:type="fixed"/>
        <w:tblCellMar>
          <w:top w:w="0" w:type="dxa"/>
          <w:left w:w="0" w:type="dxa"/>
          <w:bottom w:w="0" w:type="dxa"/>
          <w:right w:w="0" w:type="dxa"/>
        </w:tblCellMar>
      </w:tblPr>
      <w:tblGrid>
        <w:gridCol w:w="1063"/>
        <w:gridCol w:w="1657"/>
        <w:gridCol w:w="6810"/>
      </w:tblGrid>
      <w:tr w14:paraId="50593BE8">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6D5DD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条款号</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86391F">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条款名称</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A3123D">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编列内容</w:t>
            </w:r>
          </w:p>
        </w:tc>
      </w:tr>
      <w:tr w14:paraId="2FB45441">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3DCFC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F2932C">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采购人</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E7F7F6">
            <w:pPr>
              <w:wordWrap w:val="0"/>
              <w:spacing w:line="480" w:lineRule="exact"/>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采购人：卢氏县农业农村局</w:t>
            </w:r>
          </w:p>
          <w:p w14:paraId="0F421CF9">
            <w:pPr>
              <w:wordWrap w:val="0"/>
              <w:spacing w:line="480" w:lineRule="exact"/>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联系人：骆伟</w:t>
            </w:r>
          </w:p>
          <w:p w14:paraId="49EA7743">
            <w:pPr>
              <w:wordWrap w:val="0"/>
              <w:spacing w:line="480" w:lineRule="exact"/>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电话：17839815658</w:t>
            </w:r>
          </w:p>
          <w:p w14:paraId="44AF3CAB">
            <w:pPr>
              <w:wordWrap w:val="0"/>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地址：卢氏县西街二街坊62号</w:t>
            </w:r>
          </w:p>
        </w:tc>
      </w:tr>
      <w:tr w14:paraId="069D844B">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C0DF16">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1.1.3</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0BD8B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采购代理机构</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F24D14">
            <w:pPr>
              <w:widowControl/>
              <w:autoSpaceDE w:val="0"/>
              <w:spacing w:line="480" w:lineRule="exact"/>
              <w:ind w:left="0" w:lef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代理机构：河南高誉工程咨询有限公司</w:t>
            </w:r>
          </w:p>
          <w:p w14:paraId="3D7FCDEB">
            <w:pPr>
              <w:widowControl/>
              <w:autoSpaceDE w:val="0"/>
              <w:spacing w:line="480" w:lineRule="exact"/>
              <w:ind w:left="0" w:lef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联系人：姚琳</w:t>
            </w:r>
          </w:p>
          <w:p w14:paraId="5FA3EFC2">
            <w:pPr>
              <w:widowControl/>
              <w:autoSpaceDE w:val="0"/>
              <w:spacing w:line="480" w:lineRule="exact"/>
              <w:ind w:left="0" w:lef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电话：18039927130</w:t>
            </w:r>
          </w:p>
          <w:p w14:paraId="129BD8C5">
            <w:pPr>
              <w:widowControl/>
              <w:autoSpaceDE w:val="0"/>
              <w:spacing w:line="480" w:lineRule="exact"/>
              <w:ind w:left="0" w:lef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地址：新乡市牧野区靖业滨湖新城1号楼1单元602</w:t>
            </w:r>
          </w:p>
        </w:tc>
      </w:tr>
      <w:tr w14:paraId="23E9D0A4">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EB788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1.1.4</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AB8D23">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项目名称</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F08AF1">
            <w:pPr>
              <w:wordWrap w:val="0"/>
              <w:spacing w:line="360" w:lineRule="auto"/>
              <w:jc w:val="left"/>
              <w:rPr>
                <w:rFonts w:hint="default" w:ascii="宋体" w:hAnsi="宋体" w:eastAsia="宋体" w:cs="宋体"/>
                <w:color w:val="auto"/>
                <w:sz w:val="22"/>
                <w:szCs w:val="21"/>
                <w:highlight w:val="none"/>
                <w:lang w:val="en-US" w:eastAsia="zh-CN"/>
              </w:rPr>
            </w:pPr>
            <w:r>
              <w:rPr>
                <w:rFonts w:hint="eastAsia" w:ascii="宋体" w:hAnsi="宋体" w:eastAsia="宋体" w:cs="宋体"/>
                <w:bCs/>
                <w:color w:val="auto"/>
                <w:kern w:val="0"/>
                <w:sz w:val="22"/>
                <w:szCs w:val="21"/>
                <w:highlight w:val="none"/>
                <w:lang w:eastAsia="zh-CN"/>
              </w:rPr>
              <w:t>卢氏县2025年地膜科学使用回收试点项目</w:t>
            </w:r>
          </w:p>
        </w:tc>
      </w:tr>
      <w:tr w14:paraId="6A4AAF2D">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030593">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1.1.5</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8BBBC6">
            <w:pPr>
              <w:wordWrap w:val="0"/>
              <w:spacing w:line="360" w:lineRule="auto"/>
              <w:jc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供货地点</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A7EC07">
            <w:pPr>
              <w:wordWrap w:val="0"/>
              <w:spacing w:line="360" w:lineRule="auto"/>
              <w:jc w:val="left"/>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采购人指定地点</w:t>
            </w:r>
          </w:p>
        </w:tc>
      </w:tr>
      <w:tr w14:paraId="1E98BC65">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E6DFF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92CFE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资金来源</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70B36E">
            <w:pPr>
              <w:wordWrap w:val="0"/>
              <w:spacing w:line="360"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财政资金</w:t>
            </w:r>
          </w:p>
        </w:tc>
      </w:tr>
      <w:tr w14:paraId="0939EF4F">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8A8520">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D67CB4">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资金落实情况</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47ABB5">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已落实</w:t>
            </w:r>
          </w:p>
        </w:tc>
      </w:tr>
      <w:tr w14:paraId="2378032F">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F58EF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881893">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采购内容</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1B1307">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宋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（1）项目预算资金：总预算价3188125.00元（项目结算以实际供货数量结算为准）,地膜单价12.4元/kg；</w:t>
            </w:r>
          </w:p>
          <w:p w14:paraId="5B19E5D6">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宋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（2）采购内容：加厚高强度地膜推广11万亩,其中：</w:t>
            </w:r>
          </w:p>
          <w:p w14:paraId="509097F0">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①采购加厚高强度透明地膜470000kg(数量94000卷）；财政资金对每卷地膜（5kg/卷）补贴30元；农户领取地膜时，每卷地膜需按中标单价减去30元向中标方补足差价。</w:t>
            </w:r>
          </w:p>
          <w:p w14:paraId="660C408A">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②按中标单价采购14062.5kg（2812.5卷）高强度黑白加厚地膜，用于向粮食、果蔬、中药材种植户进行发放。</w:t>
            </w:r>
          </w:p>
          <w:p w14:paraId="3E2F0F10">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rPr>
            </w:pPr>
            <w:r>
              <w:rPr>
                <w:rFonts w:hint="eastAsia" w:ascii="宋体" w:hAnsi="宋体" w:eastAsia="宋体" w:cs="宋体"/>
                <w:color w:val="auto"/>
                <w:sz w:val="22"/>
                <w:szCs w:val="21"/>
                <w:highlight w:val="none"/>
                <w:lang w:val="en-US" w:eastAsia="zh-CN" w:bidi="ar-SA"/>
              </w:rPr>
              <w:t>③按上述中标单价采购15625kg（3125卷）加厚高强度透明地膜，用于置换群众回收的废旧地膜。</w:t>
            </w:r>
          </w:p>
        </w:tc>
      </w:tr>
      <w:tr w14:paraId="60BAD871">
        <w:tblPrEx>
          <w:tblCellMar>
            <w:top w:w="0" w:type="dxa"/>
            <w:left w:w="0" w:type="dxa"/>
            <w:bottom w:w="0" w:type="dxa"/>
            <w:right w:w="0" w:type="dxa"/>
          </w:tblCellMar>
        </w:tblPrEx>
        <w:trPr>
          <w:trHeight w:val="90"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4A7FF9">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2D42E8">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供货期</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2F8531">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根据采购人要求阶段性供货</w:t>
            </w:r>
          </w:p>
        </w:tc>
      </w:tr>
      <w:tr w14:paraId="19A36AEE">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5A1FB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1.3.3</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9B767F">
            <w:pPr>
              <w:wordWrap w:val="0"/>
              <w:spacing w:line="360" w:lineRule="auto"/>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lang w:eastAsia="zh-CN"/>
              </w:rPr>
              <w:t>质量要求</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AF2307">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需符合聚乙烯吹塑农用地面覆盖薄膜《GB13735-2017》标准，用全新的聚乙烯原料生产，不得使用再生料或回收料。</w:t>
            </w:r>
          </w:p>
        </w:tc>
      </w:tr>
      <w:tr w14:paraId="47E67F16">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20C09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1.4.1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D5F00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供应商资格</w:t>
            </w:r>
          </w:p>
          <w:p w14:paraId="2FC4906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要求</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6FBDC4">
            <w:pPr>
              <w:keepNext w:val="0"/>
              <w:keepLines w:val="0"/>
              <w:pageBreakBefore w:val="0"/>
              <w:kinsoku/>
              <w:overflowPunct/>
              <w:topLinePunct w:val="0"/>
              <w:autoSpaceDE w:val="0"/>
              <w:autoSpaceDN/>
              <w:bidi w:val="0"/>
              <w:adjustRightInd w:val="0"/>
              <w:snapToGrid w:val="0"/>
              <w:spacing w:line="360" w:lineRule="auto"/>
              <w:textAlignment w:val="auto"/>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详见招标公告“供应商资格要求”</w:t>
            </w:r>
          </w:p>
        </w:tc>
      </w:tr>
      <w:tr w14:paraId="3822442A">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EC9B9C">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1.4.2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B0E0DB">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是否接受联合体投标</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709678">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不接受</w:t>
            </w:r>
          </w:p>
        </w:tc>
      </w:tr>
      <w:tr w14:paraId="5A86906B">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1C79E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1.9.</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ED7AFD">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踏勘现场</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44033E">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不组织</w:t>
            </w:r>
          </w:p>
        </w:tc>
      </w:tr>
      <w:tr w14:paraId="7F4966CD">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BC417D">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1.10</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C3A6A3">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投标预备会</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4B0355">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不召开</w:t>
            </w:r>
          </w:p>
        </w:tc>
      </w:tr>
      <w:tr w14:paraId="3A910CCA">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F9130F">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5D54A7">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分包</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0BCD59">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不允许</w:t>
            </w:r>
          </w:p>
        </w:tc>
      </w:tr>
      <w:tr w14:paraId="2F0A6251">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57219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FA8857">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偏离</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A4C1E6">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允许（正偏离，即优于本项目设定的技术参数和产品质量的偏离）</w:t>
            </w:r>
          </w:p>
        </w:tc>
      </w:tr>
      <w:tr w14:paraId="2888F2C9">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177EF4">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C08CC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构成招标文件其他材料</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DFD9FC">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除招标文件外，预算控制金额以及采购人在招标期间发出的澄清（如有）、修改、补充、补遗和其它有效正式函件等内容均是招标文件的组成部分。</w:t>
            </w:r>
          </w:p>
        </w:tc>
      </w:tr>
      <w:tr w14:paraId="086C2FA4">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F4596B">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F50516">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投标供应商提出质疑的截止时间</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039F29">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投标截止10日前以书面的形式向采购人提出澄清要求，送至采购代理机构。</w:t>
            </w:r>
          </w:p>
        </w:tc>
      </w:tr>
      <w:tr w14:paraId="6BB8D570">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F4D82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019F30">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采购人答复质疑的时间</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869ECB">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采购人应当在收到投标供应商的书面质疑后七个工作日内作出答复</w:t>
            </w:r>
          </w:p>
        </w:tc>
      </w:tr>
      <w:tr w14:paraId="1EFD7913">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61A04E">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E0DA0F">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采购人书面澄清的时间</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AFEF93">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投标截止15日前</w:t>
            </w:r>
          </w:p>
        </w:tc>
      </w:tr>
      <w:tr w14:paraId="32027824">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9D4B00">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2.2.3</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82C1A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投标供应商确认收到招标文件澄清或修改的时间</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A8FD56">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收到招标文件澄清24小时内，如未回函确认采购人和代理机构都视为投标供应商收到招标文件澄清内容。</w:t>
            </w:r>
          </w:p>
        </w:tc>
      </w:tr>
      <w:tr w14:paraId="7B01C6CB">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8E594C">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3.1.1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E9487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构成投标文件其他材料</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707700">
            <w:pPr>
              <w:wordWrap w:val="0"/>
              <w:spacing w:line="360"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1、采购人发出的补充文件或变更资料（如有）</w:t>
            </w:r>
          </w:p>
          <w:p w14:paraId="5ECF34D9">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2、投标供应商认为需要提交的其他证明材料，具体见投标文件格式。</w:t>
            </w:r>
          </w:p>
        </w:tc>
      </w:tr>
      <w:tr w14:paraId="2038FC19">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93A660">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3.3.1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F80A99">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投标有效期</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EB2E84">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60日历天（自投标截止之日起）</w:t>
            </w:r>
          </w:p>
        </w:tc>
      </w:tr>
      <w:tr w14:paraId="6121EC49">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52E6E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3.4.</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B55B3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投标保证金</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3FBD2C">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不需要缴纳投标保证金。</w:t>
            </w:r>
          </w:p>
        </w:tc>
      </w:tr>
      <w:tr w14:paraId="193DD24C">
        <w:tblPrEx>
          <w:tblCellMar>
            <w:top w:w="0" w:type="dxa"/>
            <w:left w:w="0" w:type="dxa"/>
            <w:bottom w:w="0" w:type="dxa"/>
            <w:right w:w="0" w:type="dxa"/>
          </w:tblCellMar>
        </w:tblPrEx>
        <w:trPr>
          <w:trHeight w:val="90"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3548E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3.5</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0516C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是否允许备选投标方案</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123F45">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不允许</w:t>
            </w:r>
          </w:p>
        </w:tc>
      </w:tr>
      <w:tr w14:paraId="451CF83D">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3D385E">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4.2.1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EC9F4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电子化投标文件的格式及上传投标</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48F629">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066F0844">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注：投标供应商投报多个标段的，需要每个标段单独制作电子投标文件。</w:t>
            </w:r>
          </w:p>
          <w:p w14:paraId="39B0F02B">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2、电子化投标文件应在投标截止时间前成功上传至三门峡市公共资源电子化交易系统。至投标截止时间止，仍未上传成功的电子化投标文件将不予接收。</w:t>
            </w:r>
          </w:p>
        </w:tc>
      </w:tr>
      <w:tr w14:paraId="4556EF32">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0939FE">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4.2.2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5B965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电子招标投标文件递交异常的处理方式</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86C5CF">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当电子投标（文件打包、上传、解密异常）操作出现异常时，应及时联系平台技术支持人员解决。</w:t>
            </w:r>
          </w:p>
          <w:p w14:paraId="79008704">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采购人有权对投标供应商提供的证明材料进行核实，如果发现投标供应商提供虚假信息，将追究提供虚假信息的责任。</w:t>
            </w:r>
          </w:p>
        </w:tc>
      </w:tr>
      <w:tr w14:paraId="64DBCA5F">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F6A13A">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4.2.3</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299AC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是否退还投标文件</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BC6424">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2"/>
                <w:szCs w:val="24"/>
                <w:highlight w:val="none"/>
              </w:rPr>
              <w:t>否</w:t>
            </w:r>
          </w:p>
        </w:tc>
      </w:tr>
      <w:tr w14:paraId="7F366F67">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750FD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4.2.4</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0FD0EC">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签字或盖章要求</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637CE6">
            <w:pPr>
              <w:spacing w:line="360" w:lineRule="auto"/>
              <w:ind w:right="110" w:rightChars="5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1、电子化投标文件的签章：</w:t>
            </w:r>
          </w:p>
          <w:p w14:paraId="77CC5C3A">
            <w:pPr>
              <w:spacing w:line="360" w:lineRule="auto"/>
              <w:ind w:right="110" w:rightChars="5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本项目为电子化、无纸化交易项目，投标文件是投标供应商通过中心投标文件制作系统制作，并经过电子签章和加密后生成的电子化投标文件，未对电子化文件进行签章的视为无效投标。投标供应商投标时，将不再接受任何纸质文件资料。</w:t>
            </w:r>
          </w:p>
          <w:p w14:paraId="68DC2DA2">
            <w:pPr>
              <w:spacing w:line="360" w:lineRule="auto"/>
              <w:ind w:right="110" w:rightChars="5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3、要求法定代表人或授权委托人签字或盖章的，投标供应商在进行电子化投标文件签章时，以签盖法定代表人签章为准。</w:t>
            </w:r>
          </w:p>
          <w:p w14:paraId="12F2E2BD">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2"/>
                <w:szCs w:val="21"/>
                <w:highlight w:val="none"/>
              </w:rPr>
              <w:t>4、电子化投标文件工具请点击https://download.bqpoint.com/download/downloaddetail.html?SourceFrom=Ztb&amp;ZtbSoftXiaQuCode=1506&amp;ZtbSoftType=tballinclusive进行下载。</w:t>
            </w:r>
          </w:p>
        </w:tc>
      </w:tr>
      <w:tr w14:paraId="7FBF7AE4">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DDA5B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5.1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29E3EC">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开标时间和地点</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EF4968">
            <w:pPr>
              <w:wordWrap w:val="0"/>
              <w:spacing w:line="360" w:lineRule="auto"/>
              <w:rPr>
                <w:rFonts w:hint="eastAsia" w:ascii="宋体" w:hAnsi="宋体" w:eastAsia="宋体" w:cs="宋体"/>
                <w:color w:val="auto"/>
                <w:sz w:val="22"/>
                <w:szCs w:val="21"/>
                <w:highlight w:val="yellow"/>
              </w:rPr>
            </w:pPr>
            <w:r>
              <w:rPr>
                <w:rFonts w:hint="eastAsia" w:ascii="宋体" w:hAnsi="宋体" w:eastAsia="宋体" w:cs="宋体"/>
                <w:color w:val="auto"/>
                <w:sz w:val="22"/>
                <w:szCs w:val="21"/>
                <w:highlight w:val="none"/>
                <w:lang w:val="en-US" w:eastAsia="zh-CN"/>
              </w:rPr>
              <w:t>投标文件</w:t>
            </w:r>
            <w:r>
              <w:rPr>
                <w:rFonts w:hint="eastAsia" w:ascii="宋体" w:hAnsi="宋体" w:eastAsia="宋体" w:cs="宋体"/>
                <w:color w:val="auto"/>
                <w:sz w:val="22"/>
                <w:szCs w:val="21"/>
                <w:highlight w:val="none"/>
              </w:rPr>
              <w:t>递交截止时间及开标时间：</w:t>
            </w:r>
            <w:r>
              <w:rPr>
                <w:rFonts w:hint="eastAsia" w:ascii="宋体" w:hAnsi="宋体" w:eastAsia="宋体" w:cs="宋体"/>
                <w:color w:val="auto"/>
                <w:sz w:val="22"/>
                <w:szCs w:val="21"/>
                <w:highlight w:val="none"/>
                <w:lang w:eastAsia="zh-CN"/>
              </w:rPr>
              <w:t>2025年</w:t>
            </w:r>
            <w:r>
              <w:rPr>
                <w:rFonts w:hint="eastAsia" w:ascii="宋体" w:hAnsi="宋体" w:eastAsia="宋体" w:cs="宋体"/>
                <w:color w:val="auto"/>
                <w:sz w:val="22"/>
                <w:szCs w:val="21"/>
                <w:highlight w:val="none"/>
                <w:lang w:val="en-US" w:eastAsia="zh-CN"/>
              </w:rPr>
              <w:t>12</w:t>
            </w:r>
            <w:r>
              <w:rPr>
                <w:rFonts w:hint="eastAsia" w:ascii="宋体" w:hAnsi="宋体" w:eastAsia="宋体" w:cs="宋体"/>
                <w:color w:val="auto"/>
                <w:sz w:val="22"/>
                <w:szCs w:val="21"/>
                <w:highlight w:val="none"/>
                <w:lang w:eastAsia="zh-CN"/>
              </w:rPr>
              <w:t>月</w:t>
            </w:r>
            <w:r>
              <w:rPr>
                <w:rFonts w:hint="eastAsia" w:ascii="宋体" w:hAnsi="宋体" w:eastAsia="宋体" w:cs="宋体"/>
                <w:color w:val="auto"/>
                <w:sz w:val="22"/>
                <w:szCs w:val="21"/>
                <w:highlight w:val="none"/>
                <w:lang w:val="en-US" w:eastAsia="zh-CN"/>
              </w:rPr>
              <w:t>11</w:t>
            </w:r>
            <w:r>
              <w:rPr>
                <w:rFonts w:hint="eastAsia" w:ascii="宋体" w:hAnsi="宋体" w:eastAsia="宋体" w:cs="宋体"/>
                <w:color w:val="auto"/>
                <w:sz w:val="22"/>
                <w:szCs w:val="21"/>
                <w:highlight w:val="none"/>
                <w:lang w:eastAsia="zh-CN"/>
              </w:rPr>
              <w:t>日08时40分</w:t>
            </w:r>
            <w:r>
              <w:rPr>
                <w:rFonts w:hint="eastAsia" w:ascii="宋体" w:hAnsi="宋体" w:eastAsia="宋体" w:cs="宋体"/>
                <w:color w:val="auto"/>
                <w:sz w:val="22"/>
                <w:szCs w:val="21"/>
                <w:highlight w:val="none"/>
              </w:rPr>
              <w:t>；</w:t>
            </w:r>
          </w:p>
          <w:p w14:paraId="5E34D8B4">
            <w:pPr>
              <w:wordWrap w:val="0"/>
              <w:spacing w:line="360" w:lineRule="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开标地点：卢氏县公共资源交易中心</w:t>
            </w:r>
            <w:r>
              <w:rPr>
                <w:rFonts w:hint="eastAsia" w:ascii="宋体" w:hAnsi="宋体" w:eastAsia="宋体" w:cs="宋体"/>
                <w:color w:val="auto"/>
                <w:sz w:val="22"/>
                <w:szCs w:val="21"/>
                <w:highlight w:val="none"/>
                <w:lang w:val="en-US" w:eastAsia="zh-CN"/>
              </w:rPr>
              <w:t>四</w:t>
            </w:r>
            <w:r>
              <w:rPr>
                <w:rFonts w:hint="eastAsia" w:ascii="宋体" w:hAnsi="宋体" w:eastAsia="宋体" w:cs="宋体"/>
                <w:color w:val="auto"/>
                <w:sz w:val="22"/>
                <w:szCs w:val="21"/>
                <w:highlight w:val="none"/>
              </w:rPr>
              <w:t>楼</w:t>
            </w:r>
            <w:r>
              <w:rPr>
                <w:rFonts w:hint="eastAsia" w:ascii="宋体" w:hAnsi="宋体" w:eastAsia="宋体" w:cs="宋体"/>
                <w:color w:val="auto"/>
                <w:sz w:val="22"/>
                <w:szCs w:val="21"/>
                <w:highlight w:val="none"/>
                <w:lang w:eastAsia="zh-CN"/>
              </w:rPr>
              <w:t>第二开标室</w:t>
            </w:r>
          </w:p>
          <w:p w14:paraId="4A56D942">
            <w:pPr>
              <w:wordWrap w:val="0"/>
              <w:spacing w:line="360" w:lineRule="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评标地点：卢氏县公共资源交易中心二楼</w:t>
            </w:r>
            <w:r>
              <w:rPr>
                <w:rFonts w:hint="eastAsia" w:ascii="宋体" w:hAnsi="宋体" w:eastAsia="宋体" w:cs="宋体"/>
                <w:color w:val="auto"/>
                <w:sz w:val="22"/>
                <w:szCs w:val="21"/>
                <w:highlight w:val="none"/>
                <w:lang w:eastAsia="zh-CN"/>
              </w:rPr>
              <w:t>第二评标室</w:t>
            </w:r>
          </w:p>
          <w:p w14:paraId="64F618CC">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开标时，供应商必须持CA密钥在规定时间内对本单位的加密电子响应文件进行远程解密。本次项目实行远程不见面</w:t>
            </w:r>
            <w:r>
              <w:rPr>
                <w:rFonts w:hint="eastAsia" w:ascii="宋体" w:hAnsi="宋体" w:eastAsia="宋体" w:cs="宋体"/>
                <w:color w:val="auto"/>
                <w:sz w:val="22"/>
                <w:szCs w:val="21"/>
                <w:highlight w:val="none"/>
                <w:lang w:val="en-US" w:eastAsia="zh-CN"/>
              </w:rPr>
              <w:t>开标</w:t>
            </w:r>
            <w:r>
              <w:rPr>
                <w:rFonts w:hint="eastAsia" w:ascii="宋体" w:hAnsi="宋体" w:eastAsia="宋体" w:cs="宋体"/>
                <w:color w:val="auto"/>
                <w:sz w:val="22"/>
                <w:szCs w:val="21"/>
                <w:highlight w:val="none"/>
              </w:rPr>
              <w:t>。</w:t>
            </w:r>
          </w:p>
        </w:tc>
      </w:tr>
      <w:tr w14:paraId="2286AAAE">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1BAD63">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5.2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D20F87">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投标文件递交截止时间</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E224E3">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2"/>
                <w:szCs w:val="21"/>
                <w:highlight w:val="none"/>
                <w:lang w:eastAsia="zh-CN"/>
              </w:rPr>
              <w:t>2025年</w:t>
            </w:r>
            <w:r>
              <w:rPr>
                <w:rFonts w:hint="eastAsia" w:ascii="宋体" w:hAnsi="宋体" w:eastAsia="宋体" w:cs="宋体"/>
                <w:color w:val="auto"/>
                <w:sz w:val="22"/>
                <w:szCs w:val="21"/>
                <w:highlight w:val="none"/>
                <w:lang w:val="en-US" w:eastAsia="zh-CN"/>
              </w:rPr>
              <w:t>12</w:t>
            </w:r>
            <w:r>
              <w:rPr>
                <w:rFonts w:hint="eastAsia" w:ascii="宋体" w:hAnsi="宋体" w:eastAsia="宋体" w:cs="宋体"/>
                <w:color w:val="auto"/>
                <w:sz w:val="22"/>
                <w:szCs w:val="21"/>
                <w:highlight w:val="none"/>
                <w:lang w:eastAsia="zh-CN"/>
              </w:rPr>
              <w:t>月</w:t>
            </w:r>
            <w:r>
              <w:rPr>
                <w:rFonts w:hint="eastAsia" w:ascii="宋体" w:hAnsi="宋体" w:eastAsia="宋体" w:cs="宋体"/>
                <w:color w:val="auto"/>
                <w:sz w:val="22"/>
                <w:szCs w:val="21"/>
                <w:highlight w:val="none"/>
                <w:lang w:val="en-US" w:eastAsia="zh-CN"/>
              </w:rPr>
              <w:t>11</w:t>
            </w:r>
            <w:r>
              <w:rPr>
                <w:rFonts w:hint="eastAsia" w:ascii="宋体" w:hAnsi="宋体" w:eastAsia="宋体" w:cs="宋体"/>
                <w:color w:val="auto"/>
                <w:sz w:val="22"/>
                <w:szCs w:val="21"/>
                <w:highlight w:val="none"/>
                <w:lang w:eastAsia="zh-CN"/>
              </w:rPr>
              <w:t>日08时40分</w:t>
            </w:r>
            <w:r>
              <w:rPr>
                <w:rFonts w:hint="eastAsia" w:ascii="宋体" w:hAnsi="宋体" w:eastAsia="宋体" w:cs="宋体"/>
                <w:color w:val="auto"/>
                <w:sz w:val="22"/>
                <w:szCs w:val="21"/>
                <w:highlight w:val="none"/>
              </w:rPr>
              <w:t>（北京时间）</w:t>
            </w:r>
          </w:p>
        </w:tc>
      </w:tr>
      <w:tr w14:paraId="1B220EB0">
        <w:tblPrEx>
          <w:tblCellMar>
            <w:top w:w="0" w:type="dxa"/>
            <w:left w:w="0" w:type="dxa"/>
            <w:bottom w:w="0" w:type="dxa"/>
            <w:right w:w="0" w:type="dxa"/>
          </w:tblCellMar>
        </w:tblPrEx>
        <w:trPr>
          <w:trHeight w:val="767"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711990">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6.1.1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F55F24">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评标委员会的</w:t>
            </w:r>
          </w:p>
          <w:p w14:paraId="1EB992EE">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组建</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B89706">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评标委员会构成：5 人，其中采购人代表1人，专家4人；</w:t>
            </w:r>
            <w:r>
              <w:rPr>
                <w:rFonts w:hint="eastAsia" w:ascii="宋体" w:hAnsi="宋体" w:eastAsia="宋体" w:cs="宋体"/>
                <w:color w:val="auto"/>
                <w:sz w:val="22"/>
                <w:szCs w:val="21"/>
                <w:highlight w:val="none"/>
                <w:lang w:eastAsia="zh-CN"/>
              </w:rPr>
              <w:t>技术、经济等方面的专家</w:t>
            </w:r>
            <w:r>
              <w:rPr>
                <w:rFonts w:hint="eastAsia" w:ascii="宋体" w:hAnsi="宋体" w:eastAsia="宋体" w:cs="宋体"/>
                <w:color w:val="auto"/>
                <w:sz w:val="22"/>
                <w:szCs w:val="21"/>
                <w:highlight w:val="none"/>
                <w:lang w:val="en-US" w:eastAsia="zh-CN"/>
              </w:rPr>
              <w:t>4</w:t>
            </w:r>
            <w:r>
              <w:rPr>
                <w:rFonts w:hint="eastAsia" w:ascii="宋体" w:hAnsi="宋体" w:eastAsia="宋体" w:cs="宋体"/>
                <w:color w:val="auto"/>
                <w:sz w:val="22"/>
                <w:szCs w:val="21"/>
                <w:highlight w:val="none"/>
                <w:lang w:eastAsia="zh-CN"/>
              </w:rPr>
              <w:t>人从</w:t>
            </w:r>
            <w:r>
              <w:rPr>
                <w:rFonts w:hint="eastAsia" w:ascii="宋体" w:hAnsi="宋体" w:eastAsia="宋体" w:cs="宋体"/>
                <w:color w:val="auto"/>
                <w:sz w:val="22"/>
                <w:szCs w:val="21"/>
                <w:highlight w:val="none"/>
                <w:lang w:val="en-US" w:eastAsia="zh-CN"/>
              </w:rPr>
              <w:t>河南省财政厅</w:t>
            </w:r>
            <w:r>
              <w:rPr>
                <w:rFonts w:hint="eastAsia" w:ascii="宋体" w:hAnsi="宋体" w:eastAsia="宋体" w:cs="宋体"/>
                <w:color w:val="auto"/>
                <w:sz w:val="22"/>
                <w:szCs w:val="21"/>
                <w:highlight w:val="none"/>
                <w:lang w:eastAsia="zh-CN"/>
              </w:rPr>
              <w:t>综合评标专家库中随机抽取。</w:t>
            </w:r>
          </w:p>
        </w:tc>
      </w:tr>
      <w:tr w14:paraId="71FC22CA">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8B39BC">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7.1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CD028C">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是否授权评标委员会确定中标供应商</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D55905">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否，依据评审办法按顺序推荐的中标候选人数：3名</w:t>
            </w:r>
          </w:p>
        </w:tc>
      </w:tr>
      <w:tr w14:paraId="52CCB22C">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2487E5">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7.2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B5BEB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中标</w:t>
            </w:r>
            <w:r>
              <w:rPr>
                <w:rFonts w:hint="eastAsia" w:ascii="宋体" w:hAnsi="宋体" w:eastAsia="宋体" w:cs="宋体"/>
                <w:color w:val="auto"/>
                <w:sz w:val="22"/>
                <w:szCs w:val="21"/>
                <w:highlight w:val="none"/>
                <w:lang w:val="en-US" w:eastAsia="zh-CN"/>
              </w:rPr>
              <w:t>结果</w:t>
            </w:r>
            <w:r>
              <w:rPr>
                <w:rFonts w:hint="eastAsia" w:ascii="宋体" w:hAnsi="宋体" w:eastAsia="宋体" w:cs="宋体"/>
                <w:color w:val="auto"/>
                <w:sz w:val="22"/>
                <w:szCs w:val="21"/>
                <w:highlight w:val="none"/>
              </w:rPr>
              <w:t>公示</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7751DF">
            <w:pPr>
              <w:wordWrap w:val="0"/>
              <w:spacing w:line="360" w:lineRule="auto"/>
              <w:jc w:val="left"/>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lang w:eastAsia="zh-CN"/>
              </w:rPr>
              <w:t>《河南省政府采购网》、《三门峡市公共资源交易平台》、《中国招标投标公共服务平台》。</w:t>
            </w:r>
          </w:p>
        </w:tc>
      </w:tr>
      <w:tr w14:paraId="61F94550">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A64BAE">
            <w:pPr>
              <w:wordWrap w:val="0"/>
              <w:spacing w:line="360" w:lineRule="auto"/>
              <w:jc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8.1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FBC208">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eastAsia="zh-CN"/>
              </w:rPr>
              <w:t>付款方式</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9192FE">
            <w:pPr>
              <w:wordWrap w:val="0"/>
              <w:spacing w:line="360" w:lineRule="auto"/>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中标方供货完成后，经甲方验收合格，一次付清据实结算财政补贴部分费用（按照农户实际需求领取地膜，烟农在领取地膜时，除财政补贴30元/卷，剩余差价由农户直接向中标方补足差价；）</w:t>
            </w:r>
          </w:p>
        </w:tc>
      </w:tr>
      <w:tr w14:paraId="0BBA4498">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5C5A02">
            <w:pPr>
              <w:wordWrap w:val="0"/>
              <w:spacing w:line="360" w:lineRule="auto"/>
              <w:jc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8.2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87BEAA">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政府采购合同融资政策</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4A9AF3">
            <w:pPr>
              <w:wordWrap w:val="0"/>
              <w:spacing w:line="360" w:lineRule="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中标后，如需融资，参照《河南省政府采购合同融资工作实施方案》（豫财购〔2017〕10号）执行。</w:t>
            </w:r>
          </w:p>
        </w:tc>
      </w:tr>
      <w:tr w14:paraId="540BD9CF">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229581">
            <w:pPr>
              <w:wordWrap w:val="0"/>
              <w:spacing w:line="360" w:lineRule="auto"/>
              <w:jc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8.2</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403A1F">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采购标的所属行业</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819D67">
            <w:pPr>
              <w:wordWrap w:val="0"/>
              <w:spacing w:line="360" w:lineRule="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采购标的所属行业：</w:t>
            </w:r>
            <w:r>
              <w:rPr>
                <w:rFonts w:hint="eastAsia" w:ascii="宋体" w:hAnsi="宋体" w:eastAsia="宋体" w:cs="宋体"/>
                <w:color w:val="auto"/>
                <w:sz w:val="22"/>
                <w:szCs w:val="21"/>
                <w:highlight w:val="none"/>
                <w:lang w:val="en-US" w:eastAsia="zh-CN"/>
              </w:rPr>
              <w:t>制造业</w:t>
            </w:r>
          </w:p>
          <w:p w14:paraId="617F699C">
            <w:pPr>
              <w:wordWrap w:val="0"/>
              <w:spacing w:line="360" w:lineRule="auto"/>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划定标准为：《工业和信息化部、国家统计局、国家发展和改革委员会、财政部关于印发&lt;中小企业划型标准规定的通知&gt;（工信部联企业〔2011〕300号）规定的划分标准为依据。</w:t>
            </w:r>
          </w:p>
        </w:tc>
      </w:tr>
      <w:tr w14:paraId="06273E23">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A8B759">
            <w:pPr>
              <w:wordWrap w:val="0"/>
              <w:spacing w:line="360" w:lineRule="auto"/>
              <w:jc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9.1</w:t>
            </w:r>
          </w:p>
        </w:tc>
        <w:tc>
          <w:tcPr>
            <w:tcW w:w="16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B95936">
            <w:pPr>
              <w:widowControl/>
              <w:spacing w:line="360" w:lineRule="auto"/>
              <w:jc w:val="center"/>
              <w:textAlignment w:val="auto"/>
              <w:rPr>
                <w:rFonts w:hint="eastAsia" w:ascii="宋体" w:hAnsi="宋体" w:eastAsia="宋体" w:cs="宋体"/>
                <w:color w:val="auto"/>
                <w:sz w:val="22"/>
                <w:szCs w:val="21"/>
                <w:highlight w:val="none"/>
              </w:rPr>
            </w:pPr>
            <w:r>
              <w:rPr>
                <w:rFonts w:hint="eastAsia" w:ascii="宋体" w:hAnsi="宋体" w:eastAsia="宋体" w:cs="宋体"/>
                <w:kern w:val="0"/>
                <w:sz w:val="22"/>
                <w:szCs w:val="22"/>
                <w:lang w:eastAsia="zh-CN"/>
              </w:rPr>
              <w:t>中标服务费</w:t>
            </w:r>
          </w:p>
        </w:tc>
        <w:tc>
          <w:tcPr>
            <w:tcW w:w="68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5DE18F">
            <w:pPr>
              <w:wordWrap w:val="0"/>
              <w:spacing w:line="360" w:lineRule="auto"/>
              <w:rPr>
                <w:rFonts w:hint="eastAsia"/>
                <w:sz w:val="21"/>
                <w:szCs w:val="21"/>
              </w:rPr>
            </w:pPr>
            <w:r>
              <w:rPr>
                <w:rFonts w:hint="eastAsia" w:ascii="宋体" w:hAnsi="宋体" w:eastAsia="宋体" w:cs="宋体"/>
                <w:spacing w:val="6"/>
                <w:kern w:val="2"/>
                <w:sz w:val="22"/>
                <w:szCs w:val="22"/>
                <w:lang w:val="en-US" w:eastAsia="zh-CN"/>
              </w:rPr>
              <w:t>招标代理服务收费参照豫招协[2023]002号河南省招标投标</w:t>
            </w:r>
            <w:r>
              <w:rPr>
                <w:rFonts w:hint="eastAsia" w:ascii="宋体" w:hAnsi="宋体" w:eastAsia="宋体" w:cs="宋体"/>
                <w:color w:val="auto"/>
                <w:sz w:val="22"/>
                <w:szCs w:val="21"/>
                <w:highlight w:val="none"/>
                <w:lang w:val="en-US" w:eastAsia="zh-CN"/>
              </w:rPr>
              <w:t>协会关于印发《河南省招标代理服务收费指导意见》规定的收费标准收取中标服务费</w:t>
            </w:r>
            <w:r>
              <w:rPr>
                <w:rFonts w:hint="eastAsia" w:ascii="宋体" w:hAnsi="宋体" w:eastAsia="宋体" w:cs="宋体"/>
                <w:color w:val="auto"/>
                <w:sz w:val="22"/>
                <w:szCs w:val="21"/>
                <w:highlight w:val="none"/>
              </w:rPr>
              <w:t>，领取中标通知书时一次性支付</w:t>
            </w:r>
            <w:r>
              <w:rPr>
                <w:rFonts w:hint="eastAsia" w:ascii="宋体" w:hAnsi="宋体" w:eastAsia="宋体" w:cs="宋体"/>
                <w:color w:val="auto"/>
                <w:sz w:val="22"/>
                <w:szCs w:val="21"/>
                <w:highlight w:val="none"/>
                <w:lang w:eastAsia="zh-CN"/>
              </w:rPr>
              <w:t>。</w:t>
            </w:r>
          </w:p>
        </w:tc>
      </w:tr>
      <w:tr w14:paraId="2B4D3324">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8BF41">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10</w:t>
            </w:r>
          </w:p>
        </w:tc>
        <w:tc>
          <w:tcPr>
            <w:tcW w:w="846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508B76">
            <w:pPr>
              <w:wordWrap w:val="0"/>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需要补充的其他内容</w:t>
            </w:r>
          </w:p>
        </w:tc>
      </w:tr>
      <w:tr w14:paraId="23113FE2">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AA89EB">
            <w:pPr>
              <w:wordWrap w:val="0"/>
              <w:spacing w:line="360" w:lineRule="auto"/>
              <w:jc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11.1</w:t>
            </w:r>
          </w:p>
        </w:tc>
        <w:tc>
          <w:tcPr>
            <w:tcW w:w="846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330642">
            <w:pPr>
              <w:wordWrap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电子化交易注意事项</w:t>
            </w:r>
          </w:p>
        </w:tc>
      </w:tr>
      <w:tr w14:paraId="7A6F439A">
        <w:tblPrEx>
          <w:tblCellMar>
            <w:top w:w="0" w:type="dxa"/>
            <w:left w:w="0" w:type="dxa"/>
            <w:bottom w:w="0" w:type="dxa"/>
            <w:right w:w="0" w:type="dxa"/>
          </w:tblCellMar>
        </w:tblPrEx>
        <w:trPr>
          <w:trHeight w:val="23" w:hRule="atLeast"/>
          <w:jc w:val="center"/>
        </w:trPr>
        <w:tc>
          <w:tcPr>
            <w:tcW w:w="10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924139">
            <w:pPr>
              <w:wordWrap w:val="0"/>
              <w:spacing w:line="360" w:lineRule="auto"/>
              <w:jc w:val="center"/>
              <w:rPr>
                <w:rFonts w:hint="eastAsia" w:ascii="宋体" w:hAnsi="宋体" w:eastAsia="宋体" w:cs="宋体"/>
                <w:color w:val="auto"/>
                <w:sz w:val="22"/>
                <w:szCs w:val="21"/>
                <w:highlight w:val="none"/>
              </w:rPr>
            </w:pPr>
          </w:p>
        </w:tc>
        <w:tc>
          <w:tcPr>
            <w:tcW w:w="846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13415B">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具体要求：本项目为电子化、无纸化交易项目，投标文件是投标人、投标人通过中心投标文件制作系统制作，并经过签章和加密后生成的电子版投标文件。电子化投标文件具体制作文件请点击 http://t.cn/A6ZvtVob 进行下载。</w:t>
            </w:r>
          </w:p>
          <w:p w14:paraId="7D877BE2">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温馨提示：本项目为电子化、无纸化交易项目，为保证您能投标成功，请需仔细阅读以下条款。</w:t>
            </w:r>
          </w:p>
          <w:p w14:paraId="118B3A3E">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一、电子化投标 </w:t>
            </w:r>
          </w:p>
          <w:p w14:paraId="3F2FE3F5">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w:t>
            </w:r>
            <w:r>
              <w:rPr>
                <w:rFonts w:hint="eastAsia" w:ascii="宋体" w:hAnsi="宋体" w:eastAsia="宋体" w:cs="宋体"/>
                <w:b w:val="0"/>
                <w:bCs/>
                <w:color w:val="auto"/>
                <w:sz w:val="22"/>
                <w:szCs w:val="21"/>
                <w:highlight w:val="none"/>
                <w:lang w:val="en-US" w:eastAsia="zh-CN"/>
              </w:rPr>
              <w:t>一</w:t>
            </w:r>
            <w:r>
              <w:rPr>
                <w:rFonts w:hint="eastAsia" w:ascii="宋体" w:hAnsi="宋体" w:eastAsia="宋体" w:cs="宋体"/>
                <w:b w:val="0"/>
                <w:bCs/>
                <w:color w:val="auto"/>
                <w:sz w:val="22"/>
                <w:szCs w:val="21"/>
                <w:highlight w:val="none"/>
                <w:lang w:eastAsia="zh-CN"/>
              </w:rPr>
              <w:t xml:space="preserve">）电子化投标文件的签章 </w:t>
            </w:r>
          </w:p>
          <w:p w14:paraId="6AB35F51">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1、投标人在生成电子化投标文件后，应对电子化投标文件进行签章，未进行签章的视为无效投标。</w:t>
            </w:r>
          </w:p>
          <w:p w14:paraId="6CE3F939">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2、招标文件中要求法定代表人或授权委托人签字或盖章的，投标人在进行电子化响应文件需签章，签章时以签盖法定代表人签章为准。电子化响应文件具体制作教材请投标人通过CA证书登录三门峡市公共资源电子化交易系统在右上角“组建下载”中查看。</w:t>
            </w:r>
          </w:p>
          <w:p w14:paraId="00F5FF4A">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w:t>
            </w:r>
            <w:r>
              <w:rPr>
                <w:rFonts w:hint="eastAsia" w:ascii="宋体" w:hAnsi="宋体" w:eastAsia="宋体" w:cs="宋体"/>
                <w:b w:val="0"/>
                <w:bCs/>
                <w:color w:val="auto"/>
                <w:sz w:val="22"/>
                <w:szCs w:val="21"/>
                <w:highlight w:val="none"/>
                <w:lang w:val="en-US" w:eastAsia="zh-CN"/>
              </w:rPr>
              <w:t>二</w:t>
            </w:r>
            <w:r>
              <w:rPr>
                <w:rFonts w:hint="eastAsia" w:ascii="宋体" w:hAnsi="宋体" w:eastAsia="宋体" w:cs="宋体"/>
                <w:b w:val="0"/>
                <w:bCs/>
                <w:color w:val="auto"/>
                <w:sz w:val="22"/>
                <w:szCs w:val="21"/>
                <w:highlight w:val="none"/>
                <w:lang w:eastAsia="zh-CN"/>
              </w:rPr>
              <w:t xml:space="preserve">）电子化投标文件的格式及上传投标文件 </w:t>
            </w:r>
          </w:p>
          <w:p w14:paraId="630521F5">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1、投标人所上传的电子化投标文件，应是通过中心投标文件制作系统制作的（投标文件制作工具下载地址：http://www.smxgzjy.org），经过签章和加密后生成的电子版投标文件。上传投标文件格式后缀为SMXTF。</w:t>
            </w:r>
          </w:p>
          <w:p w14:paraId="2DE3309F">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注：投标人投报多个标段的，需要每个标段单独制作电子投标文件。</w:t>
            </w:r>
          </w:p>
          <w:p w14:paraId="1ABD7B9D">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2、电子化投标文件应在投标截止时间前成功上传至三门峡市公共资源电子化交易系统。至投标截止时间止，仍未上传成功的电子化投标文件将不予接收。</w:t>
            </w:r>
          </w:p>
          <w:p w14:paraId="742C29D5">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39C24B78">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技术联系电话：4009980000</w:t>
            </w:r>
          </w:p>
          <w:p w14:paraId="0CF56E41">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w:t>
            </w:r>
            <w:r>
              <w:rPr>
                <w:rFonts w:hint="eastAsia" w:ascii="宋体" w:hAnsi="宋体" w:eastAsia="宋体" w:cs="宋体"/>
                <w:b w:val="0"/>
                <w:bCs/>
                <w:color w:val="auto"/>
                <w:sz w:val="22"/>
                <w:szCs w:val="21"/>
                <w:highlight w:val="none"/>
                <w:lang w:val="en-US" w:eastAsia="zh-CN"/>
              </w:rPr>
              <w:t>三</w:t>
            </w:r>
            <w:r>
              <w:rPr>
                <w:rFonts w:hint="eastAsia" w:ascii="宋体" w:hAnsi="宋体" w:eastAsia="宋体" w:cs="宋体"/>
                <w:b w:val="0"/>
                <w:bCs/>
                <w:color w:val="auto"/>
                <w:sz w:val="22"/>
                <w:szCs w:val="21"/>
                <w:highlight w:val="none"/>
                <w:lang w:eastAsia="zh-CN"/>
              </w:rPr>
              <w:t xml:space="preserve">）电子化项目开标、解密、唱标、评标 </w:t>
            </w:r>
          </w:p>
          <w:p w14:paraId="6A60644B">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480FFDF7">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2、开标时，由投标人使用 CA 证书，在规定时间内对其电子化投标文件进行解密。每位投标人的解密时间为开标时间起30分钟内，如在规定时间内未完成解密的，其投标文件不予开标、唱标。</w:t>
            </w:r>
          </w:p>
          <w:p w14:paraId="07F80542">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3、电子化投标文件解密异常的处理 </w:t>
            </w:r>
          </w:p>
          <w:p w14:paraId="79B0729C">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如出现投标人的电子投标文件无法解密等异常情况，投标人应及时致电中介服务机构说明。投标文件异常，按以下步骤进行处理： </w:t>
            </w:r>
          </w:p>
          <w:p w14:paraId="7AAA1F33">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（1）首先由技术人员进行问题排查</w:t>
            </w:r>
          </w:p>
          <w:p w14:paraId="68C5BE92">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（2）经技术人员排查后，是投标人文件自身问题导致投标文件无法解密的，该投标文件将不予接收、解密和唱标。开标会议继续进行。</w:t>
            </w:r>
          </w:p>
          <w:p w14:paraId="3CF124B4">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4AAD2BBA">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4、待所有投标人投标文件解密完成后，由中介服务机构操作，对所有已解密投标文件进行唱标。 </w:t>
            </w:r>
          </w:p>
          <w:p w14:paraId="0706704A">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投标人应保证在开标期间电话、电脑、网络能够正常工作，投标人因停电、电脑病毒、网络堵塞等原因，未在规定的解密时间内对投标文件进行解密的，其投标文件不予接收、唱标。 </w:t>
            </w:r>
          </w:p>
          <w:p w14:paraId="15F6B81E">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投标人未在规定时间内提出质疑的，视为认可唱标内容。</w:t>
            </w:r>
          </w:p>
          <w:p w14:paraId="1B3B7BA2">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47BFF76C">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 xml:space="preserve">7、需要回复的投标人未在规定时间内回复的，视为投标人放弃回复，评标委员会将自行对需要回复的内容进行认定。 </w:t>
            </w:r>
          </w:p>
          <w:p w14:paraId="0284F0F1">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二、 相关证书原件的提交</w:t>
            </w:r>
          </w:p>
          <w:p w14:paraId="3D84F01B">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79460EA4">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5FF6E273">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4F2A74F3">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具体操作详见《三门峡市公共资源交易投标人（供应商）主体信息库操作手册》。</w:t>
            </w:r>
          </w:p>
          <w:p w14:paraId="446A33A6">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（二）项目评标结果公示时，将同时公示中标候选人主体库信息，接受社会监督。</w:t>
            </w:r>
          </w:p>
          <w:p w14:paraId="43C76B7E">
            <w:pPr>
              <w:wordWrap w:val="0"/>
              <w:spacing w:line="360" w:lineRule="auto"/>
              <w:ind w:firstLine="440" w:firstLineChars="200"/>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eastAsia="zh-CN"/>
              </w:rPr>
              <w:t>（三）投标人需应仔细阅读操作手册，保证上传内容齐全，真实有效，原件扫描件清晰可辨。因投标人上传原因导致应得分项而未得分或资格审查不合格等情况的，由投标人自行承担责任。</w:t>
            </w:r>
          </w:p>
          <w:p w14:paraId="5868DFBC">
            <w:pPr>
              <w:wordWrap w:val="0"/>
              <w:spacing w:line="360" w:lineRule="auto"/>
              <w:ind w:firstLine="440" w:firstLineChars="200"/>
              <w:rPr>
                <w:rFonts w:hint="eastAsia" w:ascii="宋体" w:hAnsi="宋体" w:eastAsia="宋体" w:cs="宋体"/>
                <w:b/>
                <w:color w:val="auto"/>
                <w:sz w:val="22"/>
                <w:szCs w:val="21"/>
                <w:highlight w:val="none"/>
              </w:rPr>
            </w:pPr>
            <w:r>
              <w:rPr>
                <w:rFonts w:hint="eastAsia" w:ascii="宋体" w:hAnsi="宋体" w:eastAsia="宋体" w:cs="宋体"/>
                <w:b w:val="0"/>
                <w:bCs/>
                <w:color w:val="auto"/>
                <w:sz w:val="22"/>
                <w:szCs w:val="21"/>
                <w:highlight w:val="none"/>
                <w:lang w:eastAsia="zh-CN"/>
              </w:rPr>
              <w:t>提示：本项目为电子化、无纸化交易项目，开标时不再接受任何纸质资料，为保证您能投标成功，请需仔细阅读以上条款。</w:t>
            </w:r>
          </w:p>
        </w:tc>
      </w:tr>
    </w:tbl>
    <w:p w14:paraId="15433634">
      <w:pPr>
        <w:snapToGrid w:val="0"/>
        <w:spacing w:line="40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一、</w:t>
      </w:r>
      <w:r>
        <w:rPr>
          <w:rFonts w:hint="eastAsia" w:ascii="宋体" w:hAnsi="宋体" w:eastAsia="宋体" w:cs="宋体"/>
          <w:b/>
          <w:bCs/>
          <w:color w:val="auto"/>
          <w:kern w:val="0"/>
          <w:sz w:val="24"/>
          <w:highlight w:val="none"/>
        </w:rPr>
        <w:t xml:space="preserve"> 总则</w:t>
      </w:r>
    </w:p>
    <w:p w14:paraId="059FA457">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1、项目概况</w:t>
      </w:r>
    </w:p>
    <w:p w14:paraId="21F1D93F">
      <w:pPr>
        <w:spacing w:line="440" w:lineRule="exact"/>
        <w:ind w:firstLine="440" w:firstLineChars="200"/>
        <w:rPr>
          <w:rFonts w:hint="eastAsia" w:ascii="宋体" w:hAnsi="宋体" w:eastAsia="宋体" w:cs="Times New Roman"/>
          <w:sz w:val="22"/>
          <w:szCs w:val="22"/>
          <w:lang w:val="en-US" w:eastAsia="zh-CN"/>
        </w:rPr>
      </w:pPr>
      <w:r>
        <w:rPr>
          <w:rFonts w:hint="eastAsia" w:ascii="宋体" w:hAnsi="宋体" w:eastAsia="宋体" w:cs="Times New Roman"/>
          <w:sz w:val="22"/>
          <w:szCs w:val="22"/>
        </w:rPr>
        <w:t>1.1</w:t>
      </w:r>
      <w:r>
        <w:rPr>
          <w:rFonts w:hint="eastAsia" w:ascii="宋体" w:hAnsi="宋体" w:eastAsia="宋体" w:cs="Times New Roman"/>
          <w:sz w:val="22"/>
          <w:szCs w:val="22"/>
          <w:lang w:val="en-US" w:eastAsia="zh-CN"/>
        </w:rPr>
        <w:t>项目名称</w:t>
      </w:r>
      <w:r>
        <w:rPr>
          <w:rFonts w:hint="eastAsia" w:ascii="宋体" w:hAnsi="宋体" w:eastAsia="宋体" w:cs="Times New Roman"/>
          <w:sz w:val="22"/>
          <w:szCs w:val="22"/>
        </w:rPr>
        <w:t>：本项目为</w:t>
      </w:r>
      <w:r>
        <w:rPr>
          <w:rFonts w:hint="eastAsia" w:ascii="宋体" w:hAnsi="宋体" w:eastAsia="宋体" w:cs="Times New Roman"/>
          <w:sz w:val="22"/>
          <w:szCs w:val="22"/>
          <w:lang w:val="en-US" w:eastAsia="zh-CN"/>
        </w:rPr>
        <w:t>卢氏县2025年地膜科学使用回收试点项目</w:t>
      </w:r>
    </w:p>
    <w:p w14:paraId="1FE3B7BD">
      <w:pPr>
        <w:spacing w:line="440" w:lineRule="exact"/>
        <w:ind w:firstLine="440" w:firstLineChars="200"/>
        <w:rPr>
          <w:rFonts w:ascii="宋体" w:hAnsi="宋体" w:eastAsia="宋体" w:cs="Times New Roman"/>
          <w:sz w:val="22"/>
          <w:szCs w:val="22"/>
        </w:rPr>
      </w:pPr>
      <w:r>
        <w:rPr>
          <w:rFonts w:hint="eastAsia" w:ascii="宋体" w:hAnsi="宋体" w:eastAsia="宋体" w:cs="Times New Roman"/>
          <w:sz w:val="22"/>
          <w:szCs w:val="22"/>
        </w:rPr>
        <w:t>1.2资金来源：</w:t>
      </w:r>
      <w:r>
        <w:rPr>
          <w:rFonts w:hint="eastAsia" w:ascii="宋体" w:hAnsi="宋体" w:eastAsia="宋体" w:cs="Times New Roman"/>
          <w:sz w:val="22"/>
          <w:szCs w:val="22"/>
          <w:lang w:val="en-US" w:eastAsia="zh-CN"/>
        </w:rPr>
        <w:t>财政</w:t>
      </w:r>
      <w:r>
        <w:rPr>
          <w:rFonts w:hint="eastAsia" w:ascii="宋体" w:hAnsi="宋体" w:eastAsia="宋体" w:cs="Times New Roman"/>
          <w:sz w:val="22"/>
          <w:szCs w:val="22"/>
        </w:rPr>
        <w:t>资金，已落实</w:t>
      </w:r>
    </w:p>
    <w:p w14:paraId="7D1F2EB9">
      <w:pPr>
        <w:spacing w:line="440" w:lineRule="exact"/>
        <w:ind w:firstLine="440" w:firstLineChars="200"/>
        <w:rPr>
          <w:rFonts w:ascii="宋体" w:hAnsi="宋体" w:eastAsia="宋体" w:cs="Times New Roman"/>
          <w:sz w:val="22"/>
          <w:szCs w:val="22"/>
        </w:rPr>
      </w:pPr>
      <w:r>
        <w:rPr>
          <w:rFonts w:hint="eastAsia" w:ascii="宋体" w:hAnsi="宋体" w:eastAsia="宋体" w:cs="Times New Roman"/>
          <w:sz w:val="22"/>
          <w:szCs w:val="22"/>
        </w:rPr>
        <w:t>1.3采购预算：</w:t>
      </w:r>
      <w:r>
        <w:rPr>
          <w:rFonts w:hint="eastAsia" w:ascii="宋体" w:hAnsi="宋体" w:eastAsia="宋体" w:cs="Times New Roman"/>
          <w:sz w:val="22"/>
          <w:szCs w:val="22"/>
          <w:lang w:val="en-US" w:eastAsia="zh-CN"/>
        </w:rPr>
        <w:t>地膜单价</w:t>
      </w:r>
      <w:r>
        <w:rPr>
          <w:rFonts w:hint="eastAsia" w:ascii="宋体" w:hAnsi="宋体" w:eastAsia="宋体" w:cs="宋体"/>
          <w:color w:val="auto"/>
          <w:sz w:val="22"/>
          <w:szCs w:val="22"/>
          <w:highlight w:val="none"/>
          <w:lang w:val="en-US" w:eastAsia="zh-CN"/>
        </w:rPr>
        <w:t>12.4元/kg</w:t>
      </w:r>
      <w:r>
        <w:rPr>
          <w:rFonts w:hint="eastAsia" w:ascii="宋体" w:hAnsi="宋体" w:eastAsia="宋体" w:cs="Times New Roman"/>
          <w:sz w:val="22"/>
          <w:szCs w:val="22"/>
        </w:rPr>
        <w:t>。</w:t>
      </w:r>
    </w:p>
    <w:p w14:paraId="5395747B">
      <w:pPr>
        <w:spacing w:line="44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1.4质量要求：</w:t>
      </w:r>
      <w:r>
        <w:rPr>
          <w:rFonts w:hint="eastAsia" w:ascii="宋体" w:hAnsi="宋体" w:eastAsia="宋体" w:cs="宋体"/>
          <w:sz w:val="22"/>
          <w:szCs w:val="22"/>
          <w:lang w:val="en-US" w:eastAsia="zh-CN"/>
        </w:rPr>
        <w:t>需符合聚乙烯吹塑农用地面覆盖薄膜《GB13735-2017》标准，用全新的聚乙烯原料生产，不得使用再生料或回收料。</w:t>
      </w:r>
    </w:p>
    <w:p w14:paraId="78C6F003">
      <w:p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1.5</w:t>
      </w:r>
      <w:r>
        <w:rPr>
          <w:rFonts w:hint="eastAsia" w:ascii="宋体" w:hAnsi="宋体" w:eastAsia="宋体" w:cs="宋体"/>
          <w:sz w:val="22"/>
          <w:szCs w:val="22"/>
          <w:lang w:val="en-US" w:eastAsia="zh-CN"/>
        </w:rPr>
        <w:t>供货期</w:t>
      </w:r>
      <w:r>
        <w:rPr>
          <w:rFonts w:hint="eastAsia" w:ascii="宋体" w:hAnsi="宋体" w:eastAsia="宋体" w:cs="宋体"/>
          <w:sz w:val="22"/>
          <w:szCs w:val="22"/>
        </w:rPr>
        <w:t>：</w:t>
      </w:r>
      <w:r>
        <w:rPr>
          <w:rFonts w:hint="eastAsia" w:ascii="宋体" w:hAnsi="宋体" w:eastAsia="宋体" w:cs="宋体"/>
          <w:sz w:val="22"/>
          <w:szCs w:val="22"/>
          <w:lang w:val="en-US" w:eastAsia="zh-CN"/>
        </w:rPr>
        <w:t>根据采购人要求阶段性供货</w:t>
      </w:r>
    </w:p>
    <w:p w14:paraId="262347A2">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交货地点：采购人指定地点</w:t>
      </w:r>
    </w:p>
    <w:p w14:paraId="03254901">
      <w:pPr>
        <w:spacing w:line="440" w:lineRule="exact"/>
        <w:ind w:firstLine="440" w:firstLineChars="200"/>
        <w:rPr>
          <w:rFonts w:ascii="宋体" w:hAnsi="宋体" w:eastAsia="宋体" w:cs="Times New Roman"/>
          <w:sz w:val="22"/>
          <w:szCs w:val="22"/>
        </w:rPr>
      </w:pPr>
      <w:r>
        <w:rPr>
          <w:rFonts w:hint="eastAsia" w:ascii="宋体" w:hAnsi="宋体" w:eastAsia="宋体" w:cs="Times New Roman"/>
          <w:sz w:val="22"/>
          <w:szCs w:val="22"/>
        </w:rPr>
        <w:t>2、投标费用</w:t>
      </w:r>
    </w:p>
    <w:p w14:paraId="6EE7DAD6">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2.1</w:t>
      </w:r>
      <w:r>
        <w:rPr>
          <w:rFonts w:hint="eastAsia" w:ascii="宋体" w:hAnsi="宋体" w:eastAsia="宋体" w:cs="宋体"/>
          <w:sz w:val="22"/>
          <w:szCs w:val="22"/>
        </w:rPr>
        <w:t>供应商承担其</w:t>
      </w:r>
      <w:r>
        <w:rPr>
          <w:rFonts w:hint="eastAsia" w:ascii="宋体" w:hAnsi="宋体" w:eastAsia="宋体" w:cs="宋体"/>
          <w:kern w:val="0"/>
          <w:sz w:val="22"/>
          <w:szCs w:val="22"/>
        </w:rPr>
        <w:t>电子化</w:t>
      </w:r>
      <w:r>
        <w:rPr>
          <w:rFonts w:hint="eastAsia" w:ascii="宋体" w:hAnsi="宋体" w:eastAsia="宋体" w:cs="宋体"/>
          <w:sz w:val="22"/>
          <w:szCs w:val="22"/>
        </w:rPr>
        <w:t>投标文件编制与递交所涉及的一切费用。在任何情况下采购人和采购代理机构对上述费用均不承担任何责任。</w:t>
      </w:r>
    </w:p>
    <w:p w14:paraId="49336CD5">
      <w:pPr>
        <w:spacing w:line="440" w:lineRule="exact"/>
        <w:rPr>
          <w:rFonts w:ascii="宋体" w:hAnsi="宋体" w:eastAsia="宋体" w:cs="宋体"/>
          <w:b/>
          <w:bCs/>
          <w:sz w:val="22"/>
          <w:szCs w:val="22"/>
        </w:rPr>
      </w:pPr>
      <w:r>
        <w:rPr>
          <w:rFonts w:hint="eastAsia" w:ascii="宋体" w:hAnsi="宋体" w:eastAsia="宋体" w:cs="宋体"/>
          <w:b/>
          <w:bCs/>
          <w:sz w:val="22"/>
          <w:szCs w:val="22"/>
        </w:rPr>
        <w:t xml:space="preserve">    3、定义及解释</w:t>
      </w:r>
    </w:p>
    <w:p w14:paraId="26562FBB">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3.1</w:t>
      </w:r>
      <w:r>
        <w:rPr>
          <w:rFonts w:hint="eastAsia" w:ascii="宋体" w:hAnsi="宋体" w:eastAsia="宋体" w:cs="宋体"/>
          <w:sz w:val="22"/>
          <w:szCs w:val="22"/>
        </w:rPr>
        <w:t>货物：系指供应商按招标文件规定而提供的货物及其他有关资料和材料。</w:t>
      </w:r>
    </w:p>
    <w:p w14:paraId="2DB44F73">
      <w:pPr>
        <w:spacing w:line="440" w:lineRule="exact"/>
        <w:rPr>
          <w:rFonts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 xml:space="preserve"> 3.2</w:t>
      </w:r>
      <w:r>
        <w:rPr>
          <w:rFonts w:hint="eastAsia" w:ascii="宋体" w:hAnsi="宋体" w:eastAsia="宋体" w:cs="宋体"/>
          <w:sz w:val="22"/>
          <w:szCs w:val="22"/>
        </w:rPr>
        <w:t xml:space="preserve"> 服务：系指供应商按招标文件提供的服务。</w:t>
      </w:r>
    </w:p>
    <w:p w14:paraId="1BEED208">
      <w:pPr>
        <w:spacing w:line="440" w:lineRule="exact"/>
        <w:ind w:firstLine="442" w:firstLineChars="200"/>
        <w:rPr>
          <w:rFonts w:ascii="宋体" w:hAnsi="宋体" w:eastAsia="宋体" w:cs="宋体"/>
          <w:sz w:val="22"/>
          <w:szCs w:val="22"/>
          <w:u w:val="single"/>
        </w:rPr>
      </w:pPr>
      <w:r>
        <w:rPr>
          <w:rFonts w:hint="eastAsia" w:ascii="宋体" w:hAnsi="宋体" w:eastAsia="宋体" w:cs="宋体"/>
          <w:b/>
          <w:bCs/>
          <w:sz w:val="22"/>
          <w:szCs w:val="22"/>
        </w:rPr>
        <w:t xml:space="preserve">3.3 </w:t>
      </w:r>
      <w:r>
        <w:rPr>
          <w:rFonts w:hint="eastAsia" w:ascii="宋体" w:hAnsi="宋体" w:eastAsia="宋体" w:cs="宋体"/>
          <w:sz w:val="22"/>
          <w:szCs w:val="22"/>
        </w:rPr>
        <w:t>采购人：</w:t>
      </w:r>
      <w:r>
        <w:rPr>
          <w:rFonts w:hint="eastAsia" w:ascii="宋体" w:hAnsi="宋体" w:eastAsia="宋体" w:cs="Times New Roman"/>
          <w:sz w:val="22"/>
          <w:szCs w:val="22"/>
          <w:lang w:eastAsia="zh-CN"/>
        </w:rPr>
        <w:t>卢氏县农业农村局</w:t>
      </w:r>
      <w:r>
        <w:rPr>
          <w:rFonts w:hint="eastAsia" w:ascii="宋体" w:hAnsi="宋体" w:eastAsia="宋体" w:cs="宋体"/>
          <w:sz w:val="22"/>
          <w:szCs w:val="22"/>
        </w:rPr>
        <w:t>。</w:t>
      </w:r>
    </w:p>
    <w:p w14:paraId="4F03453E">
      <w:pPr>
        <w:spacing w:line="440" w:lineRule="exact"/>
        <w:rPr>
          <w:rFonts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 xml:space="preserve"> 3.4</w:t>
      </w:r>
      <w:r>
        <w:rPr>
          <w:rFonts w:hint="eastAsia" w:ascii="宋体" w:hAnsi="宋体" w:eastAsia="宋体" w:cs="宋体"/>
          <w:sz w:val="22"/>
          <w:szCs w:val="22"/>
        </w:rPr>
        <w:t xml:space="preserve"> 供应商：是指响应招标、参加投标竞争的法人或者其他组织。</w:t>
      </w:r>
    </w:p>
    <w:p w14:paraId="30BF259C">
      <w:pPr>
        <w:spacing w:line="440" w:lineRule="exact"/>
        <w:rPr>
          <w:rFonts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 xml:space="preserve">3.5 </w:t>
      </w:r>
      <w:r>
        <w:rPr>
          <w:rFonts w:hint="eastAsia" w:ascii="宋体" w:hAnsi="宋体" w:eastAsia="宋体" w:cs="宋体"/>
          <w:sz w:val="22"/>
          <w:szCs w:val="22"/>
        </w:rPr>
        <w:t>采购代理机构：</w:t>
      </w:r>
      <w:r>
        <w:rPr>
          <w:rFonts w:hint="eastAsia" w:ascii="宋体" w:hAnsi="宋体" w:eastAsia="宋体" w:cs="宋体"/>
          <w:sz w:val="22"/>
          <w:szCs w:val="22"/>
          <w:lang w:eastAsia="zh-CN"/>
        </w:rPr>
        <w:t>河南高誉工程咨询有限公司</w:t>
      </w:r>
      <w:r>
        <w:rPr>
          <w:rFonts w:hint="eastAsia" w:ascii="宋体" w:hAnsi="宋体" w:eastAsia="宋体" w:cs="宋体"/>
          <w:sz w:val="22"/>
          <w:szCs w:val="22"/>
        </w:rPr>
        <w:t>。</w:t>
      </w:r>
    </w:p>
    <w:p w14:paraId="6DD8A713">
      <w:pPr>
        <w:spacing w:line="440" w:lineRule="exact"/>
        <w:ind w:firstLine="465"/>
        <w:rPr>
          <w:rFonts w:ascii="宋体" w:hAnsi="宋体" w:eastAsia="宋体" w:cs="宋体"/>
          <w:sz w:val="22"/>
          <w:szCs w:val="22"/>
        </w:rPr>
      </w:pPr>
      <w:r>
        <w:rPr>
          <w:rFonts w:hint="eastAsia" w:ascii="宋体" w:hAnsi="宋体" w:eastAsia="宋体" w:cs="宋体"/>
          <w:b/>
          <w:bCs/>
          <w:sz w:val="22"/>
          <w:szCs w:val="22"/>
        </w:rPr>
        <w:t>3.6</w:t>
      </w:r>
      <w:r>
        <w:rPr>
          <w:rFonts w:hint="eastAsia" w:ascii="宋体" w:hAnsi="宋体" w:eastAsia="宋体" w:cs="宋体"/>
          <w:sz w:val="22"/>
          <w:szCs w:val="22"/>
        </w:rPr>
        <w:t xml:space="preserve"> 评标委员会：是指按照《中华人民共和国政府采购法》</w:t>
      </w:r>
      <w:r>
        <w:rPr>
          <w:rFonts w:hint="eastAsia" w:ascii="宋体" w:hAnsi="宋体" w:eastAsia="宋体" w:cs="宋体"/>
          <w:kern w:val="0"/>
          <w:sz w:val="22"/>
          <w:szCs w:val="22"/>
        </w:rPr>
        <w:t>和《评标委员会和评标方法暂行规定》的</w:t>
      </w:r>
      <w:r>
        <w:rPr>
          <w:rFonts w:hint="eastAsia" w:ascii="宋体" w:hAnsi="宋体" w:eastAsia="宋体" w:cs="宋体"/>
          <w:sz w:val="22"/>
          <w:szCs w:val="22"/>
        </w:rPr>
        <w:t>规定组建的专门负责本次招标的评标工作的临时机构。</w:t>
      </w:r>
    </w:p>
    <w:p w14:paraId="5E162EE0">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3.7</w:t>
      </w:r>
      <w:r>
        <w:rPr>
          <w:rFonts w:hint="eastAsia" w:ascii="宋体" w:hAnsi="宋体" w:eastAsia="宋体" w:cs="宋体"/>
          <w:sz w:val="22"/>
          <w:szCs w:val="22"/>
        </w:rPr>
        <w:t>日期、天数、时间：无特别说明时是指公历日及北京时间。</w:t>
      </w:r>
    </w:p>
    <w:p w14:paraId="30E2BF6D">
      <w:pPr>
        <w:spacing w:line="440" w:lineRule="exact"/>
        <w:ind w:firstLine="480"/>
        <w:rPr>
          <w:rFonts w:ascii="宋体" w:hAnsi="宋体" w:eastAsia="宋体" w:cs="Times New Roman"/>
          <w:b/>
          <w:bCs/>
          <w:sz w:val="22"/>
          <w:szCs w:val="22"/>
        </w:rPr>
      </w:pPr>
      <w:r>
        <w:rPr>
          <w:rFonts w:hint="eastAsia" w:ascii="宋体" w:hAnsi="宋体" w:eastAsia="宋体" w:cs="宋体"/>
          <w:b/>
          <w:bCs/>
          <w:sz w:val="22"/>
          <w:szCs w:val="22"/>
        </w:rPr>
        <w:t>4、合格的供应商</w:t>
      </w:r>
    </w:p>
    <w:p w14:paraId="004A0E61">
      <w:pPr>
        <w:spacing w:line="500" w:lineRule="exact"/>
        <w:ind w:firstLine="440" w:firstLineChars="200"/>
        <w:rPr>
          <w:rFonts w:hint="default" w:ascii="宋体" w:hAnsi="宋体" w:eastAsia="宋体" w:cs="Times New Roman"/>
          <w:sz w:val="22"/>
          <w:szCs w:val="22"/>
          <w:lang w:val="en-US" w:eastAsia="zh-CN"/>
        </w:rPr>
      </w:pPr>
      <w:r>
        <w:rPr>
          <w:rFonts w:hint="eastAsia" w:ascii="宋体" w:hAnsi="宋体" w:eastAsia="宋体" w:cs="Times New Roman"/>
          <w:sz w:val="22"/>
          <w:szCs w:val="22"/>
        </w:rPr>
        <w:t>详见供应商须知前附表</w:t>
      </w:r>
      <w:r>
        <w:rPr>
          <w:rFonts w:hint="eastAsia" w:ascii="宋体" w:hAnsi="宋体" w:eastAsia="宋体" w:cs="Times New Roman"/>
          <w:sz w:val="22"/>
          <w:szCs w:val="22"/>
          <w:lang w:val="en-US" w:eastAsia="zh-CN"/>
        </w:rPr>
        <w:t>1.4.1</w:t>
      </w:r>
    </w:p>
    <w:p w14:paraId="42A86952">
      <w:pPr>
        <w:spacing w:line="440" w:lineRule="exact"/>
        <w:rPr>
          <w:rFonts w:ascii="宋体" w:hAnsi="宋体" w:eastAsia="宋体" w:cs="宋体"/>
          <w:b/>
          <w:bCs/>
          <w:sz w:val="22"/>
          <w:szCs w:val="22"/>
        </w:rPr>
      </w:pPr>
      <w:r>
        <w:rPr>
          <w:rFonts w:hint="eastAsia" w:ascii="宋体" w:hAnsi="宋体" w:eastAsia="宋体" w:cs="宋体"/>
          <w:b/>
          <w:bCs/>
          <w:sz w:val="22"/>
          <w:szCs w:val="22"/>
        </w:rPr>
        <w:t xml:space="preserve">    5、保证</w:t>
      </w:r>
    </w:p>
    <w:p w14:paraId="2264883F">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5.1</w:t>
      </w:r>
      <w:r>
        <w:rPr>
          <w:rFonts w:hint="eastAsia" w:ascii="宋体" w:hAnsi="宋体" w:eastAsia="宋体" w:cs="宋体"/>
          <w:sz w:val="22"/>
          <w:szCs w:val="22"/>
        </w:rPr>
        <w:t>供应商应保证在</w:t>
      </w:r>
      <w:r>
        <w:rPr>
          <w:rFonts w:hint="eastAsia" w:ascii="宋体" w:hAnsi="宋体" w:eastAsia="宋体" w:cs="宋体"/>
          <w:kern w:val="0"/>
          <w:sz w:val="22"/>
          <w:szCs w:val="22"/>
        </w:rPr>
        <w:t>电子化</w:t>
      </w:r>
      <w:r>
        <w:rPr>
          <w:rFonts w:hint="eastAsia" w:ascii="宋体" w:hAnsi="宋体" w:eastAsia="宋体" w:cs="宋体"/>
          <w:sz w:val="22"/>
          <w:szCs w:val="22"/>
        </w:rPr>
        <w:t>投标文件中所提交的资料和数据是真实的。</w:t>
      </w:r>
    </w:p>
    <w:p w14:paraId="071900F8">
      <w:pPr>
        <w:spacing w:line="440" w:lineRule="exact"/>
        <w:ind w:firstLine="3415" w:firstLineChars="945"/>
        <w:rPr>
          <w:rFonts w:ascii="宋体" w:hAnsi="宋体" w:eastAsia="宋体" w:cs="宋体"/>
          <w:b/>
          <w:bCs/>
          <w:sz w:val="36"/>
          <w:szCs w:val="36"/>
        </w:rPr>
      </w:pPr>
      <w:r>
        <w:rPr>
          <w:rFonts w:hint="eastAsia" w:ascii="宋体" w:hAnsi="宋体" w:eastAsia="宋体" w:cs="宋体"/>
          <w:b/>
          <w:bCs/>
          <w:sz w:val="36"/>
          <w:szCs w:val="36"/>
        </w:rPr>
        <w:t>二、招 标 文 件</w:t>
      </w:r>
    </w:p>
    <w:p w14:paraId="58A86F51">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6、招标文件的组成</w:t>
      </w:r>
    </w:p>
    <w:p w14:paraId="132FC6AE">
      <w:pPr>
        <w:spacing w:line="440" w:lineRule="exact"/>
        <w:rPr>
          <w:rFonts w:ascii="宋体" w:hAnsi="宋体" w:eastAsia="宋体" w:cs="宋体"/>
          <w:sz w:val="22"/>
          <w:szCs w:val="22"/>
        </w:rPr>
      </w:pPr>
      <w:r>
        <w:rPr>
          <w:rFonts w:hint="eastAsia" w:ascii="宋体" w:hAnsi="宋体" w:eastAsia="宋体" w:cs="宋体"/>
          <w:b/>
          <w:bCs/>
          <w:sz w:val="24"/>
          <w:szCs w:val="24"/>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 xml:space="preserve"> </w:t>
      </w:r>
      <w:r>
        <w:rPr>
          <w:rFonts w:hint="eastAsia" w:ascii="宋体" w:hAnsi="宋体" w:eastAsia="宋体" w:cs="宋体"/>
          <w:b/>
          <w:bCs/>
          <w:sz w:val="22"/>
          <w:szCs w:val="22"/>
        </w:rPr>
        <w:t>6.1</w:t>
      </w:r>
      <w:r>
        <w:rPr>
          <w:rFonts w:hint="eastAsia" w:ascii="宋体" w:hAnsi="宋体" w:eastAsia="宋体" w:cs="宋体"/>
          <w:sz w:val="22"/>
          <w:szCs w:val="22"/>
        </w:rPr>
        <w:t xml:space="preserve"> 招标文件包括下列内容及按供应商须知第</w:t>
      </w:r>
      <w:r>
        <w:rPr>
          <w:rFonts w:hint="eastAsia" w:ascii="宋体" w:hAnsi="宋体" w:eastAsia="宋体" w:cs="宋体"/>
          <w:sz w:val="22"/>
          <w:szCs w:val="22"/>
          <w:lang w:val="en-US" w:eastAsia="zh-CN"/>
        </w:rPr>
        <w:t>2.1</w:t>
      </w:r>
      <w:r>
        <w:rPr>
          <w:rFonts w:hint="eastAsia" w:ascii="宋体" w:hAnsi="宋体" w:eastAsia="宋体" w:cs="宋体"/>
          <w:sz w:val="22"/>
          <w:szCs w:val="22"/>
        </w:rPr>
        <w:t>条款内容发出的答疑文件和第</w:t>
      </w:r>
      <w:r>
        <w:rPr>
          <w:rFonts w:hint="eastAsia" w:ascii="宋体" w:hAnsi="宋体" w:eastAsia="宋体" w:cs="宋体"/>
          <w:sz w:val="22"/>
          <w:szCs w:val="22"/>
          <w:lang w:val="en-US" w:eastAsia="zh-CN"/>
        </w:rPr>
        <w:t>3.1.1</w:t>
      </w:r>
      <w:r>
        <w:rPr>
          <w:rFonts w:hint="eastAsia" w:ascii="宋体" w:hAnsi="宋体" w:eastAsia="宋体" w:cs="宋体"/>
          <w:sz w:val="22"/>
          <w:szCs w:val="22"/>
        </w:rPr>
        <w:t>条款内容发出的补充文件。</w:t>
      </w:r>
    </w:p>
    <w:p w14:paraId="101FA688">
      <w:pPr>
        <w:spacing w:line="440" w:lineRule="exact"/>
        <w:rPr>
          <w:rFonts w:ascii="宋体" w:hAnsi="宋体" w:eastAsia="宋体" w:cs="宋体"/>
          <w:sz w:val="22"/>
          <w:szCs w:val="22"/>
        </w:rPr>
      </w:pPr>
      <w:r>
        <w:rPr>
          <w:rFonts w:hint="eastAsia" w:ascii="宋体" w:hAnsi="宋体" w:eastAsia="宋体" w:cs="宋体"/>
          <w:sz w:val="22"/>
          <w:szCs w:val="22"/>
        </w:rPr>
        <w:t xml:space="preserve">     第一章  招标公告       </w:t>
      </w:r>
    </w:p>
    <w:p w14:paraId="43A745B4">
      <w:pPr>
        <w:spacing w:line="440" w:lineRule="exact"/>
        <w:ind w:firstLine="550" w:firstLineChars="250"/>
        <w:rPr>
          <w:rFonts w:ascii="宋体" w:hAnsi="宋体" w:eastAsia="宋体" w:cs="宋体"/>
          <w:sz w:val="22"/>
          <w:szCs w:val="22"/>
        </w:rPr>
      </w:pPr>
      <w:r>
        <w:rPr>
          <w:rFonts w:hint="eastAsia" w:ascii="宋体" w:hAnsi="宋体" w:eastAsia="宋体" w:cs="宋体"/>
          <w:sz w:val="22"/>
          <w:szCs w:val="22"/>
        </w:rPr>
        <w:t>第二章  供应商须知</w:t>
      </w:r>
    </w:p>
    <w:p w14:paraId="56CB7F43">
      <w:pPr>
        <w:spacing w:line="440" w:lineRule="exact"/>
        <w:rPr>
          <w:rFonts w:ascii="宋体" w:hAnsi="宋体" w:eastAsia="宋体" w:cs="宋体"/>
          <w:sz w:val="22"/>
          <w:szCs w:val="22"/>
        </w:rPr>
      </w:pPr>
      <w:r>
        <w:rPr>
          <w:rFonts w:hint="eastAsia" w:ascii="宋体" w:hAnsi="宋体" w:eastAsia="宋体" w:cs="宋体"/>
          <w:sz w:val="22"/>
          <w:szCs w:val="22"/>
        </w:rPr>
        <w:t xml:space="preserve">     第三章  </w:t>
      </w:r>
      <w:r>
        <w:rPr>
          <w:rFonts w:hint="eastAsia" w:ascii="宋体" w:hAnsi="宋体" w:eastAsia="宋体" w:cs="宋体"/>
          <w:sz w:val="22"/>
          <w:szCs w:val="22"/>
          <w:lang w:val="en-US" w:eastAsia="zh-CN"/>
        </w:rPr>
        <w:t>采购</w:t>
      </w:r>
      <w:r>
        <w:rPr>
          <w:rFonts w:hint="eastAsia" w:ascii="宋体" w:hAnsi="宋体" w:eastAsia="宋体" w:cs="宋体"/>
          <w:sz w:val="22"/>
          <w:szCs w:val="22"/>
        </w:rPr>
        <w:t>内容及参数要求</w:t>
      </w:r>
    </w:p>
    <w:p w14:paraId="60ABD84C">
      <w:pPr>
        <w:spacing w:line="440" w:lineRule="exact"/>
        <w:rPr>
          <w:rFonts w:ascii="宋体" w:hAnsi="宋体" w:eastAsia="宋体" w:cs="宋体"/>
          <w:sz w:val="22"/>
          <w:szCs w:val="22"/>
        </w:rPr>
      </w:pPr>
      <w:r>
        <w:rPr>
          <w:rFonts w:hint="eastAsia" w:ascii="宋体" w:hAnsi="宋体" w:eastAsia="宋体" w:cs="宋体"/>
          <w:sz w:val="22"/>
          <w:szCs w:val="22"/>
        </w:rPr>
        <w:t xml:space="preserve">     第四章  评标办法</w:t>
      </w:r>
    </w:p>
    <w:p w14:paraId="1322A12B">
      <w:pPr>
        <w:spacing w:line="440" w:lineRule="exact"/>
        <w:rPr>
          <w:rFonts w:ascii="宋体" w:hAnsi="宋体" w:eastAsia="宋体" w:cs="宋体"/>
          <w:sz w:val="22"/>
          <w:szCs w:val="22"/>
        </w:rPr>
      </w:pPr>
      <w:r>
        <w:rPr>
          <w:rFonts w:hint="eastAsia" w:ascii="宋体" w:hAnsi="宋体" w:eastAsia="宋体" w:cs="宋体"/>
          <w:sz w:val="22"/>
          <w:szCs w:val="22"/>
        </w:rPr>
        <w:t xml:space="preserve">     第五章  合同条款及格式</w:t>
      </w:r>
    </w:p>
    <w:p w14:paraId="3736A7E3">
      <w:pPr>
        <w:spacing w:line="440" w:lineRule="exact"/>
        <w:rPr>
          <w:rFonts w:ascii="宋体" w:hAnsi="宋体" w:eastAsia="宋体" w:cs="宋体"/>
          <w:sz w:val="22"/>
          <w:szCs w:val="22"/>
        </w:rPr>
      </w:pPr>
      <w:r>
        <w:rPr>
          <w:rFonts w:hint="eastAsia" w:ascii="宋体" w:hAnsi="宋体" w:eastAsia="宋体" w:cs="宋体"/>
          <w:sz w:val="22"/>
          <w:szCs w:val="22"/>
        </w:rPr>
        <w:t xml:space="preserve">     第六章  电子化投标文件格式</w:t>
      </w:r>
    </w:p>
    <w:p w14:paraId="2148540C">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6.2</w:t>
      </w:r>
      <w:r>
        <w:rPr>
          <w:rFonts w:hint="eastAsia" w:ascii="宋体" w:hAnsi="宋体" w:eastAsia="宋体" w:cs="宋体"/>
          <w:sz w:val="22"/>
          <w:szCs w:val="22"/>
        </w:rPr>
        <w:t>供应商应详细阅读招标文件中的所有条款内容、格式、表格和所涉及的相关规范。如果供应商不按招标文件的要求提交电子化投标文件和资料的，或者电子化投标文件没有对招标文件提出的实质性要求和条件做出响应，将导致电子化投标文件不被接受，其后果由供应商自己负责。</w:t>
      </w:r>
    </w:p>
    <w:p w14:paraId="5A15A7FD">
      <w:pPr>
        <w:spacing w:line="440" w:lineRule="exact"/>
        <w:rPr>
          <w:rFonts w:ascii="宋体" w:hAnsi="宋体" w:eastAsia="宋体" w:cs="宋体"/>
          <w:b/>
          <w:bCs/>
          <w:sz w:val="22"/>
          <w:szCs w:val="22"/>
        </w:rPr>
      </w:pPr>
      <w:r>
        <w:rPr>
          <w:rFonts w:hint="eastAsia" w:ascii="宋体" w:hAnsi="宋体" w:eastAsia="宋体" w:cs="宋体"/>
          <w:b/>
          <w:bCs/>
          <w:sz w:val="22"/>
          <w:szCs w:val="22"/>
        </w:rPr>
        <w:t xml:space="preserve">    7、招标文件的澄清</w:t>
      </w:r>
    </w:p>
    <w:p w14:paraId="52AE1399">
      <w:pPr>
        <w:autoSpaceDE w:val="0"/>
        <w:autoSpaceDN w:val="0"/>
        <w:adjustRightInd w:val="0"/>
        <w:spacing w:line="440" w:lineRule="exact"/>
        <w:jc w:val="left"/>
        <w:rPr>
          <w:rFonts w:ascii="宋体" w:hAnsi="宋体" w:eastAsia="宋体" w:cs="宋体"/>
          <w:kern w:val="0"/>
          <w:sz w:val="22"/>
          <w:szCs w:val="22"/>
        </w:rPr>
      </w:pPr>
      <w:r>
        <w:rPr>
          <w:rFonts w:hint="eastAsia" w:ascii="宋体" w:hAnsi="宋体" w:eastAsia="宋体" w:cs="宋体"/>
          <w:kern w:val="0"/>
          <w:sz w:val="22"/>
          <w:szCs w:val="22"/>
        </w:rPr>
        <w:t xml:space="preserve">    供应商在获得招标文件后，如有问题需要采购人澄清和解答，将需澄清及答疑内容以书面形式（加盖单位公章）在答疑递交截止时间前提交至采购代理机构。采购人只对书面问题做出答复，并将答复内容以公告的形式发布。</w:t>
      </w:r>
    </w:p>
    <w:p w14:paraId="0D5C8EAD">
      <w:pPr>
        <w:autoSpaceDE w:val="0"/>
        <w:autoSpaceDN w:val="0"/>
        <w:adjustRightInd w:val="0"/>
        <w:spacing w:line="440" w:lineRule="exact"/>
        <w:ind w:firstLine="480"/>
        <w:jc w:val="left"/>
        <w:rPr>
          <w:rFonts w:ascii="宋体" w:hAnsi="宋体" w:eastAsia="宋体" w:cs="宋体"/>
          <w:b/>
          <w:bCs/>
          <w:kern w:val="0"/>
          <w:sz w:val="22"/>
          <w:szCs w:val="22"/>
        </w:rPr>
      </w:pPr>
      <w:r>
        <w:rPr>
          <w:rFonts w:hint="eastAsia" w:ascii="宋体" w:hAnsi="宋体" w:eastAsia="宋体" w:cs="宋体"/>
          <w:b/>
          <w:bCs/>
          <w:kern w:val="0"/>
          <w:sz w:val="22"/>
          <w:szCs w:val="22"/>
        </w:rPr>
        <w:t>8、招标文件的修正</w:t>
      </w:r>
    </w:p>
    <w:p w14:paraId="0B1E333D">
      <w:pPr>
        <w:autoSpaceDE w:val="0"/>
        <w:autoSpaceDN w:val="0"/>
        <w:adjustRightInd w:val="0"/>
        <w:spacing w:line="440" w:lineRule="exact"/>
        <w:ind w:firstLine="442" w:firstLineChars="200"/>
        <w:jc w:val="left"/>
        <w:rPr>
          <w:rFonts w:ascii="宋体" w:hAnsi="宋体" w:eastAsia="宋体" w:cs="宋体"/>
          <w:kern w:val="0"/>
          <w:sz w:val="22"/>
          <w:szCs w:val="22"/>
        </w:rPr>
      </w:pPr>
      <w:r>
        <w:rPr>
          <w:rFonts w:hint="eastAsia" w:ascii="宋体" w:hAnsi="宋体" w:eastAsia="宋体" w:cs="宋体"/>
          <w:b/>
          <w:bCs/>
          <w:kern w:val="0"/>
          <w:sz w:val="22"/>
          <w:szCs w:val="22"/>
        </w:rPr>
        <w:t xml:space="preserve">8.1 </w:t>
      </w:r>
      <w:r>
        <w:rPr>
          <w:rFonts w:hint="eastAsia" w:ascii="宋体" w:hAnsi="宋体" w:eastAsia="宋体" w:cs="宋体"/>
          <w:kern w:val="0"/>
          <w:sz w:val="22"/>
          <w:szCs w:val="22"/>
        </w:rPr>
        <w:t>在</w:t>
      </w:r>
      <w:r>
        <w:rPr>
          <w:rFonts w:hint="eastAsia" w:ascii="宋体" w:hAnsi="宋体" w:eastAsia="宋体" w:cs="宋体"/>
          <w:sz w:val="22"/>
          <w:szCs w:val="22"/>
        </w:rPr>
        <w:t>投标截止时间15日前</w:t>
      </w:r>
      <w:r>
        <w:rPr>
          <w:rFonts w:hint="eastAsia" w:ascii="宋体" w:hAnsi="宋体" w:eastAsia="宋体" w:cs="宋体"/>
          <w:kern w:val="0"/>
          <w:sz w:val="22"/>
          <w:szCs w:val="22"/>
        </w:rPr>
        <w:t>的任何时间，采购人可以用补充文件的方式修正招标文件，该补充文件将成为招标文件的组成部分。</w:t>
      </w:r>
    </w:p>
    <w:p w14:paraId="4C598765">
      <w:pPr>
        <w:spacing w:line="440" w:lineRule="exact"/>
        <w:ind w:firstLine="442" w:firstLineChars="200"/>
        <w:rPr>
          <w:rFonts w:ascii="宋体" w:hAnsi="宋体" w:eastAsia="宋体" w:cs="宋体"/>
          <w:sz w:val="22"/>
          <w:szCs w:val="22"/>
        </w:rPr>
      </w:pPr>
      <w:r>
        <w:rPr>
          <w:rFonts w:hint="eastAsia" w:ascii="宋体" w:hAnsi="宋体" w:eastAsia="宋体" w:cs="宋体"/>
          <w:b/>
          <w:bCs/>
          <w:kern w:val="0"/>
          <w:sz w:val="22"/>
          <w:szCs w:val="22"/>
        </w:rPr>
        <w:t>8.2</w:t>
      </w:r>
      <w:r>
        <w:rPr>
          <w:rFonts w:hint="eastAsia" w:ascii="宋体" w:hAnsi="宋体" w:eastAsia="宋体" w:cs="宋体"/>
          <w:kern w:val="0"/>
          <w:sz w:val="22"/>
          <w:szCs w:val="22"/>
        </w:rPr>
        <w:t>补充文件将以公告形式发布。</w:t>
      </w:r>
    </w:p>
    <w:p w14:paraId="1B8EACE1">
      <w:pPr>
        <w:spacing w:line="440" w:lineRule="exact"/>
        <w:ind w:firstLine="480"/>
        <w:rPr>
          <w:rFonts w:ascii="宋体" w:hAnsi="宋体" w:eastAsia="宋体" w:cs="宋体"/>
          <w:sz w:val="22"/>
          <w:szCs w:val="22"/>
        </w:rPr>
      </w:pPr>
      <w:r>
        <w:rPr>
          <w:rFonts w:hint="eastAsia" w:ascii="宋体" w:hAnsi="宋体" w:eastAsia="宋体" w:cs="宋体"/>
          <w:b/>
          <w:bCs/>
          <w:sz w:val="22"/>
          <w:szCs w:val="22"/>
        </w:rPr>
        <w:t>8.3</w:t>
      </w:r>
      <w:r>
        <w:rPr>
          <w:rFonts w:hint="eastAsia" w:ascii="宋体" w:hAnsi="宋体" w:eastAsia="宋体" w:cs="宋体"/>
          <w:sz w:val="22"/>
          <w:szCs w:val="22"/>
        </w:rPr>
        <w:t>为使供应商有足够的时间按修正的招标文件准备电子化投标文件，采购人可以酌情延长投标截止时间。</w:t>
      </w:r>
    </w:p>
    <w:p w14:paraId="43BC54CC">
      <w:pPr>
        <w:spacing w:line="440" w:lineRule="exact"/>
        <w:jc w:val="center"/>
        <w:rPr>
          <w:rFonts w:ascii="宋体" w:hAnsi="宋体" w:eastAsia="宋体" w:cs="宋体"/>
          <w:b/>
          <w:bCs/>
          <w:sz w:val="36"/>
          <w:szCs w:val="36"/>
        </w:rPr>
      </w:pPr>
    </w:p>
    <w:p w14:paraId="12ACCF05">
      <w:pPr>
        <w:spacing w:line="440" w:lineRule="exact"/>
        <w:jc w:val="center"/>
        <w:rPr>
          <w:rFonts w:ascii="宋体" w:hAnsi="宋体" w:eastAsia="宋体" w:cs="宋体"/>
          <w:b/>
          <w:bCs/>
          <w:sz w:val="36"/>
          <w:szCs w:val="36"/>
        </w:rPr>
      </w:pPr>
    </w:p>
    <w:p w14:paraId="608A9A5D">
      <w:pPr>
        <w:spacing w:line="440" w:lineRule="exact"/>
        <w:jc w:val="center"/>
        <w:rPr>
          <w:rFonts w:ascii="宋体" w:hAnsi="宋体" w:eastAsia="宋体" w:cs="宋体"/>
          <w:b/>
          <w:bCs/>
          <w:sz w:val="36"/>
          <w:szCs w:val="36"/>
        </w:rPr>
      </w:pPr>
      <w:r>
        <w:rPr>
          <w:rFonts w:hint="eastAsia" w:ascii="宋体" w:hAnsi="宋体" w:eastAsia="宋体" w:cs="宋体"/>
          <w:b/>
          <w:bCs/>
          <w:sz w:val="36"/>
          <w:szCs w:val="36"/>
        </w:rPr>
        <w:t>三、电子化投标文件的编制</w:t>
      </w:r>
    </w:p>
    <w:p w14:paraId="44DBBE40">
      <w:pPr>
        <w:spacing w:line="44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9、特别说明</w:t>
      </w:r>
    </w:p>
    <w:p w14:paraId="18D77755">
      <w:pPr>
        <w:spacing w:line="440" w:lineRule="exact"/>
        <w:rPr>
          <w:rFonts w:ascii="宋体" w:hAnsi="宋体" w:eastAsia="宋体" w:cs="宋体"/>
          <w:sz w:val="22"/>
          <w:szCs w:val="22"/>
        </w:rPr>
      </w:pPr>
      <w:r>
        <w:rPr>
          <w:rFonts w:hint="eastAsia" w:ascii="宋体" w:hAnsi="宋体" w:eastAsia="宋体" w:cs="宋体"/>
          <w:b/>
          <w:bCs/>
          <w:sz w:val="22"/>
          <w:szCs w:val="22"/>
        </w:rPr>
        <w:t xml:space="preserve">    9.1</w:t>
      </w:r>
      <w:r>
        <w:rPr>
          <w:rFonts w:hint="eastAsia" w:ascii="宋体" w:hAnsi="宋体" w:eastAsia="宋体" w:cs="宋体"/>
          <w:sz w:val="22"/>
          <w:szCs w:val="22"/>
        </w:rPr>
        <w:t xml:space="preserve"> 投标语言</w:t>
      </w:r>
    </w:p>
    <w:p w14:paraId="1E5D7C8E">
      <w:pPr>
        <w:spacing w:line="440" w:lineRule="exact"/>
        <w:rPr>
          <w:rFonts w:ascii="宋体" w:hAnsi="宋体" w:eastAsia="宋体" w:cs="宋体"/>
          <w:sz w:val="22"/>
          <w:szCs w:val="22"/>
        </w:rPr>
      </w:pPr>
      <w:r>
        <w:rPr>
          <w:rFonts w:hint="eastAsia" w:ascii="宋体" w:hAnsi="宋体" w:eastAsia="宋体" w:cs="宋体"/>
          <w:sz w:val="22"/>
          <w:szCs w:val="22"/>
        </w:rPr>
        <w:t xml:space="preserve">    供应商提交的投标文件以及供应商与采购代理机构就有关投标的所有往来函电均应使用中文。供应商提供的文件可以用英文，但相应内容应附有中文翻译本，在解释时以中文翻译本为准。</w:t>
      </w:r>
    </w:p>
    <w:p w14:paraId="3D9802F7">
      <w:pPr>
        <w:spacing w:line="440" w:lineRule="exact"/>
        <w:rPr>
          <w:rFonts w:ascii="宋体" w:hAnsi="宋体" w:eastAsia="宋体" w:cs="宋体"/>
          <w:sz w:val="22"/>
          <w:szCs w:val="22"/>
        </w:rPr>
      </w:pPr>
      <w:r>
        <w:rPr>
          <w:rFonts w:hint="eastAsia" w:ascii="宋体" w:hAnsi="宋体" w:eastAsia="宋体" w:cs="宋体"/>
          <w:b/>
          <w:bCs/>
          <w:sz w:val="22"/>
          <w:szCs w:val="22"/>
        </w:rPr>
        <w:t xml:space="preserve">    9.2</w:t>
      </w:r>
      <w:r>
        <w:rPr>
          <w:rFonts w:hint="eastAsia" w:ascii="宋体" w:hAnsi="宋体" w:eastAsia="宋体" w:cs="宋体"/>
          <w:sz w:val="22"/>
          <w:szCs w:val="22"/>
        </w:rPr>
        <w:t xml:space="preserve"> 计量</w:t>
      </w:r>
    </w:p>
    <w:p w14:paraId="4C34A695">
      <w:pPr>
        <w:spacing w:line="440" w:lineRule="exact"/>
        <w:ind w:firstLine="480"/>
        <w:rPr>
          <w:rFonts w:ascii="宋体" w:hAnsi="宋体" w:eastAsia="宋体" w:cs="宋体"/>
          <w:sz w:val="22"/>
          <w:szCs w:val="22"/>
        </w:rPr>
      </w:pPr>
      <w:r>
        <w:rPr>
          <w:rFonts w:hint="eastAsia" w:ascii="宋体" w:hAnsi="宋体" w:eastAsia="宋体" w:cs="宋体"/>
          <w:sz w:val="22"/>
          <w:szCs w:val="22"/>
        </w:rPr>
        <w:t>在电子化投标文件所有计量单位均采用中华人民共和国法定计量单位。</w:t>
      </w:r>
    </w:p>
    <w:p w14:paraId="0A6CD23B">
      <w:pPr>
        <w:spacing w:line="440" w:lineRule="exact"/>
        <w:ind w:firstLine="422" w:firstLineChars="191"/>
        <w:rPr>
          <w:rFonts w:ascii="宋体" w:hAnsi="宋体" w:eastAsia="宋体" w:cs="宋体"/>
          <w:sz w:val="22"/>
          <w:szCs w:val="22"/>
        </w:rPr>
      </w:pPr>
      <w:r>
        <w:rPr>
          <w:rFonts w:hint="eastAsia" w:ascii="宋体" w:hAnsi="宋体" w:eastAsia="宋体" w:cs="宋体"/>
          <w:b/>
          <w:bCs/>
          <w:sz w:val="22"/>
          <w:szCs w:val="22"/>
        </w:rPr>
        <w:t>9.3</w:t>
      </w:r>
      <w:r>
        <w:rPr>
          <w:rFonts w:hint="eastAsia" w:ascii="宋体" w:hAnsi="宋体" w:eastAsia="宋体" w:cs="宋体"/>
          <w:sz w:val="22"/>
          <w:szCs w:val="22"/>
        </w:rPr>
        <w:t>供应商在投标文件中所提交的所有资料和文件均应是真实的和有效的，如有作假，则将该供应商的投标作无效标处理，若中标后被发现有上述行为的，则采购人有权取消其中标资格，并且该供应商应承担由此而造成的一切损失（包括经济损失和法律责任）。</w:t>
      </w:r>
    </w:p>
    <w:p w14:paraId="2A328D66">
      <w:pPr>
        <w:spacing w:line="440" w:lineRule="exact"/>
        <w:ind w:firstLine="422" w:firstLineChars="191"/>
        <w:rPr>
          <w:rFonts w:ascii="宋体" w:hAnsi="宋体" w:eastAsia="宋体" w:cs="宋体"/>
          <w:sz w:val="22"/>
          <w:szCs w:val="22"/>
        </w:rPr>
      </w:pPr>
      <w:r>
        <w:rPr>
          <w:rFonts w:hint="eastAsia" w:ascii="宋体" w:hAnsi="宋体" w:eastAsia="宋体" w:cs="宋体"/>
          <w:b/>
          <w:bCs/>
          <w:sz w:val="22"/>
          <w:szCs w:val="22"/>
        </w:rPr>
        <w:t>9.4</w:t>
      </w:r>
      <w:r>
        <w:rPr>
          <w:rFonts w:hint="eastAsia" w:ascii="宋体" w:hAnsi="宋体" w:eastAsia="宋体" w:cs="宋体"/>
          <w:sz w:val="22"/>
          <w:szCs w:val="22"/>
        </w:rPr>
        <w:t>供应商应当按照招标文件和电子招标投标交易平台的要求编制并加密电子化投标文件。供应商未按规定加密的电子化投标文件，电子招标投标交易平台将拒收并提示。</w:t>
      </w:r>
    </w:p>
    <w:p w14:paraId="4DC72C9A">
      <w:pPr>
        <w:spacing w:line="440" w:lineRule="exact"/>
        <w:ind w:firstLine="422" w:firstLineChars="191"/>
        <w:rPr>
          <w:rFonts w:ascii="宋体" w:hAnsi="宋体" w:eastAsia="宋体" w:cs="宋体"/>
          <w:sz w:val="22"/>
          <w:szCs w:val="22"/>
        </w:rPr>
      </w:pPr>
      <w:r>
        <w:rPr>
          <w:rFonts w:hint="eastAsia" w:ascii="宋体" w:hAnsi="宋体" w:eastAsia="宋体" w:cs="宋体"/>
          <w:b/>
          <w:bCs/>
          <w:sz w:val="22"/>
          <w:szCs w:val="22"/>
        </w:rPr>
        <w:t>9.5</w:t>
      </w:r>
      <w:r>
        <w:rPr>
          <w:rFonts w:hint="eastAsia" w:ascii="宋体" w:hAnsi="宋体" w:eastAsia="宋体" w:cs="宋体"/>
          <w:sz w:val="22"/>
          <w:szCs w:val="22"/>
        </w:rPr>
        <w:t>供应商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765EAF3A">
      <w:pPr>
        <w:spacing w:line="440" w:lineRule="exact"/>
        <w:ind w:firstLine="465"/>
        <w:rPr>
          <w:rFonts w:ascii="宋体" w:hAnsi="宋体" w:eastAsia="宋体" w:cs="宋体"/>
          <w:b/>
          <w:bCs/>
          <w:sz w:val="22"/>
          <w:szCs w:val="22"/>
        </w:rPr>
      </w:pPr>
      <w:r>
        <w:rPr>
          <w:rFonts w:hint="eastAsia" w:ascii="宋体" w:hAnsi="宋体" w:eastAsia="宋体" w:cs="宋体"/>
          <w:b/>
          <w:bCs/>
          <w:sz w:val="22"/>
          <w:szCs w:val="22"/>
        </w:rPr>
        <w:t>110、投标货物和服务的文件</w:t>
      </w:r>
    </w:p>
    <w:p w14:paraId="00495E93">
      <w:pPr>
        <w:spacing w:line="440" w:lineRule="exact"/>
        <w:ind w:firstLine="465"/>
        <w:rPr>
          <w:rFonts w:ascii="宋体" w:hAnsi="宋体" w:eastAsia="宋体" w:cs="宋体"/>
          <w:sz w:val="22"/>
          <w:szCs w:val="22"/>
        </w:rPr>
      </w:pPr>
      <w:r>
        <w:rPr>
          <w:rFonts w:hint="eastAsia" w:ascii="宋体" w:hAnsi="宋体" w:eastAsia="宋体" w:cs="宋体"/>
          <w:b/>
          <w:bCs/>
          <w:sz w:val="22"/>
          <w:szCs w:val="22"/>
        </w:rPr>
        <w:t>10.1</w:t>
      </w:r>
      <w:r>
        <w:rPr>
          <w:rFonts w:hint="eastAsia" w:ascii="宋体" w:hAnsi="宋体" w:eastAsia="宋体" w:cs="宋体"/>
          <w:sz w:val="22"/>
          <w:szCs w:val="22"/>
        </w:rPr>
        <w:t>投标设备合格文件：</w:t>
      </w:r>
    </w:p>
    <w:p w14:paraId="564AEB82">
      <w:pPr>
        <w:spacing w:line="440" w:lineRule="exact"/>
        <w:ind w:firstLine="465"/>
        <w:rPr>
          <w:rFonts w:ascii="宋体" w:hAnsi="宋体" w:eastAsia="宋体" w:cs="宋体"/>
          <w:sz w:val="22"/>
          <w:szCs w:val="22"/>
        </w:rPr>
      </w:pPr>
      <w:r>
        <w:rPr>
          <w:rFonts w:hint="eastAsia" w:ascii="宋体" w:hAnsi="宋体" w:eastAsia="宋体" w:cs="宋体"/>
          <w:b/>
          <w:bCs/>
          <w:sz w:val="22"/>
          <w:szCs w:val="22"/>
        </w:rPr>
        <w:t>10.1.1</w:t>
      </w:r>
      <w:r>
        <w:rPr>
          <w:rFonts w:hint="eastAsia" w:ascii="宋体" w:hAnsi="宋体" w:eastAsia="宋体" w:cs="宋体"/>
          <w:sz w:val="22"/>
          <w:szCs w:val="22"/>
        </w:rPr>
        <w:t>供应商必须提供有关投标设备符合招标文件要求的证明文件，这些文件可以是说明书、样本和资料等。</w:t>
      </w:r>
    </w:p>
    <w:p w14:paraId="4D352AD3">
      <w:pPr>
        <w:spacing w:line="440" w:lineRule="exact"/>
        <w:ind w:firstLine="465"/>
        <w:rPr>
          <w:rFonts w:ascii="宋体" w:hAnsi="宋体" w:eastAsia="宋体" w:cs="宋体"/>
          <w:sz w:val="22"/>
          <w:szCs w:val="22"/>
        </w:rPr>
      </w:pPr>
      <w:r>
        <w:rPr>
          <w:rFonts w:hint="eastAsia" w:ascii="宋体" w:hAnsi="宋体" w:eastAsia="宋体" w:cs="宋体"/>
          <w:b/>
          <w:bCs/>
          <w:sz w:val="22"/>
          <w:szCs w:val="22"/>
        </w:rPr>
        <w:t>10.1.2</w:t>
      </w:r>
      <w:r>
        <w:rPr>
          <w:rFonts w:hint="eastAsia" w:ascii="宋体" w:hAnsi="宋体" w:eastAsia="宋体" w:cs="宋体"/>
          <w:sz w:val="22"/>
          <w:szCs w:val="22"/>
        </w:rPr>
        <w:t>有关各种</w:t>
      </w:r>
      <w:r>
        <w:rPr>
          <w:rFonts w:hint="eastAsia" w:ascii="宋体" w:hAnsi="宋体" w:eastAsia="宋体" w:cs="宋体"/>
          <w:sz w:val="22"/>
          <w:szCs w:val="22"/>
          <w:lang w:val="en-US" w:eastAsia="zh-CN"/>
        </w:rPr>
        <w:t>检测</w:t>
      </w:r>
      <w:r>
        <w:rPr>
          <w:rFonts w:hint="eastAsia" w:ascii="宋体" w:hAnsi="宋体" w:eastAsia="宋体" w:cs="宋体"/>
          <w:sz w:val="22"/>
          <w:szCs w:val="22"/>
        </w:rPr>
        <w:t>报告、鉴定报告等。</w:t>
      </w:r>
    </w:p>
    <w:p w14:paraId="712B91A7">
      <w:pPr>
        <w:spacing w:line="440" w:lineRule="exact"/>
        <w:ind w:firstLine="465"/>
        <w:rPr>
          <w:rFonts w:ascii="宋体" w:hAnsi="宋体" w:eastAsia="宋体" w:cs="宋体"/>
          <w:sz w:val="22"/>
          <w:szCs w:val="22"/>
        </w:rPr>
      </w:pPr>
      <w:r>
        <w:rPr>
          <w:rFonts w:hint="eastAsia" w:ascii="宋体" w:hAnsi="宋体" w:eastAsia="宋体" w:cs="宋体"/>
          <w:b/>
          <w:bCs/>
          <w:sz w:val="22"/>
          <w:szCs w:val="22"/>
        </w:rPr>
        <w:t>10.1.3</w:t>
      </w:r>
      <w:r>
        <w:rPr>
          <w:rFonts w:hint="eastAsia" w:ascii="宋体" w:hAnsi="宋体" w:eastAsia="宋体" w:cs="宋体"/>
          <w:sz w:val="22"/>
          <w:szCs w:val="22"/>
        </w:rPr>
        <w:t>产品样本说明书、主要技术参数、性能说明、部件及材料产地来源表等资料。</w:t>
      </w:r>
    </w:p>
    <w:p w14:paraId="17A9FCB5">
      <w:pPr>
        <w:spacing w:line="440" w:lineRule="exact"/>
        <w:ind w:firstLine="465"/>
        <w:rPr>
          <w:rFonts w:ascii="宋体" w:hAnsi="宋体" w:eastAsia="宋体" w:cs="宋体"/>
          <w:sz w:val="22"/>
          <w:szCs w:val="22"/>
        </w:rPr>
      </w:pPr>
      <w:r>
        <w:rPr>
          <w:rFonts w:hint="eastAsia" w:ascii="宋体" w:hAnsi="宋体" w:eastAsia="宋体" w:cs="宋体"/>
          <w:b/>
          <w:bCs/>
          <w:sz w:val="22"/>
          <w:szCs w:val="22"/>
        </w:rPr>
        <w:t>10.1.4</w:t>
      </w:r>
      <w:r>
        <w:rPr>
          <w:rFonts w:hint="eastAsia" w:ascii="宋体" w:hAnsi="宋体" w:eastAsia="宋体" w:cs="宋体"/>
          <w:sz w:val="22"/>
          <w:szCs w:val="22"/>
        </w:rPr>
        <w:t>投标设备的制造及验收标准。</w:t>
      </w:r>
    </w:p>
    <w:p w14:paraId="4FA71B5F">
      <w:pPr>
        <w:spacing w:line="440" w:lineRule="exact"/>
        <w:ind w:firstLine="465"/>
        <w:rPr>
          <w:rFonts w:ascii="宋体" w:hAnsi="宋体" w:eastAsia="宋体" w:cs="宋体"/>
          <w:sz w:val="22"/>
          <w:szCs w:val="22"/>
        </w:rPr>
      </w:pPr>
      <w:r>
        <w:rPr>
          <w:rFonts w:hint="eastAsia" w:ascii="宋体" w:hAnsi="宋体" w:eastAsia="宋体" w:cs="宋体"/>
          <w:b/>
          <w:bCs/>
          <w:sz w:val="22"/>
          <w:szCs w:val="22"/>
        </w:rPr>
        <w:t>10.1.5</w:t>
      </w:r>
      <w:r>
        <w:rPr>
          <w:rFonts w:hint="eastAsia" w:ascii="宋体" w:hAnsi="宋体" w:eastAsia="宋体" w:cs="宋体"/>
          <w:sz w:val="22"/>
          <w:szCs w:val="22"/>
        </w:rPr>
        <w:t>设备维修时所需的特殊工具及所需备品、备件清单。</w:t>
      </w:r>
    </w:p>
    <w:p w14:paraId="02AAAE0A">
      <w:pPr>
        <w:spacing w:line="440" w:lineRule="exact"/>
        <w:ind w:firstLine="446" w:firstLineChars="202"/>
        <w:rPr>
          <w:rFonts w:ascii="宋体" w:hAnsi="宋体" w:eastAsia="宋体" w:cs="宋体"/>
          <w:sz w:val="22"/>
          <w:szCs w:val="22"/>
        </w:rPr>
      </w:pPr>
      <w:r>
        <w:rPr>
          <w:rFonts w:hint="eastAsia" w:ascii="宋体" w:hAnsi="宋体" w:eastAsia="宋体" w:cs="宋体"/>
          <w:b/>
          <w:bCs/>
          <w:sz w:val="22"/>
          <w:szCs w:val="22"/>
        </w:rPr>
        <w:t>10.2</w:t>
      </w:r>
      <w:r>
        <w:rPr>
          <w:rFonts w:hint="eastAsia" w:ascii="宋体" w:hAnsi="宋体" w:eastAsia="宋体" w:cs="宋体"/>
          <w:sz w:val="22"/>
          <w:szCs w:val="22"/>
        </w:rPr>
        <w:t>各供应商必须对设备清单中的全部设备进行投标，只投其中部分设备则电子化投标文件无效。</w:t>
      </w:r>
    </w:p>
    <w:p w14:paraId="0A07A77A">
      <w:pPr>
        <w:spacing w:line="440" w:lineRule="exact"/>
        <w:ind w:firstLine="446" w:firstLineChars="202"/>
        <w:rPr>
          <w:rFonts w:ascii="宋体" w:hAnsi="宋体" w:eastAsia="宋体" w:cs="宋体"/>
          <w:sz w:val="22"/>
          <w:szCs w:val="22"/>
        </w:rPr>
      </w:pPr>
      <w:r>
        <w:rPr>
          <w:rFonts w:hint="eastAsia" w:ascii="宋体" w:hAnsi="宋体" w:eastAsia="宋体" w:cs="宋体"/>
          <w:b/>
          <w:bCs/>
          <w:sz w:val="22"/>
          <w:szCs w:val="22"/>
        </w:rPr>
        <w:t>10.3</w:t>
      </w:r>
      <w:r>
        <w:rPr>
          <w:rFonts w:hint="eastAsia" w:ascii="宋体" w:hAnsi="宋体" w:eastAsia="宋体" w:cs="宋体"/>
          <w:sz w:val="22"/>
          <w:szCs w:val="22"/>
        </w:rPr>
        <w:t>供应商所投设备的所有部件均为合格产品。</w:t>
      </w:r>
    </w:p>
    <w:p w14:paraId="090BEE77">
      <w:pPr>
        <w:spacing w:line="440" w:lineRule="exact"/>
        <w:ind w:firstLine="446" w:firstLineChars="202"/>
        <w:rPr>
          <w:rFonts w:ascii="宋体" w:hAnsi="宋体" w:eastAsia="宋体" w:cs="宋体"/>
          <w:sz w:val="22"/>
          <w:szCs w:val="22"/>
        </w:rPr>
      </w:pPr>
      <w:r>
        <w:rPr>
          <w:rFonts w:hint="eastAsia" w:ascii="宋体" w:hAnsi="宋体" w:eastAsia="宋体" w:cs="宋体"/>
          <w:b/>
          <w:bCs/>
          <w:sz w:val="22"/>
          <w:szCs w:val="22"/>
        </w:rPr>
        <w:t>10.4</w:t>
      </w:r>
      <w:r>
        <w:rPr>
          <w:rFonts w:hint="eastAsia" w:ascii="宋体" w:hAnsi="宋体" w:eastAsia="宋体" w:cs="宋体"/>
          <w:sz w:val="22"/>
          <w:szCs w:val="22"/>
        </w:rPr>
        <w:t>供应商认为应对其设备的性能特点、优越性等有必要进行补充说明的内容。</w:t>
      </w:r>
    </w:p>
    <w:p w14:paraId="4D16734A">
      <w:pPr>
        <w:spacing w:line="440" w:lineRule="exact"/>
        <w:ind w:firstLine="446" w:firstLineChars="202"/>
        <w:rPr>
          <w:rFonts w:ascii="宋体" w:hAnsi="宋体" w:eastAsia="宋体" w:cs="宋体"/>
          <w:sz w:val="22"/>
          <w:szCs w:val="22"/>
        </w:rPr>
      </w:pPr>
      <w:r>
        <w:rPr>
          <w:rFonts w:hint="eastAsia" w:ascii="宋体" w:hAnsi="宋体" w:eastAsia="宋体" w:cs="宋体"/>
          <w:b/>
          <w:bCs/>
          <w:sz w:val="22"/>
          <w:szCs w:val="22"/>
        </w:rPr>
        <w:t>10.5</w:t>
      </w:r>
      <w:r>
        <w:rPr>
          <w:rFonts w:hint="eastAsia" w:ascii="宋体" w:hAnsi="宋体" w:eastAsia="宋体" w:cs="宋体"/>
          <w:sz w:val="22"/>
          <w:szCs w:val="22"/>
        </w:rPr>
        <w:t>供应商必须对招标文件中设备的技术要求逐项、逐条明确答复；应逐项填写“技术参数偏离表”，投标设备与招标文件中的规定要求有偏离的，应详细说明偏离情况。</w:t>
      </w:r>
    </w:p>
    <w:p w14:paraId="658EBAFB">
      <w:pPr>
        <w:spacing w:line="360" w:lineRule="auto"/>
        <w:ind w:firstLine="448" w:firstLineChars="203"/>
        <w:rPr>
          <w:rFonts w:ascii="宋体" w:hAnsi="宋体" w:eastAsia="宋体" w:cs="Arial"/>
          <w:sz w:val="22"/>
          <w:szCs w:val="18"/>
        </w:rPr>
      </w:pPr>
      <w:r>
        <w:rPr>
          <w:rFonts w:hint="eastAsia" w:ascii="宋体" w:hAnsi="宋体" w:eastAsia="宋体" w:cs="Arial"/>
          <w:b/>
          <w:sz w:val="22"/>
          <w:szCs w:val="18"/>
        </w:rPr>
        <w:t>11、</w:t>
      </w:r>
      <w:r>
        <w:rPr>
          <w:rFonts w:hint="eastAsia" w:ascii="宋体" w:hAnsi="宋体" w:eastAsia="宋体" w:cs="Arial"/>
          <w:sz w:val="22"/>
          <w:szCs w:val="18"/>
        </w:rPr>
        <w:t>供应商所投货物为国内生产企业的产品，相关进口部件不能少于招标文件规定的内容，并提供相关的产地证明文件。</w:t>
      </w:r>
    </w:p>
    <w:p w14:paraId="68379C37">
      <w:pPr>
        <w:spacing w:line="44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 xml:space="preserve">12、投标报价 </w:t>
      </w:r>
    </w:p>
    <w:p w14:paraId="5B8AD972">
      <w:pPr>
        <w:spacing w:line="440" w:lineRule="exact"/>
        <w:ind w:firstLine="465"/>
        <w:rPr>
          <w:rFonts w:ascii="宋体" w:hAnsi="宋体" w:eastAsia="宋体" w:cs="宋体"/>
          <w:sz w:val="22"/>
          <w:szCs w:val="22"/>
        </w:rPr>
      </w:pPr>
      <w:r>
        <w:rPr>
          <w:rFonts w:hint="eastAsia" w:ascii="宋体" w:hAnsi="宋体" w:eastAsia="宋体" w:cs="宋体"/>
          <w:b/>
          <w:bCs/>
          <w:sz w:val="22"/>
          <w:szCs w:val="22"/>
        </w:rPr>
        <w:t>12.1</w:t>
      </w:r>
      <w:r>
        <w:rPr>
          <w:rFonts w:hint="eastAsia" w:ascii="宋体" w:hAnsi="宋体" w:eastAsia="宋体" w:cs="宋体"/>
          <w:sz w:val="22"/>
          <w:szCs w:val="22"/>
        </w:rPr>
        <w:t>投标报价中应包含以下内容：</w:t>
      </w:r>
    </w:p>
    <w:p w14:paraId="282D75E8">
      <w:pPr>
        <w:spacing w:line="440" w:lineRule="exact"/>
        <w:ind w:firstLine="465"/>
        <w:rPr>
          <w:rFonts w:ascii="宋体" w:hAnsi="宋体" w:eastAsia="宋体" w:cs="宋体"/>
          <w:sz w:val="22"/>
          <w:szCs w:val="22"/>
        </w:rPr>
      </w:pPr>
      <w:r>
        <w:rPr>
          <w:rFonts w:hint="eastAsia" w:ascii="宋体" w:hAnsi="宋体" w:eastAsia="宋体" w:cs="宋体"/>
          <w:sz w:val="22"/>
          <w:szCs w:val="22"/>
        </w:rPr>
        <w:t>供应商应报出货到交货地点价。其中应包含货物价款、人工费、运输费、包装费、装卸费、税金（含关税、增值税）、检测验收费、</w:t>
      </w:r>
      <w:r>
        <w:rPr>
          <w:rFonts w:hint="eastAsia" w:ascii="宋体" w:hAnsi="宋体" w:eastAsia="宋体" w:cs="宋体"/>
          <w:sz w:val="22"/>
          <w:szCs w:val="22"/>
          <w:lang w:val="en-US" w:eastAsia="zh-CN"/>
        </w:rPr>
        <w:t>仓储</w:t>
      </w:r>
      <w:r>
        <w:rPr>
          <w:rFonts w:hint="eastAsia" w:ascii="宋体" w:hAnsi="宋体" w:eastAsia="宋体" w:cs="宋体"/>
          <w:sz w:val="22"/>
          <w:szCs w:val="22"/>
        </w:rPr>
        <w:t>费等各项与此项目有关的一切费用。</w:t>
      </w:r>
    </w:p>
    <w:p w14:paraId="3EE2E78E">
      <w:pPr>
        <w:spacing w:line="440" w:lineRule="exact"/>
        <w:ind w:firstLine="465"/>
        <w:rPr>
          <w:rFonts w:ascii="宋体" w:hAnsi="宋体" w:eastAsia="宋体" w:cs="宋体"/>
          <w:sz w:val="22"/>
          <w:szCs w:val="22"/>
        </w:rPr>
      </w:pPr>
      <w:r>
        <w:rPr>
          <w:rFonts w:hint="eastAsia" w:ascii="宋体" w:hAnsi="宋体" w:eastAsia="宋体" w:cs="宋体"/>
          <w:b/>
          <w:bCs/>
          <w:sz w:val="22"/>
          <w:szCs w:val="22"/>
        </w:rPr>
        <w:t>12.2</w:t>
      </w:r>
      <w:r>
        <w:rPr>
          <w:rFonts w:hint="eastAsia" w:ascii="宋体" w:hAnsi="宋体" w:eastAsia="宋体" w:cs="宋体"/>
          <w:sz w:val="22"/>
          <w:szCs w:val="22"/>
        </w:rPr>
        <w:t>供应商的投标报价应包含验收合格正式交付使用前所发生的一切费用，且供应商只能提出一个不变价格，采购人不接受任何选择报价。</w:t>
      </w:r>
    </w:p>
    <w:p w14:paraId="34BB2FC5">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12.3</w:t>
      </w:r>
      <w:r>
        <w:rPr>
          <w:rFonts w:hint="eastAsia" w:ascii="宋体" w:hAnsi="宋体" w:eastAsia="宋体" w:cs="宋体"/>
          <w:sz w:val="22"/>
          <w:szCs w:val="22"/>
        </w:rPr>
        <w:t>该项目类别及取费标准按照国家相关规定执行。</w:t>
      </w:r>
    </w:p>
    <w:p w14:paraId="563EB549">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12.4</w:t>
      </w:r>
      <w:r>
        <w:rPr>
          <w:rFonts w:hint="eastAsia" w:ascii="宋体" w:hAnsi="宋体" w:eastAsia="宋体" w:cs="宋体"/>
          <w:sz w:val="22"/>
          <w:szCs w:val="22"/>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BBDB0C6">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12.5</w:t>
      </w:r>
      <w:r>
        <w:rPr>
          <w:rFonts w:hint="eastAsia" w:ascii="宋体" w:hAnsi="宋体" w:eastAsia="宋体" w:cs="宋体"/>
          <w:sz w:val="22"/>
          <w:szCs w:val="22"/>
        </w:rPr>
        <w:t>全部报价均应以人民币为计量币种，并以人民币进行结算。</w:t>
      </w:r>
    </w:p>
    <w:p w14:paraId="37602AD8">
      <w:pPr>
        <w:spacing w:line="44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1</w:t>
      </w:r>
      <w:r>
        <w:rPr>
          <w:rFonts w:ascii="宋体" w:hAnsi="宋体" w:eastAsia="宋体" w:cs="宋体"/>
          <w:b/>
          <w:bCs/>
          <w:sz w:val="22"/>
          <w:szCs w:val="22"/>
        </w:rPr>
        <w:t>3</w:t>
      </w:r>
      <w:r>
        <w:rPr>
          <w:rFonts w:hint="eastAsia" w:ascii="宋体" w:hAnsi="宋体" w:eastAsia="宋体" w:cs="宋体"/>
          <w:b/>
          <w:bCs/>
          <w:sz w:val="22"/>
          <w:szCs w:val="22"/>
        </w:rPr>
        <w:t>、投标保证金</w:t>
      </w:r>
    </w:p>
    <w:p w14:paraId="5BDB7C44">
      <w:pPr>
        <w:spacing w:line="440" w:lineRule="exact"/>
        <w:ind w:firstLine="389" w:firstLineChars="177"/>
        <w:rPr>
          <w:rFonts w:ascii="宋体" w:hAnsi="宋体" w:eastAsia="宋体" w:cs="宋体"/>
          <w:sz w:val="22"/>
          <w:szCs w:val="22"/>
        </w:rPr>
      </w:pPr>
      <w:r>
        <w:rPr>
          <w:rFonts w:hint="eastAsia" w:ascii="宋体" w:hAnsi="宋体" w:eastAsia="宋体" w:cs="宋体"/>
          <w:sz w:val="22"/>
          <w:szCs w:val="22"/>
        </w:rPr>
        <w:t>根据《河南省财政厅关于优化政府采购营商环境有关问题的通知》（豫财购【2019】4号）第6条的规定，投标保证金不再收取，需提供投标承诺函（详见</w:t>
      </w:r>
      <w:r>
        <w:rPr>
          <w:rFonts w:hint="eastAsia" w:ascii="宋体" w:hAnsi="宋体" w:eastAsia="宋体" w:cs="宋体"/>
          <w:bCs/>
          <w:sz w:val="22"/>
          <w:szCs w:val="22"/>
        </w:rPr>
        <w:t>电子化投标文件格式</w:t>
      </w:r>
      <w:r>
        <w:rPr>
          <w:rFonts w:hint="eastAsia" w:ascii="宋体" w:hAnsi="宋体" w:eastAsia="宋体" w:cs="宋体"/>
          <w:sz w:val="22"/>
          <w:szCs w:val="22"/>
        </w:rPr>
        <w:t>）。</w:t>
      </w:r>
    </w:p>
    <w:p w14:paraId="43B362FF">
      <w:pPr>
        <w:spacing w:line="440" w:lineRule="exact"/>
        <w:rPr>
          <w:rFonts w:ascii="宋体" w:hAnsi="宋体" w:eastAsia="宋体" w:cs="宋体"/>
          <w:b/>
          <w:bCs/>
          <w:sz w:val="22"/>
          <w:szCs w:val="22"/>
        </w:rPr>
      </w:pPr>
      <w:r>
        <w:rPr>
          <w:rFonts w:hint="eastAsia" w:ascii="宋体" w:hAnsi="宋体" w:eastAsia="宋体" w:cs="宋体"/>
          <w:b/>
          <w:bCs/>
          <w:sz w:val="22"/>
          <w:szCs w:val="22"/>
        </w:rPr>
        <w:t xml:space="preserve">    1</w:t>
      </w:r>
      <w:r>
        <w:rPr>
          <w:rFonts w:ascii="宋体" w:hAnsi="宋体" w:eastAsia="宋体" w:cs="宋体"/>
          <w:b/>
          <w:bCs/>
          <w:sz w:val="22"/>
          <w:szCs w:val="22"/>
        </w:rPr>
        <w:t>4</w:t>
      </w:r>
      <w:r>
        <w:rPr>
          <w:rFonts w:hint="eastAsia" w:ascii="宋体" w:hAnsi="宋体" w:eastAsia="宋体" w:cs="宋体"/>
          <w:b/>
          <w:bCs/>
          <w:sz w:val="22"/>
          <w:szCs w:val="22"/>
        </w:rPr>
        <w:t>、投标有效期</w:t>
      </w:r>
    </w:p>
    <w:p w14:paraId="4265ACD3">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1</w:t>
      </w:r>
      <w:r>
        <w:rPr>
          <w:rFonts w:ascii="宋体" w:hAnsi="宋体" w:eastAsia="宋体" w:cs="宋体"/>
          <w:b/>
          <w:bCs/>
          <w:sz w:val="22"/>
          <w:szCs w:val="22"/>
        </w:rPr>
        <w:t>4</w:t>
      </w:r>
      <w:r>
        <w:rPr>
          <w:rFonts w:hint="eastAsia" w:ascii="宋体" w:hAnsi="宋体" w:eastAsia="宋体" w:cs="宋体"/>
          <w:b/>
          <w:bCs/>
          <w:sz w:val="22"/>
          <w:szCs w:val="22"/>
        </w:rPr>
        <w:t>.1</w:t>
      </w:r>
      <w:r>
        <w:rPr>
          <w:rFonts w:hint="eastAsia" w:ascii="宋体" w:hAnsi="宋体" w:eastAsia="宋体" w:cs="宋体"/>
          <w:sz w:val="22"/>
          <w:szCs w:val="22"/>
        </w:rPr>
        <w:t>电子化投标文件从开标之时起开始生效，投标有效期为60日历天。</w:t>
      </w:r>
    </w:p>
    <w:p w14:paraId="57E4BEBE">
      <w:pPr>
        <w:spacing w:line="440" w:lineRule="exact"/>
        <w:ind w:firstLine="442" w:firstLineChars="200"/>
        <w:rPr>
          <w:rFonts w:ascii="宋体" w:hAnsi="宋体" w:eastAsia="宋体" w:cs="宋体"/>
          <w:sz w:val="22"/>
          <w:szCs w:val="22"/>
        </w:rPr>
      </w:pPr>
      <w:r>
        <w:rPr>
          <w:rFonts w:hint="eastAsia" w:ascii="宋体" w:hAnsi="宋体" w:eastAsia="宋体" w:cs="宋体"/>
          <w:b/>
          <w:bCs/>
          <w:sz w:val="22"/>
          <w:szCs w:val="22"/>
        </w:rPr>
        <w:t>1</w:t>
      </w:r>
      <w:r>
        <w:rPr>
          <w:rFonts w:ascii="宋体" w:hAnsi="宋体" w:eastAsia="宋体" w:cs="宋体"/>
          <w:b/>
          <w:bCs/>
          <w:sz w:val="22"/>
          <w:szCs w:val="22"/>
        </w:rPr>
        <w:t>4</w:t>
      </w:r>
      <w:r>
        <w:rPr>
          <w:rFonts w:hint="eastAsia" w:ascii="宋体" w:hAnsi="宋体" w:eastAsia="宋体" w:cs="宋体"/>
          <w:b/>
          <w:bCs/>
          <w:sz w:val="22"/>
          <w:szCs w:val="22"/>
        </w:rPr>
        <w:t>.2</w:t>
      </w:r>
      <w:r>
        <w:rPr>
          <w:rFonts w:hint="eastAsia" w:ascii="宋体" w:hAnsi="宋体" w:eastAsia="宋体" w:cs="宋体"/>
          <w:sz w:val="22"/>
          <w:szCs w:val="22"/>
        </w:rPr>
        <w:t>在特殊情况下，采购人可征求供应商同意延长投标有效期，这种要求和答复均应以信函、传真等书面形式提交。供应商可以拒绝采购人的这种要求。同意延长投标有效期的供应商不需要也不允许修改其电子化投标文件。</w:t>
      </w:r>
    </w:p>
    <w:p w14:paraId="6405A59E">
      <w:pPr>
        <w:spacing w:line="440" w:lineRule="exact"/>
        <w:rPr>
          <w:rFonts w:ascii="宋体" w:hAnsi="宋体" w:eastAsia="宋体" w:cs="宋体"/>
          <w:b/>
          <w:bCs/>
          <w:sz w:val="22"/>
          <w:szCs w:val="22"/>
        </w:rPr>
      </w:pPr>
      <w:r>
        <w:rPr>
          <w:rFonts w:hint="eastAsia" w:ascii="宋体" w:hAnsi="宋体" w:eastAsia="宋体" w:cs="宋体"/>
          <w:b/>
          <w:bCs/>
          <w:sz w:val="22"/>
          <w:szCs w:val="22"/>
        </w:rPr>
        <w:t xml:space="preserve">   15 电子化投标文件的组成</w:t>
      </w:r>
    </w:p>
    <w:p w14:paraId="38A9DC1E">
      <w:pPr>
        <w:spacing w:line="440" w:lineRule="exact"/>
        <w:ind w:firstLine="465"/>
        <w:rPr>
          <w:rFonts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投标函</w:t>
      </w:r>
    </w:p>
    <w:p w14:paraId="7B285FA0">
      <w:pPr>
        <w:spacing w:line="440" w:lineRule="exact"/>
        <w:ind w:firstLine="465"/>
        <w:rPr>
          <w:rFonts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开标一览表</w:t>
      </w:r>
    </w:p>
    <w:p w14:paraId="0A2EA841">
      <w:pPr>
        <w:spacing w:line="440" w:lineRule="exact"/>
        <w:ind w:firstLine="465"/>
        <w:rPr>
          <w:rFonts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法定代表人身份证明</w:t>
      </w:r>
    </w:p>
    <w:p w14:paraId="54058534">
      <w:pPr>
        <w:spacing w:line="440" w:lineRule="exact"/>
        <w:ind w:firstLine="465"/>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授权委托书</w:t>
      </w:r>
    </w:p>
    <w:p w14:paraId="54E8E4BA">
      <w:pPr>
        <w:spacing w:line="440" w:lineRule="exact"/>
        <w:ind w:firstLine="465"/>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投标承诺函</w:t>
      </w:r>
    </w:p>
    <w:p w14:paraId="6EC019CE">
      <w:pPr>
        <w:spacing w:line="440" w:lineRule="exact"/>
        <w:ind w:firstLine="465"/>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技术偏离表</w:t>
      </w:r>
    </w:p>
    <w:p w14:paraId="2EAA7147">
      <w:pPr>
        <w:spacing w:line="440" w:lineRule="exact"/>
        <w:ind w:firstLine="465"/>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7</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企业基本情况资料</w:t>
      </w:r>
    </w:p>
    <w:p w14:paraId="0994D4B6">
      <w:pPr>
        <w:spacing w:line="440" w:lineRule="exact"/>
        <w:ind w:firstLine="465"/>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8</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技术方案</w:t>
      </w:r>
    </w:p>
    <w:p w14:paraId="173D37EE">
      <w:pPr>
        <w:spacing w:line="440" w:lineRule="exact"/>
        <w:ind w:firstLine="465"/>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供应商类似业绩</w:t>
      </w:r>
    </w:p>
    <w:p w14:paraId="2B4ED294">
      <w:pPr>
        <w:spacing w:line="440" w:lineRule="exact"/>
        <w:ind w:firstLine="465"/>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售后服务方案</w:t>
      </w:r>
    </w:p>
    <w:p w14:paraId="2C9A9821">
      <w:pPr>
        <w:spacing w:line="440" w:lineRule="exact"/>
        <w:ind w:firstLine="465"/>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优惠承诺</w:t>
      </w:r>
    </w:p>
    <w:p w14:paraId="43E5F433">
      <w:pPr>
        <w:spacing w:line="440" w:lineRule="exact"/>
        <w:ind w:firstLine="465"/>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12</w:t>
      </w:r>
      <w:r>
        <w:rPr>
          <w:rFonts w:hint="eastAsia" w:ascii="宋体" w:hAnsi="宋体" w:eastAsia="宋体" w:cs="宋体"/>
          <w:sz w:val="22"/>
          <w:szCs w:val="22"/>
          <w:lang w:eastAsia="zh-CN"/>
        </w:rPr>
        <w:t>）</w:t>
      </w:r>
      <w:r>
        <w:rPr>
          <w:rFonts w:hint="eastAsia" w:ascii="宋体" w:hAnsi="宋体" w:eastAsia="宋体" w:cs="宋体"/>
          <w:sz w:val="22"/>
          <w:szCs w:val="22"/>
        </w:rPr>
        <w:t>其他资料</w:t>
      </w:r>
    </w:p>
    <w:p w14:paraId="1AA84109">
      <w:pPr>
        <w:spacing w:line="440" w:lineRule="exact"/>
        <w:ind w:firstLine="465"/>
        <w:rPr>
          <w:rFonts w:ascii="宋体" w:hAnsi="宋体" w:eastAsia="宋体" w:cs="宋体"/>
          <w:b/>
          <w:bCs/>
          <w:sz w:val="22"/>
          <w:szCs w:val="22"/>
        </w:rPr>
      </w:pPr>
      <w:r>
        <w:rPr>
          <w:rFonts w:hint="eastAsia" w:ascii="宋体" w:hAnsi="宋体" w:eastAsia="宋体" w:cs="宋体"/>
          <w:b/>
          <w:bCs/>
          <w:sz w:val="22"/>
          <w:szCs w:val="22"/>
        </w:rPr>
        <w:t>16、电子化投标文件的格式</w:t>
      </w:r>
    </w:p>
    <w:p w14:paraId="24F1D54D">
      <w:pPr>
        <w:spacing w:line="440" w:lineRule="exact"/>
        <w:ind w:firstLine="465"/>
        <w:rPr>
          <w:rFonts w:ascii="宋体" w:hAnsi="宋体" w:eastAsia="宋体" w:cs="宋体"/>
          <w:sz w:val="22"/>
          <w:szCs w:val="22"/>
        </w:rPr>
      </w:pPr>
      <w:r>
        <w:rPr>
          <w:rFonts w:hint="eastAsia" w:ascii="宋体" w:hAnsi="宋体" w:eastAsia="宋体" w:cs="宋体"/>
          <w:b/>
          <w:bCs/>
          <w:sz w:val="22"/>
          <w:szCs w:val="22"/>
        </w:rPr>
        <w:t>16.1</w:t>
      </w:r>
      <w:r>
        <w:rPr>
          <w:rFonts w:hint="eastAsia" w:ascii="宋体" w:hAnsi="宋体" w:eastAsia="宋体" w:cs="宋体"/>
          <w:sz w:val="22"/>
          <w:szCs w:val="22"/>
        </w:rPr>
        <w:t>供应商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w:t>
      </w:r>
    </w:p>
    <w:p w14:paraId="5427C775">
      <w:pPr>
        <w:spacing w:line="440" w:lineRule="exact"/>
        <w:ind w:firstLine="465"/>
        <w:rPr>
          <w:rFonts w:ascii="宋体" w:hAnsi="宋体" w:eastAsia="宋体" w:cs="宋体"/>
          <w:b/>
          <w:sz w:val="22"/>
          <w:szCs w:val="22"/>
        </w:rPr>
      </w:pPr>
      <w:r>
        <w:rPr>
          <w:rFonts w:hint="eastAsia" w:ascii="宋体" w:hAnsi="宋体" w:eastAsia="宋体" w:cs="宋体"/>
          <w:b/>
          <w:sz w:val="22"/>
          <w:szCs w:val="22"/>
        </w:rPr>
        <w:t>电子化投标文件具体制作教材请供应商点击以下链接学习</w:t>
      </w:r>
      <w:r>
        <w:rPr>
          <w:rFonts w:ascii="宋体" w:hAnsi="宋体" w:eastAsia="宋体" w:cs="宋体"/>
          <w:b/>
          <w:sz w:val="22"/>
          <w:szCs w:val="22"/>
        </w:rPr>
        <w:t>https://t.cn/A625r72N</w:t>
      </w:r>
    </w:p>
    <w:p w14:paraId="75929706">
      <w:pPr>
        <w:spacing w:line="440" w:lineRule="exact"/>
        <w:ind w:firstLine="465"/>
        <w:rPr>
          <w:rFonts w:ascii="宋体" w:hAnsi="宋体" w:eastAsia="宋体" w:cs="宋体"/>
          <w:sz w:val="22"/>
          <w:szCs w:val="22"/>
        </w:rPr>
      </w:pPr>
      <w:r>
        <w:rPr>
          <w:rFonts w:hint="eastAsia" w:ascii="宋体" w:hAnsi="宋体" w:eastAsia="宋体" w:cs="宋体"/>
          <w:b/>
          <w:bCs/>
          <w:sz w:val="22"/>
          <w:szCs w:val="22"/>
        </w:rPr>
        <w:t>17、电子化投标文件的签署</w:t>
      </w:r>
    </w:p>
    <w:p w14:paraId="3B71EF26">
      <w:pPr>
        <w:spacing w:line="440" w:lineRule="exact"/>
        <w:ind w:firstLine="465"/>
        <w:rPr>
          <w:rFonts w:ascii="宋体" w:hAnsi="宋体" w:eastAsia="宋体" w:cs="宋体"/>
          <w:sz w:val="22"/>
          <w:szCs w:val="22"/>
        </w:rPr>
      </w:pPr>
      <w:r>
        <w:rPr>
          <w:rFonts w:hint="eastAsia" w:ascii="宋体" w:hAnsi="宋体" w:eastAsia="宋体" w:cs="宋体"/>
          <w:b/>
          <w:bCs/>
          <w:sz w:val="22"/>
          <w:szCs w:val="22"/>
        </w:rPr>
        <w:t>17.1</w:t>
      </w:r>
      <w:r>
        <w:rPr>
          <w:rFonts w:hint="eastAsia" w:ascii="宋体" w:hAnsi="宋体" w:eastAsia="宋体" w:cs="宋体"/>
          <w:sz w:val="22"/>
          <w:szCs w:val="22"/>
        </w:rPr>
        <w:t>招标文件中要求供应商盖章的，以签盖单位章为准；要求法定代表人签章的，以签盖法定代表人签章为准。电子化投标文件具体制作教材请供应商通过CA证书登录三门峡市公共资源电子化交易系统在右上角“组件下载”中查看。</w:t>
      </w:r>
    </w:p>
    <w:p w14:paraId="7CE28E78">
      <w:pPr>
        <w:spacing w:line="440" w:lineRule="exact"/>
        <w:jc w:val="center"/>
        <w:rPr>
          <w:rFonts w:ascii="宋体" w:hAnsi="宋体" w:eastAsia="宋体" w:cs="宋体"/>
          <w:b/>
          <w:bCs/>
          <w:sz w:val="36"/>
          <w:szCs w:val="36"/>
        </w:rPr>
      </w:pPr>
    </w:p>
    <w:p w14:paraId="59FA6646">
      <w:pPr>
        <w:spacing w:line="440" w:lineRule="exact"/>
        <w:jc w:val="center"/>
        <w:rPr>
          <w:rFonts w:ascii="宋体" w:hAnsi="宋体" w:eastAsia="宋体" w:cs="宋体"/>
          <w:b/>
          <w:bCs/>
          <w:sz w:val="36"/>
          <w:szCs w:val="36"/>
        </w:rPr>
      </w:pPr>
      <w:r>
        <w:rPr>
          <w:rFonts w:hint="eastAsia" w:ascii="宋体" w:hAnsi="宋体" w:eastAsia="宋体" w:cs="宋体"/>
          <w:b/>
          <w:bCs/>
          <w:sz w:val="36"/>
          <w:szCs w:val="36"/>
        </w:rPr>
        <w:t>四、电子化投标文件的上传</w:t>
      </w:r>
    </w:p>
    <w:p w14:paraId="54A3C5AA">
      <w:pPr>
        <w:spacing w:line="440" w:lineRule="exact"/>
        <w:ind w:firstLine="480"/>
        <w:rPr>
          <w:rFonts w:ascii="宋体" w:hAnsi="宋体" w:eastAsia="宋体" w:cs="宋体"/>
          <w:b/>
          <w:bCs/>
          <w:sz w:val="22"/>
          <w:szCs w:val="22"/>
        </w:rPr>
      </w:pPr>
      <w:r>
        <w:rPr>
          <w:rFonts w:hint="eastAsia" w:ascii="宋体" w:hAnsi="宋体" w:eastAsia="宋体" w:cs="宋体"/>
          <w:b/>
          <w:bCs/>
          <w:sz w:val="22"/>
          <w:szCs w:val="22"/>
        </w:rPr>
        <w:t>19、投标文件上传</w:t>
      </w:r>
    </w:p>
    <w:p w14:paraId="4780146C">
      <w:pPr>
        <w:spacing w:line="360" w:lineRule="auto"/>
        <w:ind w:firstLine="387" w:firstLineChars="176"/>
        <w:jc w:val="left"/>
        <w:rPr>
          <w:rFonts w:ascii="宋体" w:hAnsi="宋体" w:eastAsia="宋体" w:cs="Arial"/>
          <w:kern w:val="0"/>
          <w:sz w:val="22"/>
          <w:szCs w:val="22"/>
        </w:rPr>
      </w:pPr>
      <w:r>
        <w:rPr>
          <w:rFonts w:hint="eastAsia" w:ascii="宋体" w:hAnsi="宋体" w:eastAsia="宋体" w:cs="Arial"/>
          <w:kern w:val="0"/>
          <w:sz w:val="22"/>
          <w:szCs w:val="22"/>
        </w:rPr>
        <w:t>电子化投标文件应在投标截止时间前成功上传至三门峡市公共资源电子化交易系统。至投标截止时间止，仍未上传成功的电子化投标文件将不予接收。</w:t>
      </w:r>
    </w:p>
    <w:p w14:paraId="03548EC3">
      <w:pPr>
        <w:spacing w:line="360" w:lineRule="auto"/>
        <w:ind w:firstLine="387" w:firstLineChars="176"/>
        <w:jc w:val="left"/>
        <w:rPr>
          <w:rFonts w:ascii="宋体" w:hAnsi="宋体" w:eastAsia="宋体" w:cs="Arial"/>
          <w:kern w:val="0"/>
          <w:sz w:val="22"/>
          <w:szCs w:val="22"/>
        </w:rPr>
      </w:pPr>
      <w:r>
        <w:rPr>
          <w:rFonts w:hint="eastAsia" w:ascii="宋体" w:hAnsi="宋体" w:eastAsia="宋体" w:cs="Arial"/>
          <w:kern w:val="0"/>
          <w:sz w:val="22"/>
          <w:szCs w:val="22"/>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7830D4AB">
      <w:pPr>
        <w:spacing w:line="440" w:lineRule="exact"/>
        <w:ind w:firstLine="480"/>
        <w:rPr>
          <w:rFonts w:ascii="宋体" w:hAnsi="宋体" w:eastAsia="宋体" w:cs="宋体"/>
          <w:b/>
          <w:bCs/>
          <w:sz w:val="22"/>
          <w:szCs w:val="22"/>
        </w:rPr>
      </w:pPr>
      <w:r>
        <w:rPr>
          <w:rFonts w:hint="eastAsia" w:ascii="宋体" w:hAnsi="宋体" w:eastAsia="宋体" w:cs="宋体"/>
          <w:b/>
          <w:bCs/>
          <w:sz w:val="22"/>
          <w:szCs w:val="22"/>
        </w:rPr>
        <w:t>20、投标截止时间</w:t>
      </w:r>
    </w:p>
    <w:p w14:paraId="4D17A621">
      <w:pPr>
        <w:spacing w:line="440" w:lineRule="exact"/>
        <w:ind w:firstLine="480"/>
        <w:rPr>
          <w:rFonts w:ascii="宋体" w:hAnsi="宋体" w:eastAsia="宋体" w:cs="宋体"/>
          <w:sz w:val="22"/>
          <w:szCs w:val="22"/>
        </w:rPr>
      </w:pPr>
      <w:r>
        <w:rPr>
          <w:rFonts w:hint="eastAsia" w:ascii="宋体" w:hAnsi="宋体" w:eastAsia="宋体" w:cs="宋体"/>
          <w:b/>
          <w:bCs/>
          <w:sz w:val="22"/>
          <w:szCs w:val="22"/>
        </w:rPr>
        <w:t>20.1</w:t>
      </w:r>
      <w:r>
        <w:rPr>
          <w:rFonts w:hint="eastAsia" w:ascii="宋体" w:hAnsi="宋体" w:eastAsia="宋体" w:cs="宋体"/>
          <w:sz w:val="22"/>
          <w:szCs w:val="22"/>
        </w:rPr>
        <w:t>电子化投标文件的截止时间见本须知前附表规定。</w:t>
      </w:r>
    </w:p>
    <w:p w14:paraId="33D59C66">
      <w:pPr>
        <w:spacing w:line="440" w:lineRule="exact"/>
        <w:ind w:firstLine="480"/>
        <w:rPr>
          <w:rFonts w:ascii="宋体" w:hAnsi="宋体" w:eastAsia="宋体" w:cs="宋体"/>
          <w:sz w:val="22"/>
          <w:szCs w:val="22"/>
        </w:rPr>
      </w:pPr>
      <w:r>
        <w:rPr>
          <w:rFonts w:hint="eastAsia" w:ascii="宋体" w:hAnsi="宋体" w:eastAsia="宋体" w:cs="宋体"/>
          <w:b/>
          <w:bCs/>
          <w:sz w:val="22"/>
          <w:szCs w:val="22"/>
        </w:rPr>
        <w:t>20.2</w:t>
      </w:r>
      <w:r>
        <w:rPr>
          <w:rFonts w:hint="eastAsia" w:ascii="宋体" w:hAnsi="宋体" w:eastAsia="宋体" w:cs="宋体"/>
          <w:sz w:val="22"/>
          <w:szCs w:val="22"/>
        </w:rPr>
        <w:t>采购人可按本须知第8条规定以修改补充通知的方式，酌情延长提交电子化投标文件的截止时间。在此情况下，供应商的所有权利和义务以及供应商受制约的截止时间，均以延长后新的投标截止时间为准。</w:t>
      </w:r>
    </w:p>
    <w:p w14:paraId="503B8711">
      <w:pPr>
        <w:spacing w:line="440" w:lineRule="exact"/>
        <w:ind w:firstLine="480"/>
        <w:rPr>
          <w:rFonts w:ascii="宋体" w:hAnsi="宋体" w:eastAsia="宋体" w:cs="宋体"/>
          <w:sz w:val="22"/>
          <w:szCs w:val="22"/>
        </w:rPr>
      </w:pPr>
      <w:r>
        <w:rPr>
          <w:rFonts w:hint="eastAsia" w:ascii="宋体" w:hAnsi="宋体" w:eastAsia="宋体" w:cs="宋体"/>
          <w:b/>
          <w:bCs/>
          <w:sz w:val="22"/>
          <w:szCs w:val="22"/>
        </w:rPr>
        <w:t>20.3</w:t>
      </w:r>
      <w:r>
        <w:rPr>
          <w:rFonts w:hint="eastAsia" w:ascii="宋体" w:hAnsi="宋体" w:eastAsia="宋体" w:cs="宋体"/>
          <w:sz w:val="22"/>
          <w:szCs w:val="22"/>
        </w:rPr>
        <w:t>到投标截止时间止，上传成功的电子化投标文件少于3个的，采购人将依法重新组织招标。</w:t>
      </w:r>
    </w:p>
    <w:p w14:paraId="1A09CD7E">
      <w:pPr>
        <w:spacing w:line="440" w:lineRule="exact"/>
        <w:ind w:firstLine="480"/>
        <w:rPr>
          <w:rFonts w:ascii="宋体" w:hAnsi="宋体" w:eastAsia="宋体" w:cs="宋体"/>
          <w:b/>
          <w:bCs/>
          <w:sz w:val="22"/>
          <w:szCs w:val="22"/>
        </w:rPr>
      </w:pPr>
      <w:r>
        <w:rPr>
          <w:rFonts w:hint="eastAsia" w:ascii="宋体" w:hAnsi="宋体" w:eastAsia="宋体" w:cs="宋体"/>
          <w:b/>
          <w:bCs/>
          <w:sz w:val="22"/>
          <w:szCs w:val="22"/>
        </w:rPr>
        <w:t>20.4电子化投标文件的补充、修改与撤回</w:t>
      </w:r>
    </w:p>
    <w:p w14:paraId="6517AC14">
      <w:pPr>
        <w:spacing w:line="440" w:lineRule="exact"/>
        <w:ind w:firstLine="480"/>
        <w:rPr>
          <w:rFonts w:ascii="宋体" w:hAnsi="宋体" w:eastAsia="宋体" w:cs="宋体"/>
          <w:sz w:val="22"/>
          <w:szCs w:val="22"/>
        </w:rPr>
      </w:pPr>
      <w:r>
        <w:rPr>
          <w:rFonts w:hint="eastAsia" w:ascii="宋体" w:hAnsi="宋体" w:eastAsia="宋体" w:cs="宋体"/>
          <w:b/>
          <w:bCs/>
          <w:sz w:val="22"/>
          <w:szCs w:val="22"/>
        </w:rPr>
        <w:t>20.4.1</w:t>
      </w:r>
      <w:r>
        <w:rPr>
          <w:rFonts w:hint="eastAsia" w:ascii="宋体" w:hAnsi="宋体" w:eastAsia="宋体" w:cs="宋体"/>
          <w:sz w:val="22"/>
          <w:szCs w:val="22"/>
        </w:rPr>
        <w:t>在投标截止时间之后，供应商不得补充、修改电子化投标文件。</w:t>
      </w:r>
    </w:p>
    <w:p w14:paraId="4BE1C9BC">
      <w:pPr>
        <w:autoSpaceDE w:val="0"/>
        <w:autoSpaceDN w:val="0"/>
        <w:adjustRightInd w:val="0"/>
        <w:spacing w:line="440" w:lineRule="exact"/>
        <w:jc w:val="center"/>
        <w:rPr>
          <w:rFonts w:ascii="宋体" w:hAnsi="宋体" w:eastAsia="宋体" w:cs="宋体"/>
          <w:b/>
          <w:bCs/>
          <w:kern w:val="0"/>
          <w:sz w:val="32"/>
          <w:szCs w:val="32"/>
        </w:rPr>
      </w:pPr>
    </w:p>
    <w:p w14:paraId="72C91D3B">
      <w:pPr>
        <w:autoSpaceDE w:val="0"/>
        <w:autoSpaceDN w:val="0"/>
        <w:adjustRightInd w:val="0"/>
        <w:spacing w:line="440" w:lineRule="exact"/>
        <w:jc w:val="center"/>
        <w:rPr>
          <w:rFonts w:ascii="宋体" w:hAnsi="宋体" w:eastAsia="宋体" w:cs="宋体"/>
          <w:b/>
          <w:bCs/>
          <w:kern w:val="0"/>
          <w:sz w:val="36"/>
          <w:szCs w:val="36"/>
        </w:rPr>
      </w:pPr>
    </w:p>
    <w:p w14:paraId="653FE698">
      <w:pPr>
        <w:autoSpaceDE w:val="0"/>
        <w:autoSpaceDN w:val="0"/>
        <w:adjustRightInd w:val="0"/>
        <w:spacing w:line="440" w:lineRule="exact"/>
        <w:jc w:val="center"/>
        <w:outlineLvl w:val="0"/>
        <w:rPr>
          <w:rFonts w:ascii="宋体" w:hAnsi="宋体" w:eastAsia="宋体" w:cs="宋体"/>
          <w:b/>
          <w:bCs/>
          <w:kern w:val="0"/>
          <w:sz w:val="36"/>
          <w:szCs w:val="36"/>
        </w:rPr>
      </w:pPr>
      <w:bookmarkStart w:id="10" w:name="_Toc10806"/>
      <w:r>
        <w:rPr>
          <w:rFonts w:hint="eastAsia" w:ascii="宋体" w:hAnsi="宋体" w:eastAsia="宋体" w:cs="宋体"/>
          <w:b/>
          <w:bCs/>
          <w:kern w:val="0"/>
          <w:sz w:val="36"/>
          <w:szCs w:val="36"/>
        </w:rPr>
        <w:t>五、开标</w:t>
      </w:r>
      <w:bookmarkEnd w:id="10"/>
    </w:p>
    <w:p w14:paraId="68E1283C">
      <w:pPr>
        <w:autoSpaceDE w:val="0"/>
        <w:autoSpaceDN w:val="0"/>
        <w:adjustRightInd w:val="0"/>
        <w:spacing w:line="440" w:lineRule="exact"/>
        <w:ind w:firstLine="435"/>
        <w:jc w:val="left"/>
        <w:rPr>
          <w:rFonts w:ascii="宋体" w:hAnsi="宋体" w:eastAsia="宋体" w:cs="宋体"/>
          <w:b/>
          <w:bCs/>
          <w:kern w:val="0"/>
          <w:sz w:val="22"/>
          <w:szCs w:val="22"/>
        </w:rPr>
      </w:pPr>
      <w:r>
        <w:rPr>
          <w:rFonts w:hint="eastAsia" w:ascii="宋体" w:hAnsi="宋体" w:eastAsia="宋体" w:cs="宋体"/>
          <w:b/>
          <w:bCs/>
          <w:kern w:val="0"/>
          <w:sz w:val="22"/>
          <w:szCs w:val="22"/>
        </w:rPr>
        <w:t>21、开标</w:t>
      </w:r>
    </w:p>
    <w:p w14:paraId="5848D688">
      <w:pPr>
        <w:wordWrap w:val="0"/>
        <w:spacing w:line="360" w:lineRule="auto"/>
        <w:ind w:firstLine="389" w:firstLineChars="176"/>
        <w:rPr>
          <w:rFonts w:ascii="宋体" w:hAnsi="宋体" w:eastAsia="宋体" w:cs="Arial"/>
          <w:sz w:val="22"/>
          <w:szCs w:val="22"/>
        </w:rPr>
      </w:pPr>
      <w:r>
        <w:rPr>
          <w:rFonts w:hint="eastAsia" w:ascii="宋体" w:hAnsi="宋体" w:eastAsia="宋体" w:cs="宋体"/>
          <w:b/>
          <w:bCs/>
          <w:kern w:val="0"/>
          <w:sz w:val="22"/>
          <w:szCs w:val="22"/>
        </w:rPr>
        <w:t>21.1</w:t>
      </w:r>
      <w:r>
        <w:rPr>
          <w:rFonts w:hint="eastAsia" w:ascii="宋体" w:hAnsi="宋体" w:eastAsia="宋体" w:cs="Arial"/>
          <w:sz w:val="22"/>
          <w:szCs w:val="22"/>
        </w:rPr>
        <w:t>本项目采用电子化、无纸化进行招标，开标当日，供应商无需到开标现场参加开标会议，供应商应当在投标截止时间前，登陆不见面开标大厅选择登陆三门峡市公共资源电子招投标系统进行登陆（网址为http://122.112.246.33/BidOpening/bidopeninghallaction/hall/login）,在线准时参加开标活动并进行投标文件解密等。</w:t>
      </w:r>
    </w:p>
    <w:p w14:paraId="0AD232C3">
      <w:pPr>
        <w:spacing w:line="360" w:lineRule="auto"/>
        <w:ind w:firstLine="389" w:firstLineChars="176"/>
        <w:rPr>
          <w:rFonts w:ascii="宋体" w:hAnsi="宋体" w:eastAsia="宋体" w:cs="Arial"/>
          <w:sz w:val="22"/>
          <w:szCs w:val="22"/>
        </w:rPr>
      </w:pPr>
      <w:r>
        <w:rPr>
          <w:rFonts w:hint="eastAsia" w:ascii="宋体" w:hAnsi="宋体" w:eastAsia="宋体" w:cs="Arial"/>
          <w:b/>
          <w:sz w:val="22"/>
          <w:szCs w:val="22"/>
        </w:rPr>
        <w:t>21.2</w:t>
      </w:r>
      <w:r>
        <w:rPr>
          <w:rFonts w:hint="eastAsia" w:ascii="宋体" w:hAnsi="宋体" w:eastAsia="宋体" w:cs="Arial"/>
          <w:sz w:val="22"/>
          <w:szCs w:val="22"/>
        </w:rPr>
        <w:t>电子化投标文件采用一次加密方式。开标时，由供应商使用CA证书，在规定时间内对其电子化投标文件进行解密。每位供应商的解密时间为开标时间起30分钟内，如在规定时间内未完成解密的，其投标文件不予开标、唱标。每位供应商的解密时间为开标时间起30分钟内完成。</w:t>
      </w:r>
    </w:p>
    <w:p w14:paraId="368C05B5">
      <w:pPr>
        <w:spacing w:line="360" w:lineRule="auto"/>
        <w:ind w:firstLine="389" w:firstLineChars="176"/>
        <w:rPr>
          <w:rFonts w:ascii="宋体" w:hAnsi="宋体" w:eastAsia="宋体" w:cs="Arial"/>
          <w:sz w:val="22"/>
          <w:szCs w:val="22"/>
        </w:rPr>
      </w:pPr>
      <w:r>
        <w:rPr>
          <w:rFonts w:hint="eastAsia" w:ascii="宋体" w:hAnsi="宋体" w:eastAsia="宋体" w:cs="Arial"/>
          <w:b/>
          <w:sz w:val="22"/>
          <w:szCs w:val="22"/>
        </w:rPr>
        <w:t xml:space="preserve">21.3 </w:t>
      </w:r>
      <w:r>
        <w:rPr>
          <w:rFonts w:hint="eastAsia" w:ascii="宋体" w:hAnsi="宋体" w:eastAsia="宋体" w:cs="Arial"/>
          <w:sz w:val="22"/>
          <w:szCs w:val="22"/>
        </w:rPr>
        <w:t>电子化投标文件解密异常的处理</w:t>
      </w:r>
    </w:p>
    <w:p w14:paraId="165C13F3">
      <w:pPr>
        <w:spacing w:line="360" w:lineRule="auto"/>
        <w:ind w:firstLine="387" w:firstLineChars="176"/>
        <w:rPr>
          <w:rFonts w:ascii="宋体" w:hAnsi="宋体" w:eastAsia="宋体" w:cs="Arial"/>
          <w:sz w:val="22"/>
          <w:szCs w:val="22"/>
        </w:rPr>
      </w:pPr>
      <w:r>
        <w:rPr>
          <w:rFonts w:hint="eastAsia" w:ascii="宋体" w:hAnsi="宋体" w:eastAsia="宋体" w:cs="Arial"/>
          <w:sz w:val="22"/>
          <w:szCs w:val="22"/>
        </w:rPr>
        <w:t>如出现供应商的电子投标文件无法解密等异常情况，供应商应及时致电中介服务机构说明。投标文件异常，按以下步骤进行处理：</w:t>
      </w:r>
    </w:p>
    <w:p w14:paraId="4EE975DF">
      <w:pPr>
        <w:spacing w:line="360" w:lineRule="auto"/>
        <w:ind w:firstLine="387" w:firstLineChars="176"/>
        <w:rPr>
          <w:rFonts w:ascii="宋体" w:hAnsi="宋体" w:eastAsia="宋体" w:cs="Arial"/>
          <w:sz w:val="22"/>
          <w:szCs w:val="22"/>
        </w:rPr>
      </w:pPr>
      <w:r>
        <w:rPr>
          <w:rFonts w:hint="eastAsia" w:ascii="宋体" w:hAnsi="宋体" w:eastAsia="宋体" w:cs="Arial"/>
          <w:sz w:val="22"/>
          <w:szCs w:val="22"/>
        </w:rPr>
        <w:t>（1）首先由技术人员进行问题排查。</w:t>
      </w:r>
    </w:p>
    <w:p w14:paraId="57C35ED4">
      <w:pPr>
        <w:spacing w:line="360" w:lineRule="auto"/>
        <w:ind w:firstLine="387" w:firstLineChars="176"/>
        <w:rPr>
          <w:rFonts w:ascii="宋体" w:hAnsi="宋体" w:eastAsia="宋体" w:cs="Arial"/>
          <w:sz w:val="22"/>
          <w:szCs w:val="22"/>
        </w:rPr>
      </w:pPr>
      <w:r>
        <w:rPr>
          <w:rFonts w:hint="eastAsia" w:ascii="宋体" w:hAnsi="宋体" w:eastAsia="宋体" w:cs="Arial"/>
          <w:sz w:val="22"/>
          <w:szCs w:val="22"/>
        </w:rPr>
        <w:t>（2）经技术人员排查后，是供应商文件自身问题导致投标文件无法解密的，该投标文件将不予接收、解密和唱标。开标会议继续进行。</w:t>
      </w:r>
    </w:p>
    <w:p w14:paraId="7D31C22D">
      <w:pPr>
        <w:spacing w:line="360" w:lineRule="auto"/>
        <w:ind w:firstLine="387" w:firstLineChars="176"/>
        <w:rPr>
          <w:rFonts w:ascii="宋体" w:hAnsi="宋体" w:eastAsia="宋体" w:cs="Arial"/>
          <w:sz w:val="22"/>
          <w:szCs w:val="22"/>
        </w:rPr>
      </w:pPr>
      <w:r>
        <w:rPr>
          <w:rFonts w:hint="eastAsia" w:ascii="宋体" w:hAnsi="宋体" w:eastAsia="宋体" w:cs="Arial"/>
          <w:sz w:val="22"/>
          <w:szCs w:val="22"/>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5EBD150">
      <w:pPr>
        <w:spacing w:line="360" w:lineRule="auto"/>
        <w:ind w:firstLine="389" w:firstLineChars="176"/>
        <w:rPr>
          <w:rFonts w:ascii="宋体" w:hAnsi="宋体" w:eastAsia="宋体" w:cs="Arial"/>
          <w:sz w:val="22"/>
          <w:szCs w:val="22"/>
        </w:rPr>
      </w:pPr>
      <w:r>
        <w:rPr>
          <w:rFonts w:hint="eastAsia" w:ascii="宋体" w:hAnsi="宋体" w:eastAsia="宋体" w:cs="Arial"/>
          <w:b/>
          <w:sz w:val="22"/>
          <w:szCs w:val="22"/>
        </w:rPr>
        <w:t>21.4</w:t>
      </w:r>
      <w:r>
        <w:rPr>
          <w:rFonts w:hint="eastAsia" w:ascii="宋体" w:hAnsi="宋体" w:eastAsia="宋体" w:cs="Arial"/>
          <w:sz w:val="22"/>
          <w:szCs w:val="22"/>
        </w:rPr>
        <w:t xml:space="preserve"> 待所有供应商投标文件解密完成后，由中介服务机构操作，对所有已解密投标文件进行唱标。</w:t>
      </w:r>
    </w:p>
    <w:p w14:paraId="4A1E6E50">
      <w:pPr>
        <w:spacing w:line="360" w:lineRule="auto"/>
        <w:ind w:firstLine="387" w:firstLineChars="176"/>
        <w:rPr>
          <w:rFonts w:ascii="宋体" w:hAnsi="宋体" w:eastAsia="宋体" w:cs="Arial"/>
          <w:sz w:val="22"/>
          <w:szCs w:val="22"/>
        </w:rPr>
      </w:pPr>
      <w:r>
        <w:rPr>
          <w:rFonts w:hint="eastAsia" w:ascii="宋体" w:hAnsi="宋体" w:eastAsia="宋体" w:cs="Arial"/>
          <w:sz w:val="22"/>
          <w:szCs w:val="22"/>
        </w:rPr>
        <w:t>供应商应保证在开标期间电话、电脑、网络能够正常工作，供应商因停电、电脑病毒、网络堵塞等原因，未在规定的解密时间内对投标文件进行解密的，其投标文件不予接收、唱标。</w:t>
      </w:r>
    </w:p>
    <w:p w14:paraId="52A883DF">
      <w:pPr>
        <w:autoSpaceDE w:val="0"/>
        <w:autoSpaceDN w:val="0"/>
        <w:adjustRightInd w:val="0"/>
        <w:spacing w:line="440" w:lineRule="exact"/>
        <w:ind w:firstLine="435"/>
        <w:jc w:val="left"/>
        <w:rPr>
          <w:rFonts w:ascii="宋体" w:hAnsi="宋体" w:eastAsia="宋体" w:cs="宋体"/>
          <w:sz w:val="22"/>
          <w:szCs w:val="22"/>
        </w:rPr>
      </w:pPr>
      <w:r>
        <w:rPr>
          <w:rFonts w:hint="eastAsia" w:ascii="宋体" w:hAnsi="宋体" w:eastAsia="宋体" w:cs="Arial"/>
          <w:b/>
          <w:sz w:val="22"/>
          <w:szCs w:val="22"/>
        </w:rPr>
        <w:t>21.5</w:t>
      </w:r>
      <w:r>
        <w:rPr>
          <w:rFonts w:hint="eastAsia" w:ascii="宋体" w:hAnsi="宋体" w:eastAsia="宋体" w:cs="Arial"/>
          <w:sz w:val="22"/>
          <w:szCs w:val="22"/>
        </w:rPr>
        <w:t xml:space="preserve">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r>
        <w:rPr>
          <w:rFonts w:hint="eastAsia" w:ascii="宋体" w:hAnsi="宋体" w:eastAsia="宋体" w:cs="宋体"/>
          <w:sz w:val="22"/>
          <w:szCs w:val="22"/>
        </w:rPr>
        <w:t>。</w:t>
      </w:r>
    </w:p>
    <w:p w14:paraId="12B96893">
      <w:pPr>
        <w:autoSpaceDE w:val="0"/>
        <w:autoSpaceDN w:val="0"/>
        <w:adjustRightInd w:val="0"/>
        <w:spacing w:line="480" w:lineRule="exact"/>
        <w:ind w:firstLine="435"/>
        <w:jc w:val="left"/>
        <w:rPr>
          <w:rFonts w:ascii="宋体" w:hAnsi="宋体" w:eastAsia="宋体" w:cs="Arial"/>
          <w:b/>
          <w:sz w:val="22"/>
          <w:szCs w:val="20"/>
        </w:rPr>
      </w:pPr>
      <w:r>
        <w:rPr>
          <w:rFonts w:hint="eastAsia" w:ascii="宋体" w:hAnsi="宋体" w:eastAsia="宋体" w:cs="Arial"/>
          <w:b/>
          <w:sz w:val="22"/>
          <w:szCs w:val="20"/>
        </w:rPr>
        <w:t>21.6开标会议结束后，由采购人和采购代理机构人员按照招标文件第二章供应商须知前附表第</w:t>
      </w:r>
      <w:r>
        <w:rPr>
          <w:rFonts w:hint="eastAsia" w:ascii="宋体" w:hAnsi="宋体" w:eastAsia="宋体" w:cs="Arial"/>
          <w:b/>
          <w:sz w:val="22"/>
          <w:szCs w:val="20"/>
          <w:lang w:val="en-US" w:eastAsia="zh-CN"/>
        </w:rPr>
        <w:t>1.4.1</w:t>
      </w:r>
      <w:r>
        <w:rPr>
          <w:rFonts w:hint="eastAsia" w:ascii="宋体" w:hAnsi="宋体" w:eastAsia="宋体" w:cs="Arial"/>
          <w:b/>
          <w:sz w:val="22"/>
          <w:szCs w:val="20"/>
        </w:rPr>
        <w:t>项的要求，对供应商进行资格审查，有一项不符合的，视为未通过资格审查，不得进入下一评标过程。</w:t>
      </w:r>
    </w:p>
    <w:p w14:paraId="0092B00F">
      <w:pPr>
        <w:autoSpaceDE w:val="0"/>
        <w:autoSpaceDN w:val="0"/>
        <w:adjustRightInd w:val="0"/>
        <w:spacing w:line="480" w:lineRule="exact"/>
        <w:ind w:firstLine="435"/>
        <w:jc w:val="left"/>
        <w:rPr>
          <w:rFonts w:ascii="宋体" w:hAnsi="宋体" w:eastAsia="宋体" w:cs="Arial"/>
          <w:sz w:val="22"/>
          <w:szCs w:val="20"/>
        </w:rPr>
      </w:pPr>
      <w:r>
        <w:rPr>
          <w:rFonts w:hint="eastAsia" w:ascii="宋体" w:hAnsi="宋体" w:eastAsia="宋体" w:cs="Arial"/>
          <w:b/>
          <w:bCs/>
          <w:sz w:val="22"/>
          <w:szCs w:val="20"/>
        </w:rPr>
        <w:t>21.7</w:t>
      </w:r>
      <w:r>
        <w:rPr>
          <w:rFonts w:hint="eastAsia" w:ascii="宋体" w:hAnsi="宋体" w:eastAsia="宋体" w:cs="Arial"/>
          <w:sz w:val="22"/>
          <w:szCs w:val="20"/>
        </w:rPr>
        <w:t>采购人将符合资格审查的电子化投标文件提交于评标委员会进行详细评审及比较。</w:t>
      </w:r>
    </w:p>
    <w:p w14:paraId="01805D46">
      <w:pPr>
        <w:autoSpaceDE w:val="0"/>
        <w:autoSpaceDN w:val="0"/>
        <w:adjustRightInd w:val="0"/>
        <w:spacing w:line="440" w:lineRule="exact"/>
        <w:jc w:val="center"/>
        <w:outlineLvl w:val="0"/>
        <w:rPr>
          <w:rFonts w:hint="eastAsia" w:ascii="宋体" w:hAnsi="宋体" w:eastAsia="宋体" w:cs="宋体"/>
          <w:b/>
          <w:bCs/>
          <w:kern w:val="0"/>
          <w:sz w:val="36"/>
          <w:szCs w:val="36"/>
        </w:rPr>
      </w:pPr>
      <w:bookmarkStart w:id="11" w:name="_Toc7708"/>
    </w:p>
    <w:p w14:paraId="3FBEDA63">
      <w:pPr>
        <w:autoSpaceDE w:val="0"/>
        <w:autoSpaceDN w:val="0"/>
        <w:adjustRightInd w:val="0"/>
        <w:spacing w:line="44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六、评标与定标</w:t>
      </w:r>
      <w:bookmarkEnd w:id="11"/>
    </w:p>
    <w:p w14:paraId="5CA8C6C3">
      <w:pPr>
        <w:spacing w:line="440" w:lineRule="exact"/>
        <w:ind w:firstLine="480"/>
        <w:rPr>
          <w:rFonts w:ascii="宋体" w:hAnsi="宋体" w:eastAsia="宋体" w:cs="宋体"/>
          <w:b/>
          <w:bCs/>
          <w:kern w:val="0"/>
          <w:sz w:val="22"/>
          <w:szCs w:val="22"/>
        </w:rPr>
      </w:pPr>
      <w:r>
        <w:rPr>
          <w:rFonts w:hint="eastAsia" w:ascii="宋体" w:hAnsi="宋体" w:eastAsia="宋体" w:cs="宋体"/>
          <w:b/>
          <w:bCs/>
          <w:kern w:val="0"/>
          <w:sz w:val="22"/>
          <w:szCs w:val="22"/>
        </w:rPr>
        <w:t>22、评标委员会</w:t>
      </w:r>
    </w:p>
    <w:p w14:paraId="1670E5CB">
      <w:pPr>
        <w:spacing w:line="440" w:lineRule="exact"/>
        <w:ind w:firstLine="480"/>
        <w:rPr>
          <w:rFonts w:ascii="宋体" w:hAnsi="宋体" w:eastAsia="宋体" w:cs="宋体"/>
          <w:sz w:val="22"/>
          <w:szCs w:val="22"/>
        </w:rPr>
      </w:pPr>
      <w:r>
        <w:rPr>
          <w:rFonts w:hint="eastAsia" w:ascii="宋体" w:hAnsi="宋体" w:eastAsia="宋体" w:cs="宋体"/>
          <w:b/>
          <w:bCs/>
          <w:kern w:val="0"/>
          <w:sz w:val="22"/>
          <w:szCs w:val="22"/>
        </w:rPr>
        <w:t>22.1</w:t>
      </w:r>
      <w:r>
        <w:rPr>
          <w:rFonts w:hint="eastAsia" w:ascii="宋体" w:hAnsi="宋体" w:eastAsia="宋体" w:cs="宋体"/>
          <w:sz w:val="22"/>
          <w:szCs w:val="22"/>
        </w:rPr>
        <w:t>评标委员会由采购人依法组建，负责评标活动。</w:t>
      </w:r>
    </w:p>
    <w:p w14:paraId="21AB9DF8">
      <w:pPr>
        <w:spacing w:line="440" w:lineRule="exact"/>
        <w:ind w:firstLine="480"/>
        <w:rPr>
          <w:rFonts w:ascii="宋体" w:hAnsi="宋体" w:eastAsia="宋体" w:cs="宋体"/>
          <w:sz w:val="22"/>
          <w:szCs w:val="22"/>
        </w:rPr>
      </w:pPr>
      <w:r>
        <w:rPr>
          <w:rFonts w:hint="eastAsia" w:ascii="宋体" w:hAnsi="宋体" w:eastAsia="宋体" w:cs="宋体"/>
          <w:b/>
          <w:bCs/>
          <w:sz w:val="22"/>
          <w:szCs w:val="22"/>
        </w:rPr>
        <w:t>22.2</w:t>
      </w:r>
      <w:r>
        <w:rPr>
          <w:rFonts w:hint="eastAsia" w:ascii="宋体" w:hAnsi="宋体" w:eastAsia="宋体" w:cs="宋体"/>
          <w:sz w:val="22"/>
          <w:szCs w:val="22"/>
        </w:rPr>
        <w:t>评标委员会由5人组成：采购人代表1名和有关技术、经济等方面的专家4名。</w:t>
      </w:r>
    </w:p>
    <w:p w14:paraId="4F2165D7">
      <w:pPr>
        <w:spacing w:line="440" w:lineRule="exact"/>
        <w:ind w:firstLine="480"/>
        <w:rPr>
          <w:rFonts w:ascii="宋体" w:hAnsi="宋体" w:eastAsia="宋体" w:cs="宋体"/>
          <w:sz w:val="22"/>
          <w:szCs w:val="22"/>
        </w:rPr>
      </w:pPr>
      <w:r>
        <w:rPr>
          <w:rFonts w:hint="eastAsia" w:ascii="宋体" w:hAnsi="宋体" w:eastAsia="宋体" w:cs="宋体"/>
          <w:b/>
          <w:bCs/>
          <w:sz w:val="22"/>
          <w:szCs w:val="22"/>
        </w:rPr>
        <w:t>22.3</w:t>
      </w:r>
      <w:r>
        <w:rPr>
          <w:rFonts w:hint="eastAsia" w:ascii="宋体" w:hAnsi="宋体" w:eastAsia="宋体" w:cs="宋体"/>
          <w:sz w:val="22"/>
          <w:szCs w:val="22"/>
        </w:rPr>
        <w:t>参加评标的专家由采购人在评标前从相关评标专家库中随机抽取随机选定。与供应商有利害关系的人不得进入评标委员会。</w:t>
      </w:r>
    </w:p>
    <w:p w14:paraId="28D7C1D8">
      <w:pPr>
        <w:spacing w:line="440" w:lineRule="exact"/>
        <w:ind w:firstLine="480"/>
        <w:rPr>
          <w:rFonts w:ascii="宋体" w:hAnsi="宋体" w:eastAsia="宋体" w:cs="宋体"/>
          <w:sz w:val="22"/>
          <w:szCs w:val="22"/>
        </w:rPr>
      </w:pPr>
      <w:r>
        <w:rPr>
          <w:rFonts w:hint="eastAsia" w:ascii="宋体" w:hAnsi="宋体" w:eastAsia="宋体" w:cs="宋体"/>
          <w:b/>
          <w:bCs/>
          <w:sz w:val="22"/>
          <w:szCs w:val="22"/>
        </w:rPr>
        <w:t>22.4</w:t>
      </w:r>
      <w:r>
        <w:rPr>
          <w:rFonts w:hint="eastAsia" w:ascii="宋体" w:hAnsi="宋体" w:eastAsia="宋体" w:cs="宋体"/>
          <w:sz w:val="22"/>
          <w:szCs w:val="22"/>
        </w:rPr>
        <w:t>开标结束后，开始评标。评标工作在相关部门监督下，采用保密方式进行。</w:t>
      </w:r>
    </w:p>
    <w:p w14:paraId="6005C2B4">
      <w:pPr>
        <w:autoSpaceDE w:val="0"/>
        <w:autoSpaceDN w:val="0"/>
        <w:adjustRightInd w:val="0"/>
        <w:spacing w:line="440" w:lineRule="exact"/>
        <w:jc w:val="left"/>
        <w:rPr>
          <w:rFonts w:ascii="宋体" w:hAnsi="宋体" w:eastAsia="宋体" w:cs="宋体"/>
          <w:b/>
          <w:bCs/>
          <w:sz w:val="22"/>
          <w:szCs w:val="22"/>
        </w:rPr>
      </w:pPr>
      <w:r>
        <w:rPr>
          <w:rFonts w:hint="eastAsia" w:ascii="宋体" w:hAnsi="宋体" w:eastAsia="宋体" w:cs="宋体"/>
          <w:b/>
          <w:bCs/>
          <w:kern w:val="0"/>
          <w:sz w:val="22"/>
          <w:szCs w:val="22"/>
        </w:rPr>
        <w:t xml:space="preserve">    23、</w:t>
      </w:r>
      <w:r>
        <w:rPr>
          <w:rFonts w:hint="eastAsia" w:ascii="宋体" w:hAnsi="宋体" w:eastAsia="宋体" w:cs="宋体"/>
          <w:b/>
          <w:bCs/>
          <w:sz w:val="22"/>
          <w:szCs w:val="22"/>
        </w:rPr>
        <w:t>评标过程的保密</w:t>
      </w:r>
    </w:p>
    <w:p w14:paraId="400DBD24">
      <w:pPr>
        <w:autoSpaceDE w:val="0"/>
        <w:autoSpaceDN w:val="0"/>
        <w:adjustRightInd w:val="0"/>
        <w:spacing w:line="440" w:lineRule="exact"/>
        <w:ind w:firstLine="465"/>
        <w:jc w:val="left"/>
        <w:rPr>
          <w:rFonts w:ascii="宋体" w:hAnsi="宋体" w:eastAsia="宋体" w:cs="宋体"/>
          <w:sz w:val="22"/>
          <w:szCs w:val="22"/>
        </w:rPr>
      </w:pPr>
      <w:r>
        <w:rPr>
          <w:rFonts w:hint="eastAsia" w:ascii="宋体" w:hAnsi="宋体" w:eastAsia="宋体" w:cs="宋体"/>
          <w:b/>
          <w:bCs/>
          <w:sz w:val="22"/>
          <w:szCs w:val="22"/>
        </w:rPr>
        <w:t xml:space="preserve">23.1 </w:t>
      </w:r>
      <w:r>
        <w:rPr>
          <w:rFonts w:hint="eastAsia" w:ascii="宋体" w:hAnsi="宋体" w:eastAsia="宋体" w:cs="宋体"/>
          <w:sz w:val="22"/>
          <w:szCs w:val="22"/>
        </w:rPr>
        <w:t>开标后，直至授予中标供应商合同为止，凡属于对电子化投标文件的审查、澄清、评价和比较有关的资料，中标候选供应商的推荐情况，及其他任何与评标有关的情况均应严格保密。</w:t>
      </w:r>
    </w:p>
    <w:p w14:paraId="59F9AD03">
      <w:pPr>
        <w:autoSpaceDE w:val="0"/>
        <w:autoSpaceDN w:val="0"/>
        <w:adjustRightInd w:val="0"/>
        <w:spacing w:line="440" w:lineRule="exact"/>
        <w:ind w:firstLine="465"/>
        <w:jc w:val="left"/>
        <w:rPr>
          <w:rFonts w:ascii="宋体" w:hAnsi="宋体" w:eastAsia="宋体" w:cs="宋体"/>
          <w:sz w:val="22"/>
          <w:szCs w:val="22"/>
        </w:rPr>
      </w:pPr>
      <w:r>
        <w:rPr>
          <w:rFonts w:hint="eastAsia" w:ascii="宋体" w:hAnsi="宋体" w:eastAsia="宋体" w:cs="宋体"/>
          <w:b/>
          <w:bCs/>
          <w:sz w:val="22"/>
          <w:szCs w:val="22"/>
        </w:rPr>
        <w:t xml:space="preserve">23.2 </w:t>
      </w:r>
      <w:r>
        <w:rPr>
          <w:rFonts w:hint="eastAsia" w:ascii="宋体" w:hAnsi="宋体" w:eastAsia="宋体" w:cs="宋体"/>
          <w:sz w:val="22"/>
          <w:szCs w:val="22"/>
        </w:rPr>
        <w:t>在电子化投标文件的评审和比较、中标候选供应商推荐以及授予合同的过程中，供应商向采购人和评标委员会施加影响的任何行为，都将会导致其投标被拒绝。</w:t>
      </w:r>
    </w:p>
    <w:p w14:paraId="2525C5E2">
      <w:pPr>
        <w:autoSpaceDE w:val="0"/>
        <w:autoSpaceDN w:val="0"/>
        <w:adjustRightInd w:val="0"/>
        <w:spacing w:line="440" w:lineRule="exact"/>
        <w:ind w:firstLine="465"/>
        <w:jc w:val="left"/>
        <w:rPr>
          <w:rFonts w:ascii="宋体" w:hAnsi="宋体" w:eastAsia="宋体" w:cs="宋体"/>
          <w:sz w:val="22"/>
          <w:szCs w:val="22"/>
        </w:rPr>
      </w:pPr>
      <w:r>
        <w:rPr>
          <w:rFonts w:hint="eastAsia" w:ascii="宋体" w:hAnsi="宋体" w:eastAsia="宋体" w:cs="宋体"/>
          <w:b/>
          <w:bCs/>
          <w:sz w:val="22"/>
          <w:szCs w:val="22"/>
        </w:rPr>
        <w:t xml:space="preserve">23.3 </w:t>
      </w:r>
      <w:r>
        <w:rPr>
          <w:rFonts w:hint="eastAsia" w:ascii="宋体" w:hAnsi="宋体" w:eastAsia="宋体" w:cs="宋体"/>
          <w:sz w:val="22"/>
          <w:szCs w:val="22"/>
        </w:rPr>
        <w:t>中标供应商确定后，采购人不对未中标供应商就评标过程以及未能中标原因做出任何解释。未中标供应商不得向评标委员会组成人员或其他有关人员索问评标过程的情况和材料。</w:t>
      </w:r>
    </w:p>
    <w:p w14:paraId="086F1E1F">
      <w:pPr>
        <w:autoSpaceDE w:val="0"/>
        <w:autoSpaceDN w:val="0"/>
        <w:adjustRightInd w:val="0"/>
        <w:spacing w:line="440" w:lineRule="exact"/>
        <w:ind w:firstLine="465"/>
        <w:jc w:val="left"/>
        <w:rPr>
          <w:rFonts w:ascii="宋体" w:hAnsi="宋体" w:eastAsia="宋体" w:cs="宋体"/>
          <w:b/>
          <w:bCs/>
          <w:kern w:val="0"/>
          <w:sz w:val="22"/>
          <w:szCs w:val="22"/>
        </w:rPr>
      </w:pPr>
      <w:r>
        <w:rPr>
          <w:rFonts w:hint="eastAsia" w:ascii="宋体" w:hAnsi="宋体" w:eastAsia="宋体" w:cs="宋体"/>
          <w:b/>
          <w:bCs/>
          <w:kern w:val="0"/>
          <w:sz w:val="22"/>
          <w:szCs w:val="22"/>
        </w:rPr>
        <w:t>24、评标纪律</w:t>
      </w:r>
    </w:p>
    <w:p w14:paraId="6941AED3">
      <w:pPr>
        <w:autoSpaceDE w:val="0"/>
        <w:autoSpaceDN w:val="0"/>
        <w:adjustRightInd w:val="0"/>
        <w:spacing w:line="440" w:lineRule="exact"/>
        <w:ind w:firstLine="465"/>
        <w:jc w:val="left"/>
        <w:rPr>
          <w:rFonts w:ascii="宋体" w:hAnsi="宋体" w:eastAsia="宋体" w:cs="宋体"/>
          <w:kern w:val="0"/>
          <w:sz w:val="22"/>
          <w:szCs w:val="22"/>
        </w:rPr>
      </w:pPr>
      <w:r>
        <w:rPr>
          <w:rFonts w:hint="eastAsia" w:ascii="宋体" w:hAnsi="宋体" w:eastAsia="宋体" w:cs="宋体"/>
          <w:b/>
          <w:bCs/>
          <w:kern w:val="0"/>
          <w:sz w:val="22"/>
          <w:szCs w:val="22"/>
        </w:rPr>
        <w:t>24.1</w:t>
      </w:r>
      <w:r>
        <w:rPr>
          <w:rFonts w:hint="eastAsia" w:ascii="宋体" w:hAnsi="宋体" w:eastAsia="宋体" w:cs="宋体"/>
          <w:kern w:val="0"/>
          <w:sz w:val="22"/>
          <w:szCs w:val="22"/>
        </w:rPr>
        <w:t xml:space="preserve"> 评标委员会成员和参与评标工作的有关人员不得透露对</w:t>
      </w:r>
      <w:r>
        <w:rPr>
          <w:rFonts w:hint="eastAsia" w:ascii="宋体" w:hAnsi="宋体" w:eastAsia="宋体" w:cs="宋体"/>
          <w:sz w:val="22"/>
          <w:szCs w:val="22"/>
        </w:rPr>
        <w:t>电子化</w:t>
      </w:r>
      <w:r>
        <w:rPr>
          <w:rFonts w:hint="eastAsia" w:ascii="宋体" w:hAnsi="宋体" w:eastAsia="宋体" w:cs="宋体"/>
          <w:kern w:val="0"/>
          <w:sz w:val="22"/>
          <w:szCs w:val="22"/>
        </w:rPr>
        <w:t>投标文件的评审和比较、中标候选供应商的推荐情况以及与评标有关的其它情况。</w:t>
      </w:r>
    </w:p>
    <w:p w14:paraId="440DD726">
      <w:pPr>
        <w:autoSpaceDE w:val="0"/>
        <w:autoSpaceDN w:val="0"/>
        <w:adjustRightInd w:val="0"/>
        <w:spacing w:line="440" w:lineRule="exact"/>
        <w:ind w:firstLine="442" w:firstLineChars="200"/>
        <w:jc w:val="left"/>
        <w:rPr>
          <w:rFonts w:ascii="宋体" w:hAnsi="宋体" w:eastAsia="宋体" w:cs="宋体"/>
          <w:kern w:val="0"/>
          <w:sz w:val="22"/>
          <w:szCs w:val="22"/>
        </w:rPr>
      </w:pPr>
      <w:r>
        <w:rPr>
          <w:rFonts w:hint="eastAsia" w:ascii="宋体" w:hAnsi="宋体" w:eastAsia="宋体" w:cs="宋体"/>
          <w:b/>
          <w:bCs/>
          <w:kern w:val="0"/>
          <w:sz w:val="22"/>
          <w:szCs w:val="22"/>
        </w:rPr>
        <w:t>24.2</w:t>
      </w:r>
      <w:r>
        <w:rPr>
          <w:rFonts w:hint="eastAsia" w:ascii="宋体" w:hAnsi="宋体" w:eastAsia="宋体" w:cs="宋体"/>
          <w:kern w:val="0"/>
          <w:sz w:val="22"/>
          <w:szCs w:val="22"/>
        </w:rPr>
        <w:t xml:space="preserve"> 除投标须知第28条款的规定以外，开标以后至授予中标通知书前，任何供应商均不得就与其</w:t>
      </w:r>
      <w:r>
        <w:rPr>
          <w:rFonts w:hint="eastAsia" w:ascii="宋体" w:hAnsi="宋体" w:eastAsia="宋体" w:cs="宋体"/>
          <w:sz w:val="22"/>
          <w:szCs w:val="22"/>
        </w:rPr>
        <w:t>电子化</w:t>
      </w:r>
      <w:r>
        <w:rPr>
          <w:rFonts w:hint="eastAsia" w:ascii="宋体" w:hAnsi="宋体" w:eastAsia="宋体" w:cs="宋体"/>
          <w:kern w:val="0"/>
          <w:sz w:val="22"/>
          <w:szCs w:val="22"/>
        </w:rPr>
        <w:t>投标文件有关的问题主动与采购人和采购代理机构发生联系。</w:t>
      </w:r>
    </w:p>
    <w:p w14:paraId="6785257C">
      <w:pPr>
        <w:autoSpaceDE w:val="0"/>
        <w:autoSpaceDN w:val="0"/>
        <w:adjustRightInd w:val="0"/>
        <w:spacing w:line="440" w:lineRule="exact"/>
        <w:ind w:firstLine="465"/>
        <w:jc w:val="left"/>
        <w:rPr>
          <w:rFonts w:ascii="宋体" w:hAnsi="宋体" w:eastAsia="宋体" w:cs="宋体"/>
          <w:kern w:val="0"/>
          <w:sz w:val="22"/>
          <w:szCs w:val="22"/>
        </w:rPr>
      </w:pPr>
      <w:r>
        <w:rPr>
          <w:rFonts w:hint="eastAsia" w:ascii="宋体" w:hAnsi="宋体" w:eastAsia="宋体" w:cs="宋体"/>
          <w:b/>
          <w:bCs/>
          <w:kern w:val="0"/>
          <w:sz w:val="22"/>
          <w:szCs w:val="22"/>
        </w:rPr>
        <w:t>24.3</w:t>
      </w:r>
      <w:r>
        <w:rPr>
          <w:rFonts w:hint="eastAsia" w:ascii="宋体" w:hAnsi="宋体" w:eastAsia="宋体" w:cs="宋体"/>
          <w:kern w:val="0"/>
          <w:sz w:val="22"/>
          <w:szCs w:val="22"/>
        </w:rPr>
        <w:t xml:space="preserve"> 如果供应商试图对评标委员会的评标施加影响，则将导致该供应商的</w:t>
      </w:r>
      <w:r>
        <w:rPr>
          <w:rFonts w:hint="eastAsia" w:ascii="宋体" w:hAnsi="宋体" w:eastAsia="宋体" w:cs="宋体"/>
          <w:sz w:val="22"/>
          <w:szCs w:val="22"/>
        </w:rPr>
        <w:t>电子化</w:t>
      </w:r>
      <w:r>
        <w:rPr>
          <w:rFonts w:hint="eastAsia" w:ascii="宋体" w:hAnsi="宋体" w:eastAsia="宋体" w:cs="宋体"/>
          <w:kern w:val="0"/>
          <w:sz w:val="22"/>
          <w:szCs w:val="22"/>
        </w:rPr>
        <w:t>投标文件被拒绝。</w:t>
      </w:r>
    </w:p>
    <w:p w14:paraId="46B6169A">
      <w:pPr>
        <w:autoSpaceDE w:val="0"/>
        <w:autoSpaceDN w:val="0"/>
        <w:adjustRightInd w:val="0"/>
        <w:spacing w:line="440" w:lineRule="exact"/>
        <w:ind w:firstLine="465"/>
        <w:jc w:val="left"/>
        <w:rPr>
          <w:rFonts w:ascii="宋体" w:hAnsi="宋体" w:eastAsia="宋体" w:cs="宋体"/>
          <w:b/>
          <w:bCs/>
          <w:sz w:val="22"/>
          <w:szCs w:val="22"/>
        </w:rPr>
      </w:pPr>
      <w:r>
        <w:rPr>
          <w:rFonts w:hint="eastAsia" w:ascii="宋体" w:hAnsi="宋体" w:eastAsia="宋体" w:cs="宋体"/>
          <w:b/>
          <w:bCs/>
          <w:kern w:val="0"/>
          <w:sz w:val="22"/>
          <w:szCs w:val="22"/>
        </w:rPr>
        <w:t>25、电子化</w:t>
      </w:r>
      <w:r>
        <w:rPr>
          <w:rFonts w:hint="eastAsia" w:ascii="宋体" w:hAnsi="宋体" w:eastAsia="宋体" w:cs="宋体"/>
          <w:b/>
          <w:bCs/>
          <w:sz w:val="22"/>
          <w:szCs w:val="22"/>
        </w:rPr>
        <w:t>投标文件的澄清</w:t>
      </w:r>
    </w:p>
    <w:p w14:paraId="6DD0F5C5">
      <w:pPr>
        <w:autoSpaceDE w:val="0"/>
        <w:autoSpaceDN w:val="0"/>
        <w:adjustRightInd w:val="0"/>
        <w:spacing w:line="440" w:lineRule="exact"/>
        <w:ind w:firstLine="465"/>
        <w:jc w:val="left"/>
        <w:rPr>
          <w:rFonts w:ascii="宋体" w:hAnsi="宋体" w:cs="宋体"/>
          <w:smallCaps/>
          <w:kern w:val="0"/>
          <w:sz w:val="22"/>
          <w:szCs w:val="22"/>
        </w:rPr>
      </w:pPr>
      <w:r>
        <w:rPr>
          <w:rFonts w:hint="eastAsia" w:ascii="宋体" w:hAnsi="宋体" w:eastAsia="宋体" w:cs="宋体"/>
          <w:bCs/>
          <w:kern w:val="0"/>
          <w:sz w:val="22"/>
          <w:szCs w:val="22"/>
        </w:rPr>
        <w:t>25.1 为有助于电子化投标文件的审查、评价和比较，评标委员会可以以书面形式要求供应商对电子化投标文件含义不明确的内容作必要的澄清或说明，供应商应采用书面形式进行澄清或说明，但不得超出电子化投标文件的范围或改变电子化投标文件的实质性内容。根据本须知规定，凡属于评标委员会在评标中发现的计算错误并进行核实的修改不在此列。</w:t>
      </w:r>
    </w:p>
    <w:p w14:paraId="6624B100">
      <w:pPr>
        <w:autoSpaceDE w:val="0"/>
        <w:autoSpaceDN w:val="0"/>
        <w:adjustRightInd w:val="0"/>
        <w:spacing w:line="440" w:lineRule="exact"/>
        <w:ind w:firstLine="480"/>
        <w:jc w:val="left"/>
        <w:rPr>
          <w:rFonts w:ascii="宋体" w:hAnsi="宋体" w:eastAsia="宋体" w:cs="宋体"/>
          <w:b/>
          <w:bCs/>
          <w:kern w:val="0"/>
          <w:sz w:val="22"/>
          <w:szCs w:val="22"/>
        </w:rPr>
      </w:pPr>
      <w:r>
        <w:rPr>
          <w:rFonts w:hint="eastAsia" w:ascii="宋体" w:hAnsi="宋体" w:eastAsia="宋体" w:cs="宋体"/>
          <w:b/>
          <w:bCs/>
          <w:kern w:val="0"/>
          <w:sz w:val="22"/>
          <w:szCs w:val="22"/>
        </w:rPr>
        <w:t>26、电子化</w:t>
      </w:r>
      <w:r>
        <w:rPr>
          <w:rFonts w:hint="eastAsia" w:ascii="宋体" w:hAnsi="宋体" w:eastAsia="宋体" w:cs="宋体"/>
          <w:b/>
          <w:bCs/>
          <w:sz w:val="22"/>
          <w:szCs w:val="22"/>
        </w:rPr>
        <w:t>投标文件的初步评审</w:t>
      </w:r>
    </w:p>
    <w:p w14:paraId="73A6C1D5">
      <w:pPr>
        <w:spacing w:line="440" w:lineRule="exact"/>
        <w:ind w:firstLine="480"/>
        <w:rPr>
          <w:rFonts w:ascii="宋体" w:hAnsi="宋体" w:eastAsia="宋体" w:cs="宋体"/>
          <w:bCs/>
          <w:kern w:val="0"/>
          <w:sz w:val="22"/>
          <w:szCs w:val="22"/>
        </w:rPr>
      </w:pPr>
      <w:r>
        <w:rPr>
          <w:rFonts w:hint="eastAsia" w:ascii="宋体" w:hAnsi="宋体" w:eastAsia="宋体" w:cs="宋体"/>
          <w:bCs/>
          <w:kern w:val="0"/>
          <w:sz w:val="22"/>
          <w:szCs w:val="22"/>
        </w:rPr>
        <w:t>2</w:t>
      </w:r>
      <w:r>
        <w:rPr>
          <w:rFonts w:hint="eastAsia" w:ascii="宋体" w:hAnsi="宋体" w:eastAsia="宋体" w:cs="宋体"/>
          <w:bCs/>
          <w:kern w:val="0"/>
          <w:sz w:val="22"/>
          <w:szCs w:val="22"/>
          <w:lang w:val="en-US" w:eastAsia="zh-CN"/>
        </w:rPr>
        <w:t>6</w:t>
      </w:r>
      <w:r>
        <w:rPr>
          <w:rFonts w:hint="eastAsia" w:ascii="宋体" w:hAnsi="宋体" w:eastAsia="宋体" w:cs="宋体"/>
          <w:bCs/>
          <w:kern w:val="0"/>
          <w:sz w:val="22"/>
          <w:szCs w:val="22"/>
        </w:rPr>
        <w:t>.1评标委员会应当对符合资格的投标供应商的投标文件进行符合性审查，以确定其是否满足招标文件的实质性要求。</w:t>
      </w:r>
    </w:p>
    <w:p w14:paraId="51D328BD">
      <w:pPr>
        <w:spacing w:line="440" w:lineRule="exact"/>
        <w:ind w:firstLine="480"/>
        <w:rPr>
          <w:rFonts w:ascii="宋体" w:hAnsi="宋体" w:eastAsia="宋体" w:cs="宋体"/>
          <w:bCs/>
          <w:kern w:val="0"/>
          <w:sz w:val="22"/>
          <w:szCs w:val="22"/>
        </w:rPr>
      </w:pPr>
      <w:r>
        <w:rPr>
          <w:rFonts w:hint="eastAsia" w:ascii="宋体" w:hAnsi="宋体" w:eastAsia="宋体" w:cs="宋体"/>
          <w:bCs/>
          <w:kern w:val="0"/>
          <w:sz w:val="22"/>
          <w:szCs w:val="22"/>
        </w:rPr>
        <w:t>2</w:t>
      </w:r>
      <w:r>
        <w:rPr>
          <w:rFonts w:hint="eastAsia" w:ascii="宋体" w:hAnsi="宋体" w:eastAsia="宋体" w:cs="宋体"/>
          <w:bCs/>
          <w:kern w:val="0"/>
          <w:sz w:val="22"/>
          <w:szCs w:val="22"/>
          <w:lang w:val="en-US" w:eastAsia="zh-CN"/>
        </w:rPr>
        <w:t>6</w:t>
      </w:r>
      <w:r>
        <w:rPr>
          <w:rFonts w:hint="eastAsia" w:ascii="宋体" w:hAnsi="宋体" w:eastAsia="宋体" w:cs="宋体"/>
          <w:bCs/>
          <w:kern w:val="0"/>
          <w:sz w:val="22"/>
          <w:szCs w:val="22"/>
        </w:rPr>
        <w:t>.</w:t>
      </w:r>
      <w:r>
        <w:rPr>
          <w:rFonts w:hint="eastAsia" w:ascii="宋体" w:hAnsi="宋体" w:eastAsia="宋体" w:cs="宋体"/>
          <w:bCs/>
          <w:kern w:val="0"/>
          <w:sz w:val="22"/>
          <w:szCs w:val="22"/>
          <w:lang w:val="en-US" w:eastAsia="zh-CN"/>
        </w:rPr>
        <w:t>2</w:t>
      </w:r>
      <w:r>
        <w:rPr>
          <w:rFonts w:hint="eastAsia" w:ascii="宋体" w:hAnsi="宋体" w:eastAsia="宋体" w:cs="宋体"/>
          <w:bCs/>
          <w:kern w:val="0"/>
          <w:sz w:val="22"/>
          <w:szCs w:val="22"/>
        </w:rPr>
        <w:t>实质上没有响应招标文件要求的投标将被拒绝，投标供应商不得通过修正或撤消不符之处而使其投标成为实质上响应投标。</w:t>
      </w:r>
    </w:p>
    <w:p w14:paraId="2A2279E5">
      <w:pPr>
        <w:autoSpaceDE w:val="0"/>
        <w:autoSpaceDN w:val="0"/>
        <w:spacing w:line="400" w:lineRule="exact"/>
        <w:ind w:firstLine="442" w:firstLineChars="200"/>
        <w:jc w:val="left"/>
        <w:outlineLvl w:val="3"/>
        <w:rPr>
          <w:rFonts w:hint="eastAsia" w:asciiTheme="minorEastAsia" w:hAnsiTheme="minorEastAsia" w:eastAsiaTheme="minorEastAsia" w:cstheme="minorEastAsia"/>
          <w:b/>
          <w:bCs/>
          <w:color w:val="000000" w:themeColor="text1"/>
          <w:sz w:val="22"/>
          <w:szCs w:val="22"/>
          <w:lang w:val="zh-CN"/>
        </w:rPr>
      </w:pPr>
      <w:r>
        <w:rPr>
          <w:rFonts w:hint="eastAsia" w:ascii="宋体" w:hAnsi="宋体" w:eastAsia="宋体" w:cs="宋体"/>
          <w:b/>
          <w:bCs w:val="0"/>
          <w:kern w:val="0"/>
          <w:sz w:val="22"/>
          <w:szCs w:val="22"/>
        </w:rPr>
        <w:t>2</w:t>
      </w:r>
      <w:r>
        <w:rPr>
          <w:rFonts w:hint="eastAsia" w:ascii="宋体" w:hAnsi="宋体" w:eastAsia="宋体" w:cs="宋体"/>
          <w:b/>
          <w:bCs w:val="0"/>
          <w:kern w:val="0"/>
          <w:sz w:val="22"/>
          <w:szCs w:val="22"/>
          <w:lang w:val="en-US" w:eastAsia="zh-CN"/>
        </w:rPr>
        <w:t>6</w:t>
      </w:r>
      <w:r>
        <w:rPr>
          <w:rFonts w:hint="eastAsia" w:ascii="宋体" w:hAnsi="宋体" w:eastAsia="宋体" w:cs="宋体"/>
          <w:b/>
          <w:bCs w:val="0"/>
          <w:kern w:val="0"/>
          <w:sz w:val="22"/>
          <w:szCs w:val="22"/>
        </w:rPr>
        <w:t>.</w:t>
      </w:r>
      <w:r>
        <w:rPr>
          <w:rFonts w:hint="eastAsia" w:ascii="宋体" w:hAnsi="宋体" w:eastAsia="宋体" w:cs="宋体"/>
          <w:b/>
          <w:bCs w:val="0"/>
          <w:kern w:val="0"/>
          <w:sz w:val="22"/>
          <w:szCs w:val="22"/>
          <w:lang w:val="en-US" w:eastAsia="zh-CN"/>
        </w:rPr>
        <w:t>3</w:t>
      </w:r>
      <w:bookmarkStart w:id="12" w:name="_Toc7342_WPSOffice_Level3"/>
      <w:r>
        <w:rPr>
          <w:rFonts w:hint="eastAsia" w:asciiTheme="minorEastAsia" w:hAnsiTheme="minorEastAsia" w:eastAsiaTheme="minorEastAsia" w:cstheme="minorEastAsia"/>
          <w:b/>
          <w:bCs/>
          <w:color w:val="000000" w:themeColor="text1"/>
          <w:sz w:val="22"/>
          <w:szCs w:val="22"/>
          <w:lang w:val="zh-CN"/>
        </w:rPr>
        <w:t>特</w:t>
      </w:r>
      <w:r>
        <w:rPr>
          <w:rFonts w:hint="eastAsia" w:ascii="宋体" w:hAnsi="宋体" w:eastAsia="宋体" w:cs="宋体"/>
          <w:b/>
          <w:bCs w:val="0"/>
          <w:kern w:val="0"/>
          <w:sz w:val="24"/>
          <w:szCs w:val="24"/>
          <w:lang w:val="zh-CN"/>
        </w:rPr>
        <w:t>别注意事项</w:t>
      </w:r>
      <w:bookmarkEnd w:id="12"/>
    </w:p>
    <w:p w14:paraId="4FF4AC2F">
      <w:pPr>
        <w:autoSpaceDE w:val="0"/>
        <w:autoSpaceDN w:val="0"/>
        <w:spacing w:line="400" w:lineRule="exact"/>
        <w:ind w:firstLine="442" w:firstLineChars="200"/>
        <w:jc w:val="left"/>
        <w:rPr>
          <w:rFonts w:hint="eastAsia" w:ascii="宋体" w:hAnsi="宋体" w:eastAsia="宋体" w:cs="宋体"/>
          <w:b/>
          <w:bCs w:val="0"/>
          <w:kern w:val="0"/>
          <w:sz w:val="22"/>
          <w:szCs w:val="22"/>
        </w:rPr>
      </w:pPr>
      <w:r>
        <w:rPr>
          <w:rFonts w:hint="eastAsia" w:ascii="宋体" w:hAnsi="宋体" w:eastAsia="宋体" w:cs="宋体"/>
          <w:b/>
          <w:bCs w:val="0"/>
          <w:kern w:val="0"/>
          <w:sz w:val="22"/>
          <w:szCs w:val="22"/>
        </w:rPr>
        <w:t>评标中有下列情形之一的，其投标将会被拒绝：</w:t>
      </w:r>
    </w:p>
    <w:p w14:paraId="42B388F4">
      <w:pPr>
        <w:spacing w:line="440" w:lineRule="exact"/>
        <w:ind w:firstLine="480"/>
        <w:rPr>
          <w:rFonts w:hint="eastAsia" w:ascii="宋体" w:hAnsi="宋体" w:eastAsia="宋体" w:cs="宋体"/>
          <w:bCs/>
          <w:kern w:val="0"/>
          <w:sz w:val="22"/>
          <w:szCs w:val="22"/>
          <w:lang w:val="zh-CN"/>
        </w:rPr>
      </w:pPr>
      <w:r>
        <w:rPr>
          <w:rFonts w:hint="eastAsia" w:ascii="宋体" w:hAnsi="宋体" w:eastAsia="宋体" w:cs="宋体"/>
          <w:bCs/>
          <w:kern w:val="0"/>
          <w:sz w:val="22"/>
          <w:szCs w:val="22"/>
          <w:lang w:val="zh-CN"/>
        </w:rPr>
        <w:t>（1）未按</w:t>
      </w:r>
      <w:r>
        <w:rPr>
          <w:rFonts w:hint="eastAsia" w:ascii="宋体" w:hAnsi="宋体" w:eastAsia="宋体" w:cs="宋体"/>
          <w:bCs/>
          <w:kern w:val="0"/>
          <w:sz w:val="22"/>
          <w:szCs w:val="22"/>
          <w:lang w:val="en-US" w:eastAsia="zh-CN"/>
        </w:rPr>
        <w:t>招标</w:t>
      </w:r>
      <w:r>
        <w:rPr>
          <w:rFonts w:hint="eastAsia" w:ascii="宋体" w:hAnsi="宋体" w:eastAsia="宋体" w:cs="宋体"/>
          <w:bCs/>
          <w:kern w:val="0"/>
          <w:sz w:val="22"/>
          <w:szCs w:val="22"/>
          <w:lang w:val="zh-CN"/>
        </w:rPr>
        <w:t>文件要求和规定提交</w:t>
      </w:r>
      <w:r>
        <w:rPr>
          <w:rFonts w:hint="eastAsia" w:ascii="宋体" w:hAnsi="宋体" w:eastAsia="宋体" w:cs="宋体"/>
          <w:bCs/>
          <w:kern w:val="0"/>
          <w:sz w:val="22"/>
          <w:szCs w:val="22"/>
          <w:lang w:val="en-US" w:eastAsia="zh-CN"/>
        </w:rPr>
        <w:t>资格</w:t>
      </w:r>
      <w:r>
        <w:rPr>
          <w:rFonts w:hint="eastAsia" w:ascii="宋体" w:hAnsi="宋体" w:eastAsia="宋体" w:cs="宋体"/>
          <w:bCs/>
          <w:kern w:val="0"/>
          <w:sz w:val="22"/>
          <w:szCs w:val="22"/>
          <w:lang w:val="zh-CN"/>
        </w:rPr>
        <w:t>实质性响应材料的；</w:t>
      </w:r>
    </w:p>
    <w:p w14:paraId="05CC40EB">
      <w:pPr>
        <w:spacing w:line="440" w:lineRule="exact"/>
        <w:ind w:firstLine="480"/>
        <w:rPr>
          <w:rFonts w:hint="eastAsia" w:ascii="宋体" w:hAnsi="宋体" w:eastAsia="宋体" w:cs="宋体"/>
          <w:bCs/>
          <w:kern w:val="0"/>
          <w:sz w:val="22"/>
          <w:szCs w:val="22"/>
          <w:lang w:val="zh-CN" w:eastAsia="zh-CN"/>
        </w:rPr>
      </w:pPr>
      <w:r>
        <w:rPr>
          <w:rFonts w:hint="eastAsia" w:ascii="宋体" w:hAnsi="宋体" w:eastAsia="宋体" w:cs="宋体"/>
          <w:bCs/>
          <w:kern w:val="0"/>
          <w:sz w:val="22"/>
          <w:szCs w:val="22"/>
          <w:lang w:val="zh-CN" w:eastAsia="zh-CN"/>
        </w:rPr>
        <w:t>（2）相互串通</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的（有下列情形之一的，视为</w:t>
      </w:r>
      <w:r>
        <w:rPr>
          <w:rFonts w:hint="eastAsia" w:ascii="宋体" w:hAnsi="宋体" w:eastAsia="宋体" w:cs="宋体"/>
          <w:bCs/>
          <w:kern w:val="0"/>
          <w:sz w:val="22"/>
          <w:szCs w:val="22"/>
          <w:lang w:val="en-US" w:eastAsia="zh-CN"/>
        </w:rPr>
        <w:t>投标人</w:t>
      </w:r>
      <w:r>
        <w:rPr>
          <w:rFonts w:hint="eastAsia" w:ascii="宋体" w:hAnsi="宋体" w:eastAsia="宋体" w:cs="宋体"/>
          <w:bCs/>
          <w:kern w:val="0"/>
          <w:sz w:val="22"/>
          <w:szCs w:val="22"/>
          <w:lang w:val="zh-CN" w:eastAsia="zh-CN"/>
        </w:rPr>
        <w:t>相互串通</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w:t>
      </w:r>
    </w:p>
    <w:p w14:paraId="74D42B5D">
      <w:pPr>
        <w:spacing w:line="440" w:lineRule="exact"/>
        <w:ind w:firstLine="480"/>
        <w:rPr>
          <w:rFonts w:hint="eastAsia" w:ascii="宋体" w:hAnsi="宋体" w:eastAsia="宋体" w:cs="宋体"/>
          <w:bCs/>
          <w:kern w:val="0"/>
          <w:sz w:val="22"/>
          <w:szCs w:val="22"/>
          <w:lang w:val="zh-CN" w:eastAsia="zh-CN"/>
        </w:rPr>
      </w:pPr>
      <w:r>
        <w:rPr>
          <w:rFonts w:hint="eastAsia" w:ascii="宋体" w:hAnsi="宋体" w:eastAsia="宋体" w:cs="宋体"/>
          <w:bCs/>
          <w:kern w:val="0"/>
          <w:sz w:val="22"/>
          <w:szCs w:val="22"/>
          <w:lang w:val="zh-CN" w:eastAsia="zh-CN"/>
        </w:rPr>
        <w:t>A、不同</w:t>
      </w:r>
      <w:r>
        <w:rPr>
          <w:rFonts w:hint="eastAsia" w:ascii="宋体" w:hAnsi="宋体" w:eastAsia="宋体" w:cs="宋体"/>
          <w:bCs/>
          <w:kern w:val="0"/>
          <w:sz w:val="22"/>
          <w:szCs w:val="22"/>
          <w:lang w:val="en-US" w:eastAsia="zh-CN"/>
        </w:rPr>
        <w:t>投标人</w:t>
      </w:r>
      <w:r>
        <w:rPr>
          <w:rFonts w:hint="eastAsia" w:ascii="宋体" w:hAnsi="宋体" w:eastAsia="宋体" w:cs="宋体"/>
          <w:bCs/>
          <w:kern w:val="0"/>
          <w:sz w:val="22"/>
          <w:szCs w:val="22"/>
          <w:lang w:val="zh-CN" w:eastAsia="zh-CN"/>
        </w:rPr>
        <w:t>的</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文件由同一单位或者个人编制</w:t>
      </w:r>
    </w:p>
    <w:p w14:paraId="4C73FD7C">
      <w:pPr>
        <w:spacing w:line="440" w:lineRule="exact"/>
        <w:ind w:firstLine="480"/>
        <w:rPr>
          <w:rFonts w:hint="eastAsia" w:ascii="宋体" w:hAnsi="宋体" w:eastAsia="宋体" w:cs="宋体"/>
          <w:bCs/>
          <w:kern w:val="0"/>
          <w:sz w:val="22"/>
          <w:szCs w:val="22"/>
          <w:lang w:val="zh-CN" w:eastAsia="zh-CN"/>
        </w:rPr>
      </w:pPr>
      <w:r>
        <w:rPr>
          <w:rFonts w:hint="eastAsia" w:ascii="宋体" w:hAnsi="宋体" w:eastAsia="宋体" w:cs="宋体"/>
          <w:bCs/>
          <w:kern w:val="0"/>
          <w:sz w:val="22"/>
          <w:szCs w:val="22"/>
          <w:lang w:val="zh-CN" w:eastAsia="zh-CN"/>
        </w:rPr>
        <w:t>B、不同</w:t>
      </w:r>
      <w:r>
        <w:rPr>
          <w:rFonts w:hint="eastAsia" w:ascii="宋体" w:hAnsi="宋体" w:eastAsia="宋体" w:cs="宋体"/>
          <w:bCs/>
          <w:kern w:val="0"/>
          <w:sz w:val="22"/>
          <w:szCs w:val="22"/>
          <w:lang w:val="en-US" w:eastAsia="zh-CN"/>
        </w:rPr>
        <w:t>投标人</w:t>
      </w:r>
      <w:r>
        <w:rPr>
          <w:rFonts w:hint="eastAsia" w:ascii="宋体" w:hAnsi="宋体" w:eastAsia="宋体" w:cs="宋体"/>
          <w:bCs/>
          <w:kern w:val="0"/>
          <w:sz w:val="22"/>
          <w:szCs w:val="22"/>
          <w:lang w:val="zh-CN" w:eastAsia="zh-CN"/>
        </w:rPr>
        <w:t>委托同一单位或者个人办理</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事宜</w:t>
      </w:r>
    </w:p>
    <w:p w14:paraId="3DB6488D">
      <w:pPr>
        <w:spacing w:line="440" w:lineRule="exact"/>
        <w:ind w:firstLine="480"/>
        <w:rPr>
          <w:rFonts w:hint="eastAsia" w:ascii="宋体" w:hAnsi="宋体" w:eastAsia="宋体" w:cs="宋体"/>
          <w:bCs/>
          <w:kern w:val="0"/>
          <w:sz w:val="22"/>
          <w:szCs w:val="22"/>
          <w:lang w:val="zh-CN" w:eastAsia="zh-CN"/>
        </w:rPr>
      </w:pPr>
      <w:r>
        <w:rPr>
          <w:rFonts w:hint="eastAsia" w:ascii="宋体" w:hAnsi="宋体" w:eastAsia="宋体" w:cs="宋体"/>
          <w:bCs/>
          <w:kern w:val="0"/>
          <w:sz w:val="22"/>
          <w:szCs w:val="22"/>
          <w:lang w:val="zh-CN" w:eastAsia="zh-CN"/>
        </w:rPr>
        <w:t>C、不同</w:t>
      </w:r>
      <w:r>
        <w:rPr>
          <w:rFonts w:hint="eastAsia" w:ascii="宋体" w:hAnsi="宋体" w:eastAsia="宋体" w:cs="宋体"/>
          <w:bCs/>
          <w:kern w:val="0"/>
          <w:sz w:val="22"/>
          <w:szCs w:val="22"/>
          <w:lang w:val="en-US" w:eastAsia="zh-CN"/>
        </w:rPr>
        <w:t>投标人</w:t>
      </w:r>
      <w:r>
        <w:rPr>
          <w:rFonts w:hint="eastAsia" w:ascii="宋体" w:hAnsi="宋体" w:eastAsia="宋体" w:cs="宋体"/>
          <w:bCs/>
          <w:kern w:val="0"/>
          <w:sz w:val="22"/>
          <w:szCs w:val="22"/>
          <w:lang w:val="zh-CN" w:eastAsia="zh-CN"/>
        </w:rPr>
        <w:t>的</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文载明的项目管理成员为同一人</w:t>
      </w:r>
    </w:p>
    <w:p w14:paraId="54BE5219">
      <w:pPr>
        <w:spacing w:line="440" w:lineRule="exact"/>
        <w:ind w:firstLine="480"/>
        <w:rPr>
          <w:rFonts w:hint="eastAsia" w:ascii="宋体" w:hAnsi="宋体" w:eastAsia="宋体" w:cs="宋体"/>
          <w:bCs/>
          <w:kern w:val="0"/>
          <w:sz w:val="22"/>
          <w:szCs w:val="22"/>
          <w:lang w:val="zh-CN" w:eastAsia="zh-CN"/>
        </w:rPr>
      </w:pPr>
      <w:r>
        <w:rPr>
          <w:rFonts w:hint="eastAsia" w:ascii="宋体" w:hAnsi="宋体" w:eastAsia="宋体" w:cs="宋体"/>
          <w:bCs/>
          <w:kern w:val="0"/>
          <w:sz w:val="22"/>
          <w:szCs w:val="22"/>
          <w:lang w:val="zh-CN" w:eastAsia="zh-CN"/>
        </w:rPr>
        <w:t>D、不同</w:t>
      </w:r>
      <w:r>
        <w:rPr>
          <w:rFonts w:hint="eastAsia" w:ascii="宋体" w:hAnsi="宋体" w:eastAsia="宋体" w:cs="宋体"/>
          <w:bCs/>
          <w:kern w:val="0"/>
          <w:sz w:val="22"/>
          <w:szCs w:val="22"/>
          <w:lang w:val="en-US" w:eastAsia="zh-CN"/>
        </w:rPr>
        <w:t>投标人</w:t>
      </w:r>
      <w:r>
        <w:rPr>
          <w:rFonts w:hint="eastAsia" w:ascii="宋体" w:hAnsi="宋体" w:eastAsia="宋体" w:cs="宋体"/>
          <w:bCs/>
          <w:kern w:val="0"/>
          <w:sz w:val="22"/>
          <w:szCs w:val="22"/>
          <w:lang w:val="zh-CN" w:eastAsia="zh-CN"/>
        </w:rPr>
        <w:t>的</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文件异常一致或者</w:t>
      </w:r>
      <w:r>
        <w:rPr>
          <w:rFonts w:hint="eastAsia" w:ascii="宋体" w:hAnsi="宋体" w:eastAsia="宋体" w:cs="宋体"/>
          <w:bCs/>
          <w:kern w:val="0"/>
          <w:sz w:val="22"/>
          <w:szCs w:val="22"/>
          <w:lang w:val="en-US" w:eastAsia="zh-CN"/>
        </w:rPr>
        <w:t>投标</w:t>
      </w:r>
      <w:r>
        <w:rPr>
          <w:rFonts w:hint="eastAsia" w:ascii="宋体" w:hAnsi="宋体" w:eastAsia="宋体" w:cs="宋体"/>
          <w:bCs/>
          <w:kern w:val="0"/>
          <w:sz w:val="22"/>
          <w:szCs w:val="22"/>
          <w:lang w:val="zh-CN" w:eastAsia="zh-CN"/>
        </w:rPr>
        <w:t>报价呈规律性差异</w:t>
      </w:r>
    </w:p>
    <w:p w14:paraId="45B2B163">
      <w:pPr>
        <w:spacing w:line="440" w:lineRule="exact"/>
        <w:ind w:firstLine="480"/>
        <w:rPr>
          <w:rFonts w:ascii="宋体" w:hAnsi="宋体" w:eastAsia="宋体" w:cs="宋体"/>
          <w:bCs/>
          <w:kern w:val="0"/>
          <w:sz w:val="22"/>
          <w:szCs w:val="22"/>
        </w:rPr>
      </w:pPr>
      <w:r>
        <w:rPr>
          <w:rFonts w:hint="eastAsia" w:ascii="宋体" w:hAnsi="宋体" w:eastAsia="宋体" w:cs="宋体"/>
          <w:bCs/>
          <w:kern w:val="0"/>
          <w:sz w:val="22"/>
          <w:szCs w:val="22"/>
        </w:rPr>
        <w:t xml:space="preserve">(3)投标文件未按招标文件要求签署、盖章的； </w:t>
      </w:r>
    </w:p>
    <w:p w14:paraId="7D23D96F">
      <w:pPr>
        <w:spacing w:line="440" w:lineRule="exact"/>
        <w:ind w:firstLine="480"/>
        <w:rPr>
          <w:rFonts w:ascii="宋体" w:hAnsi="宋体" w:eastAsia="宋体" w:cs="宋体"/>
          <w:bCs/>
          <w:kern w:val="0"/>
          <w:sz w:val="22"/>
          <w:szCs w:val="22"/>
        </w:rPr>
      </w:pPr>
      <w:r>
        <w:rPr>
          <w:rFonts w:hint="eastAsia" w:ascii="宋体" w:hAnsi="宋体" w:eastAsia="宋体" w:cs="宋体"/>
          <w:bCs/>
          <w:kern w:val="0"/>
          <w:sz w:val="22"/>
          <w:szCs w:val="22"/>
        </w:rPr>
        <w:t>(4) 报价超过招标文件中规定的预算金额或者最高限价的；</w:t>
      </w:r>
    </w:p>
    <w:p w14:paraId="6231487B">
      <w:pPr>
        <w:spacing w:line="440" w:lineRule="exact"/>
        <w:ind w:firstLine="480"/>
        <w:rPr>
          <w:rFonts w:ascii="宋体" w:hAnsi="宋体" w:eastAsia="宋体" w:cs="宋体"/>
          <w:bCs/>
          <w:sz w:val="22"/>
          <w:szCs w:val="22"/>
        </w:rPr>
      </w:pPr>
      <w:r>
        <w:rPr>
          <w:rFonts w:hint="eastAsia" w:ascii="宋体" w:hAnsi="宋体" w:eastAsia="宋体" w:cs="宋体"/>
          <w:bCs/>
          <w:sz w:val="22"/>
          <w:szCs w:val="22"/>
        </w:rPr>
        <w:t>(5)投标文件含有采购人不能接受的附加条件的；</w:t>
      </w:r>
    </w:p>
    <w:p w14:paraId="338A73B9">
      <w:pPr>
        <w:spacing w:line="440" w:lineRule="exact"/>
        <w:ind w:firstLine="480"/>
        <w:rPr>
          <w:rFonts w:ascii="宋体" w:hAnsi="宋体" w:eastAsia="宋体" w:cs="宋体"/>
          <w:bCs/>
          <w:sz w:val="22"/>
          <w:szCs w:val="22"/>
        </w:rPr>
      </w:pPr>
      <w:r>
        <w:rPr>
          <w:rFonts w:hint="eastAsia" w:ascii="宋体" w:hAnsi="宋体" w:eastAsia="宋体" w:cs="宋体"/>
          <w:bCs/>
          <w:sz w:val="22"/>
          <w:szCs w:val="22"/>
        </w:rPr>
        <w:t>(6)法律、法规和招标文件规定的其他无效情形。</w:t>
      </w:r>
    </w:p>
    <w:p w14:paraId="0A31CC45">
      <w:pPr>
        <w:spacing w:line="440" w:lineRule="exact"/>
        <w:ind w:firstLine="480"/>
        <w:rPr>
          <w:rFonts w:ascii="宋体" w:hAnsi="宋体" w:eastAsia="宋体" w:cs="宋体"/>
          <w:b/>
          <w:bCs/>
          <w:kern w:val="0"/>
          <w:sz w:val="22"/>
          <w:szCs w:val="22"/>
        </w:rPr>
      </w:pPr>
      <w:r>
        <w:rPr>
          <w:rFonts w:hint="eastAsia" w:ascii="宋体" w:hAnsi="宋体" w:eastAsia="宋体" w:cs="宋体"/>
          <w:b/>
          <w:bCs/>
          <w:sz w:val="22"/>
          <w:szCs w:val="22"/>
        </w:rPr>
        <w:t>27、电子化投标文件计算错误的修正</w:t>
      </w:r>
    </w:p>
    <w:p w14:paraId="297DBF70">
      <w:pPr>
        <w:spacing w:line="440" w:lineRule="exact"/>
        <w:ind w:firstLine="480"/>
        <w:rPr>
          <w:rFonts w:ascii="宋体" w:hAnsi="宋体" w:eastAsia="宋体" w:cs="宋体"/>
          <w:sz w:val="22"/>
          <w:szCs w:val="22"/>
        </w:rPr>
      </w:pPr>
      <w:r>
        <w:rPr>
          <w:rFonts w:hint="eastAsia" w:ascii="宋体" w:hAnsi="宋体" w:eastAsia="宋体" w:cs="宋体"/>
          <w:b/>
          <w:bCs/>
          <w:kern w:val="0"/>
          <w:sz w:val="22"/>
          <w:szCs w:val="22"/>
        </w:rPr>
        <w:t>27.1</w:t>
      </w:r>
      <w:r>
        <w:rPr>
          <w:rFonts w:hint="eastAsia" w:ascii="宋体" w:hAnsi="宋体" w:eastAsia="宋体" w:cs="宋体"/>
          <w:sz w:val="22"/>
          <w:szCs w:val="22"/>
        </w:rPr>
        <w:t>评标委员会将对确定为实质上响应招标文件要求的电子化投标文件进行校核，看其是否有计算或表达上的错误，修正错误的原则如下：</w:t>
      </w:r>
    </w:p>
    <w:p w14:paraId="59737291">
      <w:pPr>
        <w:spacing w:line="440" w:lineRule="exact"/>
        <w:ind w:firstLine="480"/>
        <w:rPr>
          <w:rFonts w:ascii="宋体" w:hAnsi="宋体" w:eastAsia="宋体" w:cs="宋体"/>
          <w:sz w:val="22"/>
          <w:szCs w:val="22"/>
        </w:rPr>
      </w:pPr>
      <w:r>
        <w:rPr>
          <w:rFonts w:hint="eastAsia" w:ascii="宋体" w:hAnsi="宋体" w:eastAsia="宋体" w:cs="宋体"/>
          <w:b/>
          <w:bCs/>
          <w:sz w:val="22"/>
          <w:szCs w:val="22"/>
        </w:rPr>
        <w:t>27.1.1</w:t>
      </w:r>
      <w:r>
        <w:rPr>
          <w:rFonts w:hint="eastAsia" w:ascii="宋体" w:hAnsi="宋体" w:eastAsia="宋体" w:cs="宋体"/>
          <w:sz w:val="22"/>
          <w:szCs w:val="22"/>
        </w:rPr>
        <w:t>电子化投标文件中的大写金额和小写金额不一致的，以大写金额为准；</w:t>
      </w:r>
    </w:p>
    <w:p w14:paraId="6ED1C66D">
      <w:pPr>
        <w:spacing w:line="440" w:lineRule="exact"/>
        <w:ind w:firstLine="480"/>
        <w:rPr>
          <w:rFonts w:ascii="宋体" w:hAnsi="宋体" w:eastAsia="宋体" w:cs="宋体"/>
          <w:sz w:val="22"/>
          <w:szCs w:val="22"/>
        </w:rPr>
      </w:pPr>
      <w:r>
        <w:rPr>
          <w:rFonts w:hint="eastAsia" w:ascii="宋体" w:hAnsi="宋体" w:eastAsia="宋体" w:cs="宋体"/>
          <w:b/>
          <w:bCs/>
          <w:sz w:val="22"/>
          <w:szCs w:val="22"/>
        </w:rPr>
        <w:t>27.1.2</w:t>
      </w:r>
      <w:r>
        <w:rPr>
          <w:rFonts w:hint="eastAsia" w:ascii="宋体" w:hAnsi="宋体" w:eastAsia="宋体" w:cs="宋体"/>
          <w:sz w:val="22"/>
          <w:szCs w:val="22"/>
        </w:rPr>
        <w:t>对不同文字文本电子化投标文件的解释发生异议的，以中文文本为准。</w:t>
      </w:r>
    </w:p>
    <w:p w14:paraId="1D5EA294">
      <w:pPr>
        <w:spacing w:line="440" w:lineRule="exact"/>
        <w:ind w:firstLine="480"/>
        <w:rPr>
          <w:rFonts w:ascii="宋体" w:hAnsi="宋体" w:eastAsia="宋体" w:cs="宋体"/>
          <w:sz w:val="22"/>
          <w:szCs w:val="22"/>
        </w:rPr>
      </w:pPr>
      <w:r>
        <w:rPr>
          <w:rFonts w:hint="eastAsia" w:ascii="宋体" w:hAnsi="宋体" w:eastAsia="宋体" w:cs="宋体"/>
          <w:b/>
          <w:bCs/>
          <w:sz w:val="22"/>
          <w:szCs w:val="22"/>
        </w:rPr>
        <w:t>27.2</w:t>
      </w:r>
      <w:r>
        <w:rPr>
          <w:rFonts w:hint="eastAsia" w:ascii="宋体" w:hAnsi="宋体" w:eastAsia="宋体" w:cs="宋体"/>
          <w:sz w:val="22"/>
          <w:szCs w:val="22"/>
        </w:rPr>
        <w:t>按上述修正错误的原则及方法调整或修正电子化投标文件的投标报价，供应商同意后，调整后的投标报价对供应商起约束作用。</w:t>
      </w:r>
    </w:p>
    <w:p w14:paraId="11F62250">
      <w:pPr>
        <w:spacing w:line="440" w:lineRule="exact"/>
        <w:ind w:firstLine="480"/>
        <w:rPr>
          <w:rFonts w:ascii="宋体" w:hAnsi="宋体" w:eastAsia="宋体" w:cs="宋体"/>
          <w:b/>
          <w:bCs/>
          <w:sz w:val="22"/>
          <w:szCs w:val="22"/>
        </w:rPr>
      </w:pPr>
      <w:r>
        <w:rPr>
          <w:rFonts w:hint="eastAsia" w:ascii="宋体" w:hAnsi="宋体" w:eastAsia="宋体" w:cs="宋体"/>
          <w:b/>
          <w:bCs/>
          <w:kern w:val="0"/>
          <w:sz w:val="22"/>
          <w:szCs w:val="22"/>
        </w:rPr>
        <w:t>28. 电子化</w:t>
      </w:r>
      <w:r>
        <w:rPr>
          <w:rFonts w:hint="eastAsia" w:ascii="宋体" w:hAnsi="宋体" w:eastAsia="宋体" w:cs="宋体"/>
          <w:b/>
          <w:bCs/>
          <w:sz w:val="22"/>
          <w:szCs w:val="22"/>
        </w:rPr>
        <w:t>投标文件的评审、比较和否决</w:t>
      </w:r>
    </w:p>
    <w:p w14:paraId="7A2EE8D9">
      <w:pPr>
        <w:spacing w:line="440" w:lineRule="exact"/>
        <w:ind w:firstLine="480"/>
        <w:rPr>
          <w:rFonts w:ascii="宋体" w:hAnsi="宋体" w:eastAsia="宋体" w:cs="宋体"/>
          <w:sz w:val="22"/>
          <w:szCs w:val="22"/>
        </w:rPr>
      </w:pPr>
      <w:r>
        <w:rPr>
          <w:rFonts w:hint="eastAsia" w:ascii="宋体" w:hAnsi="宋体" w:eastAsia="宋体" w:cs="宋体"/>
          <w:b/>
          <w:bCs/>
          <w:sz w:val="22"/>
          <w:szCs w:val="22"/>
        </w:rPr>
        <w:t>28.1</w:t>
      </w:r>
      <w:r>
        <w:rPr>
          <w:rFonts w:hint="eastAsia" w:ascii="宋体" w:hAnsi="宋体" w:eastAsia="宋体" w:cs="宋体"/>
          <w:sz w:val="22"/>
          <w:szCs w:val="22"/>
        </w:rPr>
        <w:t>评标委员会将按照招标文件的规定，仅对在实质上响应招标文件要求的电子化投标文件进行评估和比较。</w:t>
      </w:r>
    </w:p>
    <w:p w14:paraId="6F19BFA0">
      <w:pPr>
        <w:spacing w:line="440" w:lineRule="exact"/>
        <w:ind w:firstLine="480"/>
        <w:rPr>
          <w:rFonts w:ascii="宋体" w:hAnsi="宋体" w:eastAsia="宋体" w:cs="宋体"/>
          <w:sz w:val="22"/>
          <w:szCs w:val="22"/>
        </w:rPr>
      </w:pPr>
      <w:r>
        <w:rPr>
          <w:rFonts w:hint="eastAsia" w:ascii="宋体" w:hAnsi="宋体" w:eastAsia="宋体" w:cs="宋体"/>
          <w:b/>
          <w:bCs/>
          <w:sz w:val="22"/>
          <w:szCs w:val="22"/>
        </w:rPr>
        <w:t>28.2</w:t>
      </w:r>
      <w:r>
        <w:rPr>
          <w:rFonts w:hint="eastAsia" w:ascii="宋体" w:hAnsi="宋体" w:eastAsia="宋体" w:cs="宋体"/>
          <w:sz w:val="22"/>
          <w:szCs w:val="22"/>
        </w:rPr>
        <w:t>根据相关法律法规及有关招投标文件规定，结合本项目具体情况，制定本次招标评标办法。并按照“公平、公正、科学、择优”的原则进行评标。采用综合评分法进行评比。</w:t>
      </w:r>
    </w:p>
    <w:p w14:paraId="1112B2B9">
      <w:pPr>
        <w:spacing w:line="440" w:lineRule="exact"/>
        <w:ind w:firstLine="480"/>
        <w:rPr>
          <w:rFonts w:ascii="宋体" w:hAnsi="宋体" w:eastAsia="宋体" w:cs="宋体"/>
          <w:sz w:val="22"/>
          <w:szCs w:val="22"/>
        </w:rPr>
      </w:pPr>
      <w:r>
        <w:rPr>
          <w:rFonts w:hint="eastAsia" w:ascii="宋体" w:hAnsi="宋体" w:eastAsia="宋体" w:cs="宋体"/>
          <w:b/>
          <w:bCs/>
          <w:sz w:val="22"/>
          <w:szCs w:val="22"/>
        </w:rPr>
        <w:t>28.3</w:t>
      </w:r>
      <w:r>
        <w:rPr>
          <w:rFonts w:hint="eastAsia" w:ascii="宋体" w:hAnsi="宋体" w:eastAsia="宋体" w:cs="宋体"/>
          <w:sz w:val="22"/>
          <w:szCs w:val="22"/>
        </w:rPr>
        <w:t>在评审过程中，评标委员会可以以书面形式要求供应商就电子化投标文件中含义不明确的内容进行书面说明并提供相关材料。</w:t>
      </w:r>
    </w:p>
    <w:p w14:paraId="34A8E04B">
      <w:pPr>
        <w:spacing w:line="440" w:lineRule="exact"/>
        <w:ind w:firstLine="480"/>
        <w:rPr>
          <w:rFonts w:ascii="宋体" w:hAnsi="宋体" w:eastAsia="宋体" w:cs="宋体"/>
          <w:sz w:val="22"/>
          <w:szCs w:val="22"/>
        </w:rPr>
      </w:pPr>
      <w:r>
        <w:rPr>
          <w:rFonts w:hint="eastAsia" w:ascii="宋体" w:hAnsi="宋体" w:eastAsia="宋体" w:cs="宋体"/>
          <w:b/>
          <w:bCs/>
          <w:kern w:val="0"/>
          <w:sz w:val="22"/>
          <w:szCs w:val="22"/>
        </w:rPr>
        <w:t xml:space="preserve">28.4 </w:t>
      </w:r>
      <w:r>
        <w:rPr>
          <w:rFonts w:hint="eastAsia" w:ascii="宋体" w:hAnsi="宋体" w:eastAsia="宋体" w:cs="宋体"/>
          <w:kern w:val="0"/>
          <w:sz w:val="22"/>
          <w:szCs w:val="22"/>
        </w:rPr>
        <w:t>评标时，投标报价是评标的重要依据，但不是唯一依据，</w:t>
      </w:r>
      <w:r>
        <w:rPr>
          <w:rFonts w:hint="eastAsia" w:ascii="宋体" w:hAnsi="宋体" w:eastAsia="宋体" w:cs="宋体"/>
          <w:sz w:val="22"/>
          <w:szCs w:val="22"/>
        </w:rPr>
        <w:t>采购人不承诺将合同授予报价最低或最高的供应商。</w:t>
      </w:r>
    </w:p>
    <w:p w14:paraId="2FBA1CF6">
      <w:pPr>
        <w:spacing w:line="440" w:lineRule="exact"/>
        <w:ind w:firstLine="480"/>
        <w:rPr>
          <w:rFonts w:ascii="宋体" w:hAnsi="宋体" w:eastAsia="宋体" w:cs="宋体"/>
          <w:sz w:val="22"/>
          <w:szCs w:val="22"/>
        </w:rPr>
      </w:pPr>
      <w:r>
        <w:rPr>
          <w:rFonts w:hint="eastAsia" w:ascii="宋体" w:hAnsi="宋体" w:eastAsia="宋体" w:cs="宋体"/>
          <w:b/>
          <w:bCs/>
          <w:sz w:val="22"/>
          <w:szCs w:val="22"/>
        </w:rPr>
        <w:t>28.5</w:t>
      </w:r>
      <w:r>
        <w:rPr>
          <w:rFonts w:hint="eastAsia" w:ascii="宋体" w:hAnsi="宋体" w:eastAsia="宋体" w:cs="宋体"/>
          <w:sz w:val="22"/>
          <w:szCs w:val="22"/>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F133701">
      <w:pPr>
        <w:autoSpaceDE w:val="0"/>
        <w:autoSpaceDN w:val="0"/>
        <w:adjustRightInd w:val="0"/>
        <w:spacing w:line="440" w:lineRule="exact"/>
        <w:ind w:firstLine="420"/>
        <w:jc w:val="left"/>
        <w:outlineLvl w:val="0"/>
        <w:rPr>
          <w:rFonts w:ascii="宋体" w:hAnsi="宋体" w:eastAsia="宋体" w:cs="宋体"/>
          <w:sz w:val="22"/>
          <w:szCs w:val="22"/>
        </w:rPr>
      </w:pPr>
      <w:bookmarkStart w:id="13" w:name="_Toc24794"/>
      <w:r>
        <w:rPr>
          <w:rFonts w:hint="eastAsia" w:ascii="宋体" w:hAnsi="宋体" w:eastAsia="宋体" w:cs="宋体"/>
          <w:b/>
          <w:bCs/>
          <w:sz w:val="22"/>
          <w:szCs w:val="22"/>
        </w:rPr>
        <w:t xml:space="preserve">28.6 </w:t>
      </w:r>
      <w:r>
        <w:rPr>
          <w:rFonts w:hint="eastAsia" w:ascii="宋体" w:hAnsi="宋体" w:eastAsia="宋体" w:cs="宋体"/>
          <w:sz w:val="22"/>
          <w:szCs w:val="22"/>
        </w:rPr>
        <w:t>评标委员会依据本须知规定的评标标准和方法，对电子化投标文件进行评审和比较，向采购人提供书面评标报告，并由采购人确定中标供应商。</w:t>
      </w:r>
      <w:bookmarkEnd w:id="13"/>
    </w:p>
    <w:p w14:paraId="56AF1351">
      <w:pPr>
        <w:adjustRightInd w:val="0"/>
        <w:snapToGrid w:val="0"/>
        <w:spacing w:line="440" w:lineRule="exact"/>
        <w:ind w:firstLine="442" w:firstLineChars="200"/>
        <w:jc w:val="left"/>
        <w:rPr>
          <w:rFonts w:ascii="宋体" w:hAnsi="宋体" w:eastAsia="宋体" w:cs="宋体"/>
          <w:sz w:val="22"/>
          <w:szCs w:val="22"/>
        </w:rPr>
      </w:pPr>
      <w:r>
        <w:rPr>
          <w:rFonts w:hint="eastAsia" w:ascii="宋体" w:hAnsi="宋体" w:eastAsia="宋体" w:cs="宋体"/>
          <w:b/>
          <w:bCs/>
          <w:kern w:val="0"/>
          <w:sz w:val="22"/>
          <w:szCs w:val="22"/>
        </w:rPr>
        <w:t>28.7</w:t>
      </w:r>
      <w:r>
        <w:rPr>
          <w:rFonts w:hint="eastAsia" w:ascii="宋体" w:hAnsi="宋体" w:eastAsia="宋体" w:cs="宋体"/>
          <w:kern w:val="0"/>
          <w:sz w:val="22"/>
          <w:szCs w:val="22"/>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采购人</w:t>
      </w:r>
      <w:r>
        <w:rPr>
          <w:rFonts w:hint="eastAsia" w:ascii="宋体" w:hAnsi="宋体" w:eastAsia="宋体" w:cs="宋体"/>
          <w:sz w:val="22"/>
          <w:szCs w:val="22"/>
        </w:rPr>
        <w:t>确定中标供应商。</w:t>
      </w:r>
    </w:p>
    <w:p w14:paraId="3DF1A528">
      <w:pPr>
        <w:autoSpaceDE w:val="0"/>
        <w:autoSpaceDN w:val="0"/>
        <w:adjustRightInd w:val="0"/>
        <w:spacing w:line="440" w:lineRule="exact"/>
        <w:ind w:firstLine="420"/>
        <w:jc w:val="center"/>
        <w:outlineLvl w:val="0"/>
        <w:rPr>
          <w:rFonts w:ascii="宋体" w:hAnsi="宋体" w:eastAsia="宋体" w:cs="宋体"/>
          <w:b/>
          <w:bCs/>
          <w:kern w:val="0"/>
          <w:sz w:val="36"/>
          <w:szCs w:val="36"/>
        </w:rPr>
      </w:pPr>
      <w:bookmarkStart w:id="14" w:name="_Toc24063"/>
      <w:r>
        <w:rPr>
          <w:rFonts w:hint="eastAsia" w:ascii="宋体" w:hAnsi="宋体" w:eastAsia="宋体" w:cs="宋体"/>
          <w:b/>
          <w:bCs/>
          <w:kern w:val="0"/>
          <w:sz w:val="36"/>
          <w:szCs w:val="36"/>
        </w:rPr>
        <w:t>七、授予合同</w:t>
      </w:r>
      <w:bookmarkEnd w:id="14"/>
    </w:p>
    <w:p w14:paraId="1D52C136">
      <w:pPr>
        <w:autoSpaceDE w:val="0"/>
        <w:autoSpaceDN w:val="0"/>
        <w:adjustRightInd w:val="0"/>
        <w:spacing w:line="440" w:lineRule="exact"/>
        <w:ind w:firstLine="420"/>
        <w:jc w:val="left"/>
        <w:outlineLvl w:val="0"/>
        <w:rPr>
          <w:rFonts w:ascii="宋体" w:hAnsi="宋体" w:eastAsia="宋体" w:cs="宋体"/>
          <w:b/>
          <w:bCs/>
          <w:kern w:val="0"/>
          <w:sz w:val="22"/>
          <w:szCs w:val="22"/>
        </w:rPr>
      </w:pPr>
      <w:bookmarkStart w:id="15" w:name="_Toc29796"/>
      <w:r>
        <w:rPr>
          <w:rFonts w:hint="eastAsia" w:ascii="宋体" w:hAnsi="宋体" w:eastAsia="宋体" w:cs="宋体"/>
          <w:b/>
          <w:bCs/>
          <w:kern w:val="0"/>
          <w:sz w:val="22"/>
          <w:szCs w:val="22"/>
        </w:rPr>
        <w:t>29、合同授予标准</w:t>
      </w:r>
      <w:bookmarkEnd w:id="15"/>
    </w:p>
    <w:p w14:paraId="061B6FDB">
      <w:pPr>
        <w:autoSpaceDE w:val="0"/>
        <w:autoSpaceDN w:val="0"/>
        <w:adjustRightInd w:val="0"/>
        <w:spacing w:line="440" w:lineRule="exact"/>
        <w:ind w:firstLine="420"/>
        <w:jc w:val="left"/>
        <w:outlineLvl w:val="0"/>
        <w:rPr>
          <w:rFonts w:ascii="宋体" w:hAnsi="宋体" w:eastAsia="宋体" w:cs="宋体"/>
          <w:sz w:val="22"/>
          <w:szCs w:val="22"/>
        </w:rPr>
      </w:pPr>
      <w:bookmarkStart w:id="16" w:name="_Toc11753"/>
      <w:r>
        <w:rPr>
          <w:rFonts w:hint="eastAsia" w:ascii="宋体" w:hAnsi="宋体" w:eastAsia="宋体" w:cs="宋体"/>
          <w:b/>
          <w:bCs/>
          <w:kern w:val="0"/>
          <w:sz w:val="22"/>
          <w:szCs w:val="22"/>
        </w:rPr>
        <w:t xml:space="preserve">29.1 </w:t>
      </w:r>
      <w:r>
        <w:rPr>
          <w:rFonts w:hint="eastAsia" w:ascii="宋体" w:hAnsi="宋体" w:eastAsia="宋体" w:cs="宋体"/>
          <w:sz w:val="22"/>
          <w:szCs w:val="22"/>
        </w:rPr>
        <w:t>本招标项目的合同将授予按本评标办法确定的中标供应商。</w:t>
      </w:r>
      <w:bookmarkEnd w:id="16"/>
    </w:p>
    <w:p w14:paraId="261AD2AD">
      <w:pPr>
        <w:autoSpaceDE w:val="0"/>
        <w:autoSpaceDN w:val="0"/>
        <w:adjustRightInd w:val="0"/>
        <w:spacing w:line="440" w:lineRule="exact"/>
        <w:ind w:firstLine="420"/>
        <w:jc w:val="left"/>
        <w:outlineLvl w:val="0"/>
        <w:rPr>
          <w:rFonts w:ascii="宋体" w:hAnsi="宋体" w:eastAsia="宋体" w:cs="宋体"/>
          <w:sz w:val="22"/>
          <w:szCs w:val="22"/>
        </w:rPr>
      </w:pPr>
      <w:bookmarkStart w:id="17" w:name="_Toc22699"/>
      <w:r>
        <w:rPr>
          <w:rFonts w:hint="eastAsia" w:ascii="宋体" w:hAnsi="宋体" w:eastAsia="宋体" w:cs="宋体"/>
          <w:b/>
          <w:bCs/>
          <w:sz w:val="22"/>
          <w:szCs w:val="22"/>
        </w:rPr>
        <w:t xml:space="preserve">29.2 </w:t>
      </w:r>
      <w:r>
        <w:rPr>
          <w:rFonts w:hint="eastAsia" w:ascii="宋体" w:hAnsi="宋体" w:eastAsia="宋体" w:cs="宋体"/>
          <w:sz w:val="22"/>
          <w:szCs w:val="22"/>
        </w:rPr>
        <w:t>评标委员会提供书面评标报告，由采购人确定中标供应商。当确定中标供应商放弃中标或因不可抗力提出不能履行合同的，采购人可以按照评审报告推荐的中标候选供应商名单，确定下一中标候选供应商为中标供应商，也可以重新开展采购活动。</w:t>
      </w:r>
      <w:bookmarkEnd w:id="17"/>
    </w:p>
    <w:p w14:paraId="436CDD64">
      <w:pPr>
        <w:autoSpaceDE w:val="0"/>
        <w:autoSpaceDN w:val="0"/>
        <w:adjustRightInd w:val="0"/>
        <w:spacing w:line="440" w:lineRule="exact"/>
        <w:ind w:firstLine="420"/>
        <w:jc w:val="left"/>
        <w:outlineLvl w:val="0"/>
        <w:rPr>
          <w:rFonts w:ascii="宋体" w:hAnsi="宋体" w:eastAsia="宋体" w:cs="宋体"/>
          <w:b/>
          <w:bCs/>
          <w:sz w:val="22"/>
          <w:szCs w:val="22"/>
        </w:rPr>
      </w:pPr>
      <w:bookmarkStart w:id="18" w:name="_Toc10783"/>
      <w:r>
        <w:rPr>
          <w:rFonts w:hint="eastAsia" w:ascii="宋体" w:hAnsi="宋体" w:eastAsia="宋体" w:cs="宋体"/>
          <w:b/>
          <w:bCs/>
          <w:sz w:val="22"/>
          <w:szCs w:val="22"/>
        </w:rPr>
        <w:t>30、授予合同时变更数量的权利</w:t>
      </w:r>
      <w:bookmarkEnd w:id="18"/>
    </w:p>
    <w:p w14:paraId="15053258">
      <w:pPr>
        <w:autoSpaceDE w:val="0"/>
        <w:autoSpaceDN w:val="0"/>
        <w:adjustRightInd w:val="0"/>
        <w:spacing w:line="440" w:lineRule="exact"/>
        <w:ind w:firstLine="420"/>
        <w:jc w:val="left"/>
        <w:outlineLvl w:val="0"/>
        <w:rPr>
          <w:rFonts w:ascii="宋体" w:hAnsi="宋体" w:eastAsia="宋体" w:cs="宋体"/>
          <w:sz w:val="22"/>
          <w:szCs w:val="22"/>
        </w:rPr>
      </w:pPr>
      <w:bookmarkStart w:id="19" w:name="_Toc31110"/>
      <w:r>
        <w:rPr>
          <w:rFonts w:hint="eastAsia" w:ascii="宋体" w:hAnsi="宋体" w:eastAsia="宋体" w:cs="宋体"/>
          <w:b/>
          <w:bCs/>
          <w:sz w:val="22"/>
          <w:szCs w:val="22"/>
        </w:rPr>
        <w:t>30.1</w:t>
      </w:r>
      <w:r>
        <w:rPr>
          <w:rFonts w:hint="eastAsia" w:ascii="宋体" w:hAnsi="宋体" w:eastAsia="宋体" w:cs="宋体"/>
          <w:sz w:val="22"/>
          <w:szCs w:val="22"/>
        </w:rPr>
        <w:t>采购人在授予合同时，保留对货物数量予以适当增减的权利。供应商不得在此情况下对投标文件作出修改，如价格、交货期等。</w:t>
      </w:r>
      <w:bookmarkEnd w:id="19"/>
    </w:p>
    <w:p w14:paraId="37BA6767">
      <w:pPr>
        <w:autoSpaceDE w:val="0"/>
        <w:autoSpaceDN w:val="0"/>
        <w:adjustRightInd w:val="0"/>
        <w:spacing w:line="440" w:lineRule="exact"/>
        <w:ind w:firstLine="420"/>
        <w:jc w:val="left"/>
        <w:outlineLvl w:val="0"/>
        <w:rPr>
          <w:rFonts w:ascii="宋体" w:hAnsi="宋体" w:eastAsia="宋体" w:cs="宋体"/>
          <w:b/>
          <w:bCs/>
          <w:sz w:val="22"/>
          <w:szCs w:val="22"/>
        </w:rPr>
      </w:pPr>
      <w:bookmarkStart w:id="20" w:name="_Toc21814"/>
      <w:r>
        <w:rPr>
          <w:rFonts w:hint="eastAsia" w:ascii="宋体" w:hAnsi="宋体" w:eastAsia="宋体" w:cs="宋体"/>
          <w:b/>
          <w:bCs/>
          <w:sz w:val="22"/>
          <w:szCs w:val="22"/>
        </w:rPr>
        <w:t>31、采购人拒绝投标的权利</w:t>
      </w:r>
      <w:bookmarkEnd w:id="20"/>
    </w:p>
    <w:p w14:paraId="217BEC70">
      <w:pPr>
        <w:autoSpaceDE w:val="0"/>
        <w:autoSpaceDN w:val="0"/>
        <w:adjustRightInd w:val="0"/>
        <w:spacing w:line="440" w:lineRule="exact"/>
        <w:ind w:firstLine="420"/>
        <w:jc w:val="left"/>
        <w:outlineLvl w:val="0"/>
        <w:rPr>
          <w:rFonts w:ascii="宋体" w:hAnsi="宋体" w:eastAsia="宋体" w:cs="宋体"/>
          <w:kern w:val="0"/>
          <w:sz w:val="22"/>
          <w:szCs w:val="22"/>
        </w:rPr>
      </w:pPr>
      <w:bookmarkStart w:id="21" w:name="_Toc25830"/>
      <w:r>
        <w:rPr>
          <w:rFonts w:hint="eastAsia" w:ascii="宋体" w:hAnsi="宋体" w:eastAsia="宋体" w:cs="宋体"/>
          <w:b/>
          <w:bCs/>
          <w:sz w:val="22"/>
          <w:szCs w:val="22"/>
        </w:rPr>
        <w:t>31.1</w:t>
      </w:r>
      <w:r>
        <w:rPr>
          <w:rFonts w:hint="eastAsia" w:ascii="宋体" w:hAnsi="宋体" w:eastAsia="宋体" w:cs="宋体"/>
          <w:sz w:val="22"/>
          <w:szCs w:val="22"/>
        </w:rPr>
        <w:t xml:space="preserve"> 采购人不承诺将合同授予报价最低的或最高的中标候选供应商。</w:t>
      </w:r>
      <w:bookmarkEnd w:id="21"/>
    </w:p>
    <w:p w14:paraId="690C6413">
      <w:pPr>
        <w:autoSpaceDE w:val="0"/>
        <w:autoSpaceDN w:val="0"/>
        <w:adjustRightInd w:val="0"/>
        <w:spacing w:line="440" w:lineRule="exact"/>
        <w:ind w:firstLine="389" w:firstLineChars="176"/>
        <w:jc w:val="left"/>
        <w:rPr>
          <w:rFonts w:ascii="宋体" w:hAnsi="宋体" w:eastAsia="宋体" w:cs="宋体"/>
          <w:b/>
          <w:bCs/>
          <w:kern w:val="0"/>
          <w:sz w:val="22"/>
          <w:szCs w:val="22"/>
        </w:rPr>
      </w:pPr>
      <w:r>
        <w:rPr>
          <w:rFonts w:hint="eastAsia" w:ascii="宋体" w:hAnsi="宋体" w:eastAsia="宋体" w:cs="宋体"/>
          <w:b/>
          <w:bCs/>
          <w:kern w:val="0"/>
          <w:sz w:val="22"/>
          <w:szCs w:val="22"/>
        </w:rPr>
        <w:t>32、</w:t>
      </w:r>
      <w:r>
        <w:rPr>
          <w:rFonts w:hint="eastAsia" w:ascii="宋体" w:hAnsi="宋体" w:eastAsia="宋体" w:cs="宋体"/>
          <w:b/>
          <w:bCs/>
          <w:sz w:val="22"/>
          <w:szCs w:val="22"/>
        </w:rPr>
        <w:t>中标</w:t>
      </w:r>
      <w:r>
        <w:rPr>
          <w:rFonts w:hint="eastAsia" w:ascii="宋体" w:hAnsi="宋体" w:eastAsia="宋体" w:cs="宋体"/>
          <w:b/>
          <w:bCs/>
          <w:kern w:val="0"/>
          <w:sz w:val="22"/>
          <w:szCs w:val="22"/>
        </w:rPr>
        <w:t>通知及定标</w:t>
      </w:r>
    </w:p>
    <w:p w14:paraId="1D384EEA">
      <w:pPr>
        <w:spacing w:line="360" w:lineRule="auto"/>
        <w:ind w:firstLine="442" w:firstLineChars="200"/>
        <w:jc w:val="left"/>
        <w:rPr>
          <w:rFonts w:ascii="宋体" w:hAnsi="宋体" w:eastAsia="宋体" w:cs="宋体"/>
          <w:spacing w:val="-4"/>
          <w:sz w:val="22"/>
          <w:szCs w:val="22"/>
        </w:rPr>
      </w:pPr>
      <w:r>
        <w:rPr>
          <w:rFonts w:hint="eastAsia" w:ascii="宋体" w:hAnsi="宋体" w:eastAsia="宋体" w:cs="宋体"/>
          <w:b/>
          <w:bCs/>
          <w:kern w:val="0"/>
          <w:sz w:val="22"/>
          <w:szCs w:val="22"/>
        </w:rPr>
        <w:t>32.1</w:t>
      </w:r>
      <w:r>
        <w:rPr>
          <w:rFonts w:hint="eastAsia" w:ascii="宋体" w:hAnsi="宋体" w:eastAsia="宋体" w:cs="宋体"/>
          <w:spacing w:val="-4"/>
          <w:sz w:val="22"/>
          <w:szCs w:val="22"/>
        </w:rPr>
        <w:t>评标结束后，采购人和其委托的采购代理机构，在政府采购项目评审结束当天完成评标报告的报送、中标供应商的确定、中标公告的发布、中标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700F95B1">
      <w:pPr>
        <w:autoSpaceDE w:val="0"/>
        <w:autoSpaceDN w:val="0"/>
        <w:adjustRightInd w:val="0"/>
        <w:spacing w:line="440" w:lineRule="exact"/>
        <w:ind w:firstLine="389" w:firstLineChars="176"/>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 xml:space="preserve">32.2 </w:t>
      </w:r>
      <w:r>
        <w:rPr>
          <w:rFonts w:hint="eastAsia" w:ascii="宋体" w:hAnsi="宋体" w:eastAsia="宋体" w:cs="宋体"/>
          <w:b w:val="0"/>
          <w:bCs w:val="0"/>
          <w:kern w:val="0"/>
          <w:sz w:val="22"/>
          <w:szCs w:val="22"/>
        </w:rPr>
        <w:t>中标通知书是合同的组成部</w:t>
      </w:r>
      <w:r>
        <w:rPr>
          <w:rFonts w:hint="eastAsia" w:ascii="宋体" w:hAnsi="宋体" w:eastAsia="宋体" w:cs="宋体"/>
          <w:spacing w:val="-4"/>
          <w:sz w:val="22"/>
          <w:szCs w:val="22"/>
        </w:rPr>
        <w:t>分。</w:t>
      </w:r>
    </w:p>
    <w:p w14:paraId="2DBC0543">
      <w:pPr>
        <w:autoSpaceDE w:val="0"/>
        <w:autoSpaceDN w:val="0"/>
        <w:adjustRightInd w:val="0"/>
        <w:spacing w:line="440" w:lineRule="exact"/>
        <w:ind w:firstLine="389" w:firstLineChars="176"/>
        <w:jc w:val="left"/>
        <w:rPr>
          <w:rFonts w:hint="eastAsia" w:ascii="宋体" w:hAnsi="宋体" w:eastAsia="宋体" w:cs="宋体"/>
          <w:b/>
          <w:bCs/>
          <w:kern w:val="0"/>
          <w:sz w:val="22"/>
          <w:szCs w:val="22"/>
          <w:lang w:val="zh-CN" w:eastAsia="zh-CN"/>
        </w:rPr>
      </w:pPr>
      <w:r>
        <w:rPr>
          <w:rFonts w:hint="eastAsia" w:ascii="宋体" w:hAnsi="宋体" w:eastAsia="宋体" w:cs="宋体"/>
          <w:b/>
          <w:bCs/>
          <w:kern w:val="0"/>
          <w:sz w:val="22"/>
          <w:szCs w:val="22"/>
        </w:rPr>
        <w:t xml:space="preserve">32.3 </w:t>
      </w:r>
      <w:r>
        <w:rPr>
          <w:rFonts w:hint="eastAsia" w:ascii="宋体" w:hAnsi="宋体" w:eastAsia="宋体" w:cs="宋体"/>
          <w:b w:val="0"/>
          <w:bCs w:val="0"/>
          <w:kern w:val="0"/>
          <w:sz w:val="22"/>
          <w:szCs w:val="22"/>
        </w:rPr>
        <w:t>对未中标的供应商，不做任何未中标原因的解释。所有电子化投标文件不予退还。</w:t>
      </w:r>
    </w:p>
    <w:p w14:paraId="7E48CCE1">
      <w:pPr>
        <w:autoSpaceDE w:val="0"/>
        <w:autoSpaceDN w:val="0"/>
        <w:adjustRightInd w:val="0"/>
        <w:spacing w:line="440" w:lineRule="exact"/>
        <w:ind w:firstLine="389" w:firstLineChars="176"/>
        <w:jc w:val="left"/>
        <w:rPr>
          <w:rFonts w:hint="eastAsia" w:ascii="宋体" w:hAnsi="宋体" w:eastAsia="宋体" w:cs="宋体"/>
          <w:b/>
          <w:bCs/>
          <w:kern w:val="0"/>
          <w:sz w:val="22"/>
          <w:szCs w:val="22"/>
        </w:rPr>
      </w:pPr>
      <w:r>
        <w:rPr>
          <w:rFonts w:hint="eastAsia" w:ascii="宋体" w:hAnsi="宋体" w:eastAsia="宋体" w:cs="宋体"/>
          <w:b/>
          <w:bCs/>
          <w:kern w:val="0"/>
          <w:sz w:val="22"/>
          <w:szCs w:val="22"/>
          <w:lang w:val="en-US" w:eastAsia="zh-CN"/>
        </w:rPr>
        <w:t xml:space="preserve">32.4 </w:t>
      </w:r>
      <w:r>
        <w:rPr>
          <w:rFonts w:hint="eastAsia" w:ascii="宋体" w:hAnsi="宋体" w:eastAsia="宋体" w:cs="宋体"/>
          <w:b w:val="0"/>
          <w:bCs w:val="0"/>
          <w:kern w:val="0"/>
          <w:sz w:val="22"/>
          <w:szCs w:val="22"/>
          <w:lang w:val="zh-CN" w:eastAsia="zh-CN"/>
        </w:rPr>
        <w:t>成交供应商需向采购代理机构支付代理服务费。</w:t>
      </w:r>
    </w:p>
    <w:p w14:paraId="55A76239">
      <w:pPr>
        <w:autoSpaceDE w:val="0"/>
        <w:autoSpaceDN w:val="0"/>
        <w:adjustRightInd w:val="0"/>
        <w:spacing w:line="440" w:lineRule="exact"/>
        <w:ind w:firstLine="389" w:firstLineChars="176"/>
        <w:jc w:val="left"/>
        <w:rPr>
          <w:rFonts w:ascii="宋体" w:hAnsi="宋体" w:eastAsia="宋体" w:cs="宋体"/>
          <w:b/>
          <w:bCs/>
          <w:kern w:val="0"/>
          <w:sz w:val="22"/>
          <w:szCs w:val="22"/>
        </w:rPr>
      </w:pPr>
      <w:r>
        <w:rPr>
          <w:rFonts w:hint="eastAsia" w:ascii="宋体" w:hAnsi="宋体" w:eastAsia="宋体" w:cs="宋体"/>
          <w:b/>
          <w:bCs/>
          <w:kern w:val="0"/>
          <w:sz w:val="22"/>
          <w:szCs w:val="22"/>
        </w:rPr>
        <w:t>33、</w:t>
      </w:r>
      <w:r>
        <w:rPr>
          <w:rFonts w:hint="eastAsia" w:ascii="宋体" w:hAnsi="宋体" w:eastAsia="宋体" w:cs="宋体"/>
          <w:b/>
          <w:kern w:val="0"/>
          <w:sz w:val="22"/>
          <w:szCs w:val="22"/>
        </w:rPr>
        <w:t>合同</w:t>
      </w:r>
      <w:r>
        <w:rPr>
          <w:rFonts w:hint="eastAsia" w:ascii="宋体" w:hAnsi="宋体" w:eastAsia="宋体" w:cs="宋体"/>
          <w:b/>
          <w:bCs/>
          <w:kern w:val="0"/>
          <w:sz w:val="22"/>
          <w:szCs w:val="22"/>
        </w:rPr>
        <w:t>协议书的签署</w:t>
      </w:r>
    </w:p>
    <w:p w14:paraId="1D83F46E">
      <w:pPr>
        <w:spacing w:line="360" w:lineRule="auto"/>
        <w:ind w:firstLine="442" w:firstLineChars="200"/>
        <w:rPr>
          <w:rFonts w:hint="eastAsia" w:ascii="宋体" w:hAnsi="宋体" w:eastAsia="宋体" w:cs="Times New Roman"/>
          <w:bCs/>
          <w:sz w:val="22"/>
          <w:szCs w:val="22"/>
          <w:lang w:eastAsia="zh-CN"/>
        </w:rPr>
      </w:pPr>
      <w:r>
        <w:rPr>
          <w:rFonts w:hint="eastAsia" w:ascii="宋体" w:hAnsi="宋体" w:eastAsia="宋体" w:cs="宋体"/>
          <w:b/>
          <w:bCs/>
          <w:kern w:val="0"/>
          <w:sz w:val="22"/>
          <w:szCs w:val="22"/>
        </w:rPr>
        <w:t>33.1</w:t>
      </w:r>
      <w:r>
        <w:rPr>
          <w:rFonts w:hint="eastAsia" w:ascii="宋体" w:hAnsi="宋体" w:eastAsia="宋体" w:cs="Times New Roman"/>
          <w:bCs/>
          <w:sz w:val="22"/>
          <w:szCs w:val="22"/>
        </w:rPr>
        <w:t>采购人与中标供应商将于中标通知书发出之日起</w:t>
      </w:r>
      <w:r>
        <w:rPr>
          <w:rFonts w:hint="eastAsia" w:ascii="宋体" w:hAnsi="宋体" w:cs="Times New Roman"/>
          <w:bCs/>
          <w:sz w:val="22"/>
          <w:szCs w:val="22"/>
        </w:rPr>
        <w:t>1</w:t>
      </w:r>
      <w:r>
        <w:rPr>
          <w:rFonts w:hint="eastAsia" w:ascii="宋体" w:hAnsi="宋体" w:eastAsia="宋体" w:cs="Times New Roman"/>
          <w:bCs/>
          <w:sz w:val="22"/>
          <w:szCs w:val="22"/>
        </w:rPr>
        <w:t>个工作日内，按照招标文件及中标供应商的电子化投标文件订立书面承包合同，采购人和中标供应商不得再行订立背离合同实质性内容的其他协议。采购人应在采购合同签订之日起</w:t>
      </w:r>
      <w:r>
        <w:rPr>
          <w:rFonts w:hint="eastAsia" w:ascii="宋体" w:hAnsi="宋体" w:cs="Times New Roman"/>
          <w:bCs/>
          <w:sz w:val="22"/>
          <w:szCs w:val="22"/>
        </w:rPr>
        <w:t>2</w:t>
      </w:r>
      <w:r>
        <w:rPr>
          <w:rFonts w:hint="eastAsia" w:ascii="宋体" w:hAnsi="宋体" w:eastAsia="宋体" w:cs="Times New Roman"/>
          <w:bCs/>
          <w:sz w:val="22"/>
          <w:szCs w:val="22"/>
        </w:rPr>
        <w:t>个工作日内将政府采购合同在河南省政府采购网发布公告信息及将采购合同报同级财政部门备案</w:t>
      </w:r>
      <w:r>
        <w:rPr>
          <w:rFonts w:hint="eastAsia" w:ascii="宋体" w:hAnsi="宋体" w:eastAsia="宋体" w:cs="Times New Roman"/>
          <w:bCs/>
          <w:sz w:val="22"/>
          <w:szCs w:val="22"/>
          <w:lang w:eastAsia="zh-CN"/>
        </w:rPr>
        <w:t>。</w:t>
      </w:r>
    </w:p>
    <w:p w14:paraId="2017651F">
      <w:pPr>
        <w:autoSpaceDE w:val="0"/>
        <w:autoSpaceDN w:val="0"/>
        <w:adjustRightInd w:val="0"/>
        <w:spacing w:line="440" w:lineRule="exact"/>
        <w:ind w:firstLine="387" w:firstLineChars="176"/>
        <w:jc w:val="left"/>
        <w:rPr>
          <w:rFonts w:ascii="宋体" w:hAnsi="宋体" w:eastAsia="宋体" w:cs="宋体"/>
          <w:kern w:val="0"/>
          <w:sz w:val="24"/>
          <w:szCs w:val="24"/>
        </w:rPr>
      </w:pPr>
      <w:r>
        <w:rPr>
          <w:rFonts w:hint="eastAsia" w:ascii="宋体" w:hAnsi="宋体" w:eastAsia="宋体" w:cs="宋体"/>
          <w:bCs/>
          <w:kern w:val="0"/>
          <w:sz w:val="22"/>
          <w:szCs w:val="22"/>
        </w:rPr>
        <w:t>33.2 中标供应商如不按本投标须知的规定与采购人订立合同，则采购人将废</w:t>
      </w:r>
      <w:r>
        <w:rPr>
          <w:rFonts w:hint="eastAsia" w:ascii="宋体" w:hAnsi="宋体" w:eastAsia="宋体" w:cs="宋体"/>
          <w:kern w:val="0"/>
          <w:sz w:val="22"/>
          <w:szCs w:val="22"/>
        </w:rPr>
        <w:t>除授标，给采购人造成损失的，应当予以赔偿，同时依法承担相应法律责任。</w:t>
      </w:r>
      <w:r>
        <w:rPr>
          <w:rFonts w:hint="eastAsia" w:ascii="宋体" w:hAnsi="宋体" w:eastAsia="宋体" w:cs="宋体"/>
          <w:b/>
          <w:bCs/>
          <w:kern w:val="0"/>
          <w:sz w:val="32"/>
          <w:szCs w:val="32"/>
        </w:rPr>
        <w:t xml:space="preserve">   </w:t>
      </w:r>
      <w:r>
        <w:rPr>
          <w:rFonts w:hint="eastAsia" w:ascii="宋体" w:hAnsi="宋体" w:eastAsia="宋体" w:cs="宋体"/>
          <w:b/>
          <w:bCs/>
          <w:kern w:val="0"/>
          <w:sz w:val="36"/>
          <w:szCs w:val="36"/>
        </w:rPr>
        <w:t xml:space="preserve">                </w:t>
      </w:r>
    </w:p>
    <w:p w14:paraId="401E9299">
      <w:pPr>
        <w:spacing w:line="440" w:lineRule="exact"/>
        <w:rPr>
          <w:rFonts w:ascii="宋体" w:hAnsi="宋体" w:eastAsia="宋体" w:cs="宋体"/>
          <w:b/>
          <w:bCs/>
          <w:kern w:val="0"/>
          <w:sz w:val="36"/>
          <w:szCs w:val="36"/>
        </w:rPr>
      </w:pPr>
    </w:p>
    <w:p w14:paraId="1128308B">
      <w:pPr>
        <w:autoSpaceDE w:val="0"/>
        <w:autoSpaceDN w:val="0"/>
        <w:adjustRightInd w:val="0"/>
        <w:spacing w:line="440" w:lineRule="exact"/>
        <w:ind w:firstLine="420"/>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八. 重新招标</w:t>
      </w:r>
    </w:p>
    <w:p w14:paraId="5EA7CF14">
      <w:pPr>
        <w:autoSpaceDE w:val="0"/>
        <w:autoSpaceDN w:val="0"/>
        <w:adjustRightInd w:val="0"/>
        <w:spacing w:before="32" w:line="400" w:lineRule="exact"/>
        <w:ind w:right="-58" w:firstLine="318" w:firstLineChars="150"/>
        <w:rPr>
          <w:rFonts w:ascii="宋体" w:hAnsi="宋体" w:eastAsia="宋体" w:cs="宋体"/>
          <w:spacing w:val="-4"/>
          <w:kern w:val="0"/>
          <w:sz w:val="22"/>
          <w:szCs w:val="22"/>
        </w:rPr>
      </w:pPr>
      <w:r>
        <w:rPr>
          <w:rFonts w:hint="eastAsia" w:ascii="宋体" w:hAnsi="宋体" w:eastAsia="宋体" w:cs="宋体"/>
          <w:spacing w:val="-4"/>
          <w:kern w:val="0"/>
          <w:sz w:val="22"/>
          <w:szCs w:val="22"/>
        </w:rPr>
        <w:t>出现下列情形之一的，将终止政府采购活动，发布项目终止公告并说明原因，重新开展采购活动：</w:t>
      </w:r>
    </w:p>
    <w:p w14:paraId="6EDD303B">
      <w:pPr>
        <w:autoSpaceDE w:val="0"/>
        <w:autoSpaceDN w:val="0"/>
        <w:adjustRightInd w:val="0"/>
        <w:spacing w:before="32" w:line="400" w:lineRule="exact"/>
        <w:ind w:right="-58"/>
        <w:rPr>
          <w:rFonts w:ascii="宋体" w:hAnsi="宋体" w:eastAsia="宋体" w:cs="宋体"/>
          <w:spacing w:val="-4"/>
          <w:kern w:val="0"/>
          <w:sz w:val="22"/>
          <w:szCs w:val="22"/>
        </w:rPr>
      </w:pPr>
      <w:r>
        <w:rPr>
          <w:rFonts w:hint="eastAsia" w:ascii="宋体" w:hAnsi="宋体" w:eastAsia="宋体" w:cs="宋体"/>
          <w:spacing w:val="-4"/>
          <w:kern w:val="0"/>
          <w:sz w:val="22"/>
          <w:szCs w:val="22"/>
        </w:rPr>
        <w:t>34.1、不符合法律、法规和招标文件中规定的其他实质性要求的；</w:t>
      </w:r>
    </w:p>
    <w:p w14:paraId="1ADAD183">
      <w:pPr>
        <w:autoSpaceDE w:val="0"/>
        <w:autoSpaceDN w:val="0"/>
        <w:adjustRightInd w:val="0"/>
        <w:spacing w:before="32" w:line="400" w:lineRule="exact"/>
        <w:ind w:right="-58"/>
        <w:rPr>
          <w:rFonts w:ascii="宋体" w:hAnsi="宋体" w:eastAsia="宋体" w:cs="宋体"/>
          <w:spacing w:val="-4"/>
          <w:kern w:val="0"/>
          <w:sz w:val="22"/>
          <w:szCs w:val="22"/>
        </w:rPr>
      </w:pPr>
      <w:r>
        <w:rPr>
          <w:rFonts w:hint="eastAsia" w:ascii="宋体" w:hAnsi="宋体" w:eastAsia="宋体" w:cs="宋体"/>
          <w:spacing w:val="-4"/>
          <w:kern w:val="0"/>
          <w:sz w:val="22"/>
          <w:szCs w:val="22"/>
        </w:rPr>
        <w:t>34.2、其他法律、法规及本招标文件规定的属响应无效的情形。终止采购活动的条款；</w:t>
      </w:r>
    </w:p>
    <w:p w14:paraId="3823A95D">
      <w:pPr>
        <w:autoSpaceDE w:val="0"/>
        <w:autoSpaceDN w:val="0"/>
        <w:adjustRightInd w:val="0"/>
        <w:spacing w:before="32" w:line="400" w:lineRule="exact"/>
        <w:ind w:right="-58"/>
        <w:rPr>
          <w:rFonts w:ascii="宋体" w:hAnsi="宋体" w:eastAsia="宋体" w:cs="宋体"/>
          <w:spacing w:val="-4"/>
          <w:kern w:val="0"/>
          <w:sz w:val="22"/>
          <w:szCs w:val="22"/>
        </w:rPr>
      </w:pPr>
      <w:r>
        <w:rPr>
          <w:rFonts w:hint="eastAsia" w:ascii="宋体" w:hAnsi="宋体" w:eastAsia="宋体" w:cs="宋体"/>
          <w:spacing w:val="-4"/>
          <w:kern w:val="0"/>
          <w:sz w:val="22"/>
          <w:szCs w:val="22"/>
        </w:rPr>
        <w:t>34.3、因情况变化，不再符合规定的采购方式适用情形的；出现影响采购公正的违法、违规行为的；</w:t>
      </w:r>
    </w:p>
    <w:p w14:paraId="49A5DEE5">
      <w:pPr>
        <w:autoSpaceDE w:val="0"/>
        <w:autoSpaceDN w:val="0"/>
        <w:adjustRightInd w:val="0"/>
        <w:spacing w:before="32" w:line="400" w:lineRule="exact"/>
        <w:ind w:right="-58"/>
        <w:rPr>
          <w:rFonts w:ascii="宋体" w:hAnsi="宋体" w:eastAsia="宋体" w:cs="宋体"/>
          <w:spacing w:val="-4"/>
          <w:kern w:val="0"/>
          <w:sz w:val="22"/>
          <w:szCs w:val="22"/>
        </w:rPr>
      </w:pPr>
      <w:r>
        <w:rPr>
          <w:rFonts w:hint="eastAsia" w:ascii="宋体" w:hAnsi="宋体" w:eastAsia="宋体" w:cs="宋体"/>
          <w:spacing w:val="-4"/>
          <w:kern w:val="0"/>
          <w:sz w:val="22"/>
          <w:szCs w:val="22"/>
        </w:rPr>
        <w:t>34.4、投标截止时间结束后参加供应商不足3家的，应重新组织采购，评审期间符合专业条件的供应商或者对招标文件作出实质响应的供应商不足3家的，应重新组织采购。</w:t>
      </w:r>
    </w:p>
    <w:p w14:paraId="10BE74F1">
      <w:pPr>
        <w:autoSpaceDE w:val="0"/>
        <w:autoSpaceDN w:val="0"/>
        <w:adjustRightInd w:val="0"/>
        <w:spacing w:line="440" w:lineRule="exact"/>
        <w:ind w:firstLine="420"/>
        <w:jc w:val="center"/>
        <w:outlineLvl w:val="0"/>
        <w:rPr>
          <w:rFonts w:ascii="宋体" w:hAnsi="宋体" w:eastAsia="宋体" w:cs="宋体"/>
          <w:b/>
          <w:bCs/>
          <w:kern w:val="0"/>
          <w:sz w:val="36"/>
          <w:szCs w:val="36"/>
        </w:rPr>
      </w:pPr>
      <w:r>
        <w:rPr>
          <w:rFonts w:ascii="宋体" w:hAnsi="宋体" w:eastAsia="宋体" w:cs="宋体"/>
          <w:b/>
          <w:bCs/>
          <w:kern w:val="0"/>
          <w:sz w:val="36"/>
          <w:szCs w:val="36"/>
        </w:rPr>
        <w:t>九、投诉</w:t>
      </w:r>
    </w:p>
    <w:p w14:paraId="4F63A380">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ascii="宋体" w:hAnsi="宋体" w:eastAsia="宋体" w:cs="宋体"/>
          <w:spacing w:val="-4"/>
          <w:kern w:val="0"/>
          <w:sz w:val="22"/>
          <w:szCs w:val="22"/>
        </w:rPr>
        <w:t>供应商和其他利害关系人认为本次招标违反法律、法规和规章规定的，有权向有关行政监督部门投诉。</w:t>
      </w:r>
    </w:p>
    <w:p w14:paraId="748BD9DE">
      <w:pPr>
        <w:autoSpaceDE w:val="0"/>
        <w:autoSpaceDN w:val="0"/>
        <w:adjustRightInd w:val="0"/>
        <w:spacing w:line="440" w:lineRule="exact"/>
        <w:ind w:firstLine="420"/>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十、</w:t>
      </w:r>
      <w:r>
        <w:rPr>
          <w:rFonts w:ascii="宋体" w:hAnsi="宋体" w:eastAsia="宋体" w:cs="宋体"/>
          <w:b/>
          <w:bCs/>
          <w:kern w:val="0"/>
          <w:sz w:val="36"/>
          <w:szCs w:val="36"/>
        </w:rPr>
        <w:t>质疑程序及处理</w:t>
      </w:r>
    </w:p>
    <w:p w14:paraId="189BE1B6">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35.1</w:t>
      </w:r>
      <w:r>
        <w:rPr>
          <w:rFonts w:ascii="宋体" w:hAnsi="宋体" w:eastAsia="宋体" w:cs="宋体"/>
          <w:spacing w:val="-4"/>
          <w:kern w:val="0"/>
          <w:sz w:val="22"/>
          <w:szCs w:val="22"/>
        </w:rPr>
        <w:t>若供应商认为其投标未获公平评审或招标文件、采购过程和中标结果使自己的合法权益受到损害，可以在知道或者应知其权益受到损害之日起7个工作日内，将质疑书原件送达采购人或采购代理机构。提出质疑期限的计算，依照下列规定办理：</w:t>
      </w:r>
    </w:p>
    <w:p w14:paraId="6F38D788">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ascii="宋体" w:hAnsi="宋体" w:eastAsia="宋体" w:cs="宋体"/>
          <w:spacing w:val="-4"/>
          <w:kern w:val="0"/>
          <w:sz w:val="22"/>
          <w:szCs w:val="22"/>
        </w:rPr>
        <w:t>（一）对可以质疑的招标文件提出质疑的，为收到招标文件之日或者招标文件公告期限届满之日；</w:t>
      </w:r>
    </w:p>
    <w:p w14:paraId="1E4BBDD1">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ascii="宋体" w:hAnsi="宋体" w:eastAsia="宋体" w:cs="宋体"/>
          <w:spacing w:val="-4"/>
          <w:kern w:val="0"/>
          <w:sz w:val="22"/>
          <w:szCs w:val="22"/>
        </w:rPr>
        <w:t>（二）对采购过程提出质疑的，为各采购程序环节结束之日；</w:t>
      </w:r>
    </w:p>
    <w:p w14:paraId="7D9267A3">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ascii="宋体" w:hAnsi="宋体" w:eastAsia="宋体" w:cs="宋体"/>
          <w:spacing w:val="-4"/>
          <w:kern w:val="0"/>
          <w:sz w:val="22"/>
          <w:szCs w:val="22"/>
        </w:rPr>
        <w:t>（三）对中标结果提出质疑的，为中标结果公告期限届满之日。</w:t>
      </w:r>
    </w:p>
    <w:p w14:paraId="2803696B">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35.2</w:t>
      </w:r>
      <w:r>
        <w:rPr>
          <w:rFonts w:ascii="宋体" w:hAnsi="宋体" w:eastAsia="宋体" w:cs="宋体"/>
          <w:spacing w:val="-4"/>
          <w:kern w:val="0"/>
          <w:sz w:val="22"/>
          <w:szCs w:val="22"/>
        </w:rPr>
        <w:t>质疑书应当包括下列主要内容，并按照“谁主张、谁举证”的原则，附上相关证明材料。否则，采购人不予受理：</w:t>
      </w:r>
    </w:p>
    <w:p w14:paraId="7F1534DE">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ascii="宋体" w:hAnsi="宋体" w:eastAsia="宋体" w:cs="宋体"/>
          <w:spacing w:val="-4"/>
          <w:kern w:val="0"/>
          <w:sz w:val="22"/>
          <w:szCs w:val="22"/>
        </w:rPr>
        <w:t>（四）提起质疑的日期</w:t>
      </w:r>
    </w:p>
    <w:p w14:paraId="6F8779AE">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35.3</w:t>
      </w:r>
      <w:r>
        <w:rPr>
          <w:rFonts w:ascii="宋体" w:hAnsi="宋体" w:eastAsia="宋体" w:cs="宋体"/>
          <w:spacing w:val="-4"/>
          <w:kern w:val="0"/>
          <w:sz w:val="22"/>
          <w:szCs w:val="22"/>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D11B08C">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w:t>
      </w:r>
      <w:r>
        <w:rPr>
          <w:rFonts w:ascii="宋体" w:hAnsi="宋体" w:eastAsia="宋体" w:cs="宋体"/>
          <w:spacing w:val="-4"/>
          <w:kern w:val="0"/>
          <w:sz w:val="22"/>
          <w:szCs w:val="22"/>
        </w:rPr>
        <w:t>.4供应商委托代理人办理质疑事宜，应当提交授权委托书，并载明委托代理的具体权限和事项。授权委托书应当由委托人签字并加盖单位公章。</w:t>
      </w:r>
    </w:p>
    <w:p w14:paraId="193DE932">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w:t>
      </w:r>
      <w:r>
        <w:rPr>
          <w:rFonts w:ascii="宋体" w:hAnsi="宋体" w:eastAsia="宋体" w:cs="宋体"/>
          <w:spacing w:val="-4"/>
          <w:kern w:val="0"/>
          <w:sz w:val="22"/>
          <w:szCs w:val="22"/>
        </w:rPr>
        <w:t>.</w:t>
      </w:r>
      <w:r>
        <w:rPr>
          <w:rFonts w:hint="eastAsia" w:ascii="宋体" w:hAnsi="宋体" w:eastAsia="宋体" w:cs="宋体"/>
          <w:spacing w:val="-4"/>
          <w:kern w:val="0"/>
          <w:sz w:val="22"/>
          <w:szCs w:val="22"/>
        </w:rPr>
        <w:t>5</w:t>
      </w:r>
      <w:r>
        <w:rPr>
          <w:rFonts w:ascii="宋体" w:hAnsi="宋体" w:eastAsia="宋体" w:cs="宋体"/>
          <w:spacing w:val="-4"/>
          <w:kern w:val="0"/>
          <w:sz w:val="22"/>
          <w:szCs w:val="22"/>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41ED55FE">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w:t>
      </w:r>
      <w:r>
        <w:rPr>
          <w:rFonts w:ascii="宋体" w:hAnsi="宋体" w:eastAsia="宋体" w:cs="宋体"/>
          <w:spacing w:val="-4"/>
          <w:kern w:val="0"/>
          <w:sz w:val="22"/>
          <w:szCs w:val="22"/>
        </w:rPr>
        <w:t>.</w:t>
      </w:r>
      <w:r>
        <w:rPr>
          <w:rFonts w:hint="eastAsia" w:ascii="宋体" w:hAnsi="宋体" w:eastAsia="宋体" w:cs="宋体"/>
          <w:spacing w:val="-4"/>
          <w:kern w:val="0"/>
          <w:sz w:val="22"/>
          <w:szCs w:val="22"/>
        </w:rPr>
        <w:t>6</w:t>
      </w:r>
      <w:r>
        <w:rPr>
          <w:rFonts w:ascii="宋体" w:hAnsi="宋体" w:eastAsia="宋体" w:cs="宋体"/>
          <w:spacing w:val="-4"/>
          <w:kern w:val="0"/>
          <w:sz w:val="22"/>
          <w:szCs w:val="22"/>
        </w:rPr>
        <w:t>供应商不得虚假质疑和恶意质疑，并对质疑内容的真实性承担责任。供应商或者其他利害关系人通过捏造事实、伪造证明材料等方式提出异议或投诉，阻碍招标活动正常进行的，属于严重不良行为，采购人将提请财政部门将其列入不良行为记录名单，并依法予以处罚。</w:t>
      </w:r>
    </w:p>
    <w:p w14:paraId="0A116F06">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35.7</w:t>
      </w:r>
      <w:r>
        <w:rPr>
          <w:rFonts w:ascii="宋体" w:hAnsi="宋体" w:eastAsia="宋体" w:cs="宋体"/>
          <w:spacing w:val="-4"/>
          <w:kern w:val="0"/>
          <w:sz w:val="22"/>
          <w:szCs w:val="22"/>
        </w:rPr>
        <w:t>采购人将在收到符合上述条件的书面质疑后7个工作日内审查质疑事项，作出答复或相关处理决定，并以书面形式通知质疑供应商和其他有关供应商，但答复的内容不涉及商业秘密。若质疑涉及招标制度或程序，将被转交政府采购的管理部门审查。采购人遵循“谁过错谁负担”的原则，有过错的一方承担调查论证费用。</w:t>
      </w:r>
    </w:p>
    <w:p w14:paraId="5A142C1C">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35.8</w:t>
      </w:r>
      <w:r>
        <w:rPr>
          <w:rFonts w:ascii="宋体" w:hAnsi="宋体" w:eastAsia="宋体" w:cs="宋体"/>
          <w:spacing w:val="-4"/>
          <w:kern w:val="0"/>
          <w:sz w:val="22"/>
          <w:szCs w:val="22"/>
        </w:rPr>
        <w:t>质疑供应商对采购人的答复不满意以及采购人未在规定的时间内做出答复的，可以在答复期满后15个工作日内向财政部门投诉。</w:t>
      </w:r>
    </w:p>
    <w:p w14:paraId="4E71C981">
      <w:pPr>
        <w:autoSpaceDE w:val="0"/>
        <w:autoSpaceDN w:val="0"/>
        <w:adjustRightInd w:val="0"/>
        <w:spacing w:line="440" w:lineRule="exact"/>
        <w:ind w:firstLine="420"/>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十一、招标代理费收取</w:t>
      </w:r>
    </w:p>
    <w:p w14:paraId="2B1F504B">
      <w:pPr>
        <w:tabs>
          <w:tab w:val="left" w:pos="1341"/>
        </w:tabs>
        <w:autoSpaceDE w:val="0"/>
        <w:autoSpaceDN w:val="0"/>
        <w:ind w:firstLine="438" w:firstLineChars="200"/>
        <w:rPr>
          <w:rFonts w:ascii="宋体" w:hAnsi="宋体" w:eastAsia="宋体" w:cs="宋体"/>
          <w:b/>
          <w:bCs/>
          <w:spacing w:val="-1"/>
          <w:kern w:val="0"/>
          <w:sz w:val="22"/>
          <w:szCs w:val="21"/>
          <w:lang w:bidi="zh-CN"/>
        </w:rPr>
      </w:pPr>
      <w:r>
        <w:rPr>
          <w:rFonts w:hint="eastAsia" w:ascii="宋体" w:hAnsi="宋体" w:eastAsia="宋体" w:cs="宋体"/>
          <w:b/>
          <w:bCs/>
          <w:spacing w:val="-1"/>
          <w:kern w:val="0"/>
          <w:sz w:val="22"/>
          <w:szCs w:val="21"/>
          <w:lang w:bidi="zh-CN"/>
        </w:rPr>
        <w:t>36.招标代理服务收费参照豫招协[2023]002号河南省招标投标协会关于印发《河南省招标代理服务收费指导意见》规定的收费标准收取中标服务费。</w:t>
      </w:r>
    </w:p>
    <w:p w14:paraId="4C84B66A">
      <w:pPr>
        <w:tabs>
          <w:tab w:val="left" w:pos="1341"/>
        </w:tabs>
        <w:autoSpaceDE w:val="0"/>
        <w:autoSpaceDN w:val="0"/>
        <w:ind w:firstLine="438" w:firstLineChars="200"/>
        <w:rPr>
          <w:rFonts w:ascii="宋体" w:hAnsi="宋体" w:eastAsia="宋体" w:cs="宋体"/>
          <w:b/>
          <w:bCs/>
          <w:spacing w:val="-1"/>
          <w:kern w:val="0"/>
          <w:sz w:val="22"/>
          <w:szCs w:val="21"/>
          <w:lang w:bidi="zh-CN"/>
        </w:rPr>
      </w:pPr>
      <w:r>
        <w:rPr>
          <w:rFonts w:hint="eastAsia" w:ascii="宋体" w:hAnsi="宋体" w:eastAsia="宋体" w:cs="宋体"/>
          <w:b/>
          <w:bCs/>
          <w:spacing w:val="-1"/>
          <w:kern w:val="0"/>
          <w:sz w:val="22"/>
          <w:szCs w:val="21"/>
          <w:lang w:bidi="zh-CN"/>
        </w:rPr>
        <w:t>河南省招标代理服务费计算标准</w:t>
      </w:r>
    </w:p>
    <w:tbl>
      <w:tblPr>
        <w:tblStyle w:val="32"/>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179FA7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77EC4B7C">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D81F2B7">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73C954DA">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143AA134">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服务</w:t>
            </w:r>
          </w:p>
        </w:tc>
      </w:tr>
      <w:tr w14:paraId="77606C08">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193B575A">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C3C0826">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22B46428">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6322717D">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1.70%</w:t>
            </w:r>
          </w:p>
        </w:tc>
      </w:tr>
      <w:tr w14:paraId="6F51AEE9">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74189BB2">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885E4E3">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66BC5C6B">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DE0816C">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1.20%</w:t>
            </w:r>
          </w:p>
        </w:tc>
      </w:tr>
      <w:tr w14:paraId="099B17E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5242268F">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247204">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32E50F70">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39DB1A76">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0.70%</w:t>
            </w:r>
          </w:p>
        </w:tc>
      </w:tr>
      <w:tr w14:paraId="07D5C7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59CB6969">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58E9CF4">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0DA38717">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77B1209B">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0.40%</w:t>
            </w:r>
          </w:p>
        </w:tc>
      </w:tr>
      <w:tr w14:paraId="7C332BDF">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1974C5D9">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6509487">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1262F28A">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3BDC4DD5">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0.25%</w:t>
            </w:r>
          </w:p>
        </w:tc>
      </w:tr>
      <w:tr w14:paraId="68501BAF">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51E74904">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9F4A694">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0F830BD9">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0EF97BFC">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0.10%</w:t>
            </w:r>
          </w:p>
        </w:tc>
      </w:tr>
      <w:tr w14:paraId="51A1802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vAlign w:val="center"/>
          </w:tcPr>
          <w:p w14:paraId="4543C93E">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5亿--10亿元（含10亿元）</w:t>
            </w:r>
          </w:p>
        </w:tc>
        <w:tc>
          <w:tcPr>
            <w:tcW w:w="1642" w:type="dxa"/>
            <w:tcBorders>
              <w:top w:val="single" w:color="000000" w:sz="4" w:space="0"/>
              <w:left w:val="single" w:color="000000" w:sz="4" w:space="0"/>
              <w:right w:val="single" w:color="000000" w:sz="4" w:space="0"/>
            </w:tcBorders>
            <w:vAlign w:val="center"/>
          </w:tcPr>
          <w:p w14:paraId="3FBF9454">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0.045%</w:t>
            </w:r>
          </w:p>
        </w:tc>
        <w:tc>
          <w:tcPr>
            <w:tcW w:w="1433" w:type="dxa"/>
            <w:tcBorders>
              <w:top w:val="single" w:color="000000" w:sz="4" w:space="0"/>
              <w:left w:val="single" w:color="000000" w:sz="4" w:space="0"/>
              <w:right w:val="single" w:color="000000" w:sz="4" w:space="0"/>
            </w:tcBorders>
            <w:vAlign w:val="center"/>
          </w:tcPr>
          <w:p w14:paraId="7CB68060">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0.045%</w:t>
            </w:r>
          </w:p>
        </w:tc>
        <w:tc>
          <w:tcPr>
            <w:tcW w:w="1711" w:type="dxa"/>
            <w:tcBorders>
              <w:top w:val="single" w:color="000000" w:sz="4" w:space="0"/>
              <w:left w:val="single" w:color="000000" w:sz="4" w:space="0"/>
              <w:right w:val="single" w:color="000000" w:sz="4" w:space="0"/>
            </w:tcBorders>
            <w:vAlign w:val="center"/>
          </w:tcPr>
          <w:p w14:paraId="6FEA188B">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0.045%</w:t>
            </w:r>
          </w:p>
        </w:tc>
      </w:tr>
      <w:tr w14:paraId="2429BF28">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704B9445">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0F27F5">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06A74637">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4F0A675F">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0.010%</w:t>
            </w:r>
          </w:p>
        </w:tc>
      </w:tr>
      <w:tr w14:paraId="7AF1845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190F890F">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50亿--100亿元（含</w:t>
            </w:r>
            <w:r>
              <w:rPr>
                <w:rFonts w:hint="eastAsia" w:ascii="宋体" w:hAnsi="宋体" w:eastAsia="宋体" w:cs="宋体"/>
                <w:kern w:val="0"/>
                <w:sz w:val="22"/>
                <w:szCs w:val="16"/>
                <w:lang w:bidi="zh-CN"/>
              </w:rPr>
              <w:t>100</w:t>
            </w:r>
            <w:r>
              <w:rPr>
                <w:rFonts w:ascii="宋体" w:hAnsi="宋体" w:eastAsia="宋体" w:cs="宋体"/>
                <w:kern w:val="0"/>
                <w:sz w:val="22"/>
                <w:szCs w:val="16"/>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35E022F">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46AA7822">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05B57625">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0.008%</w:t>
            </w:r>
          </w:p>
        </w:tc>
      </w:tr>
      <w:tr w14:paraId="03502FE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1565535A">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07CE135A">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09F46EAC">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36AC1597">
            <w:pPr>
              <w:autoSpaceDN w:val="0"/>
              <w:jc w:val="center"/>
              <w:textAlignment w:val="center"/>
              <w:rPr>
                <w:rFonts w:ascii="宋体" w:hAnsi="宋体" w:eastAsia="宋体" w:cs="宋体"/>
                <w:kern w:val="0"/>
                <w:sz w:val="22"/>
                <w:szCs w:val="16"/>
                <w:lang w:val="zh-CN" w:bidi="zh-CN"/>
              </w:rPr>
            </w:pPr>
            <w:r>
              <w:rPr>
                <w:rFonts w:ascii="宋体" w:hAnsi="宋体" w:eastAsia="宋体" w:cs="宋体"/>
                <w:kern w:val="0"/>
                <w:sz w:val="22"/>
                <w:szCs w:val="16"/>
                <w:lang w:val="zh-CN" w:bidi="zh-CN"/>
              </w:rPr>
              <w:t>0.004%</w:t>
            </w:r>
          </w:p>
        </w:tc>
      </w:tr>
      <w:tr w14:paraId="726872D6">
        <w:tblPrEx>
          <w:tblCellMar>
            <w:top w:w="0" w:type="dxa"/>
            <w:left w:w="15" w:type="dxa"/>
            <w:bottom w:w="0" w:type="dxa"/>
            <w:right w:w="15" w:type="dxa"/>
          </w:tblCellMar>
        </w:tblPrEx>
        <w:trPr>
          <w:trHeight w:val="621" w:hRule="atLeast"/>
        </w:trPr>
        <w:tc>
          <w:tcPr>
            <w:tcW w:w="8339" w:type="dxa"/>
            <w:gridSpan w:val="4"/>
            <w:vAlign w:val="center"/>
          </w:tcPr>
          <w:p w14:paraId="3184B017">
            <w:pPr>
              <w:autoSpaceDN w:val="0"/>
              <w:spacing w:line="500" w:lineRule="exact"/>
              <w:jc w:val="left"/>
              <w:textAlignment w:val="center"/>
              <w:rPr>
                <w:rFonts w:ascii="宋体" w:hAnsi="宋体" w:eastAsia="宋体" w:cs="宋体"/>
                <w:kern w:val="0"/>
                <w:sz w:val="22"/>
                <w:szCs w:val="22"/>
                <w:lang w:val="zh-CN" w:bidi="zh-CN"/>
              </w:rPr>
            </w:pPr>
            <w:r>
              <w:rPr>
                <w:rFonts w:ascii="宋体" w:hAnsi="宋体" w:eastAsia="宋体" w:cs="宋体"/>
                <w:kern w:val="0"/>
                <w:sz w:val="22"/>
                <w:szCs w:val="22"/>
                <w:lang w:val="zh-CN" w:bidi="zh-CN"/>
              </w:rPr>
              <w:t>注：1</w:t>
            </w:r>
            <w:r>
              <w:rPr>
                <w:rFonts w:hint="eastAsia" w:ascii="宋体" w:hAnsi="宋体" w:eastAsia="宋体" w:cs="宋体"/>
                <w:kern w:val="0"/>
                <w:sz w:val="22"/>
                <w:szCs w:val="22"/>
                <w:lang w:val="zh-CN" w:bidi="zh-CN"/>
              </w:rPr>
              <w:t>.</w:t>
            </w:r>
            <w:r>
              <w:rPr>
                <w:rFonts w:ascii="宋体" w:hAnsi="宋体" w:eastAsia="宋体" w:cs="宋体"/>
                <w:kern w:val="0"/>
                <w:sz w:val="22"/>
                <w:szCs w:val="22"/>
                <w:lang w:val="zh-CN" w:bidi="zh-CN"/>
              </w:rPr>
              <w:t>按本表费率计算的收费金额为招标代理服务费的基准价格，不含工程量清单、最高投标限价（招标控制价）或标底的编制费用。</w:t>
            </w:r>
          </w:p>
          <w:p w14:paraId="24679E44">
            <w:pPr>
              <w:autoSpaceDN w:val="0"/>
              <w:spacing w:line="500" w:lineRule="exact"/>
              <w:jc w:val="left"/>
              <w:textAlignment w:val="center"/>
              <w:rPr>
                <w:rFonts w:ascii="宋体" w:hAnsi="宋体" w:eastAsia="宋体" w:cs="宋体"/>
                <w:kern w:val="0"/>
                <w:sz w:val="22"/>
                <w:szCs w:val="22"/>
                <w:lang w:bidi="zh-CN"/>
              </w:rPr>
            </w:pPr>
            <w:r>
              <w:rPr>
                <w:rFonts w:hint="eastAsia" w:ascii="宋体" w:hAnsi="宋体" w:eastAsia="宋体" w:cs="宋体"/>
                <w:kern w:val="0"/>
                <w:sz w:val="22"/>
                <w:szCs w:val="22"/>
                <w:lang w:bidi="zh-CN"/>
              </w:rPr>
              <w:t>2.招标代理服务收费按差额定率累进法计算。</w:t>
            </w:r>
          </w:p>
          <w:p w14:paraId="60E70EEB">
            <w:pPr>
              <w:autoSpaceDN w:val="0"/>
              <w:spacing w:line="500" w:lineRule="exact"/>
              <w:jc w:val="left"/>
              <w:textAlignment w:val="center"/>
              <w:rPr>
                <w:rFonts w:ascii="宋体" w:hAnsi="宋体" w:eastAsia="宋体" w:cs="宋体"/>
                <w:kern w:val="0"/>
                <w:sz w:val="22"/>
                <w:szCs w:val="22"/>
                <w:lang w:val="zh-CN" w:bidi="zh-CN"/>
              </w:rPr>
            </w:pPr>
            <w:r>
              <w:rPr>
                <w:rFonts w:ascii="宋体" w:hAnsi="宋体" w:eastAsia="宋体" w:cs="宋体"/>
                <w:kern w:val="0"/>
                <w:sz w:val="22"/>
                <w:szCs w:val="22"/>
                <w:lang w:val="zh-CN" w:bidi="zh-CN"/>
              </w:rPr>
              <w:t>例如：某工程招标代理业务，项目预算金额（招标控制价）为10000 万元，招标代理服务收费计算如下：</w:t>
            </w:r>
          </w:p>
          <w:p w14:paraId="3C65D7E5">
            <w:pPr>
              <w:autoSpaceDN w:val="0"/>
              <w:spacing w:line="500" w:lineRule="exact"/>
              <w:jc w:val="left"/>
              <w:textAlignment w:val="center"/>
              <w:rPr>
                <w:rFonts w:ascii="宋体" w:hAnsi="宋体" w:eastAsia="宋体" w:cs="宋体"/>
                <w:kern w:val="0"/>
                <w:sz w:val="22"/>
                <w:szCs w:val="22"/>
                <w:lang w:val="zh-CN" w:bidi="zh-CN"/>
              </w:rPr>
            </w:pPr>
            <w:r>
              <w:rPr>
                <w:rFonts w:hint="eastAsia" w:ascii="宋体" w:hAnsi="宋体" w:eastAsia="宋体" w:cs="宋体"/>
                <w:kern w:val="0"/>
                <w:sz w:val="22"/>
                <w:szCs w:val="22"/>
                <w:lang w:bidi="zh-CN"/>
              </w:rPr>
              <w:t xml:space="preserve"> </w:t>
            </w:r>
            <w:r>
              <w:rPr>
                <w:rFonts w:ascii="宋体" w:hAnsi="宋体" w:eastAsia="宋体" w:cs="宋体"/>
                <w:kern w:val="0"/>
                <w:sz w:val="22"/>
                <w:szCs w:val="22"/>
                <w:lang w:val="zh-CN" w:bidi="zh-CN"/>
              </w:rPr>
              <w:t>100万元×1.2%=1.2万元</w:t>
            </w:r>
          </w:p>
          <w:p w14:paraId="4D49FF4F">
            <w:pPr>
              <w:autoSpaceDN w:val="0"/>
              <w:spacing w:line="500" w:lineRule="exact"/>
              <w:jc w:val="left"/>
              <w:textAlignment w:val="center"/>
              <w:rPr>
                <w:rFonts w:ascii="宋体" w:hAnsi="宋体" w:eastAsia="宋体" w:cs="宋体"/>
                <w:kern w:val="0"/>
                <w:sz w:val="22"/>
                <w:szCs w:val="22"/>
                <w:lang w:val="zh-CN" w:bidi="zh-CN"/>
              </w:rPr>
            </w:pPr>
            <w:r>
              <w:rPr>
                <w:rFonts w:ascii="宋体" w:hAnsi="宋体" w:eastAsia="宋体" w:cs="宋体"/>
                <w:kern w:val="0"/>
                <w:sz w:val="22"/>
                <w:szCs w:val="22"/>
                <w:lang w:val="zh-CN" w:bidi="zh-CN"/>
              </w:rPr>
              <w:t>（500-100）万元×1.0%=4万元</w:t>
            </w:r>
          </w:p>
          <w:p w14:paraId="7BBF08A1">
            <w:pPr>
              <w:autoSpaceDN w:val="0"/>
              <w:spacing w:line="500" w:lineRule="exact"/>
              <w:jc w:val="left"/>
              <w:textAlignment w:val="center"/>
              <w:rPr>
                <w:rFonts w:ascii="宋体" w:hAnsi="宋体" w:eastAsia="宋体" w:cs="宋体"/>
                <w:kern w:val="0"/>
                <w:sz w:val="22"/>
                <w:szCs w:val="22"/>
                <w:lang w:val="zh-CN" w:bidi="zh-CN"/>
              </w:rPr>
            </w:pPr>
            <w:r>
              <w:rPr>
                <w:rFonts w:ascii="宋体" w:hAnsi="宋体" w:eastAsia="宋体" w:cs="宋体"/>
                <w:kern w:val="0"/>
                <w:sz w:val="22"/>
                <w:szCs w:val="22"/>
                <w:lang w:val="zh-CN" w:bidi="zh-CN"/>
              </w:rPr>
              <w:t>（1000-500）×0.7%=3.5万元</w:t>
            </w:r>
          </w:p>
          <w:p w14:paraId="5C0D01D5">
            <w:pPr>
              <w:autoSpaceDN w:val="0"/>
              <w:spacing w:line="500" w:lineRule="exact"/>
              <w:jc w:val="left"/>
              <w:textAlignment w:val="center"/>
              <w:rPr>
                <w:rFonts w:ascii="宋体" w:hAnsi="宋体" w:eastAsia="宋体" w:cs="宋体"/>
                <w:kern w:val="0"/>
                <w:sz w:val="22"/>
                <w:szCs w:val="22"/>
                <w:lang w:val="zh-CN" w:bidi="zh-CN"/>
              </w:rPr>
            </w:pPr>
            <w:r>
              <w:rPr>
                <w:rFonts w:ascii="宋体" w:hAnsi="宋体" w:eastAsia="宋体" w:cs="宋体"/>
                <w:kern w:val="0"/>
                <w:sz w:val="22"/>
                <w:szCs w:val="22"/>
                <w:lang w:val="zh-CN" w:bidi="zh-CN"/>
              </w:rPr>
              <w:t>（5000-1000）×0.4%=16万元</w:t>
            </w:r>
          </w:p>
          <w:p w14:paraId="4B70A341">
            <w:pPr>
              <w:autoSpaceDN w:val="0"/>
              <w:spacing w:line="500" w:lineRule="exact"/>
              <w:jc w:val="left"/>
              <w:textAlignment w:val="center"/>
              <w:rPr>
                <w:rFonts w:ascii="宋体" w:hAnsi="宋体" w:eastAsia="宋体" w:cs="宋体"/>
                <w:kern w:val="0"/>
                <w:sz w:val="21"/>
                <w:szCs w:val="16"/>
                <w:lang w:val="zh-CN" w:bidi="zh-CN"/>
              </w:rPr>
            </w:pPr>
            <w:r>
              <w:rPr>
                <w:rFonts w:ascii="宋体" w:hAnsi="宋体" w:eastAsia="宋体" w:cs="宋体"/>
                <w:kern w:val="0"/>
                <w:sz w:val="22"/>
                <w:szCs w:val="22"/>
                <w:lang w:val="zh-CN" w:bidi="zh-CN"/>
              </w:rPr>
              <w:t>（10000-5000）×0.25%=12.5万元合计收费=1.2+4+3.5+16+12.5=37.2万元</w:t>
            </w:r>
          </w:p>
        </w:tc>
      </w:tr>
    </w:tbl>
    <w:p w14:paraId="05FF28FA">
      <w:pPr>
        <w:widowControl/>
        <w:spacing w:line="360" w:lineRule="auto"/>
        <w:jc w:val="center"/>
        <w:outlineLvl w:val="2"/>
        <w:rPr>
          <w:rFonts w:ascii="宋体" w:hAnsi="宋体" w:eastAsia="宋体" w:cs="宋体"/>
          <w:sz w:val="32"/>
          <w:szCs w:val="32"/>
          <w:lang w:bidi="ar"/>
        </w:rPr>
      </w:pPr>
    </w:p>
    <w:p w14:paraId="7C68F1FA">
      <w:pPr>
        <w:autoSpaceDE w:val="0"/>
        <w:autoSpaceDN w:val="0"/>
        <w:adjustRightInd w:val="0"/>
        <w:spacing w:line="440" w:lineRule="exact"/>
        <w:ind w:firstLine="420"/>
        <w:jc w:val="center"/>
        <w:outlineLvl w:val="0"/>
        <w:rPr>
          <w:rFonts w:ascii="宋体" w:hAnsi="宋体" w:eastAsia="宋体" w:cs="宋体"/>
          <w:b/>
          <w:bCs/>
          <w:kern w:val="0"/>
          <w:sz w:val="36"/>
          <w:szCs w:val="36"/>
        </w:rPr>
      </w:pPr>
    </w:p>
    <w:p w14:paraId="02EAB040">
      <w:pPr>
        <w:autoSpaceDE w:val="0"/>
        <w:autoSpaceDN w:val="0"/>
        <w:adjustRightInd w:val="0"/>
        <w:spacing w:line="440" w:lineRule="exact"/>
        <w:ind w:firstLine="420"/>
        <w:jc w:val="center"/>
        <w:outlineLvl w:val="0"/>
        <w:rPr>
          <w:rFonts w:ascii="宋体" w:hAnsi="宋体" w:eastAsia="宋体" w:cs="宋体"/>
          <w:b/>
          <w:bCs/>
          <w:kern w:val="0"/>
          <w:sz w:val="36"/>
          <w:szCs w:val="36"/>
        </w:rPr>
      </w:pPr>
      <w:r>
        <w:rPr>
          <w:rFonts w:ascii="宋体" w:hAnsi="宋体" w:eastAsia="宋体" w:cs="宋体"/>
          <w:b/>
          <w:bCs/>
          <w:kern w:val="0"/>
          <w:sz w:val="36"/>
          <w:szCs w:val="36"/>
        </w:rPr>
        <w:t>十二、</w:t>
      </w:r>
      <w:bookmarkStart w:id="22" w:name="_Toc23971"/>
      <w:r>
        <w:rPr>
          <w:rFonts w:hint="eastAsia" w:ascii="宋体" w:hAnsi="宋体" w:eastAsia="宋体" w:cs="宋体"/>
          <w:b/>
          <w:bCs/>
          <w:kern w:val="0"/>
          <w:sz w:val="36"/>
          <w:szCs w:val="36"/>
        </w:rPr>
        <w:t>需要补充的其他内容</w:t>
      </w:r>
      <w:bookmarkEnd w:id="22"/>
    </w:p>
    <w:p w14:paraId="3743FC60">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37.1采购人不承诺最低价中标，而且采购人没有义务解释说明未中标原因。</w:t>
      </w:r>
    </w:p>
    <w:p w14:paraId="42D028D3">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37.2其它未尽事宜，按国家有关法律、法规执行。</w:t>
      </w:r>
    </w:p>
    <w:p w14:paraId="0ED1BED7">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37.3本招标文件解释权归采购人。</w:t>
      </w:r>
    </w:p>
    <w:p w14:paraId="3FFDD0E2">
      <w:pPr>
        <w:autoSpaceDE w:val="0"/>
        <w:autoSpaceDN w:val="0"/>
        <w:adjustRightInd w:val="0"/>
        <w:spacing w:before="32" w:line="400" w:lineRule="exact"/>
        <w:ind w:right="-57" w:firstLine="424" w:firstLineChars="200"/>
        <w:rPr>
          <w:rFonts w:ascii="宋体" w:hAnsi="宋体" w:eastAsia="宋体" w:cs="宋体"/>
          <w:spacing w:val="-4"/>
          <w:kern w:val="0"/>
          <w:sz w:val="22"/>
          <w:szCs w:val="22"/>
        </w:rPr>
      </w:pPr>
      <w:r>
        <w:rPr>
          <w:rFonts w:hint="eastAsia" w:ascii="宋体" w:hAnsi="宋体" w:eastAsia="宋体" w:cs="宋体"/>
          <w:spacing w:val="-4"/>
          <w:kern w:val="0"/>
          <w:sz w:val="22"/>
          <w:szCs w:val="22"/>
        </w:rPr>
        <w:t>37.4本项目落实节能环保、中小微型企业扶持等相关政府采购政策，本项目支持河南省政府采购合同融资政策。</w:t>
      </w:r>
    </w:p>
    <w:p w14:paraId="1BC6DF28">
      <w:pPr>
        <w:widowControl/>
        <w:jc w:val="left"/>
        <w:rPr>
          <w:rFonts w:ascii="宋体" w:hAnsi="宋体" w:eastAsia="宋体" w:cs="Times New Roman"/>
          <w:sz w:val="22"/>
          <w:szCs w:val="22"/>
        </w:rPr>
      </w:pPr>
      <w:r>
        <w:rPr>
          <w:sz w:val="22"/>
          <w:szCs w:val="22"/>
        </w:rPr>
        <w:br w:type="page"/>
      </w:r>
    </w:p>
    <w:p w14:paraId="1D8505DD">
      <w:pPr>
        <w:adjustRightInd w:val="0"/>
        <w:snapToGrid w:val="0"/>
        <w:spacing w:line="360" w:lineRule="auto"/>
        <w:rPr>
          <w:rFonts w:ascii="宋体" w:hAnsi="宋体" w:eastAsia="宋体" w:cs="宋体"/>
          <w:kern w:val="0"/>
          <w:sz w:val="22"/>
          <w:szCs w:val="22"/>
        </w:rPr>
      </w:pPr>
      <w:r>
        <w:rPr>
          <w:rFonts w:hint="eastAsia" w:ascii="宋体" w:hAnsi="宋体" w:eastAsia="宋体" w:cs="宋体"/>
          <w:b/>
          <w:bCs/>
          <w:kern w:val="0"/>
          <w:sz w:val="22"/>
          <w:szCs w:val="22"/>
          <w:lang w:eastAsia="en-US"/>
        </w:rPr>
        <w:t>附件</w:t>
      </w:r>
      <w:r>
        <w:rPr>
          <w:rFonts w:hint="eastAsia" w:ascii="宋体" w:hAnsi="宋体" w:eastAsia="宋体" w:cs="宋体"/>
          <w:b/>
          <w:bCs/>
          <w:kern w:val="0"/>
          <w:sz w:val="22"/>
          <w:szCs w:val="22"/>
        </w:rPr>
        <w:t>1</w:t>
      </w:r>
      <w:r>
        <w:rPr>
          <w:rFonts w:hint="eastAsia" w:ascii="宋体" w:hAnsi="宋体" w:eastAsia="宋体" w:cs="宋体"/>
          <w:b/>
          <w:bCs/>
          <w:kern w:val="0"/>
          <w:sz w:val="22"/>
          <w:szCs w:val="22"/>
          <w:lang w:eastAsia="en-US"/>
        </w:rPr>
        <w:t>：</w:t>
      </w:r>
      <w:r>
        <w:rPr>
          <w:rFonts w:hint="eastAsia" w:ascii="宋体" w:hAnsi="宋体" w:eastAsia="宋体" w:cs="宋体"/>
          <w:kern w:val="0"/>
          <w:sz w:val="22"/>
          <w:szCs w:val="22"/>
          <w:lang w:eastAsia="en-US"/>
        </w:rPr>
        <w:t>河南省政府采购合同融资政策告知函</w:t>
      </w:r>
    </w:p>
    <w:p w14:paraId="322C7A15">
      <w:pPr>
        <w:adjustRightInd w:val="0"/>
        <w:snapToGrid w:val="0"/>
        <w:spacing w:line="360" w:lineRule="auto"/>
        <w:ind w:firstLine="482" w:firstLineChars="200"/>
        <w:jc w:val="center"/>
        <w:rPr>
          <w:rFonts w:ascii="宋体" w:hAnsi="宋体" w:eastAsia="宋体" w:cs="宋体"/>
          <w:b/>
          <w:bCs/>
          <w:kern w:val="0"/>
          <w:sz w:val="24"/>
          <w:szCs w:val="24"/>
          <w:lang w:eastAsia="en-US"/>
        </w:rPr>
      </w:pPr>
      <w:bookmarkStart w:id="23" w:name="_Toc7567"/>
      <w:bookmarkStart w:id="24" w:name="_Toc19399"/>
    </w:p>
    <w:p w14:paraId="76CE7AFB">
      <w:pPr>
        <w:adjustRightInd w:val="0"/>
        <w:snapToGrid w:val="0"/>
        <w:spacing w:line="360" w:lineRule="auto"/>
        <w:ind w:firstLine="482" w:firstLineChars="200"/>
        <w:jc w:val="center"/>
        <w:rPr>
          <w:rFonts w:ascii="宋体" w:hAnsi="宋体" w:eastAsia="宋体" w:cs="宋体"/>
          <w:kern w:val="0"/>
          <w:sz w:val="24"/>
          <w:szCs w:val="24"/>
          <w:lang w:eastAsia="en-US"/>
        </w:rPr>
      </w:pPr>
      <w:r>
        <w:rPr>
          <w:rFonts w:hint="eastAsia" w:ascii="宋体" w:hAnsi="宋体" w:eastAsia="宋体" w:cs="宋体"/>
          <w:b/>
          <w:bCs/>
          <w:kern w:val="0"/>
          <w:sz w:val="24"/>
          <w:szCs w:val="24"/>
          <w:lang w:eastAsia="en-US"/>
        </w:rPr>
        <w:t>河南省政府采购合同融资政策告知函</w:t>
      </w:r>
      <w:bookmarkEnd w:id="23"/>
      <w:bookmarkEnd w:id="24"/>
    </w:p>
    <w:p w14:paraId="46E5D857">
      <w:pPr>
        <w:adjustRightInd w:val="0"/>
        <w:snapToGrid w:val="0"/>
        <w:spacing w:line="360" w:lineRule="auto"/>
        <w:ind w:firstLine="440" w:firstLineChars="200"/>
        <w:jc w:val="left"/>
        <w:rPr>
          <w:rFonts w:ascii="宋体" w:hAnsi="宋体" w:eastAsia="宋体" w:cs="宋体"/>
          <w:kern w:val="0"/>
          <w:sz w:val="22"/>
          <w:szCs w:val="22"/>
          <w:lang w:eastAsia="en-US"/>
        </w:rPr>
      </w:pPr>
    </w:p>
    <w:p w14:paraId="47FC079D">
      <w:pPr>
        <w:adjustRightInd w:val="0"/>
        <w:snapToGrid w:val="0"/>
        <w:spacing w:line="360" w:lineRule="auto"/>
        <w:ind w:firstLine="440" w:firstLineChars="200"/>
        <w:jc w:val="left"/>
        <w:rPr>
          <w:rFonts w:ascii="宋体" w:hAnsi="宋体" w:eastAsia="宋体" w:cs="宋体"/>
          <w:kern w:val="0"/>
          <w:sz w:val="22"/>
          <w:szCs w:val="22"/>
          <w:lang w:eastAsia="en-US"/>
        </w:rPr>
      </w:pPr>
      <w:r>
        <w:rPr>
          <w:rFonts w:hint="eastAsia" w:ascii="宋体" w:hAnsi="宋体" w:eastAsia="宋体" w:cs="宋体"/>
          <w:kern w:val="0"/>
          <w:sz w:val="22"/>
          <w:szCs w:val="22"/>
          <w:lang w:eastAsia="en-US"/>
        </w:rPr>
        <w:t>各</w:t>
      </w:r>
      <w:r>
        <w:rPr>
          <w:rFonts w:hint="eastAsia" w:ascii="宋体" w:hAnsi="宋体" w:eastAsia="宋体" w:cs="宋体"/>
          <w:kern w:val="0"/>
          <w:sz w:val="22"/>
          <w:szCs w:val="22"/>
        </w:rPr>
        <w:t>投标人</w:t>
      </w:r>
      <w:r>
        <w:rPr>
          <w:rFonts w:hint="eastAsia" w:ascii="宋体" w:hAnsi="宋体" w:eastAsia="宋体" w:cs="宋体"/>
          <w:kern w:val="0"/>
          <w:sz w:val="22"/>
          <w:szCs w:val="22"/>
          <w:lang w:eastAsia="en-US"/>
        </w:rPr>
        <w:t>：</w:t>
      </w:r>
    </w:p>
    <w:p w14:paraId="0936DF88">
      <w:pPr>
        <w:adjustRightInd w:val="0"/>
        <w:snapToGrid w:val="0"/>
        <w:spacing w:line="360" w:lineRule="auto"/>
        <w:ind w:firstLine="440" w:firstLineChars="200"/>
        <w:jc w:val="left"/>
        <w:rPr>
          <w:rFonts w:ascii="宋体" w:hAnsi="宋体" w:eastAsia="宋体" w:cs="宋体"/>
          <w:kern w:val="0"/>
          <w:sz w:val="22"/>
          <w:szCs w:val="22"/>
          <w:lang w:eastAsia="en-US"/>
        </w:rPr>
      </w:pPr>
      <w:r>
        <w:rPr>
          <w:rFonts w:hint="eastAsia" w:ascii="宋体" w:hAnsi="宋体" w:eastAsia="宋体" w:cs="宋体"/>
          <w:kern w:val="0"/>
          <w:sz w:val="22"/>
          <w:szCs w:val="22"/>
          <w:lang w:eastAsia="en-US"/>
        </w:rPr>
        <w:t>欢迎贵公司参与河南省政府采购活动！</w:t>
      </w:r>
    </w:p>
    <w:p w14:paraId="3BFBAE25">
      <w:pPr>
        <w:adjustRightInd w:val="0"/>
        <w:snapToGrid w:val="0"/>
        <w:spacing w:line="360" w:lineRule="auto"/>
        <w:ind w:firstLine="440" w:firstLineChars="200"/>
        <w:jc w:val="left"/>
        <w:rPr>
          <w:rFonts w:ascii="宋体" w:hAnsi="宋体" w:eastAsia="宋体" w:cs="宋体"/>
          <w:kern w:val="0"/>
          <w:sz w:val="22"/>
          <w:szCs w:val="22"/>
          <w:lang w:eastAsia="en-US"/>
        </w:rPr>
      </w:pPr>
      <w:r>
        <w:rPr>
          <w:rFonts w:hint="eastAsia" w:ascii="宋体" w:hAnsi="宋体" w:eastAsia="宋体" w:cs="宋体"/>
          <w:kern w:val="0"/>
          <w:sz w:val="22"/>
          <w:szCs w:val="22"/>
          <w:lang w:eastAsia="en-US"/>
        </w:rPr>
        <w:t>政府采购合同融资是河南省财政厅支持中小微企业发展，针对参与政府采购活动的</w:t>
      </w:r>
      <w:r>
        <w:rPr>
          <w:rFonts w:hint="eastAsia" w:ascii="宋体" w:hAnsi="宋体" w:eastAsia="宋体" w:cs="宋体"/>
          <w:kern w:val="0"/>
          <w:sz w:val="22"/>
          <w:szCs w:val="22"/>
        </w:rPr>
        <w:t>投标人</w:t>
      </w:r>
      <w:r>
        <w:rPr>
          <w:rFonts w:hint="eastAsia" w:ascii="宋体" w:hAnsi="宋体" w:eastAsia="宋体" w:cs="宋体"/>
          <w:kern w:val="0"/>
          <w:sz w:val="22"/>
          <w:szCs w:val="22"/>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40" w:firstLineChars="200"/>
        <w:jc w:val="left"/>
        <w:rPr>
          <w:rFonts w:ascii="宋体" w:hAnsi="宋体" w:eastAsia="宋体" w:cs="宋体"/>
          <w:sz w:val="22"/>
          <w:szCs w:val="22"/>
        </w:rPr>
      </w:pPr>
      <w:bookmarkStart w:id="25" w:name="_Toc15196"/>
      <w:r>
        <w:rPr>
          <w:rFonts w:hint="eastAsia" w:ascii="宋体" w:hAnsi="宋体" w:eastAsia="宋体" w:cs="宋体"/>
          <w:sz w:val="22"/>
          <w:szCs w:val="22"/>
        </w:rPr>
        <w:t>贷款渠道和提供贷款的金融机构，可在河南省政府采购网“河南省政府采购合同融资平台”查询联系。</w:t>
      </w:r>
      <w:bookmarkEnd w:id="25"/>
    </w:p>
    <w:p w14:paraId="64DAFE90">
      <w:pPr>
        <w:jc w:val="left"/>
        <w:rPr>
          <w:rFonts w:ascii="宋体" w:hAnsi="宋体" w:eastAsia="宋体" w:cs="宋体"/>
          <w:kern w:val="0"/>
          <w:sz w:val="22"/>
          <w:szCs w:val="21"/>
          <w:lang w:eastAsia="en-US"/>
        </w:rPr>
      </w:pPr>
    </w:p>
    <w:p w14:paraId="0445FB9D">
      <w:pPr>
        <w:widowControl/>
        <w:jc w:val="left"/>
        <w:rPr>
          <w:rFonts w:ascii="宋体" w:hAnsi="宋体" w:eastAsia="宋体" w:cs="Times New Roman"/>
          <w:sz w:val="24"/>
          <w:szCs w:val="24"/>
        </w:rPr>
      </w:pPr>
      <w:r>
        <w:rPr>
          <w:rFonts w:ascii="宋体" w:hAnsi="宋体" w:eastAsia="宋体" w:cs="Times New Roman"/>
          <w:sz w:val="24"/>
          <w:szCs w:val="24"/>
        </w:rPr>
        <w:br w:type="page"/>
      </w:r>
    </w:p>
    <w:p w14:paraId="53428DF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宋体" w:hAnsi="宋体" w:eastAsia="宋体" w:cs="Times New Roman"/>
          <w:b/>
          <w:bCs/>
          <w:sz w:val="24"/>
          <w:szCs w:val="24"/>
        </w:rPr>
      </w:pPr>
      <w:r>
        <w:rPr>
          <w:rFonts w:ascii="宋体" w:hAnsi="宋体" w:eastAsia="宋体" w:cs="Times New Roman"/>
          <w:b/>
          <w:bCs/>
          <w:sz w:val="24"/>
          <w:szCs w:val="24"/>
        </w:rPr>
        <w:t>附件</w:t>
      </w:r>
      <w:r>
        <w:rPr>
          <w:rFonts w:hint="eastAsia" w:ascii="宋体" w:hAnsi="宋体" w:eastAsia="宋体" w:cs="Times New Roman"/>
          <w:b/>
          <w:bCs/>
          <w:sz w:val="24"/>
          <w:szCs w:val="24"/>
        </w:rPr>
        <w:t>2</w:t>
      </w:r>
    </w:p>
    <w:p w14:paraId="7417F3E6">
      <w:pPr>
        <w:pStyle w:val="13"/>
        <w:keepNext w:val="0"/>
        <w:keepLines w:val="0"/>
        <w:pageBreakBefore w:val="0"/>
        <w:widowControl w:val="0"/>
        <w:kinsoku/>
        <w:wordWrap/>
        <w:overflowPunct/>
        <w:topLinePunct w:val="0"/>
        <w:autoSpaceDE/>
        <w:autoSpaceDN/>
        <w:bidi w:val="0"/>
        <w:adjustRightInd/>
        <w:snapToGrid/>
        <w:spacing w:line="500" w:lineRule="exact"/>
        <w:ind w:left="119"/>
        <w:textAlignment w:val="auto"/>
        <w:rPr>
          <w:color w:val="auto"/>
          <w:kern w:val="2"/>
          <w:sz w:val="22"/>
          <w:szCs w:val="22"/>
        </w:rPr>
      </w:pPr>
      <w:r>
        <w:rPr>
          <w:rFonts w:hint="eastAsia"/>
          <w:color w:val="auto"/>
          <w:kern w:val="2"/>
          <w:sz w:val="22"/>
          <w:szCs w:val="22"/>
        </w:rPr>
        <w:t>卢氏县政府采购合同融资政策告知书各供应商:</w:t>
      </w:r>
    </w:p>
    <w:p w14:paraId="51EE3EED">
      <w:pPr>
        <w:pStyle w:val="13"/>
        <w:keepNext w:val="0"/>
        <w:keepLines w:val="0"/>
        <w:pageBreakBefore w:val="0"/>
        <w:widowControl w:val="0"/>
        <w:kinsoku/>
        <w:wordWrap/>
        <w:overflowPunct/>
        <w:topLinePunct w:val="0"/>
        <w:autoSpaceDE/>
        <w:autoSpaceDN/>
        <w:bidi w:val="0"/>
        <w:adjustRightInd/>
        <w:snapToGrid/>
        <w:spacing w:line="500" w:lineRule="exact"/>
        <w:ind w:left="119" w:firstLine="440" w:firstLineChars="200"/>
        <w:jc w:val="left"/>
        <w:textAlignment w:val="auto"/>
        <w:rPr>
          <w:color w:val="auto"/>
          <w:kern w:val="2"/>
          <w:sz w:val="22"/>
          <w:szCs w:val="22"/>
        </w:rPr>
      </w:pPr>
      <w:r>
        <w:rPr>
          <w:rFonts w:hint="eastAsia"/>
          <w:color w:val="auto"/>
          <w:kern w:val="2"/>
          <w:sz w:val="22"/>
          <w:szCs w:val="22"/>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5120537">
      <w:pPr>
        <w:pStyle w:val="13"/>
        <w:keepNext w:val="0"/>
        <w:keepLines w:val="0"/>
        <w:pageBreakBefore w:val="0"/>
        <w:widowControl w:val="0"/>
        <w:kinsoku/>
        <w:wordWrap/>
        <w:overflowPunct/>
        <w:topLinePunct w:val="0"/>
        <w:autoSpaceDE/>
        <w:autoSpaceDN/>
        <w:bidi w:val="0"/>
        <w:adjustRightInd/>
        <w:snapToGrid/>
        <w:spacing w:line="500" w:lineRule="exact"/>
        <w:ind w:left="119" w:firstLine="440" w:firstLineChars="200"/>
        <w:jc w:val="left"/>
        <w:textAlignment w:val="auto"/>
        <w:rPr>
          <w:color w:val="auto"/>
          <w:kern w:val="2"/>
          <w:sz w:val="22"/>
          <w:szCs w:val="22"/>
        </w:rPr>
      </w:pPr>
      <w:r>
        <w:rPr>
          <w:rFonts w:hint="eastAsia"/>
          <w:color w:val="auto"/>
          <w:kern w:val="2"/>
          <w:sz w:val="22"/>
          <w:szCs w:val="22"/>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13"/>
        <w:keepNext w:val="0"/>
        <w:keepLines w:val="0"/>
        <w:pageBreakBefore w:val="0"/>
        <w:widowControl w:val="0"/>
        <w:kinsoku/>
        <w:wordWrap/>
        <w:overflowPunct/>
        <w:topLinePunct w:val="0"/>
        <w:autoSpaceDE/>
        <w:autoSpaceDN/>
        <w:bidi w:val="0"/>
        <w:adjustRightInd/>
        <w:snapToGrid/>
        <w:spacing w:line="500" w:lineRule="exact"/>
        <w:ind w:left="119" w:firstLine="440" w:firstLineChars="200"/>
        <w:jc w:val="left"/>
        <w:textAlignment w:val="auto"/>
        <w:rPr>
          <w:color w:val="auto"/>
          <w:kern w:val="2"/>
          <w:sz w:val="22"/>
          <w:szCs w:val="22"/>
        </w:rPr>
      </w:pPr>
      <w:r>
        <w:rPr>
          <w:rFonts w:hint="eastAsia"/>
          <w:color w:val="auto"/>
          <w:kern w:val="2"/>
          <w:sz w:val="22"/>
          <w:szCs w:val="22"/>
        </w:rPr>
        <w:t>联系电话</w:t>
      </w:r>
      <w:r>
        <w:rPr>
          <w:rFonts w:hint="eastAsia"/>
          <w:color w:val="auto"/>
          <w:kern w:val="2"/>
          <w:sz w:val="22"/>
          <w:szCs w:val="22"/>
          <w:lang w:eastAsia="zh-CN"/>
        </w:rPr>
        <w:t>：</w:t>
      </w:r>
      <w:r>
        <w:rPr>
          <w:rFonts w:hint="eastAsia"/>
          <w:color w:val="auto"/>
          <w:kern w:val="2"/>
          <w:sz w:val="22"/>
          <w:szCs w:val="22"/>
        </w:rPr>
        <w:t>0398-7863556</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2965"/>
        <w:gridCol w:w="3087"/>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13"/>
              <w:jc w:val="center"/>
              <w:rPr>
                <w:color w:val="auto"/>
                <w:kern w:val="2"/>
                <w:sz w:val="22"/>
                <w:szCs w:val="22"/>
              </w:rPr>
            </w:pPr>
            <w:r>
              <w:rPr>
                <w:color w:val="auto"/>
                <w:kern w:val="2"/>
                <w:sz w:val="22"/>
                <w:szCs w:val="22"/>
              </w:rPr>
              <w:t>单位名称</w:t>
            </w:r>
          </w:p>
        </w:tc>
        <w:tc>
          <w:tcPr>
            <w:tcW w:w="3304" w:type="dxa"/>
            <w:vAlign w:val="center"/>
          </w:tcPr>
          <w:p w14:paraId="7E5D3A1A">
            <w:pPr>
              <w:pStyle w:val="13"/>
              <w:jc w:val="center"/>
              <w:rPr>
                <w:color w:val="auto"/>
                <w:kern w:val="2"/>
                <w:sz w:val="22"/>
                <w:szCs w:val="22"/>
              </w:rPr>
            </w:pPr>
            <w:r>
              <w:rPr>
                <w:rFonts w:hint="eastAsia"/>
                <w:color w:val="auto"/>
                <w:kern w:val="2"/>
                <w:sz w:val="22"/>
                <w:szCs w:val="22"/>
              </w:rPr>
              <w:t>联系人</w:t>
            </w:r>
          </w:p>
        </w:tc>
        <w:tc>
          <w:tcPr>
            <w:tcW w:w="3304" w:type="dxa"/>
            <w:vAlign w:val="center"/>
          </w:tcPr>
          <w:p w14:paraId="0BAD409F">
            <w:pPr>
              <w:pStyle w:val="13"/>
              <w:jc w:val="center"/>
              <w:rPr>
                <w:color w:val="auto"/>
                <w:kern w:val="2"/>
                <w:sz w:val="22"/>
                <w:szCs w:val="22"/>
              </w:rPr>
            </w:pPr>
            <w:r>
              <w:rPr>
                <w:rFonts w:hint="eastAsia"/>
                <w:color w:val="auto"/>
                <w:kern w:val="2"/>
                <w:sz w:val="22"/>
                <w:szCs w:val="22"/>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13"/>
              <w:jc w:val="center"/>
              <w:rPr>
                <w:color w:val="auto"/>
                <w:kern w:val="2"/>
                <w:sz w:val="22"/>
                <w:szCs w:val="22"/>
              </w:rPr>
            </w:pPr>
            <w:r>
              <w:rPr>
                <w:rFonts w:hint="eastAsia"/>
                <w:color w:val="auto"/>
                <w:kern w:val="2"/>
                <w:sz w:val="22"/>
                <w:szCs w:val="22"/>
              </w:rPr>
              <w:t>中国建设银行股份有限公司卢氏支行</w:t>
            </w:r>
          </w:p>
        </w:tc>
        <w:tc>
          <w:tcPr>
            <w:tcW w:w="3304" w:type="dxa"/>
            <w:vAlign w:val="center"/>
          </w:tcPr>
          <w:p w14:paraId="435EE9BA">
            <w:pPr>
              <w:pStyle w:val="13"/>
              <w:jc w:val="center"/>
              <w:rPr>
                <w:color w:val="auto"/>
                <w:kern w:val="2"/>
                <w:sz w:val="22"/>
                <w:szCs w:val="22"/>
              </w:rPr>
            </w:pPr>
            <w:r>
              <w:rPr>
                <w:rFonts w:hint="eastAsia"/>
                <w:color w:val="auto"/>
                <w:kern w:val="2"/>
                <w:sz w:val="22"/>
                <w:szCs w:val="22"/>
              </w:rPr>
              <w:t>张江涛</w:t>
            </w:r>
          </w:p>
        </w:tc>
        <w:tc>
          <w:tcPr>
            <w:tcW w:w="3304" w:type="dxa"/>
            <w:vAlign w:val="center"/>
          </w:tcPr>
          <w:p w14:paraId="048F1400">
            <w:pPr>
              <w:pStyle w:val="13"/>
              <w:jc w:val="center"/>
              <w:rPr>
                <w:color w:val="auto"/>
                <w:kern w:val="2"/>
                <w:sz w:val="22"/>
                <w:szCs w:val="22"/>
              </w:rPr>
            </w:pPr>
            <w:r>
              <w:rPr>
                <w:color w:val="auto"/>
                <w:kern w:val="2"/>
                <w:sz w:val="22"/>
                <w:szCs w:val="22"/>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13"/>
              <w:jc w:val="center"/>
              <w:rPr>
                <w:color w:val="auto"/>
                <w:kern w:val="2"/>
                <w:sz w:val="22"/>
                <w:szCs w:val="22"/>
              </w:rPr>
            </w:pPr>
            <w:r>
              <w:rPr>
                <w:rFonts w:hint="eastAsia"/>
                <w:color w:val="auto"/>
                <w:kern w:val="2"/>
                <w:sz w:val="22"/>
                <w:szCs w:val="22"/>
              </w:rPr>
              <w:t>中国农业银行股份有限公司卢氏县支行</w:t>
            </w:r>
          </w:p>
        </w:tc>
        <w:tc>
          <w:tcPr>
            <w:tcW w:w="3304" w:type="dxa"/>
            <w:vAlign w:val="center"/>
          </w:tcPr>
          <w:p w14:paraId="34815B34">
            <w:pPr>
              <w:pStyle w:val="13"/>
              <w:jc w:val="center"/>
              <w:rPr>
                <w:color w:val="auto"/>
                <w:kern w:val="2"/>
                <w:sz w:val="22"/>
                <w:szCs w:val="22"/>
              </w:rPr>
            </w:pPr>
            <w:r>
              <w:rPr>
                <w:rFonts w:hint="eastAsia"/>
                <w:color w:val="auto"/>
                <w:kern w:val="2"/>
                <w:sz w:val="22"/>
                <w:szCs w:val="22"/>
              </w:rPr>
              <w:t>代仁旺</w:t>
            </w:r>
          </w:p>
        </w:tc>
        <w:tc>
          <w:tcPr>
            <w:tcW w:w="3304" w:type="dxa"/>
            <w:vAlign w:val="center"/>
          </w:tcPr>
          <w:p w14:paraId="7A506E1F">
            <w:pPr>
              <w:pStyle w:val="13"/>
              <w:jc w:val="center"/>
              <w:rPr>
                <w:color w:val="auto"/>
                <w:kern w:val="2"/>
                <w:sz w:val="22"/>
                <w:szCs w:val="22"/>
              </w:rPr>
            </w:pPr>
            <w:r>
              <w:rPr>
                <w:color w:val="auto"/>
                <w:kern w:val="2"/>
                <w:sz w:val="22"/>
                <w:szCs w:val="22"/>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13"/>
              <w:jc w:val="center"/>
              <w:rPr>
                <w:color w:val="auto"/>
                <w:kern w:val="2"/>
                <w:sz w:val="22"/>
                <w:szCs w:val="22"/>
              </w:rPr>
            </w:pPr>
            <w:r>
              <w:rPr>
                <w:rFonts w:hint="eastAsia"/>
                <w:color w:val="auto"/>
                <w:kern w:val="2"/>
                <w:sz w:val="22"/>
                <w:szCs w:val="22"/>
              </w:rPr>
              <w:t>中原银行股份有限公司卢氏支行</w:t>
            </w:r>
          </w:p>
        </w:tc>
        <w:tc>
          <w:tcPr>
            <w:tcW w:w="3304" w:type="dxa"/>
            <w:vAlign w:val="center"/>
          </w:tcPr>
          <w:p w14:paraId="752072B4">
            <w:pPr>
              <w:pStyle w:val="13"/>
              <w:jc w:val="center"/>
              <w:rPr>
                <w:color w:val="auto"/>
                <w:kern w:val="2"/>
                <w:sz w:val="22"/>
                <w:szCs w:val="22"/>
              </w:rPr>
            </w:pPr>
            <w:r>
              <w:rPr>
                <w:rFonts w:hint="eastAsia"/>
                <w:color w:val="auto"/>
                <w:kern w:val="2"/>
                <w:sz w:val="22"/>
                <w:szCs w:val="22"/>
              </w:rPr>
              <w:t>李 博</w:t>
            </w:r>
          </w:p>
        </w:tc>
        <w:tc>
          <w:tcPr>
            <w:tcW w:w="3304" w:type="dxa"/>
            <w:vAlign w:val="center"/>
          </w:tcPr>
          <w:p w14:paraId="5A336943">
            <w:pPr>
              <w:pStyle w:val="13"/>
              <w:jc w:val="center"/>
              <w:rPr>
                <w:color w:val="auto"/>
                <w:kern w:val="2"/>
                <w:sz w:val="22"/>
                <w:szCs w:val="22"/>
              </w:rPr>
            </w:pPr>
            <w:r>
              <w:rPr>
                <w:color w:val="auto"/>
                <w:kern w:val="2"/>
                <w:sz w:val="22"/>
                <w:szCs w:val="22"/>
              </w:rPr>
              <w:t>15839857887</w:t>
            </w:r>
          </w:p>
        </w:tc>
      </w:tr>
    </w:tbl>
    <w:p w14:paraId="6796DF04">
      <w:pPr>
        <w:pStyle w:val="4"/>
        <w:numPr>
          <w:ilvl w:val="0"/>
          <w:numId w:val="2"/>
        </w:numPr>
        <w:bidi w:val="0"/>
        <w:jc w:val="center"/>
        <w:rPr>
          <w:rFonts w:hint="eastAsia"/>
          <w:color w:val="auto"/>
        </w:rPr>
      </w:pPr>
      <w:r>
        <w:rPr>
          <w:color w:val="auto"/>
          <w:kern w:val="2"/>
          <w:sz w:val="24"/>
          <w:szCs w:val="24"/>
        </w:rPr>
        <w:br w:type="page"/>
      </w:r>
      <w:bookmarkStart w:id="26" w:name="_Toc19227"/>
      <w:bookmarkStart w:id="27" w:name="_Toc903"/>
      <w:r>
        <w:rPr>
          <w:rFonts w:hint="eastAsia"/>
          <w:color w:val="auto"/>
        </w:rPr>
        <w:t>采购需求和技术要求</w:t>
      </w:r>
      <w:bookmarkEnd w:id="26"/>
      <w:bookmarkEnd w:id="27"/>
    </w:p>
    <w:p w14:paraId="79EA71FC">
      <w:pPr>
        <w:pStyle w:val="94"/>
        <w:rPr>
          <w:rFonts w:hint="eastAsia" w:ascii="宋体" w:hAnsi="宋体" w:eastAsia="宋体" w:cs="宋体"/>
          <w:color w:val="auto"/>
          <w:sz w:val="24"/>
          <w:szCs w:val="24"/>
          <w:highlight w:val="none"/>
        </w:rPr>
      </w:pPr>
    </w:p>
    <w:p w14:paraId="723FB132">
      <w:pPr>
        <w:pStyle w:val="94"/>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按照国家及地方有关管理规定，采取公开</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的方式，确定全县加厚高强度地膜的优质供应商</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名，供应商将符合规定的地膜产品在指定的区域内推广给农户使用。</w:t>
      </w:r>
    </w:p>
    <w:p w14:paraId="4251D23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bidi="ar-SA"/>
        </w:rPr>
        <w:t>一、</w:t>
      </w:r>
      <w:r>
        <w:rPr>
          <w:rFonts w:hint="eastAsia" w:ascii="宋体" w:hAnsi="宋体" w:eastAsia="宋体" w:cs="宋体"/>
          <w:b/>
          <w:bCs/>
          <w:color w:val="auto"/>
          <w:sz w:val="22"/>
          <w:szCs w:val="22"/>
          <w:highlight w:val="none"/>
          <w:lang w:val="en-US" w:eastAsia="zh-CN"/>
        </w:rPr>
        <w:t>项目概况</w:t>
      </w:r>
    </w:p>
    <w:p w14:paraId="00AC68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1、项目名称：卢氏县2025年地膜科学使用回收试点项目</w:t>
      </w:r>
    </w:p>
    <w:p w14:paraId="44A76CBF">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2、采购人：卢氏县农业农村局</w:t>
      </w:r>
    </w:p>
    <w:p w14:paraId="45F7BC82">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3、资金来源：财政资金，已落实</w:t>
      </w:r>
    </w:p>
    <w:p w14:paraId="20C2642F">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5、预算资金：总预算价3188125.00元（</w:t>
      </w:r>
      <w:r>
        <w:rPr>
          <w:rFonts w:hint="eastAsia" w:ascii="宋体" w:hAnsi="宋体" w:eastAsia="宋体" w:cs="宋体"/>
          <w:sz w:val="22"/>
          <w:szCs w:val="22"/>
          <w:highlight w:val="none"/>
          <w:lang w:val="en-US" w:eastAsia="zh-CN"/>
        </w:rPr>
        <w:t>项目结算以实际供货数量结算为准）,地膜单价12.4元/千克</w:t>
      </w:r>
    </w:p>
    <w:p w14:paraId="7B0D3027">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6、采购内容：加厚高强度地膜推广11万亩,其中：</w:t>
      </w:r>
    </w:p>
    <w:p w14:paraId="1F92DF24">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①采购加厚高强度透明地膜470000kg(数量94000卷）；财政资金对每卷地膜（5kg/卷）补贴30元；农户领取地膜时，每卷地膜需按中标单价减去30元向中标方补足差价。</w:t>
      </w:r>
    </w:p>
    <w:p w14:paraId="4B4CD48B">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②按中标单价采购14062.5kg（2812.5卷）高强度黑白加厚地膜，用于向粮食、果蔬、中药材种植户进行发放。</w:t>
      </w:r>
    </w:p>
    <w:p w14:paraId="5F2F1C3A">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③按上述中标单价采购</w:t>
      </w:r>
      <w:r>
        <w:rPr>
          <w:rFonts w:hint="eastAsia" w:ascii="宋体" w:hAnsi="宋体" w:eastAsia="宋体" w:cs="宋体"/>
          <w:sz w:val="22"/>
          <w:szCs w:val="22"/>
          <w:vertAlign w:val="baseline"/>
          <w:lang w:val="en-US" w:eastAsia="zh-CN"/>
        </w:rPr>
        <w:t>15625kg</w:t>
      </w:r>
      <w:r>
        <w:rPr>
          <w:rFonts w:hint="eastAsia" w:ascii="宋体" w:hAnsi="宋体" w:eastAsia="宋体" w:cs="宋体"/>
          <w:color w:val="auto"/>
          <w:kern w:val="0"/>
          <w:sz w:val="22"/>
          <w:szCs w:val="22"/>
          <w:highlight w:val="none"/>
          <w:lang w:val="en-US" w:eastAsia="zh-CN" w:bidi="ar-SA"/>
        </w:rPr>
        <w:t>（3125卷</w:t>
      </w:r>
      <w:r>
        <w:rPr>
          <w:rFonts w:hint="eastAsia" w:ascii="宋体" w:hAnsi="宋体" w:eastAsia="宋体" w:cs="宋体"/>
          <w:sz w:val="22"/>
          <w:szCs w:val="22"/>
          <w:vertAlign w:val="baseline"/>
          <w:lang w:val="en-US" w:eastAsia="zh-CN"/>
        </w:rPr>
        <w:t>）</w:t>
      </w:r>
      <w:r>
        <w:rPr>
          <w:rFonts w:hint="eastAsia" w:ascii="宋体" w:hAnsi="宋体" w:eastAsia="宋体" w:cs="宋体"/>
          <w:color w:val="auto"/>
          <w:kern w:val="0"/>
          <w:sz w:val="22"/>
          <w:szCs w:val="22"/>
          <w:highlight w:val="none"/>
          <w:lang w:val="en-US" w:eastAsia="zh-CN" w:bidi="ar-SA"/>
        </w:rPr>
        <w:t>加厚高强度透明地膜，用于置换群众回收的废旧地膜。</w:t>
      </w:r>
    </w:p>
    <w:p w14:paraId="499BE795">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7、供货期：根据采购人要求阶段性供货。</w:t>
      </w:r>
    </w:p>
    <w:p w14:paraId="0360A2E1">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333333"/>
          <w:kern w:val="2"/>
          <w:sz w:val="22"/>
          <w:szCs w:val="22"/>
          <w:shd w:val="clear" w:fill="FFFFFF"/>
          <w:lang w:eastAsia="zh-CN"/>
        </w:rPr>
      </w:pPr>
      <w:r>
        <w:rPr>
          <w:rFonts w:hint="eastAsia" w:ascii="宋体" w:hAnsi="宋体" w:eastAsia="宋体" w:cs="宋体"/>
          <w:color w:val="auto"/>
          <w:kern w:val="0"/>
          <w:sz w:val="22"/>
          <w:szCs w:val="22"/>
          <w:highlight w:val="none"/>
          <w:lang w:val="en-US" w:eastAsia="zh-CN" w:bidi="ar-SA"/>
        </w:rPr>
        <w:t>8、质量要求：需符合聚乙烯吹塑农用地面覆盖薄膜《GB13735-2017》标准，用全新的聚乙烯原料生产，不得使用再生料或回收料。</w:t>
      </w:r>
    </w:p>
    <w:p w14:paraId="2AABF839">
      <w:pPr>
        <w:pStyle w:val="29"/>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ind w:left="0" w:leftChars="0" w:firstLine="442" w:firstLineChars="200"/>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采购内容及参数要求</w:t>
      </w:r>
    </w:p>
    <w:tbl>
      <w:tblPr>
        <w:tblStyle w:val="33"/>
        <w:tblW w:w="9506"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005"/>
        <w:gridCol w:w="1350"/>
        <w:gridCol w:w="5634"/>
        <w:gridCol w:w="1113"/>
      </w:tblGrid>
      <w:tr w14:paraId="1438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04" w:type="dxa"/>
            <w:vAlign w:val="center"/>
          </w:tcPr>
          <w:p w14:paraId="55081768">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w:t>
            </w:r>
          </w:p>
          <w:p w14:paraId="03159B76">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号</w:t>
            </w:r>
          </w:p>
        </w:tc>
        <w:tc>
          <w:tcPr>
            <w:tcW w:w="1005" w:type="dxa"/>
            <w:vAlign w:val="center"/>
          </w:tcPr>
          <w:p w14:paraId="749E9CB2">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产品</w:t>
            </w:r>
          </w:p>
          <w:p w14:paraId="7A17FBA5">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名称</w:t>
            </w:r>
          </w:p>
        </w:tc>
        <w:tc>
          <w:tcPr>
            <w:tcW w:w="1350" w:type="dxa"/>
            <w:vAlign w:val="center"/>
          </w:tcPr>
          <w:p w14:paraId="16C11BAB">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val="en-US" w:eastAsia="zh-CN"/>
              </w:rPr>
              <w:t>数量</w:t>
            </w:r>
          </w:p>
        </w:tc>
        <w:tc>
          <w:tcPr>
            <w:tcW w:w="5634" w:type="dxa"/>
            <w:vAlign w:val="center"/>
          </w:tcPr>
          <w:p w14:paraId="289EE72B">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技术</w:t>
            </w:r>
            <w:r>
              <w:rPr>
                <w:rFonts w:hint="eastAsia" w:ascii="宋体" w:hAnsi="宋体" w:eastAsia="宋体" w:cs="宋体"/>
                <w:sz w:val="22"/>
                <w:szCs w:val="22"/>
                <w:vertAlign w:val="baseline"/>
                <w:lang w:val="en-US" w:eastAsia="zh-CN"/>
              </w:rPr>
              <w:t>参数</w:t>
            </w:r>
          </w:p>
        </w:tc>
        <w:tc>
          <w:tcPr>
            <w:tcW w:w="1113" w:type="dxa"/>
            <w:vAlign w:val="center"/>
          </w:tcPr>
          <w:p w14:paraId="1EA14FA0">
            <w:pPr>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228B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404" w:type="dxa"/>
            <w:vAlign w:val="center"/>
          </w:tcPr>
          <w:p w14:paraId="121838B9">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005" w:type="dxa"/>
            <w:vAlign w:val="center"/>
          </w:tcPr>
          <w:p w14:paraId="3FE2E924">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val="en-US" w:eastAsia="zh-CN"/>
              </w:rPr>
              <w:t>烟叶种植户使用</w:t>
            </w:r>
            <w:r>
              <w:rPr>
                <w:rFonts w:hint="eastAsia" w:ascii="宋体" w:hAnsi="宋体" w:eastAsia="宋体" w:cs="宋体"/>
                <w:sz w:val="22"/>
                <w:szCs w:val="22"/>
                <w:vertAlign w:val="baseline"/>
                <w:lang w:eastAsia="zh-CN"/>
              </w:rPr>
              <w:t>加厚高强度地膜</w:t>
            </w:r>
          </w:p>
        </w:tc>
        <w:tc>
          <w:tcPr>
            <w:tcW w:w="1350" w:type="dxa"/>
            <w:vAlign w:val="center"/>
          </w:tcPr>
          <w:p w14:paraId="6121E79B">
            <w:pPr>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470000千克</w:t>
            </w:r>
          </w:p>
        </w:tc>
        <w:tc>
          <w:tcPr>
            <w:tcW w:w="5634" w:type="dxa"/>
            <w:vAlign w:val="center"/>
          </w:tcPr>
          <w:p w14:paraId="216742D8">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1、宽度：800mm。</w:t>
            </w:r>
          </w:p>
          <w:p w14:paraId="645A6215">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2、厚度：≥0.012mm。</w:t>
            </w:r>
          </w:p>
          <w:p w14:paraId="7AC111BF">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3、长度：≥560m</w:t>
            </w:r>
          </w:p>
          <w:p w14:paraId="1634365A">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4、规格：烟叶种植及回收补贴需采购纯白膜。 </w:t>
            </w:r>
          </w:p>
          <w:p w14:paraId="7AC6DA9A">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5、物理性能 </w:t>
            </w:r>
          </w:p>
          <w:p w14:paraId="1F7F355B">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拉伸强度：纵向拉伸强度通常要求不低于10MPa，横向拉伸强度不低于8MPa，以确保地膜在使用过程中不易破裂。</w:t>
            </w:r>
          </w:p>
          <w:p w14:paraId="699051DA">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断裂伸长率：纵向断裂伸长率要求不低于100%，横向断裂伸长率不低于80%，使地膜具有较好的柔韧性和抗拉伸能力。</w:t>
            </w:r>
          </w:p>
          <w:p w14:paraId="127FA0F8">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直角撕裂强度：要求不低于30kN/m，保证地膜在受到直角方向的外力时不易撕裂。</w:t>
            </w:r>
          </w:p>
          <w:p w14:paraId="40E31190">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6、质量标准 </w:t>
            </w:r>
          </w:p>
          <w:p w14:paraId="09BE6825">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产品质量需符合聚乙烯吹塑农用地面覆盖薄膜《GB13735-2017》标准，用全新的聚乙烯原料生产，不得使用再生料或回收料。</w:t>
            </w:r>
          </w:p>
          <w:p w14:paraId="398CDA76">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7、外观要求</w:t>
            </w:r>
          </w:p>
          <w:p w14:paraId="5EC56390">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色泽均匀：全白色，透明度好,无明显色差，颜色一致; 双色膜颜色分界清晰。</w:t>
            </w:r>
          </w:p>
          <w:p w14:paraId="6851BEED">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表面清洁：无油污、杂质、气泡、穿孔等缺陷，表面光滑平整，以保证地膜的透光性和覆盖效果。</w:t>
            </w:r>
          </w:p>
          <w:p w14:paraId="27D26F46">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卷绕整齐：地膜卷绕紧密、整齐，无褶皱、扭曲现象，便于运输、储存和铺设。</w:t>
            </w:r>
          </w:p>
          <w:p w14:paraId="3F36F43E">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8、其他要求</w:t>
            </w:r>
          </w:p>
          <w:p w14:paraId="0BA0C43F">
            <w:pP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包装规格：5公斤/卷,净重偏差-0.10Kg至+0.25kg</w:t>
            </w:r>
          </w:p>
          <w:p w14:paraId="76E4D8B1">
            <w:pPr>
              <w:rPr>
                <w:rFonts w:hint="eastAsia" w:ascii="宋体" w:hAnsi="宋体" w:eastAsia="宋体" w:cs="宋体"/>
                <w:sz w:val="22"/>
                <w:szCs w:val="22"/>
                <w:vertAlign w:val="baseline"/>
              </w:rPr>
            </w:pPr>
            <w:r>
              <w:rPr>
                <w:rFonts w:hint="eastAsia" w:ascii="宋体" w:hAnsi="宋体" w:eastAsia="宋体" w:cs="宋体"/>
                <w:b w:val="0"/>
                <w:bCs w:val="0"/>
                <w:sz w:val="22"/>
                <w:szCs w:val="22"/>
                <w:lang w:val="en-US" w:eastAsia="zh-CN"/>
              </w:rPr>
              <w:t>使用寿命：在正常的田间使用条件下，地膜有效覆盖使用时间不低于180天。</w:t>
            </w:r>
          </w:p>
        </w:tc>
        <w:tc>
          <w:tcPr>
            <w:tcW w:w="1113" w:type="dxa"/>
            <w:vAlign w:val="center"/>
          </w:tcPr>
          <w:p w14:paraId="1D25A192">
            <w:pPr>
              <w:rPr>
                <w:rFonts w:hint="eastAsia" w:ascii="宋体" w:hAnsi="宋体" w:eastAsia="宋体" w:cs="宋体"/>
                <w:b w:val="0"/>
                <w:bCs w:val="0"/>
                <w:sz w:val="22"/>
                <w:szCs w:val="22"/>
                <w:lang w:val="en-US" w:eastAsia="zh-CN"/>
              </w:rPr>
            </w:pPr>
            <w:r>
              <w:rPr>
                <w:rFonts w:hint="eastAsia" w:ascii="宋体" w:hAnsi="宋体" w:eastAsia="宋体" w:cs="宋体"/>
                <w:sz w:val="22"/>
                <w:szCs w:val="22"/>
                <w:vertAlign w:val="baseline"/>
                <w:lang w:val="en-US" w:eastAsia="zh-CN"/>
              </w:rPr>
              <w:t>财政资金共2820000元，每卷地膜财政资金补贴30元，农户领取地膜时需按中标价补足差价。</w:t>
            </w:r>
          </w:p>
        </w:tc>
      </w:tr>
      <w:tr w14:paraId="6EC3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3" w:hRule="atLeast"/>
        </w:trPr>
        <w:tc>
          <w:tcPr>
            <w:tcW w:w="404" w:type="dxa"/>
            <w:vAlign w:val="center"/>
          </w:tcPr>
          <w:p w14:paraId="052F89E4">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005" w:type="dxa"/>
            <w:vAlign w:val="center"/>
          </w:tcPr>
          <w:p w14:paraId="1364CF16">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val="en-US" w:eastAsia="zh-CN"/>
              </w:rPr>
              <w:t>粮食、果蔬、中药材种植户及农民专业合作社使用</w:t>
            </w:r>
            <w:r>
              <w:rPr>
                <w:rFonts w:hint="eastAsia" w:ascii="宋体" w:hAnsi="宋体" w:eastAsia="宋体" w:cs="宋体"/>
                <w:sz w:val="22"/>
                <w:szCs w:val="22"/>
                <w:vertAlign w:val="baseline"/>
                <w:lang w:eastAsia="zh-CN"/>
              </w:rPr>
              <w:t>加厚高强度地膜</w:t>
            </w:r>
          </w:p>
        </w:tc>
        <w:tc>
          <w:tcPr>
            <w:tcW w:w="1350" w:type="dxa"/>
            <w:vAlign w:val="center"/>
          </w:tcPr>
          <w:p w14:paraId="75BAC48A">
            <w:p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14062.5kg</w:t>
            </w:r>
          </w:p>
        </w:tc>
        <w:tc>
          <w:tcPr>
            <w:tcW w:w="5634" w:type="dxa"/>
            <w:vAlign w:val="center"/>
          </w:tcPr>
          <w:p w14:paraId="5D39C7C9">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1、宽度：800mm。</w:t>
            </w:r>
          </w:p>
          <w:p w14:paraId="0D122821">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2、厚度：≥0.012mm。</w:t>
            </w:r>
          </w:p>
          <w:p w14:paraId="363DB496">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3、长度:≥560m</w:t>
            </w:r>
          </w:p>
          <w:p w14:paraId="27E122B8">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4、规格：粮食、果蔬菜、中药材及其他农作物需采购黑白膜。 </w:t>
            </w:r>
          </w:p>
          <w:p w14:paraId="11614A0A">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5、物理性能 </w:t>
            </w:r>
          </w:p>
          <w:p w14:paraId="1F78C070">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拉伸强度：纵向拉伸强度通常要求不低于10MPa，横向拉伸强度不低于8MPa，以确保地膜在使用过程中不易破裂。</w:t>
            </w:r>
          </w:p>
          <w:p w14:paraId="7A2F217A">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断裂伸长率：纵向断裂伸长率要求不低于100%，横向断裂伸长率不低于80%，使地膜具有较好的柔韧性和抗拉伸能力。</w:t>
            </w:r>
          </w:p>
          <w:p w14:paraId="2DC03D99">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直角撕裂强度：要求不低于30kN/m，保证地膜在受到直角方向的外力时不易撕裂。</w:t>
            </w:r>
          </w:p>
          <w:p w14:paraId="579B4BB9">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6、质量标准</w:t>
            </w:r>
          </w:p>
          <w:p w14:paraId="684640C1">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产品质量需符合聚乙烯吹塑农用地面覆盖薄膜《GB13735-2017》标准，用全新的聚乙烯原料生产，不得使用再生料或回收料。</w:t>
            </w:r>
          </w:p>
          <w:p w14:paraId="25D57623">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7、外观要求</w:t>
            </w:r>
          </w:p>
          <w:p w14:paraId="0D971B44">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色泽均匀：透明度好,无明显色差，颜色一致; 双色膜颜色分界清晰。</w:t>
            </w:r>
          </w:p>
          <w:p w14:paraId="14DA044A">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表面清洁：无油污、杂质、气泡、穿孔等缺陷，表面光滑平整，以保证地膜的透光性和覆盖效果。</w:t>
            </w:r>
          </w:p>
          <w:p w14:paraId="79A6F1BB">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卷绕整齐：地膜卷绕紧密、整齐，无褶皱、扭曲现象，便于运输、储存和铺设。</w:t>
            </w:r>
          </w:p>
          <w:p w14:paraId="5712DA09">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8、其他要求</w:t>
            </w:r>
          </w:p>
          <w:p w14:paraId="5EA5D11C">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包装规格：5公斤/卷,净重偏差-0.10Kg至+0.25kg</w:t>
            </w:r>
          </w:p>
          <w:p w14:paraId="1A74DB49">
            <w:pPr>
              <w:jc w:val="left"/>
              <w:rPr>
                <w:rFonts w:hint="eastAsia" w:ascii="宋体" w:hAnsi="宋体" w:eastAsia="宋体" w:cs="宋体"/>
                <w:sz w:val="22"/>
                <w:szCs w:val="22"/>
                <w:lang w:val="en-US" w:eastAsia="zh-CN"/>
              </w:rPr>
            </w:pPr>
            <w:r>
              <w:rPr>
                <w:rFonts w:hint="eastAsia" w:ascii="宋体" w:hAnsi="宋体" w:eastAsia="宋体" w:cs="宋体"/>
                <w:b w:val="0"/>
                <w:bCs w:val="0"/>
                <w:sz w:val="22"/>
                <w:szCs w:val="22"/>
                <w:lang w:val="en-US" w:eastAsia="zh-CN"/>
              </w:rPr>
              <w:t>使用寿命：在正常的田间使用条件下，地膜有效覆盖使用时间不低于180天。</w:t>
            </w:r>
          </w:p>
        </w:tc>
        <w:tc>
          <w:tcPr>
            <w:tcW w:w="1113" w:type="dxa"/>
            <w:vAlign w:val="center"/>
          </w:tcPr>
          <w:p w14:paraId="4FA62D1B">
            <w:pPr>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财政资金全额采购地膜，供粮食果蔬中药材种植户使用。</w:t>
            </w:r>
          </w:p>
        </w:tc>
      </w:tr>
      <w:tr w14:paraId="4699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8" w:hRule="atLeast"/>
        </w:trPr>
        <w:tc>
          <w:tcPr>
            <w:tcW w:w="404" w:type="dxa"/>
            <w:vAlign w:val="center"/>
          </w:tcPr>
          <w:p w14:paraId="0D22BF44">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005" w:type="dxa"/>
            <w:vAlign w:val="center"/>
          </w:tcPr>
          <w:p w14:paraId="2AB27E4C">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“以新换旧”置换农户回收的废旧地膜</w:t>
            </w:r>
          </w:p>
        </w:tc>
        <w:tc>
          <w:tcPr>
            <w:tcW w:w="1350" w:type="dxa"/>
            <w:vAlign w:val="center"/>
          </w:tcPr>
          <w:p w14:paraId="667DEAE5">
            <w:p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15625kg</w:t>
            </w:r>
          </w:p>
        </w:tc>
        <w:tc>
          <w:tcPr>
            <w:tcW w:w="5634" w:type="dxa"/>
            <w:shd w:val="clear" w:color="auto" w:fill="auto"/>
            <w:vAlign w:val="center"/>
          </w:tcPr>
          <w:p w14:paraId="1985D07D">
            <w:pPr>
              <w:keepNext w:val="0"/>
              <w:keepLines w:val="0"/>
              <w:widowControl/>
              <w:suppressLineNumbers w:val="0"/>
              <w:jc w:val="left"/>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kern w:val="0"/>
                <w:sz w:val="22"/>
                <w:szCs w:val="22"/>
                <w:u w:val="none"/>
                <w:lang w:val="en-US" w:eastAsia="zh-CN" w:bidi="ar"/>
              </w:rPr>
              <w:t>1、宽度：800mm。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2、厚度：≥0.012mm。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3、长度:≥560m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4、规格：烟叶种植及回收补贴需采购纯白膜。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5、物理性能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拉伸强度：纵向拉伸强度通常要求不低于10MPa，横向拉伸强度不低于8MPa，以确保地膜在使用过程中不易破裂。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断裂伸长率：纵向断裂伸长率要求不低于100%，横向断裂伸长率不低于80%，使地膜具有较好的柔韧性和抗拉伸能力。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直角撕裂强度：要求不低于30kN/m，保证地膜在受到直角方向的外力时不易撕裂。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6、质量标准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产品质量需符合聚乙烯吹塑农用地面覆盖薄膜《GB13735-2017》标准，用全新的聚乙烯原料生产，不得使用再生料或回收料。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7、外观要求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色泽均匀：全白色，透明度好,无明显色差，颜色一致; 双色膜颜色分界清晰。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表面清洁：无油污、杂质、气泡、穿孔等缺陷，表面光滑平整，以保证地膜的透光性和覆盖效果。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卷绕整齐：地膜卷绕紧密、整齐，无褶皱、扭曲现象，便于运输、储存和铺设。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8、其他要求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包装规格：5公斤/卷,净重偏差-0.10Kg至+0.25kg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使用寿命：在正常的田间使用条件下，地膜有效覆盖使用时间不低于180天。</w:t>
            </w:r>
          </w:p>
        </w:tc>
        <w:tc>
          <w:tcPr>
            <w:tcW w:w="1113" w:type="dxa"/>
            <w:shd w:val="clear" w:color="auto" w:fill="auto"/>
            <w:vAlign w:val="center"/>
          </w:tcPr>
          <w:p w14:paraId="0C2C3E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财政资金全额采购地膜，用于置换农户回收的废旧地膜。</w:t>
            </w:r>
          </w:p>
        </w:tc>
      </w:tr>
      <w:tr w14:paraId="48AB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404" w:type="dxa"/>
            <w:vAlign w:val="center"/>
          </w:tcPr>
          <w:p w14:paraId="7AD899AC">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需要说明的内容</w:t>
            </w:r>
          </w:p>
        </w:tc>
        <w:tc>
          <w:tcPr>
            <w:tcW w:w="9102" w:type="dxa"/>
            <w:gridSpan w:val="4"/>
            <w:vAlign w:val="center"/>
          </w:tcPr>
          <w:p w14:paraId="21629761">
            <w:pPr>
              <w:numPr>
                <w:ilvl w:val="0"/>
                <w:numId w:val="3"/>
              </w:numPr>
              <w:jc w:val="both"/>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中标方在供货时，需提供本批次地膜质量检测报告；若如出现质量问题，由中标方全权负责产生的一切后果；</w:t>
            </w:r>
          </w:p>
          <w:p w14:paraId="663EB752">
            <w:pPr>
              <w:numPr>
                <w:ilvl w:val="0"/>
                <w:numId w:val="3"/>
              </w:numPr>
              <w:jc w:val="both"/>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投标人应就该项目完整投标，投标报价含货物费、运输费、税费、卸费车、仓储费等本项目一切相关费用，否则为无效投标。</w:t>
            </w:r>
          </w:p>
          <w:p w14:paraId="3784E6E3">
            <w:pPr>
              <w:numPr>
                <w:ilvl w:val="0"/>
                <w:numId w:val="0"/>
              </w:numPr>
              <w:jc w:val="both"/>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3、中标方供货时运费、卸车费、仓储费均由中标方承担，仓储时间约为3个月至4个月。</w:t>
            </w:r>
          </w:p>
        </w:tc>
      </w:tr>
    </w:tbl>
    <w:p w14:paraId="04000B97">
      <w:pPr>
        <w:pStyle w:val="29"/>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Chars="200"/>
        <w:textAlignment w:val="auto"/>
        <w:rPr>
          <w:rFonts w:hint="eastAsia" w:ascii="宋体" w:hAnsi="宋体" w:eastAsia="宋体" w:cs="宋体"/>
          <w:color w:val="auto"/>
          <w:kern w:val="0"/>
          <w:sz w:val="24"/>
          <w:szCs w:val="24"/>
          <w:highlight w:val="none"/>
          <w:lang w:val="en-US" w:eastAsia="zh-CN" w:bidi="ar-SA"/>
        </w:rPr>
      </w:pPr>
    </w:p>
    <w:p w14:paraId="5ADB061E">
      <w:pPr>
        <w:pStyle w:val="94"/>
        <w:rPr>
          <w:rFonts w:hint="eastAsia" w:ascii="宋体" w:hAnsi="宋体" w:eastAsia="宋体" w:cs="宋体"/>
          <w:color w:val="auto"/>
          <w:highlight w:val="none"/>
        </w:rPr>
      </w:pPr>
    </w:p>
    <w:p w14:paraId="159135FC">
      <w:pPr>
        <w:jc w:val="center"/>
        <w:outlineLvl w:val="0"/>
        <w:rPr>
          <w:rFonts w:hint="eastAsia" w:ascii="宋体" w:hAnsi="宋体" w:eastAsia="宋体" w:cs="宋体"/>
          <w:b/>
          <w:color w:val="auto"/>
          <w:kern w:val="0"/>
          <w:sz w:val="32"/>
          <w:szCs w:val="28"/>
          <w:highlight w:val="none"/>
        </w:rPr>
      </w:pPr>
      <w:bookmarkStart w:id="28" w:name="_Toc80256508"/>
      <w:bookmarkStart w:id="29" w:name="_Toc24560"/>
      <w:bookmarkStart w:id="30" w:name="_Toc80256507"/>
      <w:r>
        <w:rPr>
          <w:rFonts w:hint="eastAsia" w:ascii="宋体" w:hAnsi="宋体" w:eastAsia="宋体" w:cs="宋体"/>
          <w:b/>
          <w:color w:val="auto"/>
          <w:kern w:val="0"/>
          <w:sz w:val="32"/>
          <w:szCs w:val="28"/>
          <w:highlight w:val="none"/>
        </w:rPr>
        <w:br w:type="page"/>
      </w:r>
      <w:r>
        <w:rPr>
          <w:rFonts w:hint="eastAsia" w:ascii="宋体" w:hAnsi="宋体" w:eastAsia="宋体" w:cs="宋体"/>
          <w:b/>
          <w:color w:val="auto"/>
          <w:kern w:val="0"/>
          <w:sz w:val="32"/>
          <w:szCs w:val="28"/>
          <w:highlight w:val="none"/>
        </w:rPr>
        <w:t>第</w:t>
      </w:r>
      <w:r>
        <w:rPr>
          <w:rFonts w:hint="eastAsia" w:ascii="宋体" w:hAnsi="宋体" w:eastAsia="宋体" w:cs="宋体"/>
          <w:b/>
          <w:color w:val="auto"/>
          <w:kern w:val="0"/>
          <w:sz w:val="32"/>
          <w:szCs w:val="28"/>
          <w:highlight w:val="none"/>
          <w:lang w:val="en-US" w:eastAsia="zh-CN"/>
        </w:rPr>
        <w:t>四</w:t>
      </w:r>
      <w:r>
        <w:rPr>
          <w:rStyle w:val="87"/>
          <w:rFonts w:hint="eastAsia"/>
          <w:color w:val="auto"/>
        </w:rPr>
        <w:t>章  评标办法</w:t>
      </w:r>
      <w:bookmarkEnd w:id="28"/>
      <w:bookmarkEnd w:id="29"/>
    </w:p>
    <w:p w14:paraId="4D59596F">
      <w:pPr>
        <w:jc w:val="center"/>
        <w:outlineLvl w:val="0"/>
        <w:rPr>
          <w:rFonts w:hint="eastAsia"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评标办法前附表</w:t>
      </w:r>
    </w:p>
    <w:p w14:paraId="01F79141">
      <w:pPr>
        <w:widowControl/>
        <w:autoSpaceDE w:val="0"/>
        <w:autoSpaceDN w:val="0"/>
        <w:adjustRightInd w:val="0"/>
        <w:spacing w:line="500" w:lineRule="exac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初步评审</w:t>
      </w:r>
    </w:p>
    <w:tbl>
      <w:tblPr>
        <w:tblStyle w:val="32"/>
        <w:tblW w:w="940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63"/>
        <w:gridCol w:w="2187"/>
        <w:gridCol w:w="5423"/>
      </w:tblGrid>
      <w:tr w14:paraId="5D67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93" w:type="dxa"/>
            <w:gridSpan w:val="2"/>
            <w:noWrap w:val="0"/>
            <w:vAlign w:val="center"/>
          </w:tcPr>
          <w:p w14:paraId="3279A147">
            <w:pPr>
              <w:widowControl/>
              <w:autoSpaceDE w:val="0"/>
              <w:autoSpaceDN w:val="0"/>
              <w:adjustRightInd w:val="0"/>
              <w:jc w:val="center"/>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条款号</w:t>
            </w:r>
          </w:p>
        </w:tc>
        <w:tc>
          <w:tcPr>
            <w:tcW w:w="2187" w:type="dxa"/>
            <w:noWrap w:val="0"/>
            <w:vAlign w:val="center"/>
          </w:tcPr>
          <w:p w14:paraId="0545EBCE">
            <w:pPr>
              <w:widowControl/>
              <w:autoSpaceDE w:val="0"/>
              <w:autoSpaceDN w:val="0"/>
              <w:adjustRightInd w:val="0"/>
              <w:jc w:val="center"/>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评审因素</w:t>
            </w:r>
          </w:p>
        </w:tc>
        <w:tc>
          <w:tcPr>
            <w:tcW w:w="5423" w:type="dxa"/>
            <w:noWrap w:val="0"/>
            <w:vAlign w:val="center"/>
          </w:tcPr>
          <w:p w14:paraId="21A336E0">
            <w:pPr>
              <w:widowControl/>
              <w:autoSpaceDE w:val="0"/>
              <w:autoSpaceDN w:val="0"/>
              <w:adjustRightInd w:val="0"/>
              <w:jc w:val="center"/>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评审标准</w:t>
            </w:r>
          </w:p>
        </w:tc>
      </w:tr>
      <w:tr w14:paraId="28FC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30" w:type="dxa"/>
            <w:vMerge w:val="restart"/>
            <w:noWrap w:val="0"/>
            <w:vAlign w:val="center"/>
          </w:tcPr>
          <w:p w14:paraId="12AAF3C3">
            <w:pPr>
              <w:widowControl/>
              <w:autoSpaceDE w:val="0"/>
              <w:autoSpaceDN w:val="0"/>
              <w:adjustRightInd w:val="0"/>
              <w:jc w:val="center"/>
              <w:rPr>
                <w:rFonts w:hint="eastAsia" w:ascii="宋体" w:hAnsi="宋体" w:eastAsia="宋体" w:cs="宋体"/>
                <w:color w:val="auto"/>
                <w:kern w:val="0"/>
                <w:sz w:val="22"/>
                <w:szCs w:val="21"/>
                <w:highlight w:val="none"/>
                <w:lang w:eastAsia="zh-CN"/>
              </w:rPr>
            </w:pPr>
            <w:r>
              <w:rPr>
                <w:rFonts w:hint="eastAsia" w:ascii="宋体" w:hAnsi="宋体" w:eastAsia="宋体" w:cs="宋体"/>
                <w:color w:val="auto"/>
                <w:kern w:val="0"/>
                <w:sz w:val="22"/>
                <w:szCs w:val="21"/>
                <w:highlight w:val="none"/>
                <w:lang w:val="en-US" w:eastAsia="zh-CN"/>
              </w:rPr>
              <w:t>1</w:t>
            </w:r>
          </w:p>
        </w:tc>
        <w:tc>
          <w:tcPr>
            <w:tcW w:w="1063" w:type="dxa"/>
            <w:vMerge w:val="restart"/>
            <w:noWrap w:val="0"/>
            <w:vAlign w:val="center"/>
          </w:tcPr>
          <w:p w14:paraId="773EEC75">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符合性评审标准</w:t>
            </w:r>
          </w:p>
        </w:tc>
        <w:tc>
          <w:tcPr>
            <w:tcW w:w="2187" w:type="dxa"/>
            <w:noWrap w:val="0"/>
            <w:vAlign w:val="center"/>
          </w:tcPr>
          <w:p w14:paraId="49BDF4E7">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投标供应商名称</w:t>
            </w:r>
          </w:p>
        </w:tc>
        <w:tc>
          <w:tcPr>
            <w:tcW w:w="5423" w:type="dxa"/>
            <w:noWrap w:val="0"/>
            <w:vAlign w:val="center"/>
          </w:tcPr>
          <w:p w14:paraId="2034A6E6">
            <w:pPr>
              <w:widowControl/>
              <w:autoSpaceDE w:val="0"/>
              <w:autoSpaceDN w:val="0"/>
              <w:adjustRightInd w:val="0"/>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与营业执照一致</w:t>
            </w:r>
          </w:p>
        </w:tc>
      </w:tr>
      <w:tr w14:paraId="53E1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0" w:type="dxa"/>
            <w:vMerge w:val="continue"/>
            <w:noWrap w:val="0"/>
            <w:vAlign w:val="center"/>
          </w:tcPr>
          <w:p w14:paraId="26F72313">
            <w:pPr>
              <w:rPr>
                <w:rFonts w:hint="eastAsia" w:ascii="宋体" w:hAnsi="宋体" w:eastAsia="宋体" w:cs="宋体"/>
                <w:color w:val="auto"/>
                <w:sz w:val="22"/>
                <w:szCs w:val="21"/>
                <w:highlight w:val="none"/>
              </w:rPr>
            </w:pPr>
          </w:p>
        </w:tc>
        <w:tc>
          <w:tcPr>
            <w:tcW w:w="1063" w:type="dxa"/>
            <w:vMerge w:val="continue"/>
            <w:noWrap w:val="0"/>
            <w:vAlign w:val="center"/>
          </w:tcPr>
          <w:p w14:paraId="60C35807">
            <w:pPr>
              <w:rPr>
                <w:rFonts w:hint="eastAsia" w:ascii="宋体" w:hAnsi="宋体" w:eastAsia="宋体" w:cs="宋体"/>
                <w:color w:val="auto"/>
                <w:sz w:val="22"/>
                <w:szCs w:val="21"/>
                <w:highlight w:val="none"/>
              </w:rPr>
            </w:pPr>
          </w:p>
        </w:tc>
        <w:tc>
          <w:tcPr>
            <w:tcW w:w="2187" w:type="dxa"/>
            <w:noWrap w:val="0"/>
            <w:vAlign w:val="center"/>
          </w:tcPr>
          <w:p w14:paraId="58322105">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投标函签字盖章</w:t>
            </w:r>
          </w:p>
        </w:tc>
        <w:tc>
          <w:tcPr>
            <w:tcW w:w="5423" w:type="dxa"/>
            <w:noWrap w:val="0"/>
            <w:vAlign w:val="center"/>
          </w:tcPr>
          <w:p w14:paraId="1D1F75C9">
            <w:pPr>
              <w:widowControl/>
              <w:autoSpaceDE w:val="0"/>
              <w:autoSpaceDN w:val="0"/>
              <w:adjustRightInd w:val="0"/>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有法定代表人或其委托代理人签字并加盖单位章</w:t>
            </w:r>
          </w:p>
        </w:tc>
      </w:tr>
      <w:tr w14:paraId="7AF7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30" w:type="dxa"/>
            <w:vMerge w:val="continue"/>
            <w:noWrap w:val="0"/>
            <w:vAlign w:val="center"/>
          </w:tcPr>
          <w:p w14:paraId="7B5EDCF6">
            <w:pPr>
              <w:rPr>
                <w:rFonts w:hint="eastAsia" w:ascii="宋体" w:hAnsi="宋体" w:eastAsia="宋体" w:cs="宋体"/>
                <w:color w:val="auto"/>
                <w:sz w:val="22"/>
                <w:szCs w:val="21"/>
                <w:highlight w:val="none"/>
              </w:rPr>
            </w:pPr>
          </w:p>
        </w:tc>
        <w:tc>
          <w:tcPr>
            <w:tcW w:w="1063" w:type="dxa"/>
            <w:vMerge w:val="continue"/>
            <w:noWrap w:val="0"/>
            <w:vAlign w:val="center"/>
          </w:tcPr>
          <w:p w14:paraId="0112F792">
            <w:pPr>
              <w:rPr>
                <w:rFonts w:hint="eastAsia" w:ascii="宋体" w:hAnsi="宋体" w:eastAsia="宋体" w:cs="宋体"/>
                <w:color w:val="auto"/>
                <w:sz w:val="22"/>
                <w:szCs w:val="21"/>
                <w:highlight w:val="none"/>
              </w:rPr>
            </w:pPr>
          </w:p>
        </w:tc>
        <w:tc>
          <w:tcPr>
            <w:tcW w:w="2187" w:type="dxa"/>
            <w:noWrap w:val="0"/>
            <w:vAlign w:val="center"/>
          </w:tcPr>
          <w:p w14:paraId="5CFA3694">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投标文件格式</w:t>
            </w:r>
          </w:p>
        </w:tc>
        <w:tc>
          <w:tcPr>
            <w:tcW w:w="5423" w:type="dxa"/>
            <w:noWrap w:val="0"/>
            <w:vAlign w:val="center"/>
          </w:tcPr>
          <w:p w14:paraId="036EAF6D">
            <w:pPr>
              <w:widowControl/>
              <w:autoSpaceDE w:val="0"/>
              <w:autoSpaceDN w:val="0"/>
              <w:adjustRightInd w:val="0"/>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符合“投标文件格式”的要求</w:t>
            </w:r>
          </w:p>
        </w:tc>
      </w:tr>
      <w:tr w14:paraId="326B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30" w:type="dxa"/>
            <w:vMerge w:val="continue"/>
            <w:noWrap w:val="0"/>
            <w:vAlign w:val="center"/>
          </w:tcPr>
          <w:p w14:paraId="7B1C45D4">
            <w:pPr>
              <w:rPr>
                <w:rFonts w:hint="eastAsia" w:ascii="宋体" w:hAnsi="宋体" w:eastAsia="宋体" w:cs="宋体"/>
                <w:color w:val="auto"/>
                <w:sz w:val="22"/>
                <w:szCs w:val="21"/>
                <w:highlight w:val="none"/>
              </w:rPr>
            </w:pPr>
          </w:p>
        </w:tc>
        <w:tc>
          <w:tcPr>
            <w:tcW w:w="1063" w:type="dxa"/>
            <w:vMerge w:val="continue"/>
            <w:noWrap w:val="0"/>
            <w:vAlign w:val="center"/>
          </w:tcPr>
          <w:p w14:paraId="33F9F5EB">
            <w:pPr>
              <w:rPr>
                <w:rFonts w:hint="eastAsia" w:ascii="宋体" w:hAnsi="宋体" w:eastAsia="宋体" w:cs="宋体"/>
                <w:color w:val="auto"/>
                <w:sz w:val="22"/>
                <w:szCs w:val="21"/>
                <w:highlight w:val="none"/>
              </w:rPr>
            </w:pPr>
          </w:p>
        </w:tc>
        <w:tc>
          <w:tcPr>
            <w:tcW w:w="2187" w:type="dxa"/>
            <w:noWrap w:val="0"/>
            <w:vAlign w:val="center"/>
          </w:tcPr>
          <w:p w14:paraId="163D0ED1">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报价唯一</w:t>
            </w:r>
          </w:p>
        </w:tc>
        <w:tc>
          <w:tcPr>
            <w:tcW w:w="5423" w:type="dxa"/>
            <w:noWrap w:val="0"/>
            <w:vAlign w:val="center"/>
          </w:tcPr>
          <w:p w14:paraId="2F2CC5E2">
            <w:pPr>
              <w:widowControl/>
              <w:autoSpaceDE w:val="0"/>
              <w:autoSpaceDN w:val="0"/>
              <w:adjustRightInd w:val="0"/>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只能有一个有效报价</w:t>
            </w:r>
          </w:p>
        </w:tc>
      </w:tr>
      <w:tr w14:paraId="6D89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0" w:type="dxa"/>
            <w:vMerge w:val="restart"/>
            <w:noWrap w:val="0"/>
            <w:vAlign w:val="center"/>
          </w:tcPr>
          <w:p w14:paraId="4BE5A80B">
            <w:pPr>
              <w:widowControl/>
              <w:autoSpaceDE w:val="0"/>
              <w:autoSpaceDN w:val="0"/>
              <w:adjustRightInd w:val="0"/>
              <w:jc w:val="center"/>
              <w:rPr>
                <w:rFonts w:hint="default" w:ascii="宋体" w:hAnsi="宋体" w:eastAsia="宋体" w:cs="宋体"/>
                <w:color w:val="auto"/>
                <w:kern w:val="0"/>
                <w:sz w:val="22"/>
                <w:szCs w:val="21"/>
                <w:highlight w:val="none"/>
                <w:lang w:val="en-US" w:eastAsia="zh-CN"/>
              </w:rPr>
            </w:pPr>
            <w:r>
              <w:rPr>
                <w:rFonts w:hint="eastAsia" w:ascii="宋体" w:hAnsi="宋体" w:eastAsia="宋体" w:cs="宋体"/>
                <w:color w:val="auto"/>
                <w:kern w:val="0"/>
                <w:sz w:val="22"/>
                <w:szCs w:val="21"/>
                <w:highlight w:val="none"/>
                <w:lang w:val="en-US" w:eastAsia="zh-CN"/>
              </w:rPr>
              <w:t>2</w:t>
            </w:r>
          </w:p>
        </w:tc>
        <w:tc>
          <w:tcPr>
            <w:tcW w:w="1063" w:type="dxa"/>
            <w:vMerge w:val="restart"/>
            <w:noWrap w:val="0"/>
            <w:vAlign w:val="center"/>
          </w:tcPr>
          <w:p w14:paraId="49F5BBAD">
            <w:pPr>
              <w:widowControl/>
              <w:autoSpaceDE w:val="0"/>
              <w:autoSpaceDN w:val="0"/>
              <w:adjustRightInd w:val="0"/>
              <w:jc w:val="center"/>
              <w:rPr>
                <w:rFonts w:hint="eastAsia" w:ascii="宋体" w:hAnsi="宋体" w:eastAsia="宋体" w:cs="宋体"/>
                <w:color w:val="auto"/>
                <w:sz w:val="21"/>
                <w:szCs w:val="21"/>
              </w:rPr>
            </w:pPr>
            <w:r>
              <w:rPr>
                <w:rFonts w:hint="eastAsia" w:ascii="宋体" w:hAnsi="宋体" w:eastAsia="宋体" w:cs="宋体"/>
                <w:color w:val="auto"/>
                <w:kern w:val="0"/>
                <w:sz w:val="22"/>
                <w:szCs w:val="21"/>
                <w:highlight w:val="none"/>
                <w:lang w:val="en-US" w:eastAsia="zh-CN"/>
              </w:rPr>
              <w:t>资格</w:t>
            </w:r>
            <w:r>
              <w:rPr>
                <w:rFonts w:hint="eastAsia" w:ascii="宋体" w:hAnsi="宋体" w:eastAsia="宋体" w:cs="宋体"/>
                <w:color w:val="auto"/>
                <w:kern w:val="0"/>
                <w:sz w:val="22"/>
                <w:szCs w:val="21"/>
                <w:highlight w:val="none"/>
              </w:rPr>
              <w:t>性评审标准</w:t>
            </w:r>
          </w:p>
        </w:tc>
        <w:tc>
          <w:tcPr>
            <w:tcW w:w="2187" w:type="dxa"/>
            <w:shd w:val="clear" w:color="auto" w:fill="auto"/>
            <w:noWrap w:val="0"/>
            <w:vAlign w:val="center"/>
          </w:tcPr>
          <w:p w14:paraId="73BF6DE8">
            <w:pPr>
              <w:widowControl/>
              <w:autoSpaceDE w:val="0"/>
              <w:autoSpaceDN w:val="0"/>
              <w:adjustRightInd w:val="0"/>
              <w:jc w:val="center"/>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rPr>
              <w:t>满足《中华人民共和国政府采购法》第二十二条的规定</w:t>
            </w:r>
          </w:p>
        </w:tc>
        <w:tc>
          <w:tcPr>
            <w:tcW w:w="5423" w:type="dxa"/>
            <w:shd w:val="clear" w:color="auto" w:fill="auto"/>
            <w:noWrap w:val="0"/>
            <w:vAlign w:val="center"/>
          </w:tcPr>
          <w:p w14:paraId="6C37B72F">
            <w:pPr>
              <w:jc w:val="left"/>
              <w:rPr>
                <w:rFonts w:hint="eastAsia" w:ascii="宋体" w:hAnsi="宋体" w:eastAsia="宋体" w:cs="宋体"/>
                <w:color w:val="auto"/>
                <w:kern w:val="0"/>
                <w:sz w:val="22"/>
                <w:szCs w:val="21"/>
                <w:highlight w:val="none"/>
                <w:lang w:val="en-US" w:eastAsia="en-US" w:bidi="ar-SA"/>
              </w:rPr>
            </w:pPr>
            <w:r>
              <w:rPr>
                <w:rFonts w:hint="eastAsia" w:ascii="宋体" w:hAnsi="宋体" w:eastAsia="宋体" w:cs="宋体"/>
                <w:color w:val="auto"/>
                <w:sz w:val="22"/>
                <w:szCs w:val="22"/>
                <w:highlight w:val="none"/>
              </w:rPr>
              <w:t>满足《中华人民共和国政府采购法》第二十二条的规定</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相关证明资料或承诺</w:t>
            </w:r>
            <w:r>
              <w:rPr>
                <w:rFonts w:hint="eastAsia" w:ascii="宋体" w:hAnsi="宋体" w:cs="宋体"/>
                <w:color w:val="auto"/>
                <w:sz w:val="22"/>
                <w:szCs w:val="22"/>
                <w:highlight w:val="none"/>
                <w:lang w:eastAsia="zh-CN"/>
              </w:rPr>
              <w:t>）</w:t>
            </w:r>
          </w:p>
        </w:tc>
      </w:tr>
      <w:tr w14:paraId="5B9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0" w:type="dxa"/>
            <w:vMerge w:val="continue"/>
            <w:noWrap w:val="0"/>
            <w:vAlign w:val="center"/>
          </w:tcPr>
          <w:p w14:paraId="3ADAFE01">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57FAE3C1">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4B4FA89E">
            <w:pPr>
              <w:pStyle w:val="18"/>
              <w:spacing w:line="276" w:lineRule="auto"/>
              <w:ind w:firstLine="0" w:firstLineChars="0"/>
              <w:jc w:val="center"/>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rPr>
              <w:t>营业执照</w:t>
            </w:r>
          </w:p>
        </w:tc>
        <w:tc>
          <w:tcPr>
            <w:tcW w:w="5423" w:type="dxa"/>
            <w:noWrap w:val="0"/>
            <w:vAlign w:val="center"/>
          </w:tcPr>
          <w:p w14:paraId="6DAE8D0B">
            <w:pPr>
              <w:jc w:val="left"/>
              <w:rPr>
                <w:rFonts w:hint="eastAsia" w:ascii="宋体" w:hAnsi="宋体" w:eastAsia="宋体" w:cs="宋体"/>
                <w:color w:val="auto"/>
                <w:kern w:val="0"/>
                <w:sz w:val="22"/>
                <w:szCs w:val="21"/>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val="en-US" w:eastAsia="zh-CN"/>
              </w:rPr>
              <w:t>需具有独立法人资格，具有有效的营业执照；</w:t>
            </w:r>
          </w:p>
        </w:tc>
      </w:tr>
      <w:tr w14:paraId="092D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0" w:type="dxa"/>
            <w:vMerge w:val="continue"/>
            <w:noWrap w:val="0"/>
            <w:vAlign w:val="center"/>
          </w:tcPr>
          <w:p w14:paraId="72029F4A">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7EDB7B5D">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16441911">
            <w:pPr>
              <w:pStyle w:val="18"/>
              <w:spacing w:line="276"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lang w:val="en-US" w:eastAsia="zh-CN"/>
              </w:rPr>
              <w:t>提供证明材料或承诺书</w:t>
            </w:r>
          </w:p>
        </w:tc>
        <w:tc>
          <w:tcPr>
            <w:tcW w:w="5423" w:type="dxa"/>
            <w:noWrap w:val="0"/>
            <w:vAlign w:val="center"/>
          </w:tcPr>
          <w:p w14:paraId="07F0D2CC">
            <w:pPr>
              <w:keepNext w:val="0"/>
              <w:keepLines w:val="0"/>
              <w:pageBreakBefore w:val="0"/>
              <w:widowControl/>
              <w:kinsoku/>
              <w:overflowPunct/>
              <w:topLinePunct w:val="0"/>
              <w:autoSpaceDN/>
              <w:bidi w:val="0"/>
              <w:adjustRightInd w:val="0"/>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lang w:val="en-US" w:eastAsia="zh-CN"/>
              </w:rPr>
              <w:t>具有履行合同所必需的设备和专业技术能力；</w:t>
            </w:r>
          </w:p>
        </w:tc>
      </w:tr>
      <w:tr w14:paraId="1A40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0" w:type="dxa"/>
            <w:vMerge w:val="continue"/>
            <w:noWrap w:val="0"/>
            <w:vAlign w:val="center"/>
          </w:tcPr>
          <w:p w14:paraId="2C3686CF">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5472BA6D">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1AE714C8">
            <w:pPr>
              <w:pStyle w:val="18"/>
              <w:spacing w:line="276" w:lineRule="auto"/>
              <w:ind w:firstLine="0" w:firstLineChars="0"/>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具有良好的商业信誉和健全的财务会计制度；</w:t>
            </w:r>
          </w:p>
        </w:tc>
        <w:tc>
          <w:tcPr>
            <w:tcW w:w="5423" w:type="dxa"/>
            <w:noWrap w:val="0"/>
            <w:vAlign w:val="center"/>
          </w:tcPr>
          <w:p w14:paraId="7AB6DE62">
            <w:pPr>
              <w:keepNext w:val="0"/>
              <w:keepLines w:val="0"/>
              <w:pageBreakBefore w:val="0"/>
              <w:widowControl/>
              <w:kinsoku/>
              <w:overflowPunct/>
              <w:topLinePunct w:val="0"/>
              <w:autoSpaceDN/>
              <w:bidi w:val="0"/>
              <w:adjustRightInd w:val="0"/>
              <w:snapToGrid w:val="0"/>
              <w:spacing w:line="360" w:lineRule="auto"/>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提供2022年-2024年度任意一年第三方审计机构出具的财务报告（新成立公司无审计报告应附最新的财务报表及说明）</w:t>
            </w:r>
          </w:p>
        </w:tc>
      </w:tr>
      <w:tr w14:paraId="08ED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0" w:type="dxa"/>
            <w:vMerge w:val="continue"/>
            <w:noWrap w:val="0"/>
            <w:vAlign w:val="center"/>
          </w:tcPr>
          <w:p w14:paraId="6B79C052">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29C73130">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0723DE7F">
            <w:pPr>
              <w:pStyle w:val="18"/>
              <w:spacing w:line="276" w:lineRule="auto"/>
              <w:ind w:firstLine="0" w:firstLineChars="0"/>
              <w:jc w:val="center"/>
              <w:rPr>
                <w:rFonts w:hint="default" w:ascii="宋体"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社保和税收</w:t>
            </w:r>
          </w:p>
        </w:tc>
        <w:tc>
          <w:tcPr>
            <w:tcW w:w="5423" w:type="dxa"/>
            <w:noWrap w:val="0"/>
            <w:vAlign w:val="center"/>
          </w:tcPr>
          <w:p w14:paraId="6753BFCB">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highlight w:val="none"/>
                <w:lang w:val="en-US" w:eastAsia="zh-CN" w:bidi="ar-SA"/>
              </w:rPr>
              <w:t>依法缴纳税收（提供2025年01月以来任意一个月企业依法缴纳税收证明材料）和缴纳社会保障资金（提供2025年01月以来连续三个月拟派项目负责人依法缴纳社保证明材料）；</w:t>
            </w:r>
          </w:p>
        </w:tc>
      </w:tr>
      <w:tr w14:paraId="5FB6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30" w:type="dxa"/>
            <w:vMerge w:val="continue"/>
            <w:noWrap w:val="0"/>
            <w:vAlign w:val="center"/>
          </w:tcPr>
          <w:p w14:paraId="4166D710">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45E9E9B4">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0572E059">
            <w:pPr>
              <w:pStyle w:val="18"/>
              <w:spacing w:line="260" w:lineRule="exact"/>
              <w:ind w:firstLine="0" w:firstLineChars="0"/>
              <w:jc w:val="center"/>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rPr>
              <w:t>无行贿犯罪记录</w:t>
            </w:r>
          </w:p>
        </w:tc>
        <w:tc>
          <w:tcPr>
            <w:tcW w:w="5423" w:type="dxa"/>
            <w:noWrap w:val="0"/>
            <w:vAlign w:val="center"/>
          </w:tcPr>
          <w:p w14:paraId="1B973FB5">
            <w:pPr>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2"/>
                <w:highlight w:val="none"/>
                <w:lang w:val="en-US" w:eastAsia="zh-CN" w:bidi="ar-SA"/>
              </w:rPr>
              <w:t>参加政府采购活动前3年内无行贿犯罪记录，（开标时提供《中国裁判文书网》查询结果网页截图或企业自行承诺的无行贿犯罪承诺书，查询&lt;承诺&gt;对象为“企业，法定代表人，项目负责人”）；</w:t>
            </w:r>
          </w:p>
        </w:tc>
      </w:tr>
      <w:tr w14:paraId="6ADE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0" w:type="dxa"/>
            <w:vMerge w:val="continue"/>
            <w:noWrap w:val="0"/>
            <w:vAlign w:val="center"/>
          </w:tcPr>
          <w:p w14:paraId="763D6A26">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1B916792">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1478E8F2">
            <w:pPr>
              <w:pStyle w:val="18"/>
              <w:spacing w:line="260" w:lineRule="exact"/>
              <w:ind w:firstLine="0" w:firstLineChars="0"/>
              <w:jc w:val="center"/>
              <w:rPr>
                <w:rFonts w:hint="eastAsia" w:ascii="宋体" w:hAnsi="宋体" w:eastAsia="宋体" w:cs="宋体"/>
                <w:color w:val="auto"/>
                <w:kern w:val="0"/>
                <w:sz w:val="22"/>
                <w:szCs w:val="21"/>
                <w:highlight w:val="none"/>
                <w:lang w:val="en-US" w:eastAsia="zh-CN" w:bidi="ar-SA"/>
              </w:rPr>
            </w:pPr>
            <w:r>
              <w:rPr>
                <w:rFonts w:hint="eastAsia" w:ascii="宋体" w:hAnsi="宋体" w:cs="宋体"/>
                <w:color w:val="auto"/>
                <w:sz w:val="22"/>
                <w:szCs w:val="22"/>
                <w:highlight w:val="none"/>
                <w:lang w:val="en-US" w:eastAsia="zh-CN"/>
              </w:rPr>
              <w:t>无</w:t>
            </w:r>
            <w:r>
              <w:rPr>
                <w:rFonts w:hint="eastAsia" w:ascii="宋体" w:hAnsi="宋体" w:eastAsia="宋体" w:cs="宋体"/>
                <w:color w:val="auto"/>
                <w:sz w:val="22"/>
                <w:szCs w:val="22"/>
                <w:highlight w:val="none"/>
              </w:rPr>
              <w:t>商业贿赂及无不正当竞争行为的承诺书</w:t>
            </w:r>
          </w:p>
        </w:tc>
        <w:tc>
          <w:tcPr>
            <w:tcW w:w="5423" w:type="dxa"/>
            <w:noWrap w:val="0"/>
            <w:vAlign w:val="center"/>
          </w:tcPr>
          <w:p w14:paraId="3A67317F">
            <w:pPr>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2"/>
                <w:highlight w:val="none"/>
                <w:lang w:val="en-US" w:eastAsia="zh-CN" w:bidi="ar-SA"/>
              </w:rPr>
              <w:t>参加政府采购活动前3年内无商业贿赂、不正当竞争行为、骗取中标、严重违约及重大项目质量等问题（供应商须自行出具承诺书）</w:t>
            </w:r>
          </w:p>
        </w:tc>
      </w:tr>
      <w:tr w14:paraId="5759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0" w:type="dxa"/>
            <w:vMerge w:val="continue"/>
            <w:noWrap w:val="0"/>
            <w:vAlign w:val="center"/>
          </w:tcPr>
          <w:p w14:paraId="11A21684">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140AB315">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3E16DEC8">
            <w:pPr>
              <w:pStyle w:val="18"/>
              <w:spacing w:line="260" w:lineRule="exact"/>
              <w:ind w:firstLine="0" w:firstLineChars="0"/>
              <w:jc w:val="center"/>
              <w:rPr>
                <w:rFonts w:hint="default"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网站截图</w:t>
            </w:r>
          </w:p>
        </w:tc>
        <w:tc>
          <w:tcPr>
            <w:tcW w:w="5423" w:type="dxa"/>
            <w:noWrap w:val="0"/>
            <w:vAlign w:val="center"/>
          </w:tcPr>
          <w:p w14:paraId="04D2F67E">
            <w:pPr>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5FB0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30" w:type="dxa"/>
            <w:vMerge w:val="continue"/>
            <w:noWrap w:val="0"/>
            <w:vAlign w:val="center"/>
          </w:tcPr>
          <w:p w14:paraId="1D3BFAF0">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66CE3072">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058BE53D">
            <w:pPr>
              <w:pStyle w:val="18"/>
              <w:spacing w:line="260" w:lineRule="exact"/>
              <w:ind w:firstLine="0" w:firstLineChars="0"/>
              <w:jc w:val="center"/>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控股关系</w:t>
            </w:r>
          </w:p>
        </w:tc>
        <w:tc>
          <w:tcPr>
            <w:tcW w:w="5423" w:type="dxa"/>
            <w:noWrap w:val="0"/>
            <w:vAlign w:val="center"/>
          </w:tcPr>
          <w:p w14:paraId="06EBAB4B">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kern w:val="0"/>
                <w:sz w:val="22"/>
                <w:szCs w:val="21"/>
                <w:highlight w:val="none"/>
              </w:rPr>
            </w:pPr>
            <w:r>
              <w:rPr>
                <w:rFonts w:hint="eastAsia" w:ascii="宋体" w:hAnsi="宋体" w:eastAsia="宋体" w:cs="宋体"/>
                <w:color w:val="auto"/>
                <w:sz w:val="22"/>
                <w:szCs w:val="22"/>
                <w:highlight w:val="none"/>
                <w:lang w:val="en-US" w:eastAsia="zh-CN"/>
              </w:rPr>
              <w:t>单位负责人为同一人或者存在控股、管理关系的不同单位，不得参加同一标段投标（提供“国家企业信用信息公示系统” http://www.gsxt.gov.cn/index.html网页查询,需包含公司基本信息、股东信息及股权变更信息内容，查询日期为本公告发布之日起）。</w:t>
            </w:r>
          </w:p>
        </w:tc>
      </w:tr>
      <w:tr w14:paraId="2FA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30" w:type="dxa"/>
            <w:vMerge w:val="continue"/>
            <w:noWrap w:val="0"/>
            <w:vAlign w:val="center"/>
          </w:tcPr>
          <w:p w14:paraId="4FEF105A">
            <w:pPr>
              <w:widowControl/>
              <w:autoSpaceDE w:val="0"/>
              <w:autoSpaceDN w:val="0"/>
              <w:adjustRightInd w:val="0"/>
              <w:jc w:val="center"/>
              <w:rPr>
                <w:rFonts w:hint="eastAsia" w:ascii="宋体" w:hAnsi="宋体" w:eastAsia="宋体" w:cs="宋体"/>
                <w:color w:val="auto"/>
                <w:kern w:val="0"/>
                <w:sz w:val="22"/>
                <w:szCs w:val="21"/>
                <w:highlight w:val="none"/>
                <w:lang w:val="en-US" w:eastAsia="zh-CN"/>
              </w:rPr>
            </w:pPr>
          </w:p>
        </w:tc>
        <w:tc>
          <w:tcPr>
            <w:tcW w:w="1063" w:type="dxa"/>
            <w:vMerge w:val="continue"/>
            <w:noWrap w:val="0"/>
            <w:vAlign w:val="center"/>
          </w:tcPr>
          <w:p w14:paraId="05D3EF22">
            <w:pPr>
              <w:widowControl/>
              <w:autoSpaceDE w:val="0"/>
              <w:autoSpaceDN w:val="0"/>
              <w:adjustRightInd w:val="0"/>
              <w:jc w:val="center"/>
              <w:rPr>
                <w:rFonts w:hint="eastAsia" w:ascii="宋体" w:hAnsi="宋体" w:eastAsia="宋体" w:cs="宋体"/>
                <w:color w:val="auto"/>
                <w:kern w:val="0"/>
                <w:sz w:val="22"/>
                <w:szCs w:val="21"/>
                <w:highlight w:val="none"/>
              </w:rPr>
            </w:pPr>
          </w:p>
        </w:tc>
        <w:tc>
          <w:tcPr>
            <w:tcW w:w="2187" w:type="dxa"/>
            <w:noWrap w:val="0"/>
            <w:vAlign w:val="center"/>
          </w:tcPr>
          <w:p w14:paraId="28828FB6">
            <w:pPr>
              <w:widowControl/>
              <w:autoSpaceDE w:val="0"/>
              <w:autoSpaceDN w:val="0"/>
              <w:adjustRightInd w:val="0"/>
              <w:jc w:val="center"/>
              <w:rPr>
                <w:rFonts w:hint="default" w:ascii="宋体" w:hAnsi="宋体" w:eastAsia="宋体" w:cs="宋体"/>
                <w:color w:val="auto"/>
                <w:kern w:val="0"/>
                <w:sz w:val="22"/>
                <w:szCs w:val="21"/>
                <w:highlight w:val="none"/>
                <w:lang w:val="en-US" w:eastAsia="zh-CN"/>
              </w:rPr>
            </w:pPr>
            <w:r>
              <w:rPr>
                <w:rFonts w:hint="eastAsia" w:ascii="宋体" w:hAnsi="宋体" w:eastAsia="宋体" w:cs="宋体"/>
                <w:color w:val="auto"/>
                <w:kern w:val="0"/>
                <w:sz w:val="22"/>
                <w:szCs w:val="21"/>
                <w:highlight w:val="none"/>
                <w:lang w:val="en-US" w:eastAsia="zh-CN"/>
              </w:rPr>
              <w:t>其它</w:t>
            </w:r>
          </w:p>
        </w:tc>
        <w:tc>
          <w:tcPr>
            <w:tcW w:w="5423" w:type="dxa"/>
            <w:noWrap w:val="0"/>
            <w:vAlign w:val="center"/>
          </w:tcPr>
          <w:p w14:paraId="325F71A3">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1、本项目不接受联合体投标；</w:t>
            </w:r>
          </w:p>
          <w:p w14:paraId="4C4D3FD7">
            <w:pPr>
              <w:jc w:val="left"/>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2"/>
                <w:highlight w:val="none"/>
                <w:lang w:val="en-US" w:eastAsia="zh-CN" w:bidi="ar-SA"/>
              </w:rPr>
              <w:t>2、本次招标实行资格后审；</w:t>
            </w:r>
          </w:p>
        </w:tc>
      </w:tr>
      <w:tr w14:paraId="1511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30" w:type="dxa"/>
            <w:vMerge w:val="restart"/>
            <w:noWrap w:val="0"/>
            <w:vAlign w:val="center"/>
          </w:tcPr>
          <w:p w14:paraId="54CBE105">
            <w:pPr>
              <w:widowControl/>
              <w:autoSpaceDE w:val="0"/>
              <w:autoSpaceDN w:val="0"/>
              <w:adjustRightInd w:val="0"/>
              <w:jc w:val="center"/>
              <w:rPr>
                <w:rFonts w:hint="eastAsia" w:ascii="宋体" w:hAnsi="宋体" w:eastAsia="宋体" w:cs="宋体"/>
                <w:color w:val="auto"/>
                <w:kern w:val="0"/>
                <w:sz w:val="22"/>
                <w:szCs w:val="21"/>
                <w:highlight w:val="none"/>
                <w:lang w:eastAsia="zh-CN"/>
              </w:rPr>
            </w:pPr>
            <w:r>
              <w:rPr>
                <w:rFonts w:hint="eastAsia" w:ascii="宋体" w:hAnsi="宋体" w:eastAsia="宋体" w:cs="宋体"/>
                <w:color w:val="auto"/>
                <w:kern w:val="0"/>
                <w:sz w:val="22"/>
                <w:szCs w:val="21"/>
                <w:highlight w:val="none"/>
                <w:lang w:val="en-US" w:eastAsia="zh-CN"/>
              </w:rPr>
              <w:t>3</w:t>
            </w:r>
          </w:p>
        </w:tc>
        <w:tc>
          <w:tcPr>
            <w:tcW w:w="1063" w:type="dxa"/>
            <w:vMerge w:val="restart"/>
            <w:noWrap w:val="0"/>
            <w:vAlign w:val="center"/>
          </w:tcPr>
          <w:p w14:paraId="02DFED34">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响应性</w:t>
            </w:r>
          </w:p>
          <w:p w14:paraId="5372A7C9">
            <w:pPr>
              <w:widowControl/>
              <w:autoSpaceDE w:val="0"/>
              <w:autoSpaceDN w:val="0"/>
              <w:adjustRightInd w:val="0"/>
              <w:jc w:val="center"/>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评审标准</w:t>
            </w:r>
          </w:p>
        </w:tc>
        <w:tc>
          <w:tcPr>
            <w:tcW w:w="2187" w:type="dxa"/>
            <w:noWrap w:val="0"/>
            <w:vAlign w:val="center"/>
          </w:tcPr>
          <w:p w14:paraId="52746F76">
            <w:pPr>
              <w:widowControl/>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投标内容</w:t>
            </w:r>
          </w:p>
        </w:tc>
        <w:tc>
          <w:tcPr>
            <w:tcW w:w="5423" w:type="dxa"/>
            <w:noWrap w:val="0"/>
            <w:vAlign w:val="center"/>
          </w:tcPr>
          <w:p w14:paraId="24024965">
            <w:pPr>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TW" w:eastAsia="zh-CN" w:bidi="ar-SA"/>
              </w:rPr>
              <w:t>符合第三章“采购内容及要求”规定</w:t>
            </w:r>
          </w:p>
        </w:tc>
      </w:tr>
      <w:tr w14:paraId="0EA7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30" w:type="dxa"/>
            <w:vMerge w:val="continue"/>
            <w:noWrap w:val="0"/>
            <w:vAlign w:val="center"/>
          </w:tcPr>
          <w:p w14:paraId="6636FB4E">
            <w:pPr>
              <w:rPr>
                <w:rFonts w:hint="eastAsia" w:ascii="宋体" w:hAnsi="宋体" w:eastAsia="宋体" w:cs="宋体"/>
                <w:color w:val="auto"/>
                <w:sz w:val="22"/>
                <w:szCs w:val="21"/>
                <w:highlight w:val="none"/>
              </w:rPr>
            </w:pPr>
          </w:p>
        </w:tc>
        <w:tc>
          <w:tcPr>
            <w:tcW w:w="1063" w:type="dxa"/>
            <w:vMerge w:val="continue"/>
            <w:noWrap w:val="0"/>
            <w:vAlign w:val="center"/>
          </w:tcPr>
          <w:p w14:paraId="6D13A9A9">
            <w:pPr>
              <w:rPr>
                <w:rFonts w:hint="eastAsia" w:ascii="宋体" w:hAnsi="宋体" w:eastAsia="宋体" w:cs="宋体"/>
                <w:color w:val="auto"/>
                <w:sz w:val="22"/>
                <w:szCs w:val="21"/>
                <w:highlight w:val="none"/>
              </w:rPr>
            </w:pPr>
          </w:p>
        </w:tc>
        <w:tc>
          <w:tcPr>
            <w:tcW w:w="2187" w:type="dxa"/>
            <w:noWrap w:val="0"/>
            <w:vAlign w:val="center"/>
          </w:tcPr>
          <w:p w14:paraId="41684336">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供货期</w:t>
            </w:r>
          </w:p>
        </w:tc>
        <w:tc>
          <w:tcPr>
            <w:tcW w:w="5423" w:type="dxa"/>
            <w:noWrap w:val="0"/>
            <w:vAlign w:val="center"/>
          </w:tcPr>
          <w:p w14:paraId="612E1E30">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符合第二章“供应商须知”规定</w:t>
            </w:r>
          </w:p>
        </w:tc>
      </w:tr>
      <w:tr w14:paraId="313B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30" w:type="dxa"/>
            <w:vMerge w:val="continue"/>
            <w:noWrap w:val="0"/>
            <w:vAlign w:val="center"/>
          </w:tcPr>
          <w:p w14:paraId="71EBE9B2">
            <w:pPr>
              <w:rPr>
                <w:rFonts w:hint="eastAsia" w:ascii="宋体" w:hAnsi="宋体" w:eastAsia="宋体" w:cs="宋体"/>
                <w:color w:val="auto"/>
                <w:sz w:val="22"/>
                <w:szCs w:val="21"/>
                <w:highlight w:val="none"/>
              </w:rPr>
            </w:pPr>
          </w:p>
        </w:tc>
        <w:tc>
          <w:tcPr>
            <w:tcW w:w="1063" w:type="dxa"/>
            <w:vMerge w:val="continue"/>
            <w:noWrap w:val="0"/>
            <w:vAlign w:val="center"/>
          </w:tcPr>
          <w:p w14:paraId="38465D57">
            <w:pPr>
              <w:rPr>
                <w:rFonts w:hint="eastAsia" w:ascii="宋体" w:hAnsi="宋体" w:eastAsia="宋体" w:cs="宋体"/>
                <w:color w:val="auto"/>
                <w:sz w:val="22"/>
                <w:szCs w:val="21"/>
                <w:highlight w:val="none"/>
              </w:rPr>
            </w:pPr>
          </w:p>
        </w:tc>
        <w:tc>
          <w:tcPr>
            <w:tcW w:w="2187" w:type="dxa"/>
            <w:noWrap w:val="0"/>
            <w:vAlign w:val="center"/>
          </w:tcPr>
          <w:p w14:paraId="31AAF229">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质保期</w:t>
            </w:r>
          </w:p>
        </w:tc>
        <w:tc>
          <w:tcPr>
            <w:tcW w:w="5423" w:type="dxa"/>
            <w:noWrap w:val="0"/>
            <w:vAlign w:val="center"/>
          </w:tcPr>
          <w:p w14:paraId="15B86A53">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符合第二章“供应商须知”规定</w:t>
            </w:r>
          </w:p>
        </w:tc>
      </w:tr>
      <w:tr w14:paraId="693A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0" w:type="dxa"/>
            <w:vMerge w:val="continue"/>
            <w:noWrap w:val="0"/>
            <w:vAlign w:val="center"/>
          </w:tcPr>
          <w:p w14:paraId="141EC59A">
            <w:pPr>
              <w:rPr>
                <w:rFonts w:hint="eastAsia" w:ascii="宋体" w:hAnsi="宋体" w:eastAsia="宋体" w:cs="宋体"/>
                <w:color w:val="auto"/>
                <w:sz w:val="22"/>
                <w:szCs w:val="21"/>
                <w:highlight w:val="none"/>
              </w:rPr>
            </w:pPr>
          </w:p>
        </w:tc>
        <w:tc>
          <w:tcPr>
            <w:tcW w:w="1063" w:type="dxa"/>
            <w:vMerge w:val="continue"/>
            <w:noWrap w:val="0"/>
            <w:vAlign w:val="center"/>
          </w:tcPr>
          <w:p w14:paraId="091C5551">
            <w:pPr>
              <w:rPr>
                <w:rFonts w:hint="eastAsia" w:ascii="宋体" w:hAnsi="宋体" w:eastAsia="宋体" w:cs="宋体"/>
                <w:color w:val="auto"/>
                <w:sz w:val="22"/>
                <w:szCs w:val="21"/>
                <w:highlight w:val="none"/>
              </w:rPr>
            </w:pPr>
          </w:p>
        </w:tc>
        <w:tc>
          <w:tcPr>
            <w:tcW w:w="2187" w:type="dxa"/>
            <w:noWrap w:val="0"/>
            <w:vAlign w:val="center"/>
          </w:tcPr>
          <w:p w14:paraId="6E13D26C">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质量要求</w:t>
            </w:r>
          </w:p>
        </w:tc>
        <w:tc>
          <w:tcPr>
            <w:tcW w:w="5423" w:type="dxa"/>
            <w:noWrap w:val="0"/>
            <w:vAlign w:val="center"/>
          </w:tcPr>
          <w:p w14:paraId="2AC2FB9B">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符合第二章“供应商须知”规定</w:t>
            </w:r>
          </w:p>
        </w:tc>
      </w:tr>
      <w:tr w14:paraId="0A10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0" w:type="dxa"/>
            <w:vMerge w:val="continue"/>
            <w:noWrap w:val="0"/>
            <w:vAlign w:val="center"/>
          </w:tcPr>
          <w:p w14:paraId="7DD35836">
            <w:pPr>
              <w:rPr>
                <w:rFonts w:hint="eastAsia" w:ascii="宋体" w:hAnsi="宋体" w:eastAsia="宋体" w:cs="宋体"/>
                <w:color w:val="auto"/>
                <w:sz w:val="22"/>
                <w:szCs w:val="21"/>
                <w:highlight w:val="none"/>
              </w:rPr>
            </w:pPr>
          </w:p>
        </w:tc>
        <w:tc>
          <w:tcPr>
            <w:tcW w:w="1063" w:type="dxa"/>
            <w:vMerge w:val="continue"/>
            <w:noWrap w:val="0"/>
            <w:vAlign w:val="center"/>
          </w:tcPr>
          <w:p w14:paraId="3768F2B2">
            <w:pPr>
              <w:rPr>
                <w:rFonts w:hint="eastAsia" w:ascii="宋体" w:hAnsi="宋体" w:eastAsia="宋体" w:cs="宋体"/>
                <w:color w:val="auto"/>
                <w:sz w:val="22"/>
                <w:szCs w:val="21"/>
                <w:highlight w:val="none"/>
              </w:rPr>
            </w:pPr>
          </w:p>
        </w:tc>
        <w:tc>
          <w:tcPr>
            <w:tcW w:w="2187" w:type="dxa"/>
            <w:noWrap w:val="0"/>
            <w:vAlign w:val="center"/>
          </w:tcPr>
          <w:p w14:paraId="3C321DAA">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供货地点</w:t>
            </w:r>
          </w:p>
        </w:tc>
        <w:tc>
          <w:tcPr>
            <w:tcW w:w="5423" w:type="dxa"/>
            <w:noWrap w:val="0"/>
            <w:vAlign w:val="center"/>
          </w:tcPr>
          <w:p w14:paraId="19E202C7">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符合第二章“供应商须知”规定</w:t>
            </w:r>
          </w:p>
        </w:tc>
      </w:tr>
      <w:tr w14:paraId="2740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30" w:type="dxa"/>
            <w:vMerge w:val="continue"/>
            <w:noWrap w:val="0"/>
            <w:vAlign w:val="center"/>
          </w:tcPr>
          <w:p w14:paraId="74DFCC0F">
            <w:pPr>
              <w:rPr>
                <w:rFonts w:hint="eastAsia" w:ascii="宋体" w:hAnsi="宋体" w:eastAsia="宋体" w:cs="宋体"/>
                <w:color w:val="auto"/>
                <w:sz w:val="22"/>
                <w:szCs w:val="21"/>
                <w:highlight w:val="none"/>
              </w:rPr>
            </w:pPr>
          </w:p>
        </w:tc>
        <w:tc>
          <w:tcPr>
            <w:tcW w:w="1063" w:type="dxa"/>
            <w:vMerge w:val="continue"/>
            <w:noWrap w:val="0"/>
            <w:vAlign w:val="center"/>
          </w:tcPr>
          <w:p w14:paraId="590C5741">
            <w:pPr>
              <w:rPr>
                <w:rFonts w:hint="eastAsia" w:ascii="宋体" w:hAnsi="宋体" w:eastAsia="宋体" w:cs="宋体"/>
                <w:color w:val="auto"/>
                <w:sz w:val="22"/>
                <w:szCs w:val="21"/>
                <w:highlight w:val="none"/>
              </w:rPr>
            </w:pPr>
          </w:p>
        </w:tc>
        <w:tc>
          <w:tcPr>
            <w:tcW w:w="2187" w:type="dxa"/>
            <w:noWrap w:val="0"/>
            <w:vAlign w:val="center"/>
          </w:tcPr>
          <w:p w14:paraId="1139CEB5">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投标有效期</w:t>
            </w:r>
          </w:p>
        </w:tc>
        <w:tc>
          <w:tcPr>
            <w:tcW w:w="5423" w:type="dxa"/>
            <w:noWrap w:val="0"/>
            <w:vAlign w:val="center"/>
          </w:tcPr>
          <w:p w14:paraId="0A3F49E4">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60日历天（自投标截止之日起）</w:t>
            </w:r>
          </w:p>
        </w:tc>
      </w:tr>
      <w:tr w14:paraId="5371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30" w:type="dxa"/>
            <w:vMerge w:val="continue"/>
            <w:noWrap w:val="0"/>
            <w:vAlign w:val="center"/>
          </w:tcPr>
          <w:p w14:paraId="2D7B8E8B">
            <w:pPr>
              <w:rPr>
                <w:rFonts w:hint="eastAsia" w:ascii="宋体" w:hAnsi="宋体" w:eastAsia="宋体" w:cs="宋体"/>
                <w:color w:val="auto"/>
                <w:sz w:val="22"/>
                <w:szCs w:val="21"/>
                <w:highlight w:val="none"/>
              </w:rPr>
            </w:pPr>
          </w:p>
        </w:tc>
        <w:tc>
          <w:tcPr>
            <w:tcW w:w="1063" w:type="dxa"/>
            <w:vMerge w:val="continue"/>
            <w:noWrap w:val="0"/>
            <w:vAlign w:val="center"/>
          </w:tcPr>
          <w:p w14:paraId="15388421">
            <w:pPr>
              <w:rPr>
                <w:rFonts w:hint="eastAsia" w:ascii="宋体" w:hAnsi="宋体" w:eastAsia="宋体" w:cs="宋体"/>
                <w:color w:val="auto"/>
                <w:sz w:val="22"/>
                <w:szCs w:val="21"/>
                <w:highlight w:val="none"/>
              </w:rPr>
            </w:pPr>
          </w:p>
        </w:tc>
        <w:tc>
          <w:tcPr>
            <w:tcW w:w="2187" w:type="dxa"/>
            <w:noWrap w:val="0"/>
            <w:vAlign w:val="center"/>
          </w:tcPr>
          <w:p w14:paraId="3A9475C2">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w:t>
            </w:r>
          </w:p>
        </w:tc>
        <w:tc>
          <w:tcPr>
            <w:tcW w:w="5423" w:type="dxa"/>
            <w:noWrap w:val="0"/>
            <w:vAlign w:val="center"/>
          </w:tcPr>
          <w:p w14:paraId="663783D1">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1、不得超出最高限价，超出最高限价者，按无效标处理；</w:t>
            </w:r>
          </w:p>
          <w:p w14:paraId="78574D8D">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2、最终报价明显低于成本价的，投标人需做出合理说明，否则将承担不被接受的风险。</w:t>
            </w:r>
          </w:p>
        </w:tc>
      </w:tr>
      <w:tr w14:paraId="2978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30" w:type="dxa"/>
            <w:vMerge w:val="continue"/>
            <w:noWrap w:val="0"/>
            <w:vAlign w:val="center"/>
          </w:tcPr>
          <w:p w14:paraId="382935A0">
            <w:pPr>
              <w:rPr>
                <w:rFonts w:hint="eastAsia" w:ascii="宋体" w:hAnsi="宋体" w:eastAsia="宋体" w:cs="宋体"/>
                <w:color w:val="auto"/>
                <w:sz w:val="22"/>
                <w:szCs w:val="21"/>
                <w:highlight w:val="none"/>
              </w:rPr>
            </w:pPr>
          </w:p>
        </w:tc>
        <w:tc>
          <w:tcPr>
            <w:tcW w:w="1063" w:type="dxa"/>
            <w:vMerge w:val="continue"/>
            <w:noWrap w:val="0"/>
            <w:vAlign w:val="center"/>
          </w:tcPr>
          <w:p w14:paraId="5C29B0F1">
            <w:pPr>
              <w:rPr>
                <w:rFonts w:hint="eastAsia" w:ascii="宋体" w:hAnsi="宋体" w:eastAsia="宋体" w:cs="宋体"/>
                <w:color w:val="auto"/>
                <w:sz w:val="22"/>
                <w:szCs w:val="21"/>
                <w:highlight w:val="none"/>
              </w:rPr>
            </w:pPr>
          </w:p>
        </w:tc>
        <w:tc>
          <w:tcPr>
            <w:tcW w:w="2187" w:type="dxa"/>
            <w:noWrap w:val="0"/>
            <w:vAlign w:val="center"/>
          </w:tcPr>
          <w:p w14:paraId="1076F848">
            <w:pPr>
              <w:keepNext w:val="0"/>
              <w:keepLines w:val="0"/>
              <w:pageBreakBefore w:val="0"/>
              <w:widowControl w:val="0"/>
              <w:kinsoku w:val="0"/>
              <w:wordWrap w:val="0"/>
              <w:overflowPunct w:val="0"/>
              <w:topLinePunct w:val="0"/>
              <w:autoSpaceDE w:val="0"/>
              <w:autoSpaceDN w:val="0"/>
              <w:bidi w:val="0"/>
              <w:adjustRightInd/>
              <w:snapToGrid/>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其他要求</w:t>
            </w:r>
          </w:p>
        </w:tc>
        <w:tc>
          <w:tcPr>
            <w:tcW w:w="5423" w:type="dxa"/>
            <w:noWrap w:val="0"/>
            <w:vAlign w:val="center"/>
          </w:tcPr>
          <w:p w14:paraId="147568EF">
            <w:pPr>
              <w:keepNext w:val="0"/>
              <w:keepLines w:val="0"/>
              <w:pageBreakBefore w:val="0"/>
              <w:widowControl w:val="0"/>
              <w:kinsoku w:val="0"/>
              <w:wordWrap w:val="0"/>
              <w:overflowPunct w:val="0"/>
              <w:topLinePunct w:val="0"/>
              <w:autoSpaceDE w:val="0"/>
              <w:autoSpaceDN w:val="0"/>
              <w:bidi w:val="0"/>
              <w:adjustRightInd/>
              <w:snapToGrid/>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未出现法律法规规定应当否决的其他情形</w:t>
            </w:r>
          </w:p>
        </w:tc>
      </w:tr>
    </w:tbl>
    <w:p w14:paraId="1496BE16">
      <w:pPr>
        <w:spacing w:line="360" w:lineRule="auto"/>
        <w:jc w:val="center"/>
        <w:rPr>
          <w:rFonts w:hint="eastAsia" w:ascii="宋体" w:hAnsi="宋体" w:eastAsia="宋体" w:cs="宋体"/>
          <w:b/>
          <w:color w:val="auto"/>
          <w:sz w:val="22"/>
          <w:szCs w:val="21"/>
          <w:highlight w:val="none"/>
        </w:rPr>
      </w:pPr>
    </w:p>
    <w:p w14:paraId="21A893CE">
      <w:pPr>
        <w:spacing w:line="360" w:lineRule="auto"/>
        <w:jc w:val="both"/>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详细评审标准</w:t>
      </w:r>
    </w:p>
    <w:tbl>
      <w:tblPr>
        <w:tblStyle w:val="32"/>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64"/>
      </w:tblGrid>
      <w:tr w14:paraId="7497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noWrap w:val="0"/>
            <w:vAlign w:val="center"/>
          </w:tcPr>
          <w:p w14:paraId="0BC62E2A">
            <w:pPr>
              <w:widowControl/>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color w:val="auto"/>
                <w:kern w:val="0"/>
                <w:sz w:val="22"/>
                <w:szCs w:val="21"/>
                <w:highlight w:val="none"/>
              </w:rPr>
              <w:t>评分因素</w:t>
            </w:r>
          </w:p>
        </w:tc>
        <w:tc>
          <w:tcPr>
            <w:tcW w:w="1310" w:type="dxa"/>
            <w:noWrap w:val="0"/>
            <w:vAlign w:val="center"/>
          </w:tcPr>
          <w:p w14:paraId="19D6FCCD">
            <w:pPr>
              <w:widowControl/>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color w:val="auto"/>
                <w:kern w:val="0"/>
                <w:sz w:val="22"/>
                <w:szCs w:val="21"/>
                <w:highlight w:val="none"/>
              </w:rPr>
              <w:t>评分内容</w:t>
            </w:r>
          </w:p>
        </w:tc>
        <w:tc>
          <w:tcPr>
            <w:tcW w:w="6664" w:type="dxa"/>
            <w:noWrap w:val="0"/>
            <w:vAlign w:val="center"/>
          </w:tcPr>
          <w:p w14:paraId="5B5BC46A">
            <w:pPr>
              <w:widowControl/>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color w:val="auto"/>
                <w:kern w:val="0"/>
                <w:sz w:val="22"/>
                <w:szCs w:val="21"/>
                <w:highlight w:val="none"/>
              </w:rPr>
              <w:t>评分标准</w:t>
            </w:r>
          </w:p>
        </w:tc>
      </w:tr>
      <w:tr w14:paraId="3F779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18" w:hRule="atLeast"/>
          <w:jc w:val="center"/>
        </w:trPr>
        <w:tc>
          <w:tcPr>
            <w:tcW w:w="1122" w:type="dxa"/>
            <w:noWrap w:val="0"/>
            <w:vAlign w:val="center"/>
          </w:tcPr>
          <w:p w14:paraId="59ADE3A0">
            <w:pPr>
              <w:widowControl/>
              <w:spacing w:line="360" w:lineRule="auto"/>
              <w:jc w:val="center"/>
              <w:textAlignment w:val="center"/>
              <w:rPr>
                <w:rFonts w:hint="eastAsia" w:ascii="宋体" w:hAnsi="宋体" w:eastAsia="宋体" w:cs="宋体"/>
                <w:b/>
                <w:color w:val="auto"/>
                <w:sz w:val="22"/>
                <w:szCs w:val="21"/>
                <w:highlight w:val="none"/>
              </w:rPr>
            </w:pPr>
            <w:r>
              <w:rPr>
                <w:rFonts w:hint="eastAsia" w:ascii="宋体" w:hAnsi="宋体" w:eastAsia="宋体" w:cs="宋体"/>
                <w:b/>
                <w:color w:val="auto"/>
                <w:kern w:val="0"/>
                <w:sz w:val="22"/>
                <w:szCs w:val="21"/>
                <w:highlight w:val="none"/>
              </w:rPr>
              <w:t>报价部分</w:t>
            </w:r>
            <w:r>
              <w:rPr>
                <w:rFonts w:hint="eastAsia" w:ascii="宋体" w:hAnsi="宋体" w:eastAsia="宋体" w:cs="宋体"/>
                <w:b/>
                <w:color w:val="auto"/>
                <w:kern w:val="0"/>
                <w:sz w:val="22"/>
                <w:szCs w:val="21"/>
                <w:highlight w:val="none"/>
              </w:rPr>
              <w:br w:type="textWrapping"/>
            </w:r>
            <w:r>
              <w:rPr>
                <w:rFonts w:hint="eastAsia" w:ascii="宋体" w:hAnsi="宋体" w:eastAsia="宋体" w:cs="宋体"/>
                <w:b/>
                <w:color w:val="auto"/>
                <w:kern w:val="0"/>
                <w:sz w:val="22"/>
                <w:szCs w:val="21"/>
                <w:highlight w:val="none"/>
              </w:rPr>
              <w:t>（30分）</w:t>
            </w:r>
          </w:p>
        </w:tc>
        <w:tc>
          <w:tcPr>
            <w:tcW w:w="1310" w:type="dxa"/>
            <w:noWrap w:val="0"/>
            <w:vAlign w:val="center"/>
          </w:tcPr>
          <w:p w14:paraId="74E0AA7C">
            <w:pPr>
              <w:widowControl/>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color w:val="auto"/>
                <w:kern w:val="0"/>
                <w:sz w:val="22"/>
                <w:szCs w:val="21"/>
                <w:highlight w:val="none"/>
              </w:rPr>
              <w:t>投标报价（30分）</w:t>
            </w:r>
          </w:p>
        </w:tc>
        <w:tc>
          <w:tcPr>
            <w:tcW w:w="6664" w:type="dxa"/>
            <w:noWrap w:val="0"/>
            <w:vAlign w:val="top"/>
          </w:tcPr>
          <w:p w14:paraId="11841C35">
            <w:pPr>
              <w:spacing w:line="360" w:lineRule="auto"/>
              <w:rPr>
                <w:rFonts w:hint="eastAsia" w:ascii="宋体" w:hAnsi="宋体" w:cs="宋体"/>
                <w:sz w:val="22"/>
                <w:szCs w:val="21"/>
                <w:lang w:val="en-US" w:eastAsia="zh-CN"/>
              </w:rPr>
            </w:pPr>
            <w:r>
              <w:rPr>
                <w:rFonts w:hint="eastAsia" w:ascii="宋体" w:hAnsi="宋体" w:cs="宋体"/>
                <w:sz w:val="22"/>
                <w:szCs w:val="21"/>
                <w:lang w:val="en-US" w:eastAsia="zh-CN"/>
              </w:rPr>
              <w:t>评审标准：价格分统一采用低价优先法计算，既满足招标文件要求且投标价格最低的投标报价为评标基准价，其价格分为满分。供应商的价格分统一按照下列公式计算：</w:t>
            </w:r>
          </w:p>
          <w:p w14:paraId="7845AF30">
            <w:pPr>
              <w:spacing w:line="360" w:lineRule="auto"/>
              <w:rPr>
                <w:rFonts w:hint="eastAsia" w:ascii="宋体" w:hAnsi="宋体" w:eastAsia="宋体" w:cs="宋体"/>
                <w:color w:val="auto"/>
                <w:sz w:val="22"/>
                <w:szCs w:val="21"/>
                <w:highlight w:val="none"/>
              </w:rPr>
            </w:pPr>
            <w:r>
              <w:rPr>
                <w:rFonts w:hint="eastAsia" w:ascii="宋体" w:hAnsi="宋体" w:cs="宋体"/>
                <w:sz w:val="22"/>
                <w:szCs w:val="21"/>
                <w:lang w:val="en-US" w:eastAsia="zh-CN"/>
              </w:rPr>
              <w:t>投标报价得分=(评标基准价／投标报价)×30×100%</w:t>
            </w:r>
            <w:r>
              <w:rPr>
                <w:rFonts w:hint="eastAsia" w:ascii="宋体" w:hAnsi="宋体" w:eastAsia="宋体" w:cs="宋体"/>
                <w:color w:val="auto"/>
                <w:sz w:val="22"/>
                <w:szCs w:val="21"/>
                <w:highlight w:val="none"/>
              </w:rPr>
              <w:t xml:space="preserve">      </w:t>
            </w:r>
          </w:p>
          <w:p w14:paraId="4C80AE38">
            <w:pPr>
              <w:pStyle w:val="49"/>
              <w:keepNext w:val="0"/>
              <w:keepLines w:val="0"/>
              <w:pageBreakBefore w:val="0"/>
              <w:widowControl w:val="0"/>
              <w:kinsoku/>
              <w:wordWrap/>
              <w:overflowPunct/>
              <w:topLinePunct w:val="0"/>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lang w:val="en-US" w:eastAsia="zh-CN" w:bidi="ar-SA"/>
              </w:rPr>
            </w:pPr>
            <w:r>
              <w:rPr>
                <w:rFonts w:hint="eastAsia" w:ascii="宋体" w:hAnsi="宋体" w:eastAsia="宋体" w:cs="宋体"/>
                <w:b/>
                <w:bCs/>
                <w:color w:val="auto"/>
                <w:sz w:val="22"/>
                <w:szCs w:val="22"/>
                <w:highlight w:val="none"/>
                <w:lang w:val="en-US" w:eastAsia="zh-CN" w:bidi="ar-SA"/>
              </w:rPr>
              <w:t>注：</w:t>
            </w:r>
          </w:p>
          <w:p w14:paraId="094ED138">
            <w:pPr>
              <w:pStyle w:val="49"/>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1.根据《政府采购促进中小企业发展管理办法》（财库﹝2020﹞46 号）和《关于进一步加大政府采购支持中小企业力度的通知》财库〔2022〕19号的规定，本项目小型、微型企业按20%扣除。对于中型企业产品的价格不予扣除。</w:t>
            </w:r>
          </w:p>
          <w:p w14:paraId="7E541262">
            <w:pPr>
              <w:pStyle w:val="49"/>
              <w:keepNext w:val="0"/>
              <w:keepLines w:val="0"/>
              <w:pageBreakBefore w:val="0"/>
              <w:widowControl w:val="0"/>
              <w:kinsoku/>
              <w:wordWrap w:val="0"/>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所投小微企业产品报价=所投小微企业产品报价×（1-20%）</w:t>
            </w:r>
          </w:p>
          <w:p w14:paraId="7C5B1987">
            <w:pPr>
              <w:pStyle w:val="49"/>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2.根据财政部司法部《关于政府采购支持监狱企业发展有关问题的通知》（财库〔2014〕68号）规定，对于监狱企业视同为小型、微型企业，价格给予20%的扣除。</w:t>
            </w:r>
          </w:p>
          <w:p w14:paraId="1E4F6DB6">
            <w:pPr>
              <w:pStyle w:val="49"/>
              <w:keepNext w:val="0"/>
              <w:keepLines w:val="0"/>
              <w:pageBreakBefore w:val="0"/>
              <w:widowControl w:val="0"/>
              <w:kinsoku/>
              <w:wordWrap w:val="0"/>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所投监狱企业产品报价=所投监狱企业产品报价×（1-20%）</w:t>
            </w:r>
          </w:p>
          <w:p w14:paraId="6DEC253E">
            <w:pPr>
              <w:pStyle w:val="49"/>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3.根据财政部民政部中国残疾人联合会《关于促进残疾人就业政府采购政策的通知》（财库〔2017〕141号）规定，对于残疾人福利性单位视同为小型、微型企业，价格给予20%的扣除。</w:t>
            </w:r>
          </w:p>
          <w:p w14:paraId="17A81DF4">
            <w:pPr>
              <w:pStyle w:val="49"/>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所投残疾人福利性单位企业产品报价=所投残疾人福利性单位企业产品报价×（1-20%）。</w:t>
            </w:r>
          </w:p>
          <w:p w14:paraId="1FABD488">
            <w:pPr>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2"/>
                <w:highlight w:val="none"/>
                <w:lang w:val="en-US" w:eastAsia="zh-CN" w:bidi="ar-SA"/>
              </w:rPr>
              <w:t xml:space="preserve">同一供应商，中小微企业产品、监狱企业产品、残疾人福利性单位产品的价格扣除优惠只享受一次，不得重复享受。 </w:t>
            </w:r>
            <w:r>
              <w:rPr>
                <w:rFonts w:hint="eastAsia" w:ascii="宋体" w:hAnsi="宋体" w:eastAsia="宋体" w:cs="宋体"/>
                <w:color w:val="auto"/>
                <w:sz w:val="22"/>
                <w:szCs w:val="22"/>
                <w:highlight w:val="none"/>
                <w:lang w:val="en-US" w:eastAsia="en-US" w:bidi="ar-SA"/>
              </w:rPr>
              <w:t xml:space="preserve">  </w:t>
            </w:r>
            <w:r>
              <w:rPr>
                <w:rFonts w:hint="eastAsia" w:ascii="宋体" w:hAnsi="宋体" w:eastAsia="宋体" w:cs="宋体"/>
                <w:color w:val="auto"/>
                <w:sz w:val="22"/>
                <w:szCs w:val="21"/>
                <w:highlight w:val="none"/>
              </w:rPr>
              <w:t xml:space="preserve">  </w:t>
            </w:r>
          </w:p>
        </w:tc>
      </w:tr>
      <w:tr w14:paraId="6698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3" w:hRule="atLeast"/>
          <w:jc w:val="center"/>
        </w:trPr>
        <w:tc>
          <w:tcPr>
            <w:tcW w:w="1122" w:type="dxa"/>
            <w:vMerge w:val="restart"/>
            <w:noWrap w:val="0"/>
            <w:vAlign w:val="center"/>
          </w:tcPr>
          <w:p w14:paraId="528CF27A">
            <w:pPr>
              <w:widowControl/>
              <w:spacing w:line="360" w:lineRule="auto"/>
              <w:jc w:val="center"/>
              <w:textAlignment w:val="center"/>
              <w:rPr>
                <w:rFonts w:hint="eastAsia" w:ascii="宋体" w:hAnsi="宋体" w:eastAsia="宋体" w:cs="宋体"/>
                <w:b/>
                <w:color w:val="auto"/>
                <w:sz w:val="22"/>
                <w:szCs w:val="21"/>
                <w:highlight w:val="none"/>
              </w:rPr>
            </w:pPr>
            <w:r>
              <w:rPr>
                <w:rFonts w:hint="eastAsia" w:ascii="宋体" w:hAnsi="宋体" w:eastAsia="宋体" w:cs="宋体"/>
                <w:b/>
                <w:color w:val="auto"/>
                <w:kern w:val="0"/>
                <w:sz w:val="22"/>
                <w:szCs w:val="21"/>
                <w:highlight w:val="none"/>
              </w:rPr>
              <w:t>技术部分</w:t>
            </w:r>
            <w:r>
              <w:rPr>
                <w:rFonts w:hint="eastAsia" w:ascii="宋体" w:hAnsi="宋体" w:eastAsia="宋体" w:cs="宋体"/>
                <w:b/>
                <w:color w:val="auto"/>
                <w:kern w:val="0"/>
                <w:sz w:val="22"/>
                <w:szCs w:val="21"/>
                <w:highlight w:val="none"/>
              </w:rPr>
              <w:br w:type="textWrapping"/>
            </w:r>
            <w:r>
              <w:rPr>
                <w:rFonts w:hint="eastAsia" w:ascii="宋体" w:hAnsi="宋体" w:eastAsia="宋体" w:cs="宋体"/>
                <w:b/>
                <w:color w:val="auto"/>
                <w:kern w:val="0"/>
                <w:sz w:val="22"/>
                <w:szCs w:val="21"/>
                <w:highlight w:val="none"/>
              </w:rPr>
              <w:t>（50分）</w:t>
            </w:r>
          </w:p>
        </w:tc>
        <w:tc>
          <w:tcPr>
            <w:tcW w:w="1310" w:type="dxa"/>
            <w:noWrap w:val="0"/>
            <w:vAlign w:val="center"/>
          </w:tcPr>
          <w:p w14:paraId="5CC74128">
            <w:pPr>
              <w:widowControl/>
              <w:spacing w:line="360" w:lineRule="auto"/>
              <w:jc w:val="center"/>
              <w:textAlignment w:val="center"/>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rPr>
              <w:t>技术参数</w:t>
            </w:r>
            <w:r>
              <w:rPr>
                <w:rFonts w:hint="eastAsia" w:ascii="宋体" w:hAnsi="宋体" w:eastAsia="宋体" w:cs="宋体"/>
                <w:color w:val="auto"/>
                <w:sz w:val="22"/>
                <w:szCs w:val="21"/>
                <w:highlight w:val="none"/>
                <w:lang w:val="en-US" w:eastAsia="zh-CN"/>
              </w:rPr>
              <w:t>(15分)</w:t>
            </w:r>
          </w:p>
        </w:tc>
        <w:tc>
          <w:tcPr>
            <w:tcW w:w="6664" w:type="dxa"/>
            <w:noWrap w:val="0"/>
            <w:vAlign w:val="center"/>
          </w:tcPr>
          <w:p w14:paraId="439CDAF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技术参数完全满足招标文件要求得15分，没有不得分。技术参数高于招标文件要求为正偏离，正偏离不加分；技术参数低于招标文件要求为负偏离，负偏离一项扣1分，最多扣5分。（提供相关检测报告原件扫描件）</w:t>
            </w:r>
          </w:p>
        </w:tc>
      </w:tr>
      <w:tr w14:paraId="0B2A8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3" w:hRule="atLeast"/>
          <w:jc w:val="center"/>
        </w:trPr>
        <w:tc>
          <w:tcPr>
            <w:tcW w:w="1122" w:type="dxa"/>
            <w:vMerge w:val="continue"/>
            <w:noWrap w:val="0"/>
            <w:vAlign w:val="center"/>
          </w:tcPr>
          <w:p w14:paraId="23C50141">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shd w:val="clear" w:color="auto" w:fill="auto"/>
            <w:noWrap w:val="0"/>
            <w:vAlign w:val="center"/>
          </w:tcPr>
          <w:p w14:paraId="0F0B5339">
            <w:pPr>
              <w:pStyle w:val="58"/>
              <w:spacing w:line="360" w:lineRule="exact"/>
              <w:ind w:left="0" w:leftChars="0" w:firstLine="0"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供货方案（</w:t>
            </w:r>
            <w:r>
              <w:rPr>
                <w:rFonts w:hint="eastAsia" w:ascii="宋体" w:hAnsi="宋体" w:eastAsia="宋体" w:cs="宋体"/>
                <w:color w:val="auto"/>
                <w:sz w:val="22"/>
                <w:szCs w:val="18"/>
                <w:highlight w:val="none"/>
                <w:lang w:val="en-US" w:eastAsia="zh-CN"/>
              </w:rPr>
              <w:t>10</w:t>
            </w:r>
            <w:r>
              <w:rPr>
                <w:rFonts w:hint="eastAsia" w:ascii="宋体" w:hAnsi="宋体" w:eastAsia="宋体" w:cs="宋体"/>
                <w:color w:val="auto"/>
                <w:sz w:val="22"/>
                <w:szCs w:val="18"/>
                <w:highlight w:val="none"/>
              </w:rPr>
              <w:t>分）</w:t>
            </w:r>
          </w:p>
          <w:p w14:paraId="34F0EE4E">
            <w:pPr>
              <w:adjustRightInd w:val="0"/>
              <w:spacing w:line="360" w:lineRule="exact"/>
              <w:jc w:val="center"/>
              <w:textAlignment w:val="baseline"/>
              <w:rPr>
                <w:rFonts w:hint="eastAsia" w:ascii="宋体" w:hAnsi="宋体" w:eastAsia="宋体" w:cs="宋体"/>
                <w:color w:val="auto"/>
                <w:sz w:val="22"/>
                <w:szCs w:val="21"/>
                <w:highlight w:val="none"/>
                <w:lang w:val="en-US" w:eastAsia="zh-CN" w:bidi="ar-SA"/>
              </w:rPr>
            </w:pPr>
          </w:p>
        </w:tc>
        <w:tc>
          <w:tcPr>
            <w:tcW w:w="6664" w:type="dxa"/>
            <w:shd w:val="clear" w:color="auto" w:fill="auto"/>
            <w:noWrap w:val="0"/>
            <w:vAlign w:val="center"/>
          </w:tcPr>
          <w:p w14:paraId="26A94A8C">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供货计划方案内容（联系电话、时间、地点、组织等）的完整性、运输保障控制、应急预案及处理等内容（流程、时间及人员等）方面进行综合评价：</w:t>
            </w:r>
          </w:p>
          <w:p w14:paraId="3BED5F22">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1、投标文件内容符合项目实际交货期、切实可行者且详细保障相关措施合理得</w:t>
            </w:r>
            <w:r>
              <w:rPr>
                <w:rFonts w:hint="eastAsia" w:ascii="宋体" w:hAnsi="宋体" w:eastAsia="宋体" w:cs="宋体"/>
                <w:color w:val="auto"/>
                <w:sz w:val="22"/>
                <w:szCs w:val="18"/>
                <w:highlight w:val="none"/>
                <w:lang w:val="en-US" w:eastAsia="zh-CN"/>
              </w:rPr>
              <w:t>10</w:t>
            </w:r>
            <w:r>
              <w:rPr>
                <w:rFonts w:hint="eastAsia" w:ascii="宋体" w:hAnsi="宋体" w:eastAsia="宋体" w:cs="宋体"/>
                <w:color w:val="auto"/>
                <w:sz w:val="22"/>
                <w:szCs w:val="18"/>
                <w:highlight w:val="none"/>
              </w:rPr>
              <w:t>分；</w:t>
            </w:r>
          </w:p>
          <w:p w14:paraId="6BB0FC71">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2、投标文件内容符合项目实际、但措施可行性不强者得</w:t>
            </w:r>
            <w:r>
              <w:rPr>
                <w:rFonts w:hint="eastAsia" w:ascii="宋体" w:hAnsi="宋体" w:eastAsia="宋体" w:cs="宋体"/>
                <w:color w:val="auto"/>
                <w:sz w:val="22"/>
                <w:szCs w:val="18"/>
                <w:highlight w:val="none"/>
                <w:lang w:val="en-US" w:eastAsia="zh-CN"/>
              </w:rPr>
              <w:t>7</w:t>
            </w:r>
            <w:r>
              <w:rPr>
                <w:rFonts w:hint="eastAsia" w:ascii="宋体" w:hAnsi="宋体" w:eastAsia="宋体" w:cs="宋体"/>
                <w:color w:val="auto"/>
                <w:sz w:val="22"/>
                <w:szCs w:val="18"/>
                <w:highlight w:val="none"/>
              </w:rPr>
              <w:t>分；</w:t>
            </w:r>
          </w:p>
          <w:p w14:paraId="6F095B93">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3、投标文件内容基本不符合项目实际者得</w:t>
            </w:r>
            <w:r>
              <w:rPr>
                <w:rFonts w:hint="eastAsia" w:ascii="宋体" w:hAnsi="宋体" w:eastAsia="宋体" w:cs="宋体"/>
                <w:color w:val="auto"/>
                <w:sz w:val="22"/>
                <w:szCs w:val="18"/>
                <w:highlight w:val="none"/>
                <w:lang w:val="en-US" w:eastAsia="zh-CN"/>
              </w:rPr>
              <w:t>3</w:t>
            </w:r>
            <w:r>
              <w:rPr>
                <w:rFonts w:hint="eastAsia" w:ascii="宋体" w:hAnsi="宋体" w:eastAsia="宋体" w:cs="宋体"/>
                <w:color w:val="auto"/>
                <w:sz w:val="22"/>
                <w:szCs w:val="18"/>
                <w:highlight w:val="none"/>
              </w:rPr>
              <w:t>分；</w:t>
            </w:r>
          </w:p>
          <w:p w14:paraId="34047AD2">
            <w:pPr>
              <w:pStyle w:val="58"/>
              <w:spacing w:line="360" w:lineRule="exact"/>
              <w:ind w:firstLine="420" w:firstLineChars="0"/>
              <w:jc w:val="left"/>
              <w:rPr>
                <w:rFonts w:hint="eastAsia" w:ascii="宋体" w:hAnsi="宋体" w:eastAsia="宋体" w:cs="宋体"/>
                <w:color w:val="auto"/>
                <w:sz w:val="22"/>
                <w:szCs w:val="18"/>
                <w:highlight w:val="none"/>
                <w:lang w:val="en-US" w:eastAsia="en-US" w:bidi="ar-SA"/>
              </w:rPr>
            </w:pPr>
            <w:r>
              <w:rPr>
                <w:rFonts w:hint="eastAsia" w:ascii="宋体" w:hAnsi="宋体" w:eastAsia="宋体" w:cs="宋体"/>
                <w:color w:val="auto"/>
                <w:sz w:val="22"/>
                <w:szCs w:val="18"/>
                <w:highlight w:val="none"/>
              </w:rPr>
              <w:t>4、未提供者得 0 分</w:t>
            </w:r>
          </w:p>
        </w:tc>
      </w:tr>
      <w:tr w14:paraId="1AE20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noWrap w:val="0"/>
            <w:vAlign w:val="center"/>
          </w:tcPr>
          <w:p w14:paraId="70ED12BA">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noWrap w:val="0"/>
            <w:vAlign w:val="center"/>
          </w:tcPr>
          <w:p w14:paraId="572886BB">
            <w:pPr>
              <w:pStyle w:val="58"/>
              <w:spacing w:line="360" w:lineRule="exact"/>
              <w:ind w:left="0" w:leftChars="0" w:firstLine="0" w:firstLineChars="0"/>
              <w:jc w:val="both"/>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产品运输及保管方案（</w:t>
            </w:r>
            <w:r>
              <w:rPr>
                <w:rFonts w:hint="eastAsia" w:ascii="宋体" w:hAnsi="宋体" w:eastAsia="宋体" w:cs="宋体"/>
                <w:color w:val="auto"/>
                <w:sz w:val="22"/>
                <w:szCs w:val="18"/>
                <w:highlight w:val="none"/>
                <w:lang w:val="en-US" w:eastAsia="zh-CN"/>
              </w:rPr>
              <w:t>8</w:t>
            </w:r>
            <w:r>
              <w:rPr>
                <w:rFonts w:hint="eastAsia" w:ascii="宋体" w:hAnsi="宋体" w:eastAsia="宋体" w:cs="宋体"/>
                <w:color w:val="auto"/>
                <w:sz w:val="22"/>
                <w:szCs w:val="18"/>
                <w:highlight w:val="none"/>
              </w:rPr>
              <w:t>分）</w:t>
            </w:r>
          </w:p>
          <w:p w14:paraId="03BF2182">
            <w:pPr>
              <w:adjustRightInd w:val="0"/>
              <w:spacing w:line="360" w:lineRule="exact"/>
              <w:jc w:val="center"/>
              <w:textAlignment w:val="baseline"/>
              <w:rPr>
                <w:rFonts w:hint="eastAsia" w:ascii="宋体" w:hAnsi="宋体" w:eastAsia="宋体" w:cs="宋体"/>
                <w:color w:val="auto"/>
                <w:sz w:val="22"/>
                <w:szCs w:val="21"/>
                <w:highlight w:val="none"/>
                <w:lang w:val="en-US" w:eastAsia="zh-CN"/>
              </w:rPr>
            </w:pPr>
          </w:p>
        </w:tc>
        <w:tc>
          <w:tcPr>
            <w:tcW w:w="6664" w:type="dxa"/>
            <w:noWrap w:val="0"/>
            <w:vAlign w:val="center"/>
          </w:tcPr>
          <w:p w14:paraId="6319A0E0">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产品运输及保管方案措施合理性进行比较实施产品运输计划的内容进行综合评分，</w:t>
            </w:r>
          </w:p>
          <w:p w14:paraId="49532396">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1、方案描述详细完善、清晰合理的得</w:t>
            </w:r>
            <w:r>
              <w:rPr>
                <w:rFonts w:hint="eastAsia" w:ascii="宋体" w:hAnsi="宋体" w:eastAsia="宋体" w:cs="宋体"/>
                <w:color w:val="auto"/>
                <w:sz w:val="22"/>
                <w:szCs w:val="18"/>
                <w:highlight w:val="none"/>
                <w:lang w:val="en-US" w:eastAsia="zh-CN"/>
              </w:rPr>
              <w:t>8</w:t>
            </w:r>
            <w:r>
              <w:rPr>
                <w:rFonts w:hint="eastAsia" w:ascii="宋体" w:hAnsi="宋体" w:eastAsia="宋体" w:cs="宋体"/>
                <w:color w:val="auto"/>
                <w:sz w:val="22"/>
                <w:szCs w:val="18"/>
                <w:highlight w:val="none"/>
              </w:rPr>
              <w:t>分；</w:t>
            </w:r>
          </w:p>
          <w:p w14:paraId="30CAEB2B">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2、方案提供比较详细完善、清晰合理得</w:t>
            </w:r>
            <w:r>
              <w:rPr>
                <w:rFonts w:hint="eastAsia" w:ascii="宋体" w:hAnsi="宋体" w:eastAsia="宋体" w:cs="宋体"/>
                <w:color w:val="auto"/>
                <w:sz w:val="22"/>
                <w:szCs w:val="18"/>
                <w:highlight w:val="none"/>
                <w:lang w:val="en-US" w:eastAsia="zh-CN"/>
              </w:rPr>
              <w:t>5</w:t>
            </w:r>
            <w:r>
              <w:rPr>
                <w:rFonts w:hint="eastAsia" w:ascii="宋体" w:hAnsi="宋体" w:eastAsia="宋体" w:cs="宋体"/>
                <w:color w:val="auto"/>
                <w:sz w:val="22"/>
                <w:szCs w:val="18"/>
                <w:highlight w:val="none"/>
              </w:rPr>
              <w:t>分；</w:t>
            </w:r>
          </w:p>
          <w:p w14:paraId="7CA4BA72">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3、方案仅进行简单描述的得2分，</w:t>
            </w:r>
          </w:p>
          <w:p w14:paraId="3CD114AA">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4、未提供者得0分。</w:t>
            </w:r>
          </w:p>
        </w:tc>
      </w:tr>
      <w:tr w14:paraId="3749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noWrap w:val="0"/>
            <w:vAlign w:val="center"/>
          </w:tcPr>
          <w:p w14:paraId="20FBCE8E">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noWrap w:val="0"/>
            <w:vAlign w:val="center"/>
          </w:tcPr>
          <w:p w14:paraId="54D8C409">
            <w:pPr>
              <w:pStyle w:val="58"/>
              <w:spacing w:line="360" w:lineRule="exact"/>
              <w:ind w:left="0" w:leftChars="0" w:firstLine="0"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质量保障措施（ 6分）</w:t>
            </w:r>
          </w:p>
          <w:p w14:paraId="0E5FE178">
            <w:pPr>
              <w:adjustRightInd w:val="0"/>
              <w:spacing w:line="360" w:lineRule="exact"/>
              <w:jc w:val="center"/>
              <w:textAlignment w:val="baseline"/>
              <w:rPr>
                <w:rFonts w:hint="eastAsia" w:ascii="宋体" w:hAnsi="宋体" w:eastAsia="宋体" w:cs="宋体"/>
                <w:color w:val="auto"/>
                <w:sz w:val="22"/>
                <w:szCs w:val="21"/>
                <w:highlight w:val="none"/>
                <w:lang w:val="en-US" w:eastAsia="zh-CN"/>
              </w:rPr>
            </w:pPr>
          </w:p>
        </w:tc>
        <w:tc>
          <w:tcPr>
            <w:tcW w:w="6664" w:type="dxa"/>
            <w:noWrap w:val="0"/>
            <w:vAlign w:val="center"/>
          </w:tcPr>
          <w:p w14:paraId="67A3C5B4">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据提供的产品质量保证的方案和措施是否具体详尽，是否对控制和提高产品质量确实切实可行等情况合理进行打分。</w:t>
            </w:r>
          </w:p>
          <w:p w14:paraId="6E5D5B26">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1、质量保障措施描述详细完善、清晰合理的得6分；</w:t>
            </w:r>
          </w:p>
          <w:p w14:paraId="07683172">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2、质量保障措施比较详细完善、清晰合理得4分；</w:t>
            </w:r>
          </w:p>
          <w:p w14:paraId="0E0EA18F">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3、仅进行简单描述的得2分，</w:t>
            </w:r>
          </w:p>
          <w:p w14:paraId="6D023509">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4、未提供者得0分。</w:t>
            </w:r>
          </w:p>
        </w:tc>
      </w:tr>
      <w:tr w14:paraId="4428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noWrap w:val="0"/>
            <w:vAlign w:val="center"/>
          </w:tcPr>
          <w:p w14:paraId="5E25280A">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noWrap w:val="0"/>
            <w:vAlign w:val="center"/>
          </w:tcPr>
          <w:p w14:paraId="4DC19209">
            <w:pPr>
              <w:pStyle w:val="58"/>
              <w:spacing w:line="360" w:lineRule="exact"/>
              <w:ind w:left="0" w:leftChars="0" w:firstLine="0"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进度保障措施（ 6分）</w:t>
            </w:r>
          </w:p>
          <w:p w14:paraId="5FB3964A">
            <w:pPr>
              <w:adjustRightInd w:val="0"/>
              <w:spacing w:line="360" w:lineRule="exact"/>
              <w:jc w:val="center"/>
              <w:textAlignment w:val="baseline"/>
              <w:rPr>
                <w:rFonts w:hint="eastAsia" w:ascii="宋体" w:hAnsi="宋体" w:eastAsia="宋体" w:cs="宋体"/>
                <w:color w:val="auto"/>
                <w:sz w:val="22"/>
                <w:szCs w:val="21"/>
                <w:highlight w:val="none"/>
                <w:lang w:val="en-US" w:eastAsia="zh-CN"/>
              </w:rPr>
            </w:pPr>
          </w:p>
        </w:tc>
        <w:tc>
          <w:tcPr>
            <w:tcW w:w="6664" w:type="dxa"/>
            <w:noWrap w:val="0"/>
            <w:vAlign w:val="center"/>
          </w:tcPr>
          <w:p w14:paraId="14D7ECBA">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根据投标人提供的进度保障措施横向对比进行打分。</w:t>
            </w:r>
          </w:p>
          <w:p w14:paraId="7E87C30A">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1、工作计划、关键节点安排及人力保障方案详细全面、保障措施科学合理，可行性强，得6分；</w:t>
            </w:r>
          </w:p>
          <w:p w14:paraId="4F18BAA5">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2、进度保障措施基本合理，方案内容基本可行但需要完善得4分；</w:t>
            </w:r>
          </w:p>
          <w:p w14:paraId="1C16DC19">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3、进度保障措施内容不够完善且可行性差，得2分。</w:t>
            </w:r>
          </w:p>
          <w:p w14:paraId="5AF7BAA1">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4、未提供者得0分</w:t>
            </w:r>
          </w:p>
        </w:tc>
      </w:tr>
      <w:tr w14:paraId="32B4F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noWrap w:val="0"/>
            <w:vAlign w:val="center"/>
          </w:tcPr>
          <w:p w14:paraId="3B8E698B">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noWrap w:val="0"/>
            <w:vAlign w:val="center"/>
          </w:tcPr>
          <w:p w14:paraId="59A63A27">
            <w:pPr>
              <w:tabs>
                <w:tab w:val="left" w:pos="1260"/>
              </w:tabs>
              <w:spacing w:line="360" w:lineRule="auto"/>
              <w:contextualSpacing/>
              <w:jc w:val="center"/>
              <w:rPr>
                <w:rFonts w:hint="default" w:ascii="宋体" w:hAnsi="宋体" w:eastAsia="宋体" w:cs="宋体"/>
                <w:color w:val="auto"/>
                <w:sz w:val="22"/>
                <w:szCs w:val="21"/>
                <w:highlight w:val="none"/>
                <w:lang w:val="en-US" w:eastAsia="zh-CN"/>
              </w:rPr>
            </w:pPr>
            <w:r>
              <w:rPr>
                <w:rFonts w:hint="eastAsia" w:ascii="宋体" w:hAnsi="宋体" w:eastAsia="宋体" w:cs="宋体"/>
                <w:szCs w:val="21"/>
                <w:lang w:val="zh-CN"/>
              </w:rPr>
              <w:t>应急保障方案</w:t>
            </w:r>
            <w:bookmarkStart w:id="87" w:name="_GoBack"/>
            <w:bookmarkEnd w:id="87"/>
            <w:r>
              <w:rPr>
                <w:rFonts w:hint="eastAsia" w:ascii="宋体" w:hAnsi="宋体" w:eastAsia="宋体" w:cs="宋体"/>
                <w:szCs w:val="21"/>
              </w:rPr>
              <w:t>（</w:t>
            </w:r>
            <w:r>
              <w:rPr>
                <w:rFonts w:hint="eastAsia" w:cs="宋体"/>
                <w:szCs w:val="21"/>
                <w:lang w:val="en-US" w:eastAsia="zh-CN"/>
              </w:rPr>
              <w:t>5</w:t>
            </w:r>
            <w:r>
              <w:rPr>
                <w:rFonts w:hint="eastAsia" w:ascii="宋体" w:hAnsi="宋体" w:eastAsia="宋体" w:cs="宋体"/>
                <w:szCs w:val="21"/>
              </w:rPr>
              <w:t>分）</w:t>
            </w:r>
          </w:p>
        </w:tc>
        <w:tc>
          <w:tcPr>
            <w:tcW w:w="6664" w:type="dxa"/>
            <w:noWrap w:val="0"/>
            <w:vAlign w:val="center"/>
          </w:tcPr>
          <w:p w14:paraId="34189128">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根据应急保障机制及质量问题处理时限、应急制度、服务流程及关键问题处理方案进行评分，</w:t>
            </w:r>
          </w:p>
          <w:p w14:paraId="70C4CFEB">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1、内容全面详细，方案科学、合理、考虑周全，针对性较强的得</w:t>
            </w:r>
            <w:r>
              <w:rPr>
                <w:rFonts w:hint="eastAsia" w:ascii="宋体" w:hAnsi="宋体" w:eastAsia="宋体" w:cs="宋体"/>
                <w:color w:val="auto"/>
                <w:sz w:val="22"/>
                <w:szCs w:val="18"/>
                <w:highlight w:val="none"/>
                <w:lang w:val="en-US" w:eastAsia="zh-CN"/>
              </w:rPr>
              <w:t>5</w:t>
            </w:r>
            <w:r>
              <w:rPr>
                <w:rFonts w:hint="eastAsia" w:ascii="宋体" w:hAnsi="宋体" w:eastAsia="宋体" w:cs="宋体"/>
                <w:color w:val="auto"/>
                <w:sz w:val="22"/>
                <w:szCs w:val="18"/>
                <w:highlight w:val="none"/>
              </w:rPr>
              <w:t>分；</w:t>
            </w:r>
          </w:p>
          <w:p w14:paraId="2CFCA80D">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2、内容完整，方案基本科学、合理、基本考虑周全的得</w:t>
            </w:r>
            <w:r>
              <w:rPr>
                <w:rFonts w:hint="eastAsia" w:ascii="宋体" w:hAnsi="宋体" w:eastAsia="宋体" w:cs="宋体"/>
                <w:color w:val="auto"/>
                <w:sz w:val="22"/>
                <w:szCs w:val="18"/>
                <w:highlight w:val="none"/>
                <w:lang w:val="en-US" w:eastAsia="zh-CN"/>
              </w:rPr>
              <w:t>3</w:t>
            </w:r>
            <w:r>
              <w:rPr>
                <w:rFonts w:hint="eastAsia" w:ascii="宋体" w:hAnsi="宋体" w:eastAsia="宋体" w:cs="宋体"/>
                <w:color w:val="auto"/>
                <w:sz w:val="22"/>
                <w:szCs w:val="18"/>
                <w:highlight w:val="none"/>
              </w:rPr>
              <w:t>分；</w:t>
            </w:r>
          </w:p>
          <w:p w14:paraId="33CA1790">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3、内容不完整，方案在科学、合理性方面一般，考虑不周，针对性不强，有很多方面需要进一步完善甚至重新考虑的得</w:t>
            </w:r>
            <w:r>
              <w:rPr>
                <w:rFonts w:hint="eastAsia" w:ascii="宋体" w:hAnsi="宋体" w:eastAsia="宋体" w:cs="宋体"/>
                <w:color w:val="auto"/>
                <w:sz w:val="22"/>
                <w:szCs w:val="18"/>
                <w:highlight w:val="none"/>
                <w:lang w:val="en-US" w:eastAsia="zh-CN"/>
              </w:rPr>
              <w:t>1</w:t>
            </w:r>
            <w:r>
              <w:rPr>
                <w:rFonts w:hint="eastAsia" w:ascii="宋体" w:hAnsi="宋体" w:eastAsia="宋体" w:cs="宋体"/>
                <w:color w:val="auto"/>
                <w:sz w:val="22"/>
                <w:szCs w:val="18"/>
                <w:highlight w:val="none"/>
              </w:rPr>
              <w:t>分。</w:t>
            </w:r>
          </w:p>
          <w:p w14:paraId="5D8E877C">
            <w:pPr>
              <w:pStyle w:val="58"/>
              <w:spacing w:line="360" w:lineRule="exact"/>
              <w:ind w:firstLineChars="0"/>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4、未提供不得分。</w:t>
            </w:r>
          </w:p>
        </w:tc>
      </w:tr>
      <w:tr w14:paraId="72948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noWrap w:val="0"/>
            <w:vAlign w:val="center"/>
          </w:tcPr>
          <w:p w14:paraId="2F545F8E">
            <w:pPr>
              <w:widowControl/>
              <w:spacing w:line="360" w:lineRule="auto"/>
              <w:jc w:val="center"/>
              <w:textAlignment w:val="center"/>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lang w:val="en-US" w:eastAsia="zh-CN"/>
              </w:rPr>
              <w:t>商务</w:t>
            </w:r>
            <w:r>
              <w:rPr>
                <w:rFonts w:hint="eastAsia" w:ascii="宋体" w:hAnsi="宋体" w:eastAsia="宋体" w:cs="宋体"/>
                <w:b/>
                <w:color w:val="auto"/>
                <w:sz w:val="22"/>
                <w:szCs w:val="21"/>
                <w:highlight w:val="none"/>
              </w:rPr>
              <w:t>部分</w:t>
            </w:r>
          </w:p>
          <w:p w14:paraId="74415D2D">
            <w:pPr>
              <w:widowControl/>
              <w:spacing w:line="360" w:lineRule="auto"/>
              <w:jc w:val="center"/>
              <w:textAlignment w:val="center"/>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（20分）</w:t>
            </w:r>
          </w:p>
        </w:tc>
        <w:tc>
          <w:tcPr>
            <w:tcW w:w="1310" w:type="dxa"/>
            <w:tcBorders>
              <w:top w:val="single" w:color="auto" w:sz="4" w:space="0"/>
            </w:tcBorders>
            <w:noWrap w:val="0"/>
            <w:vAlign w:val="center"/>
          </w:tcPr>
          <w:p w14:paraId="32BC0887">
            <w:pPr>
              <w:adjustRightInd w:val="0"/>
              <w:spacing w:line="360" w:lineRule="exact"/>
              <w:jc w:val="center"/>
              <w:textAlignment w:val="baseline"/>
              <w:rPr>
                <w:rFonts w:hint="eastAsia" w:ascii="宋体" w:hAnsi="宋体" w:eastAsia="宋体" w:cs="宋体"/>
                <w:color w:val="auto"/>
                <w:sz w:val="22"/>
                <w:szCs w:val="21"/>
                <w:highlight w:val="none"/>
              </w:rPr>
            </w:pPr>
            <w:r>
              <w:rPr>
                <w:rFonts w:hint="eastAsia" w:ascii="宋体" w:hAnsi="宋体" w:eastAsia="宋体" w:cs="宋体"/>
                <w:color w:val="auto"/>
                <w:kern w:val="0"/>
                <w:sz w:val="22"/>
                <w:szCs w:val="21"/>
                <w:highlight w:val="none"/>
                <w:lang w:val="en-US" w:eastAsia="zh-CN"/>
              </w:rPr>
              <w:t>企业</w:t>
            </w:r>
            <w:r>
              <w:rPr>
                <w:rFonts w:hint="eastAsia" w:ascii="宋体" w:hAnsi="宋体" w:eastAsia="宋体" w:cs="宋体"/>
                <w:color w:val="auto"/>
                <w:kern w:val="0"/>
                <w:sz w:val="22"/>
                <w:szCs w:val="21"/>
                <w:highlight w:val="none"/>
              </w:rPr>
              <w:t>类似业绩（</w:t>
            </w:r>
            <w:r>
              <w:rPr>
                <w:rFonts w:hint="eastAsia" w:ascii="宋体" w:hAnsi="宋体" w:eastAsia="宋体" w:cs="宋体"/>
                <w:color w:val="auto"/>
                <w:kern w:val="0"/>
                <w:sz w:val="22"/>
                <w:szCs w:val="21"/>
                <w:highlight w:val="none"/>
                <w:lang w:val="en-US" w:eastAsia="zh-CN"/>
              </w:rPr>
              <w:t>8</w:t>
            </w:r>
            <w:r>
              <w:rPr>
                <w:rFonts w:hint="eastAsia" w:ascii="宋体" w:hAnsi="宋体" w:eastAsia="宋体" w:cs="宋体"/>
                <w:color w:val="auto"/>
                <w:kern w:val="0"/>
                <w:sz w:val="22"/>
                <w:szCs w:val="21"/>
                <w:highlight w:val="none"/>
              </w:rPr>
              <w:t>分）</w:t>
            </w:r>
          </w:p>
        </w:tc>
        <w:tc>
          <w:tcPr>
            <w:tcW w:w="6664" w:type="dxa"/>
            <w:noWrap w:val="0"/>
            <w:vAlign w:val="center"/>
          </w:tcPr>
          <w:p w14:paraId="5E3FAD6B">
            <w:pPr>
              <w:adjustRightInd w:val="0"/>
              <w:snapToGrid w:val="0"/>
              <w:spacing w:line="360" w:lineRule="exact"/>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投标供应商</w:t>
            </w:r>
            <w:r>
              <w:rPr>
                <w:rFonts w:hint="eastAsia" w:ascii="宋体" w:hAnsi="宋体" w:eastAsia="宋体" w:cs="宋体"/>
                <w:color w:val="auto"/>
                <w:sz w:val="22"/>
                <w:szCs w:val="21"/>
                <w:highlight w:val="none"/>
                <w:lang w:val="en-US" w:eastAsia="zh-CN"/>
              </w:rPr>
              <w:t>自</w:t>
            </w:r>
            <w:r>
              <w:rPr>
                <w:rFonts w:hint="eastAsia" w:ascii="宋体" w:hAnsi="宋体" w:eastAsia="宋体" w:cs="宋体"/>
                <w:color w:val="auto"/>
                <w:sz w:val="22"/>
                <w:szCs w:val="21"/>
                <w:highlight w:val="none"/>
              </w:rPr>
              <w:t>20</w:t>
            </w:r>
            <w:r>
              <w:rPr>
                <w:rFonts w:hint="eastAsia" w:ascii="宋体" w:hAnsi="宋体" w:eastAsia="宋体" w:cs="宋体"/>
                <w:color w:val="auto"/>
                <w:sz w:val="22"/>
                <w:szCs w:val="21"/>
                <w:highlight w:val="none"/>
                <w:lang w:val="en-US" w:eastAsia="zh-CN"/>
              </w:rPr>
              <w:t>22</w:t>
            </w:r>
            <w:r>
              <w:rPr>
                <w:rFonts w:hint="eastAsia" w:ascii="宋体" w:hAnsi="宋体" w:eastAsia="宋体" w:cs="宋体"/>
                <w:color w:val="auto"/>
                <w:sz w:val="22"/>
                <w:szCs w:val="21"/>
                <w:highlight w:val="none"/>
              </w:rPr>
              <w:t>年1月1日以来承接的有效的类似项目业绩。每提供一份得</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分，最多得</w:t>
            </w:r>
            <w:r>
              <w:rPr>
                <w:rFonts w:hint="eastAsia" w:ascii="宋体" w:hAnsi="宋体" w:eastAsia="宋体" w:cs="宋体"/>
                <w:color w:val="auto"/>
                <w:sz w:val="22"/>
                <w:szCs w:val="21"/>
                <w:highlight w:val="none"/>
                <w:lang w:val="en-US" w:eastAsia="zh-CN"/>
              </w:rPr>
              <w:t>8</w:t>
            </w:r>
            <w:r>
              <w:rPr>
                <w:rFonts w:hint="eastAsia" w:ascii="宋体" w:hAnsi="宋体" w:eastAsia="宋体" w:cs="宋体"/>
                <w:color w:val="auto"/>
                <w:sz w:val="22"/>
                <w:szCs w:val="21"/>
                <w:highlight w:val="none"/>
              </w:rPr>
              <w:t>分。（投标文件中须附合同</w:t>
            </w:r>
            <w:r>
              <w:rPr>
                <w:rFonts w:hint="eastAsia" w:ascii="宋体" w:hAnsi="宋体" w:eastAsia="宋体" w:cs="宋体"/>
                <w:color w:val="auto"/>
                <w:sz w:val="22"/>
                <w:szCs w:val="21"/>
                <w:highlight w:val="none"/>
                <w:lang w:val="en-US" w:eastAsia="zh-CN"/>
              </w:rPr>
              <w:t>和</w:t>
            </w:r>
            <w:r>
              <w:rPr>
                <w:rFonts w:hint="eastAsia" w:ascii="宋体" w:hAnsi="宋体" w:eastAsia="宋体" w:cs="宋体"/>
                <w:color w:val="auto"/>
                <w:sz w:val="22"/>
                <w:szCs w:val="21"/>
                <w:highlight w:val="none"/>
              </w:rPr>
              <w:t>中标通知书原件扫描件）。</w:t>
            </w:r>
          </w:p>
        </w:tc>
      </w:tr>
      <w:tr w14:paraId="2F46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noWrap w:val="0"/>
            <w:vAlign w:val="center"/>
          </w:tcPr>
          <w:p w14:paraId="4CED598B">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noWrap w:val="0"/>
            <w:vAlign w:val="center"/>
          </w:tcPr>
          <w:p w14:paraId="41EBC2FF">
            <w:pPr>
              <w:adjustRightInd w:val="0"/>
              <w:spacing w:line="360" w:lineRule="exact"/>
              <w:jc w:val="center"/>
              <w:textAlignment w:val="baseline"/>
              <w:rPr>
                <w:rFonts w:hint="eastAsia" w:ascii="宋体" w:hAnsi="宋体" w:eastAsia="宋体" w:cs="宋体"/>
                <w:color w:val="auto"/>
                <w:kern w:val="0"/>
                <w:sz w:val="22"/>
                <w:szCs w:val="21"/>
                <w:highlight w:val="none"/>
                <w:lang w:val="en-US" w:eastAsia="zh-CN"/>
              </w:rPr>
            </w:pPr>
            <w:r>
              <w:rPr>
                <w:rFonts w:hint="eastAsia" w:ascii="宋体" w:hAnsi="宋体" w:eastAsia="宋体" w:cs="宋体"/>
                <w:color w:val="auto"/>
                <w:kern w:val="0"/>
                <w:sz w:val="22"/>
                <w:szCs w:val="21"/>
                <w:highlight w:val="none"/>
                <w:lang w:val="en-US" w:eastAsia="zh-CN"/>
              </w:rPr>
              <w:t>售后服务方案（6分）</w:t>
            </w:r>
          </w:p>
        </w:tc>
        <w:tc>
          <w:tcPr>
            <w:tcW w:w="6664" w:type="dxa"/>
            <w:noWrap w:val="0"/>
            <w:vAlign w:val="center"/>
          </w:tcPr>
          <w:p w14:paraId="16CA8988">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根据供应商针对本项目要求编制的售后服务方案，包括但不限于售后服务人员及岗位设置、售后服务响应时间、售后完善程度、解决问题的能力等进行综合评分，</w:t>
            </w:r>
          </w:p>
          <w:p w14:paraId="62B8D2ED">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  1、内容详细，方案科学、合理、考虑周全，针对性较强的得6分；</w:t>
            </w:r>
          </w:p>
          <w:p w14:paraId="7C52E0B9">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  2、内容完整，方案基本科学、合理、基本考虑周全的得4分；</w:t>
            </w:r>
          </w:p>
          <w:p w14:paraId="7699CBB3">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  3、内容不完整，方案在科学、合理性方面一般，考虑不周，针对性不强，有很多方面需要进一步完善甚至重新考虑的得2分。</w:t>
            </w:r>
          </w:p>
          <w:p w14:paraId="4DFC67A1">
            <w:pPr>
              <w:autoSpaceDE w:val="0"/>
              <w:autoSpaceDN w:val="0"/>
              <w:adjustRightInd w:val="0"/>
              <w:spacing w:line="360" w:lineRule="auto"/>
              <w:jc w:val="left"/>
              <w:rPr>
                <w:rFonts w:hint="eastAsia" w:ascii="宋体" w:hAnsi="宋体" w:eastAsia="宋体" w:cs="宋体"/>
                <w:color w:val="auto"/>
                <w:sz w:val="22"/>
                <w:szCs w:val="21"/>
                <w:highlight w:val="none"/>
              </w:rPr>
            </w:pPr>
            <w:r>
              <w:rPr>
                <w:rFonts w:hint="eastAsia" w:ascii="宋体" w:hAnsi="宋体" w:eastAsia="宋体" w:cs="宋体"/>
                <w:sz w:val="22"/>
                <w:szCs w:val="21"/>
                <w:lang w:val="en-US" w:eastAsia="zh-CN"/>
              </w:rPr>
              <w:t xml:space="preserve">  4、未提供不得分。</w:t>
            </w:r>
            <w:r>
              <w:rPr>
                <w:rFonts w:hint="eastAsia" w:ascii="宋体" w:hAnsi="宋体" w:eastAsia="宋体" w:cs="宋体"/>
                <w:sz w:val="21"/>
                <w:szCs w:val="20"/>
              </w:rPr>
              <w:t xml:space="preserve"> </w:t>
            </w:r>
          </w:p>
        </w:tc>
      </w:tr>
      <w:tr w14:paraId="771D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noWrap w:val="0"/>
            <w:vAlign w:val="center"/>
          </w:tcPr>
          <w:p w14:paraId="7A993E5D">
            <w:pPr>
              <w:widowControl/>
              <w:spacing w:line="360" w:lineRule="auto"/>
              <w:jc w:val="center"/>
              <w:textAlignment w:val="center"/>
              <w:rPr>
                <w:rFonts w:hint="eastAsia" w:ascii="宋体" w:hAnsi="宋体" w:eastAsia="宋体" w:cs="宋体"/>
                <w:b/>
                <w:color w:val="auto"/>
                <w:kern w:val="0"/>
                <w:sz w:val="22"/>
                <w:szCs w:val="21"/>
                <w:highlight w:val="none"/>
              </w:rPr>
            </w:pPr>
          </w:p>
        </w:tc>
        <w:tc>
          <w:tcPr>
            <w:tcW w:w="1310" w:type="dxa"/>
            <w:noWrap w:val="0"/>
            <w:vAlign w:val="center"/>
          </w:tcPr>
          <w:p w14:paraId="114DD615">
            <w:pPr>
              <w:adjustRightInd w:val="0"/>
              <w:spacing w:line="360" w:lineRule="exact"/>
              <w:jc w:val="center"/>
              <w:textAlignment w:val="baseline"/>
              <w:rPr>
                <w:rFonts w:hint="default" w:ascii="宋体" w:hAnsi="宋体" w:eastAsia="宋体" w:cs="宋体"/>
                <w:color w:val="auto"/>
                <w:kern w:val="0"/>
                <w:sz w:val="22"/>
                <w:szCs w:val="21"/>
                <w:highlight w:val="none"/>
                <w:lang w:val="en-US" w:eastAsia="zh-CN"/>
              </w:rPr>
            </w:pPr>
            <w:r>
              <w:rPr>
                <w:rFonts w:hint="eastAsia" w:ascii="宋体" w:hAnsi="宋体" w:eastAsia="宋体" w:cs="宋体"/>
                <w:color w:val="auto"/>
                <w:kern w:val="0"/>
                <w:sz w:val="22"/>
                <w:szCs w:val="21"/>
                <w:highlight w:val="none"/>
                <w:lang w:val="en-US" w:eastAsia="zh-CN"/>
              </w:rPr>
              <w:t>优惠承诺（6分）</w:t>
            </w:r>
          </w:p>
        </w:tc>
        <w:tc>
          <w:tcPr>
            <w:tcW w:w="6664" w:type="dxa"/>
            <w:noWrap w:val="0"/>
            <w:vAlign w:val="center"/>
          </w:tcPr>
          <w:p w14:paraId="7F23F08E">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优惠承诺 </w:t>
            </w:r>
          </w:p>
          <w:p w14:paraId="450E859C">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1、客户提供实质性优惠承诺，优惠内容合理且实用性高的得6分； </w:t>
            </w:r>
          </w:p>
          <w:p w14:paraId="7BF93C75">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2、为客户提供的优惠承诺内容较为合理、实用价值一般的得4分； </w:t>
            </w:r>
          </w:p>
          <w:p w14:paraId="2B657BD2">
            <w:pPr>
              <w:autoSpaceDE w:val="0"/>
              <w:autoSpaceDN w:val="0"/>
              <w:adjustRightInd w:val="0"/>
              <w:spacing w:line="360" w:lineRule="auto"/>
              <w:jc w:val="lef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 xml:space="preserve">3、未完全提供或部分适用于本项目的得 2分； </w:t>
            </w:r>
          </w:p>
          <w:p w14:paraId="205DD4E5">
            <w:pPr>
              <w:widowControl/>
              <w:jc w:val="left"/>
              <w:rPr>
                <w:rFonts w:hint="eastAsia" w:ascii="宋体" w:hAnsi="宋体" w:eastAsia="宋体" w:cs="宋体"/>
                <w:sz w:val="21"/>
                <w:szCs w:val="20"/>
              </w:rPr>
            </w:pPr>
            <w:r>
              <w:rPr>
                <w:rFonts w:hint="eastAsia" w:ascii="宋体" w:hAnsi="宋体" w:eastAsia="宋体" w:cs="宋体"/>
                <w:sz w:val="22"/>
                <w:szCs w:val="21"/>
                <w:lang w:val="en-US" w:eastAsia="zh-CN"/>
              </w:rPr>
              <w:t>4、不提供不得分</w:t>
            </w:r>
          </w:p>
        </w:tc>
      </w:tr>
    </w:tbl>
    <w:p w14:paraId="443157BE">
      <w:pPr>
        <w:spacing w:line="360" w:lineRule="auto"/>
        <w:ind w:firstLine="442" w:firstLineChars="200"/>
        <w:jc w:val="left"/>
        <w:rPr>
          <w:rFonts w:hint="eastAsia" w:ascii="宋体" w:hAnsi="宋体" w:eastAsia="宋体" w:cs="宋体"/>
          <w:color w:val="auto"/>
          <w:sz w:val="22"/>
          <w:szCs w:val="21"/>
          <w:highlight w:val="none"/>
        </w:rPr>
      </w:pPr>
      <w:r>
        <w:rPr>
          <w:rFonts w:hint="eastAsia" w:ascii="宋体" w:hAnsi="宋体" w:eastAsia="宋体" w:cs="宋体"/>
          <w:b/>
          <w:color w:val="auto"/>
          <w:sz w:val="22"/>
          <w:szCs w:val="21"/>
          <w:highlight w:val="none"/>
        </w:rPr>
        <w:t>1.评标方法</w:t>
      </w:r>
    </w:p>
    <w:p w14:paraId="547855CA">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（1）本次评标采用综合评分法。</w:t>
      </w:r>
    </w:p>
    <w:p w14:paraId="3C00E3C2">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341F3782">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投标文件满足招标文件全部实质性要求，且按照评审因素的量化指标依次排序。</w:t>
      </w:r>
    </w:p>
    <w:p w14:paraId="2DBC7220">
      <w:pPr>
        <w:spacing w:line="360" w:lineRule="auto"/>
        <w:ind w:firstLine="442" w:firstLineChars="20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注:评标打分部分仍按照100分制原则进行，涉及到资格审查、企业荣誉、人员业绩、企业业绩等计分部分时，以投标供应商自行上传到投标文件中的相应内容为准。</w:t>
      </w:r>
    </w:p>
    <w:p w14:paraId="2FC6EA02">
      <w:pPr>
        <w:spacing w:line="500" w:lineRule="exact"/>
        <w:ind w:firstLine="442" w:firstLineChars="200"/>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2. 评审标准</w:t>
      </w:r>
    </w:p>
    <w:p w14:paraId="60E3CC0B">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2.1 初步评审标准</w:t>
      </w:r>
    </w:p>
    <w:p w14:paraId="45F3D371">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2.1.1 形式评审标准：见评标办法前附表。</w:t>
      </w:r>
    </w:p>
    <w:p w14:paraId="52CABBF1">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2.1.2 响应性评审标准：见评标办法前附表。</w:t>
      </w:r>
    </w:p>
    <w:p w14:paraId="0C882DDC">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 分值构成与评分标准</w:t>
      </w:r>
    </w:p>
    <w:p w14:paraId="7B95B01F">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2.2.1 分值构成</w:t>
      </w:r>
    </w:p>
    <w:p w14:paraId="2F6F1355">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（1）投标报价的权重占30%</w:t>
      </w:r>
    </w:p>
    <w:p w14:paraId="565887A1">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（2）技术部分的权重占50%</w:t>
      </w:r>
    </w:p>
    <w:p w14:paraId="547BE5CC">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w:t>
      </w:r>
      <w:r>
        <w:rPr>
          <w:rFonts w:hint="eastAsia" w:ascii="宋体" w:hAnsi="宋体" w:eastAsia="宋体" w:cs="宋体"/>
          <w:color w:val="auto"/>
          <w:sz w:val="22"/>
          <w:szCs w:val="21"/>
          <w:highlight w:val="none"/>
          <w:lang w:val="en-US" w:eastAsia="zh-CN"/>
        </w:rPr>
        <w:t>商务</w:t>
      </w:r>
      <w:r>
        <w:rPr>
          <w:rFonts w:hint="eastAsia" w:ascii="宋体" w:hAnsi="宋体" w:eastAsia="宋体" w:cs="宋体"/>
          <w:color w:val="auto"/>
          <w:sz w:val="22"/>
          <w:szCs w:val="21"/>
          <w:highlight w:val="none"/>
        </w:rPr>
        <w:t>部分的权重占20%</w:t>
      </w:r>
    </w:p>
    <w:p w14:paraId="7A71F83F">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2.2.2 评标基准价计算</w:t>
      </w:r>
    </w:p>
    <w:p w14:paraId="764B9191">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评标基准价计算方法：见评标办法前附表。</w:t>
      </w:r>
    </w:p>
    <w:p w14:paraId="43236280">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2.2.3 评分标准</w:t>
      </w:r>
    </w:p>
    <w:p w14:paraId="0D3DE713">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见评标办法前附表。</w:t>
      </w:r>
    </w:p>
    <w:p w14:paraId="745D6AEF">
      <w:pPr>
        <w:spacing w:line="500" w:lineRule="exact"/>
        <w:ind w:firstLine="442" w:firstLineChars="200"/>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3. 评标程序</w:t>
      </w:r>
    </w:p>
    <w:p w14:paraId="3772905D">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3.1 初步评审</w:t>
      </w:r>
    </w:p>
    <w:p w14:paraId="309BAC8E">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3.1.1由采购人和采购代理机构人员根据本章规定得资格评审办法对投标供应商进行资格审查，通过资格审查得投标供应商由评标委员会依据本章规定的评审标准对投标文件进行形式评审、响应性评审。有一项不符合评审标准的，将被否决投标。</w:t>
      </w:r>
    </w:p>
    <w:p w14:paraId="3FCF69FF">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3.1.2 投标供应商有以下情形之一的，其投标将予以否决投标：</w:t>
      </w:r>
    </w:p>
    <w:p w14:paraId="58EACD26">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（1）串通投标或弄虚作假或有其他违法行为的；</w:t>
      </w:r>
    </w:p>
    <w:p w14:paraId="5C869AD5">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（2）不按评标委员会要求澄清、说明或补正的。</w:t>
      </w:r>
    </w:p>
    <w:p w14:paraId="37F5BAA8">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3.1.3投标报价有算术错误的，评标委员会按以下原则对投标报价进行修正，修正的价格经投标供应商书面确认后具有约束力。投标供应商不接受修正价格的，其投标不予评审。</w:t>
      </w:r>
    </w:p>
    <w:p w14:paraId="7B8DAF4D">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投标文件中的大写金额与小写金额不一致的，以大写金额为准；</w:t>
      </w:r>
    </w:p>
    <w:p w14:paraId="3EE736B5">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总价金额与依据单价计算出的结果不一致的，以单价金额为准修正总价，但单价金额小数点有明显错误的除外。</w:t>
      </w:r>
    </w:p>
    <w:p w14:paraId="59FC8D2C">
      <w:pPr>
        <w:spacing w:line="500" w:lineRule="exact"/>
        <w:ind w:firstLine="442" w:firstLineChars="200"/>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3.2 详细评审</w:t>
      </w:r>
    </w:p>
    <w:p w14:paraId="6920ED81">
      <w:pPr>
        <w:widowControl/>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3.2.1根据招标文件、投标文件，按照评分办法，得出每个评委对投标供应商的评标分数。投标供应商的最终得分为所有评委对其打分的算术平均值。计分过程按四舍五入取至小数点后两位，最终得分取至小数点后二位。</w:t>
      </w:r>
    </w:p>
    <w:p w14:paraId="3929CFD0">
      <w:pPr>
        <w:widowControl/>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3.2.2定标办法</w:t>
      </w:r>
    </w:p>
    <w:p w14:paraId="35491791">
      <w:pPr>
        <w:widowControl/>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1、投标供应商的排名按得分顺序从高到低排列；得分相同的，按响应报价由低到高顺序排列；得分且响应报价相同的，按技术指标优劣顺序排列。</w:t>
      </w:r>
    </w:p>
    <w:p w14:paraId="0F151D30">
      <w:pPr>
        <w:widowControl/>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2、评标委员会写出评标报告确定推荐3名中标候选人。</w:t>
      </w:r>
    </w:p>
    <w:p w14:paraId="5EFE0D50">
      <w:pPr>
        <w:widowControl/>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3.2.3价格分计算</w:t>
      </w:r>
    </w:p>
    <w:p w14:paraId="02877D90">
      <w:pPr>
        <w:widowControl/>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价格分采用低价优先法计算，即满足招标文件要求且投标价格最低的投标报价为评标基准价，其价格分为满分。因落实政府采购政策进行价格调整的，以调整后的价格计算评标基准价和投标报价。</w:t>
      </w:r>
    </w:p>
    <w:p w14:paraId="5506CBB3">
      <w:pPr>
        <w:spacing w:line="500" w:lineRule="exact"/>
        <w:ind w:firstLine="442" w:firstLineChars="200"/>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3.3 投标文件的澄清和补正</w:t>
      </w:r>
    </w:p>
    <w:p w14:paraId="73095F5F">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3.3.1在评标过程中，评标委员会可以书面形式要求投标供应商对所提交投标文件中不明确的内容进行书面澄清或说明，或者对细微偏差进行补正。评标委员会不接受投标供应商主动提出的澄清、说明或补正。</w:t>
      </w:r>
    </w:p>
    <w:p w14:paraId="6D347A4F">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3.3.2 澄清、说明和补正不得改变投标文件的实质性内容（算术性错误修正的除外）。投标供应商的书面澄清、说明和补正属于投标文件的组成部分。</w:t>
      </w:r>
    </w:p>
    <w:p w14:paraId="5F0AEA86">
      <w:pPr>
        <w:spacing w:line="50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3.3.3 评标委员会对投标供应商提交的澄清、说明或补正有疑问的，可以要求投标供应商进一步澄清、说明或补正，直至满足评标委员会的要求。</w:t>
      </w:r>
    </w:p>
    <w:p w14:paraId="1662DB6B">
      <w:pPr>
        <w:spacing w:line="500" w:lineRule="exact"/>
        <w:ind w:firstLine="442" w:firstLineChars="200"/>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3.4</w:t>
      </w:r>
      <w:r>
        <w:rPr>
          <w:rFonts w:hint="eastAsia" w:ascii="宋体" w:hAnsi="宋体" w:eastAsia="宋体" w:cs="宋体"/>
          <w:b/>
          <w:bCs/>
          <w:color w:val="auto"/>
          <w:sz w:val="22"/>
          <w:szCs w:val="21"/>
          <w:highlight w:val="none"/>
        </w:rPr>
        <w:t>评标结果</w:t>
      </w:r>
    </w:p>
    <w:p w14:paraId="755208A3">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3.4.1 除第二章“投标供应商须知”前附表授权直接确定中标供应商外，评标委员会按照得分由高到低的顺序推荐中标候选人。</w:t>
      </w:r>
    </w:p>
    <w:p w14:paraId="611C7608">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3.4.2 采购代理机构应当在评标结束后2个工作日内将评标报告送采购人；</w:t>
      </w:r>
    </w:p>
    <w:p w14:paraId="242054B2">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3.4.3 采购人应当自收到评标报告之日起5个工作日内，在评标报告确定的中标候选人名单中按顺序确定中标供应商。中标候选人并列的，由采购人或者采购人委托评标委员会按照招标文件规定的方式确定中标供应商；招标文件未规定的，采取随机抽取的方式确定。</w:t>
      </w:r>
    </w:p>
    <w:p w14:paraId="19F438AE">
      <w:pPr>
        <w:spacing w:line="360" w:lineRule="auto"/>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3.4.4 采购人在收到评标报告5个工作日内未按评标报告推荐的中标候选人顺序确定中标供应商，又不能说明合法理由的，视同按评标报告推荐的中标候选人顺序确定为中标供应商。</w:t>
      </w:r>
    </w:p>
    <w:p w14:paraId="1B12CB05">
      <w:pPr>
        <w:spacing w:line="480" w:lineRule="exact"/>
        <w:jc w:val="center"/>
        <w:outlineLvl w:val="0"/>
        <w:rPr>
          <w:rFonts w:hint="eastAsia" w:ascii="宋体" w:hAnsi="宋体" w:eastAsia="宋体" w:cs="宋体"/>
          <w:b/>
          <w:color w:val="auto"/>
          <w:sz w:val="32"/>
          <w:szCs w:val="28"/>
          <w:highlight w:val="none"/>
        </w:rPr>
      </w:pPr>
    </w:p>
    <w:p w14:paraId="5ECA5CC9">
      <w:pPr>
        <w:pStyle w:val="4"/>
        <w:numPr>
          <w:ilvl w:val="0"/>
          <w:numId w:val="0"/>
        </w:numPr>
        <w:bidi w:val="0"/>
        <w:ind w:left="440" w:leftChars="0"/>
        <w:jc w:val="center"/>
        <w:rPr>
          <w:rFonts w:hint="eastAsia"/>
          <w:color w:val="auto"/>
        </w:rPr>
      </w:pPr>
      <w:r>
        <w:rPr>
          <w:rFonts w:hint="eastAsia"/>
          <w:color w:val="auto"/>
          <w:sz w:val="28"/>
          <w:szCs w:val="28"/>
          <w:lang w:val="en-US" w:eastAsia="zh-CN"/>
        </w:rPr>
        <w:br w:type="page"/>
      </w:r>
      <w:r>
        <w:rPr>
          <w:rFonts w:hint="eastAsia"/>
          <w:color w:val="auto"/>
          <w:lang w:val="en-US" w:eastAsia="zh-CN"/>
        </w:rPr>
        <w:t>第五章</w:t>
      </w:r>
      <w:r>
        <w:rPr>
          <w:rFonts w:hint="eastAsia"/>
          <w:color w:val="auto"/>
        </w:rPr>
        <w:t xml:space="preserve"> </w:t>
      </w:r>
      <w:bookmarkStart w:id="31" w:name="_Toc12230"/>
      <w:r>
        <w:rPr>
          <w:rFonts w:hint="eastAsia"/>
          <w:color w:val="auto"/>
        </w:rPr>
        <w:t>合同条款及格式</w:t>
      </w:r>
      <w:bookmarkEnd w:id="30"/>
      <w:bookmarkEnd w:id="31"/>
    </w:p>
    <w:p w14:paraId="722D5209">
      <w:pPr>
        <w:pStyle w:val="94"/>
        <w:rPr>
          <w:rFonts w:hint="eastAsia" w:ascii="宋体" w:hAnsi="宋体" w:eastAsia="宋体" w:cs="宋体"/>
          <w:color w:val="auto"/>
          <w:highlight w:val="none"/>
        </w:rPr>
      </w:pPr>
    </w:p>
    <w:p w14:paraId="0D19A9D4">
      <w:pPr>
        <w:widowControl/>
        <w:snapToGrid w:val="0"/>
        <w:spacing w:line="520" w:lineRule="exact"/>
        <w:ind w:firstLine="482" w:firstLineChars="20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（本合同仅供参考 双方可根据实际情况另行商议）</w:t>
      </w:r>
    </w:p>
    <w:p w14:paraId="1E19DBC3">
      <w:pPr>
        <w:pStyle w:val="2"/>
        <w:spacing w:before="0" w:after="0" w:line="520" w:lineRule="exact"/>
        <w:ind w:firstLine="0"/>
        <w:jc w:val="center"/>
        <w:rPr>
          <w:rFonts w:hint="eastAsia" w:ascii="方正小标宋简体" w:hAnsi="宋体" w:eastAsia="方正小标宋简体"/>
          <w:b w:val="0"/>
          <w:szCs w:val="36"/>
        </w:rPr>
      </w:pPr>
      <w:bookmarkStart w:id="32" w:name="_Toc29122"/>
      <w:r>
        <w:rPr>
          <w:rFonts w:hint="eastAsia" w:ascii="方正小标宋简体" w:hAnsi="宋体" w:eastAsia="方正小标宋简体"/>
          <w:b w:val="0"/>
        </w:rPr>
        <w:t>采购合同内容</w:t>
      </w:r>
    </w:p>
    <w:p w14:paraId="799235D8">
      <w:pPr>
        <w:spacing w:line="520" w:lineRule="exact"/>
        <w:ind w:firstLine="440" w:firstLineChars="200"/>
        <w:rPr>
          <w:rFonts w:hint="eastAsia"/>
          <w:szCs w:val="27"/>
        </w:rPr>
      </w:pPr>
    </w:p>
    <w:p w14:paraId="00F52A94">
      <w:pPr>
        <w:spacing w:line="360" w:lineRule="auto"/>
        <w:ind w:firstLine="420" w:firstLineChars="200"/>
        <w:rPr>
          <w:sz w:val="21"/>
          <w:szCs w:val="21"/>
          <w:u w:val="single"/>
        </w:rPr>
      </w:pPr>
      <w:r>
        <w:rPr>
          <w:rFonts w:hint="eastAsia"/>
          <w:sz w:val="21"/>
          <w:szCs w:val="21"/>
        </w:rPr>
        <w:t>采购人</w:t>
      </w:r>
      <w:r>
        <w:rPr>
          <w:sz w:val="21"/>
          <w:szCs w:val="21"/>
        </w:rPr>
        <w:t>（甲方）：</w:t>
      </w:r>
      <w:r>
        <w:rPr>
          <w:rFonts w:hint="eastAsia"/>
          <w:sz w:val="21"/>
          <w:szCs w:val="21"/>
        </w:rPr>
        <w:t xml:space="preserve"> </w:t>
      </w:r>
    </w:p>
    <w:p w14:paraId="40BFDFA2">
      <w:pPr>
        <w:spacing w:line="360" w:lineRule="auto"/>
        <w:ind w:firstLine="420" w:firstLineChars="200"/>
        <w:rPr>
          <w:sz w:val="21"/>
          <w:szCs w:val="21"/>
        </w:rPr>
      </w:pPr>
      <w:r>
        <w:rPr>
          <w:rFonts w:hint="eastAsia"/>
          <w:sz w:val="21"/>
          <w:szCs w:val="21"/>
        </w:rPr>
        <w:t>供应商</w:t>
      </w:r>
      <w:r>
        <w:rPr>
          <w:sz w:val="21"/>
          <w:szCs w:val="21"/>
        </w:rPr>
        <w:t>（乙方）</w:t>
      </w:r>
      <w:r>
        <w:rPr>
          <w:rFonts w:hint="eastAsia"/>
          <w:sz w:val="21"/>
          <w:szCs w:val="21"/>
        </w:rPr>
        <w:t>：</w:t>
      </w:r>
    </w:p>
    <w:p w14:paraId="0D912685">
      <w:pPr>
        <w:spacing w:line="360" w:lineRule="auto"/>
        <w:ind w:firstLine="420" w:firstLineChars="200"/>
        <w:rPr>
          <w:sz w:val="21"/>
          <w:szCs w:val="21"/>
          <w:u w:val="single"/>
        </w:rPr>
      </w:pPr>
      <w:r>
        <w:rPr>
          <w:rFonts w:hint="eastAsia"/>
          <w:sz w:val="21"/>
          <w:szCs w:val="21"/>
        </w:rPr>
        <w:t>签订地点：</w:t>
      </w:r>
    </w:p>
    <w:p w14:paraId="71A845AF">
      <w:pPr>
        <w:spacing w:line="360" w:lineRule="auto"/>
        <w:ind w:firstLine="420" w:firstLineChars="200"/>
        <w:rPr>
          <w:sz w:val="21"/>
          <w:szCs w:val="21"/>
          <w:u w:val="single"/>
        </w:rPr>
      </w:pPr>
      <w:r>
        <w:rPr>
          <w:rFonts w:hint="eastAsia"/>
          <w:sz w:val="21"/>
          <w:szCs w:val="21"/>
        </w:rPr>
        <w:t>项目名称：</w:t>
      </w:r>
    </w:p>
    <w:p w14:paraId="2D64F0C7">
      <w:pPr>
        <w:spacing w:line="360" w:lineRule="auto"/>
        <w:ind w:firstLine="420" w:firstLineChars="200"/>
        <w:rPr>
          <w:sz w:val="21"/>
          <w:szCs w:val="21"/>
          <w:u w:val="single"/>
        </w:rPr>
      </w:pPr>
      <w:r>
        <w:rPr>
          <w:rFonts w:hint="eastAsia"/>
          <w:sz w:val="21"/>
          <w:szCs w:val="21"/>
        </w:rPr>
        <w:t>项目编号：</w:t>
      </w:r>
    </w:p>
    <w:p w14:paraId="039D37D4">
      <w:pPr>
        <w:spacing w:line="360" w:lineRule="auto"/>
        <w:ind w:firstLine="420" w:firstLineChars="200"/>
        <w:rPr>
          <w:sz w:val="21"/>
          <w:szCs w:val="21"/>
        </w:rPr>
      </w:pPr>
      <w:r>
        <w:rPr>
          <w:rFonts w:hint="eastAsia"/>
          <w:sz w:val="21"/>
          <w:szCs w:val="21"/>
        </w:rPr>
        <w:t>财政委托号：</w:t>
      </w:r>
      <w:r>
        <w:rPr>
          <w:rFonts w:hint="eastAsia"/>
          <w:sz w:val="21"/>
          <w:szCs w:val="21"/>
          <w:u w:val="single"/>
        </w:rPr>
        <w:t xml:space="preserve">      </w:t>
      </w:r>
      <w:r>
        <w:rPr>
          <w:rFonts w:hint="eastAsia"/>
          <w:sz w:val="21"/>
          <w:szCs w:val="21"/>
        </w:rPr>
        <w:t>(财政资金项目必须填写)</w:t>
      </w:r>
    </w:p>
    <w:p w14:paraId="453A8087">
      <w:pPr>
        <w:spacing w:line="360" w:lineRule="auto"/>
        <w:ind w:firstLine="420" w:firstLineChars="200"/>
        <w:rPr>
          <w:sz w:val="21"/>
          <w:szCs w:val="21"/>
        </w:rPr>
      </w:pPr>
      <w:r>
        <w:rPr>
          <w:rFonts w:hint="eastAsia"/>
          <w:sz w:val="21"/>
          <w:szCs w:val="21"/>
        </w:rPr>
        <w:t>本项目经批准采用</w:t>
      </w:r>
      <w:r>
        <w:rPr>
          <w:rFonts w:hint="eastAsia"/>
          <w:sz w:val="21"/>
          <w:szCs w:val="21"/>
          <w:u w:val="single"/>
        </w:rPr>
        <w:t xml:space="preserve">           </w:t>
      </w:r>
      <w:r>
        <w:rPr>
          <w:rFonts w:hint="eastAsia"/>
          <w:sz w:val="21"/>
          <w:szCs w:val="21"/>
        </w:rPr>
        <w:t>采购方式，经本项目评审委员会认真评审，决定将采购合同授予乙方。为进一步明确双方的责任，确保合同的顺利履行，</w:t>
      </w:r>
      <w:r>
        <w:rPr>
          <w:sz w:val="21"/>
          <w:szCs w:val="21"/>
        </w:rPr>
        <w:t>根据《中华人民共和</w:t>
      </w:r>
      <w:r>
        <w:rPr>
          <w:rFonts w:hint="eastAsia"/>
          <w:sz w:val="21"/>
          <w:szCs w:val="21"/>
        </w:rPr>
        <w:t>国采购法</w:t>
      </w:r>
      <w:r>
        <w:rPr>
          <w:sz w:val="21"/>
          <w:szCs w:val="21"/>
        </w:rPr>
        <w:t>法》</w:t>
      </w:r>
      <w:r>
        <w:rPr>
          <w:rFonts w:hint="eastAsia"/>
          <w:sz w:val="21"/>
          <w:szCs w:val="21"/>
        </w:rPr>
        <w:t>、</w:t>
      </w:r>
      <w:r>
        <w:rPr>
          <w:sz w:val="21"/>
          <w:szCs w:val="21"/>
        </w:rPr>
        <w:t>《中华人民共和国合同法》之规定，经甲乙双方充分协商，特订立</w:t>
      </w:r>
      <w:r>
        <w:rPr>
          <w:rFonts w:hint="eastAsia"/>
          <w:sz w:val="21"/>
          <w:szCs w:val="21"/>
        </w:rPr>
        <w:t>本</w:t>
      </w:r>
      <w:r>
        <w:rPr>
          <w:sz w:val="21"/>
          <w:szCs w:val="21"/>
        </w:rPr>
        <w:t>合同，以便共同遵守。</w:t>
      </w:r>
    </w:p>
    <w:p w14:paraId="5E03674F">
      <w:pPr>
        <w:spacing w:line="360" w:lineRule="auto"/>
        <w:ind w:firstLine="420" w:firstLineChars="200"/>
        <w:rPr>
          <w:sz w:val="21"/>
          <w:szCs w:val="21"/>
          <w:u w:val="single"/>
        </w:rPr>
      </w:pPr>
      <w:r>
        <w:rPr>
          <w:b/>
          <w:bCs/>
          <w:sz w:val="21"/>
          <w:szCs w:val="21"/>
        </w:rPr>
        <w:t>第一条</w:t>
      </w:r>
      <w:r>
        <w:rPr>
          <w:sz w:val="21"/>
          <w:szCs w:val="21"/>
        </w:rPr>
        <w:t> </w:t>
      </w:r>
      <w:r>
        <w:rPr>
          <w:rFonts w:hint="eastAsia"/>
          <w:sz w:val="21"/>
          <w:szCs w:val="21"/>
        </w:rPr>
        <w:t xml:space="preserve">  </w:t>
      </w:r>
      <w:r>
        <w:rPr>
          <w:sz w:val="21"/>
          <w:szCs w:val="21"/>
        </w:rPr>
        <w:t>产品的名称、品种、规格</w:t>
      </w:r>
      <w:r>
        <w:rPr>
          <w:rFonts w:hint="eastAsia"/>
          <w:sz w:val="21"/>
          <w:szCs w:val="21"/>
        </w:rPr>
        <w:t>、数量和价格：（若产品过多则见附表，如有附表则必须加盖印章）</w:t>
      </w:r>
    </w:p>
    <w:tbl>
      <w:tblPr>
        <w:tblStyle w:val="32"/>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1A75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0900FB1B">
            <w:pPr>
              <w:spacing w:line="360" w:lineRule="auto"/>
              <w:ind w:firstLine="420" w:firstLineChars="200"/>
              <w:rPr>
                <w:sz w:val="21"/>
                <w:szCs w:val="21"/>
              </w:rPr>
            </w:pPr>
            <w:r>
              <w:rPr>
                <w:rFonts w:hint="eastAsia"/>
                <w:sz w:val="21"/>
                <w:szCs w:val="21"/>
              </w:rPr>
              <w:t>产品名称</w:t>
            </w:r>
          </w:p>
        </w:tc>
        <w:tc>
          <w:tcPr>
            <w:tcW w:w="1623" w:type="dxa"/>
            <w:noWrap w:val="0"/>
            <w:vAlign w:val="top"/>
          </w:tcPr>
          <w:p w14:paraId="44CDDA5F">
            <w:pPr>
              <w:spacing w:line="360" w:lineRule="auto"/>
              <w:ind w:firstLine="420" w:firstLineChars="200"/>
              <w:rPr>
                <w:sz w:val="21"/>
                <w:szCs w:val="21"/>
              </w:rPr>
            </w:pPr>
            <w:r>
              <w:rPr>
                <w:rFonts w:hint="eastAsia"/>
                <w:sz w:val="21"/>
                <w:szCs w:val="21"/>
              </w:rPr>
              <w:t>规格型号</w:t>
            </w:r>
          </w:p>
        </w:tc>
        <w:tc>
          <w:tcPr>
            <w:tcW w:w="902" w:type="dxa"/>
            <w:noWrap w:val="0"/>
            <w:vAlign w:val="top"/>
          </w:tcPr>
          <w:p w14:paraId="0E0CAAFB">
            <w:pPr>
              <w:spacing w:line="360" w:lineRule="auto"/>
              <w:rPr>
                <w:sz w:val="21"/>
                <w:szCs w:val="21"/>
              </w:rPr>
            </w:pPr>
            <w:r>
              <w:rPr>
                <w:rFonts w:hint="eastAsia"/>
                <w:sz w:val="21"/>
                <w:szCs w:val="21"/>
              </w:rPr>
              <w:t>单位</w:t>
            </w:r>
          </w:p>
        </w:tc>
        <w:tc>
          <w:tcPr>
            <w:tcW w:w="902" w:type="dxa"/>
            <w:noWrap w:val="0"/>
            <w:vAlign w:val="top"/>
          </w:tcPr>
          <w:p w14:paraId="3AC1033B">
            <w:pPr>
              <w:spacing w:line="360" w:lineRule="auto"/>
              <w:rPr>
                <w:sz w:val="21"/>
                <w:szCs w:val="21"/>
              </w:rPr>
            </w:pPr>
            <w:r>
              <w:rPr>
                <w:rFonts w:hint="eastAsia"/>
                <w:sz w:val="21"/>
                <w:szCs w:val="21"/>
              </w:rPr>
              <w:t>数量</w:t>
            </w:r>
          </w:p>
        </w:tc>
        <w:tc>
          <w:tcPr>
            <w:tcW w:w="1071" w:type="dxa"/>
            <w:noWrap w:val="0"/>
            <w:vAlign w:val="top"/>
          </w:tcPr>
          <w:p w14:paraId="18B08896">
            <w:pPr>
              <w:spacing w:line="360" w:lineRule="auto"/>
              <w:ind w:firstLine="420" w:firstLineChars="200"/>
              <w:rPr>
                <w:sz w:val="21"/>
                <w:szCs w:val="21"/>
              </w:rPr>
            </w:pPr>
            <w:r>
              <w:rPr>
                <w:rFonts w:hint="eastAsia"/>
                <w:sz w:val="21"/>
                <w:szCs w:val="21"/>
              </w:rPr>
              <w:t>单价</w:t>
            </w:r>
          </w:p>
        </w:tc>
        <w:tc>
          <w:tcPr>
            <w:tcW w:w="1250" w:type="dxa"/>
            <w:noWrap w:val="0"/>
            <w:vAlign w:val="top"/>
          </w:tcPr>
          <w:p w14:paraId="5EAFEB5D">
            <w:pPr>
              <w:spacing w:line="360" w:lineRule="auto"/>
              <w:ind w:firstLine="420" w:firstLineChars="200"/>
              <w:rPr>
                <w:sz w:val="21"/>
                <w:szCs w:val="21"/>
              </w:rPr>
            </w:pPr>
            <w:r>
              <w:rPr>
                <w:rFonts w:hint="eastAsia"/>
                <w:sz w:val="21"/>
                <w:szCs w:val="21"/>
              </w:rPr>
              <w:t>小计</w:t>
            </w:r>
          </w:p>
        </w:tc>
        <w:tc>
          <w:tcPr>
            <w:tcW w:w="1106" w:type="dxa"/>
            <w:noWrap w:val="0"/>
            <w:vAlign w:val="top"/>
          </w:tcPr>
          <w:p w14:paraId="6683D923">
            <w:pPr>
              <w:spacing w:line="360" w:lineRule="auto"/>
              <w:ind w:firstLine="420" w:firstLineChars="200"/>
              <w:rPr>
                <w:sz w:val="21"/>
                <w:szCs w:val="21"/>
              </w:rPr>
            </w:pPr>
            <w:r>
              <w:rPr>
                <w:rFonts w:hint="eastAsia"/>
                <w:sz w:val="21"/>
                <w:szCs w:val="21"/>
              </w:rPr>
              <w:t>备注</w:t>
            </w:r>
          </w:p>
        </w:tc>
      </w:tr>
      <w:tr w14:paraId="66CB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5BBCAA34">
            <w:pPr>
              <w:spacing w:line="360" w:lineRule="auto"/>
              <w:ind w:firstLine="420" w:firstLineChars="200"/>
              <w:rPr>
                <w:sz w:val="21"/>
                <w:szCs w:val="21"/>
              </w:rPr>
            </w:pPr>
          </w:p>
        </w:tc>
        <w:tc>
          <w:tcPr>
            <w:tcW w:w="1623" w:type="dxa"/>
            <w:noWrap w:val="0"/>
            <w:vAlign w:val="top"/>
          </w:tcPr>
          <w:p w14:paraId="78DBBBFD">
            <w:pPr>
              <w:spacing w:line="360" w:lineRule="auto"/>
              <w:ind w:firstLine="420" w:firstLineChars="200"/>
              <w:rPr>
                <w:sz w:val="21"/>
                <w:szCs w:val="21"/>
              </w:rPr>
            </w:pPr>
          </w:p>
        </w:tc>
        <w:tc>
          <w:tcPr>
            <w:tcW w:w="902" w:type="dxa"/>
            <w:noWrap w:val="0"/>
            <w:vAlign w:val="top"/>
          </w:tcPr>
          <w:p w14:paraId="702C4E29">
            <w:pPr>
              <w:spacing w:line="360" w:lineRule="auto"/>
              <w:ind w:firstLine="420" w:firstLineChars="200"/>
              <w:rPr>
                <w:sz w:val="21"/>
                <w:szCs w:val="21"/>
              </w:rPr>
            </w:pPr>
          </w:p>
        </w:tc>
        <w:tc>
          <w:tcPr>
            <w:tcW w:w="902" w:type="dxa"/>
            <w:noWrap w:val="0"/>
            <w:vAlign w:val="top"/>
          </w:tcPr>
          <w:p w14:paraId="7C70C260">
            <w:pPr>
              <w:spacing w:line="360" w:lineRule="auto"/>
              <w:ind w:firstLine="420" w:firstLineChars="200"/>
              <w:rPr>
                <w:sz w:val="21"/>
                <w:szCs w:val="21"/>
              </w:rPr>
            </w:pPr>
          </w:p>
        </w:tc>
        <w:tc>
          <w:tcPr>
            <w:tcW w:w="1071" w:type="dxa"/>
            <w:noWrap w:val="0"/>
            <w:vAlign w:val="top"/>
          </w:tcPr>
          <w:p w14:paraId="0B7DE886">
            <w:pPr>
              <w:spacing w:line="360" w:lineRule="auto"/>
              <w:ind w:firstLine="420" w:firstLineChars="200"/>
              <w:rPr>
                <w:sz w:val="21"/>
                <w:szCs w:val="21"/>
              </w:rPr>
            </w:pPr>
          </w:p>
        </w:tc>
        <w:tc>
          <w:tcPr>
            <w:tcW w:w="1250" w:type="dxa"/>
            <w:noWrap w:val="0"/>
            <w:vAlign w:val="top"/>
          </w:tcPr>
          <w:p w14:paraId="77C75933">
            <w:pPr>
              <w:spacing w:line="360" w:lineRule="auto"/>
              <w:ind w:firstLine="420" w:firstLineChars="200"/>
              <w:rPr>
                <w:sz w:val="21"/>
                <w:szCs w:val="21"/>
              </w:rPr>
            </w:pPr>
          </w:p>
        </w:tc>
        <w:tc>
          <w:tcPr>
            <w:tcW w:w="1106" w:type="dxa"/>
            <w:noWrap w:val="0"/>
            <w:vAlign w:val="top"/>
          </w:tcPr>
          <w:p w14:paraId="342EF161">
            <w:pPr>
              <w:spacing w:line="360" w:lineRule="auto"/>
              <w:ind w:firstLine="420" w:firstLineChars="200"/>
              <w:rPr>
                <w:sz w:val="21"/>
                <w:szCs w:val="21"/>
              </w:rPr>
            </w:pPr>
          </w:p>
        </w:tc>
      </w:tr>
      <w:tr w14:paraId="614C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4537376">
            <w:pPr>
              <w:spacing w:line="360" w:lineRule="auto"/>
              <w:ind w:firstLine="420" w:firstLineChars="200"/>
              <w:rPr>
                <w:sz w:val="21"/>
                <w:szCs w:val="21"/>
              </w:rPr>
            </w:pPr>
          </w:p>
        </w:tc>
        <w:tc>
          <w:tcPr>
            <w:tcW w:w="1623" w:type="dxa"/>
            <w:noWrap w:val="0"/>
            <w:vAlign w:val="top"/>
          </w:tcPr>
          <w:p w14:paraId="6D90DB9F">
            <w:pPr>
              <w:spacing w:line="360" w:lineRule="auto"/>
              <w:ind w:firstLine="420" w:firstLineChars="200"/>
              <w:rPr>
                <w:sz w:val="21"/>
                <w:szCs w:val="21"/>
              </w:rPr>
            </w:pPr>
          </w:p>
        </w:tc>
        <w:tc>
          <w:tcPr>
            <w:tcW w:w="902" w:type="dxa"/>
            <w:noWrap w:val="0"/>
            <w:vAlign w:val="top"/>
          </w:tcPr>
          <w:p w14:paraId="0613205F">
            <w:pPr>
              <w:spacing w:line="360" w:lineRule="auto"/>
              <w:ind w:firstLine="420" w:firstLineChars="200"/>
              <w:rPr>
                <w:sz w:val="21"/>
                <w:szCs w:val="21"/>
              </w:rPr>
            </w:pPr>
          </w:p>
        </w:tc>
        <w:tc>
          <w:tcPr>
            <w:tcW w:w="902" w:type="dxa"/>
            <w:noWrap w:val="0"/>
            <w:vAlign w:val="top"/>
          </w:tcPr>
          <w:p w14:paraId="4B3D48B3">
            <w:pPr>
              <w:spacing w:line="360" w:lineRule="auto"/>
              <w:ind w:firstLine="420" w:firstLineChars="200"/>
              <w:rPr>
                <w:sz w:val="21"/>
                <w:szCs w:val="21"/>
              </w:rPr>
            </w:pPr>
          </w:p>
        </w:tc>
        <w:tc>
          <w:tcPr>
            <w:tcW w:w="1071" w:type="dxa"/>
            <w:noWrap w:val="0"/>
            <w:vAlign w:val="top"/>
          </w:tcPr>
          <w:p w14:paraId="4B38F4EE">
            <w:pPr>
              <w:spacing w:line="360" w:lineRule="auto"/>
              <w:ind w:firstLine="420" w:firstLineChars="200"/>
              <w:rPr>
                <w:sz w:val="21"/>
                <w:szCs w:val="21"/>
              </w:rPr>
            </w:pPr>
          </w:p>
        </w:tc>
        <w:tc>
          <w:tcPr>
            <w:tcW w:w="1250" w:type="dxa"/>
            <w:noWrap w:val="0"/>
            <w:vAlign w:val="top"/>
          </w:tcPr>
          <w:p w14:paraId="3FB30FA2">
            <w:pPr>
              <w:spacing w:line="360" w:lineRule="auto"/>
              <w:ind w:firstLine="420" w:firstLineChars="200"/>
              <w:rPr>
                <w:sz w:val="21"/>
                <w:szCs w:val="21"/>
              </w:rPr>
            </w:pPr>
          </w:p>
        </w:tc>
        <w:tc>
          <w:tcPr>
            <w:tcW w:w="1106" w:type="dxa"/>
            <w:noWrap w:val="0"/>
            <w:vAlign w:val="top"/>
          </w:tcPr>
          <w:p w14:paraId="31F0243E">
            <w:pPr>
              <w:spacing w:line="360" w:lineRule="auto"/>
              <w:ind w:firstLine="420" w:firstLineChars="200"/>
              <w:rPr>
                <w:sz w:val="21"/>
                <w:szCs w:val="21"/>
              </w:rPr>
            </w:pPr>
          </w:p>
        </w:tc>
      </w:tr>
      <w:tr w14:paraId="6069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DFFCC62">
            <w:pPr>
              <w:spacing w:line="360" w:lineRule="auto"/>
              <w:ind w:firstLine="420" w:firstLineChars="200"/>
              <w:rPr>
                <w:sz w:val="21"/>
                <w:szCs w:val="21"/>
              </w:rPr>
            </w:pPr>
          </w:p>
        </w:tc>
        <w:tc>
          <w:tcPr>
            <w:tcW w:w="1623" w:type="dxa"/>
            <w:noWrap w:val="0"/>
            <w:vAlign w:val="top"/>
          </w:tcPr>
          <w:p w14:paraId="7FB409B8">
            <w:pPr>
              <w:spacing w:line="360" w:lineRule="auto"/>
              <w:ind w:firstLine="420" w:firstLineChars="200"/>
              <w:rPr>
                <w:sz w:val="21"/>
                <w:szCs w:val="21"/>
              </w:rPr>
            </w:pPr>
          </w:p>
        </w:tc>
        <w:tc>
          <w:tcPr>
            <w:tcW w:w="902" w:type="dxa"/>
            <w:noWrap w:val="0"/>
            <w:vAlign w:val="top"/>
          </w:tcPr>
          <w:p w14:paraId="7928DB8E">
            <w:pPr>
              <w:spacing w:line="360" w:lineRule="auto"/>
              <w:ind w:firstLine="420" w:firstLineChars="200"/>
              <w:rPr>
                <w:sz w:val="21"/>
                <w:szCs w:val="21"/>
              </w:rPr>
            </w:pPr>
          </w:p>
        </w:tc>
        <w:tc>
          <w:tcPr>
            <w:tcW w:w="902" w:type="dxa"/>
            <w:noWrap w:val="0"/>
            <w:vAlign w:val="top"/>
          </w:tcPr>
          <w:p w14:paraId="1E469D5D">
            <w:pPr>
              <w:spacing w:line="360" w:lineRule="auto"/>
              <w:ind w:firstLine="420" w:firstLineChars="200"/>
              <w:rPr>
                <w:sz w:val="21"/>
                <w:szCs w:val="21"/>
              </w:rPr>
            </w:pPr>
          </w:p>
        </w:tc>
        <w:tc>
          <w:tcPr>
            <w:tcW w:w="1071" w:type="dxa"/>
            <w:noWrap w:val="0"/>
            <w:vAlign w:val="top"/>
          </w:tcPr>
          <w:p w14:paraId="6A8C15EF">
            <w:pPr>
              <w:spacing w:line="360" w:lineRule="auto"/>
              <w:ind w:firstLine="420" w:firstLineChars="200"/>
              <w:rPr>
                <w:sz w:val="21"/>
                <w:szCs w:val="21"/>
              </w:rPr>
            </w:pPr>
          </w:p>
        </w:tc>
        <w:tc>
          <w:tcPr>
            <w:tcW w:w="1250" w:type="dxa"/>
            <w:noWrap w:val="0"/>
            <w:vAlign w:val="top"/>
          </w:tcPr>
          <w:p w14:paraId="4FA1BFC9">
            <w:pPr>
              <w:spacing w:line="360" w:lineRule="auto"/>
              <w:ind w:firstLine="420" w:firstLineChars="200"/>
              <w:rPr>
                <w:sz w:val="21"/>
                <w:szCs w:val="21"/>
              </w:rPr>
            </w:pPr>
          </w:p>
        </w:tc>
        <w:tc>
          <w:tcPr>
            <w:tcW w:w="1106" w:type="dxa"/>
            <w:noWrap w:val="0"/>
            <w:vAlign w:val="top"/>
          </w:tcPr>
          <w:p w14:paraId="5C5B3E4E">
            <w:pPr>
              <w:spacing w:line="360" w:lineRule="auto"/>
              <w:ind w:firstLine="420" w:firstLineChars="200"/>
              <w:rPr>
                <w:sz w:val="21"/>
                <w:szCs w:val="21"/>
              </w:rPr>
            </w:pPr>
          </w:p>
        </w:tc>
      </w:tr>
      <w:tr w14:paraId="30D5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6040676B">
            <w:pPr>
              <w:spacing w:line="360" w:lineRule="auto"/>
              <w:ind w:firstLine="420" w:firstLineChars="200"/>
              <w:rPr>
                <w:sz w:val="21"/>
                <w:szCs w:val="21"/>
              </w:rPr>
            </w:pPr>
            <w:r>
              <w:rPr>
                <w:rFonts w:hint="eastAsia"/>
                <w:sz w:val="21"/>
                <w:szCs w:val="21"/>
              </w:rPr>
              <w:t>合同总价款（大小写）：</w:t>
            </w:r>
          </w:p>
          <w:p w14:paraId="7390F669">
            <w:pPr>
              <w:spacing w:line="360" w:lineRule="auto"/>
              <w:ind w:firstLine="420" w:firstLineChars="200"/>
              <w:rPr>
                <w:sz w:val="21"/>
                <w:szCs w:val="21"/>
              </w:rPr>
            </w:pPr>
            <w:r>
              <w:rPr>
                <w:rFonts w:hint="eastAsia"/>
                <w:sz w:val="21"/>
                <w:szCs w:val="21"/>
              </w:rPr>
              <w:t>备注：上述产品报价含产品生产、运输&lt;送达至甲方指定地点并下货&gt;、安装、调试、检验及售后服务、税金、劳保基金、人员培训等费用。</w:t>
            </w:r>
          </w:p>
        </w:tc>
      </w:tr>
    </w:tbl>
    <w:p w14:paraId="377D161C">
      <w:pPr>
        <w:spacing w:line="360" w:lineRule="auto"/>
        <w:ind w:firstLine="420" w:firstLineChars="200"/>
        <w:rPr>
          <w:sz w:val="21"/>
          <w:szCs w:val="21"/>
        </w:rPr>
      </w:pPr>
      <w:r>
        <w:rPr>
          <w:rFonts w:hint="eastAsia"/>
          <w:b/>
          <w:bCs/>
          <w:sz w:val="21"/>
          <w:szCs w:val="21"/>
        </w:rPr>
        <w:t xml:space="preserve">第二条  </w:t>
      </w:r>
      <w:r>
        <w:rPr>
          <w:sz w:val="21"/>
          <w:szCs w:val="21"/>
        </w:rPr>
        <w:t>产品的技术标准（包括质量要求），按下列第（ ）项执行：</w:t>
      </w:r>
    </w:p>
    <w:p w14:paraId="66EBC079">
      <w:pPr>
        <w:spacing w:line="360" w:lineRule="auto"/>
        <w:ind w:firstLine="420" w:firstLineChars="200"/>
        <w:rPr>
          <w:sz w:val="21"/>
          <w:szCs w:val="21"/>
        </w:rPr>
      </w:pPr>
      <w:r>
        <w:rPr>
          <w:rFonts w:hint="eastAsia"/>
          <w:sz w:val="21"/>
          <w:szCs w:val="21"/>
        </w:rPr>
        <w:t>①</w:t>
      </w:r>
      <w:r>
        <w:rPr>
          <w:sz w:val="21"/>
          <w:szCs w:val="21"/>
        </w:rPr>
        <w:t>按国家标准执行；</w:t>
      </w:r>
      <w:r>
        <w:rPr>
          <w:rFonts w:hint="eastAsia"/>
          <w:sz w:val="21"/>
          <w:szCs w:val="21"/>
        </w:rPr>
        <w:t>②</w:t>
      </w:r>
      <w:r>
        <w:rPr>
          <w:sz w:val="21"/>
          <w:szCs w:val="21"/>
        </w:rPr>
        <w:t>按部颁标准执行；</w:t>
      </w:r>
      <w:r>
        <w:rPr>
          <w:rFonts w:hint="eastAsia"/>
          <w:sz w:val="21"/>
          <w:szCs w:val="21"/>
        </w:rPr>
        <w:t>③若无以上标准，则应不低于同行业质量标准；④</w:t>
      </w:r>
      <w:r>
        <w:rPr>
          <w:sz w:val="21"/>
          <w:szCs w:val="21"/>
        </w:rPr>
        <w:t>有特殊要求的，按甲乙双方在合同中商定的技术条件、样品或补充的技术要求执行</w:t>
      </w:r>
      <w:r>
        <w:rPr>
          <w:rFonts w:hint="eastAsia"/>
          <w:sz w:val="21"/>
          <w:szCs w:val="21"/>
        </w:rPr>
        <w:t>；</w:t>
      </w:r>
    </w:p>
    <w:p w14:paraId="5CE4E336">
      <w:pPr>
        <w:spacing w:line="360" w:lineRule="auto"/>
        <w:ind w:firstLine="420" w:firstLineChars="200"/>
        <w:rPr>
          <w:sz w:val="21"/>
          <w:szCs w:val="21"/>
        </w:rPr>
      </w:pPr>
      <w:r>
        <w:rPr>
          <w:rFonts w:hint="eastAsia"/>
          <w:sz w:val="21"/>
          <w:szCs w:val="21"/>
        </w:rPr>
        <w:t>乙方提供和交付的货物技术标准应与招标采购文件规定的技术标准相一致。若技术标准中无相应规定，所投货物应符合相应的国际标准或原产地国家有关部门最新颁布的相应的正式标准。</w:t>
      </w:r>
    </w:p>
    <w:p w14:paraId="76FFCDFD">
      <w:pPr>
        <w:spacing w:line="360" w:lineRule="auto"/>
        <w:ind w:firstLine="420" w:firstLineChars="200"/>
        <w:rPr>
          <w:rFonts w:hint="eastAsia"/>
          <w:sz w:val="21"/>
          <w:szCs w:val="21"/>
        </w:rPr>
      </w:pPr>
      <w:r>
        <w:rPr>
          <w:rFonts w:hint="eastAsia"/>
          <w:sz w:val="21"/>
          <w:szCs w:val="21"/>
        </w:rPr>
        <w:t>进口产品的质量标准为                                             。</w:t>
      </w:r>
    </w:p>
    <w:p w14:paraId="7CDC11DD">
      <w:pPr>
        <w:spacing w:line="360" w:lineRule="auto"/>
        <w:ind w:firstLine="420" w:firstLineChars="200"/>
        <w:rPr>
          <w:rFonts w:hint="eastAsia"/>
          <w:sz w:val="21"/>
          <w:szCs w:val="21"/>
        </w:rPr>
      </w:pPr>
      <w:r>
        <w:rPr>
          <w:rFonts w:hint="eastAsia"/>
          <w:sz w:val="21"/>
          <w:szCs w:val="21"/>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1DEBA3BD">
      <w:pPr>
        <w:pStyle w:val="20"/>
        <w:spacing w:line="360" w:lineRule="auto"/>
        <w:ind w:left="0" w:firstLine="422" w:firstLineChars="200"/>
        <w:rPr>
          <w:rFonts w:ascii="宋体" w:hAnsi="宋体" w:eastAsia="宋体"/>
          <w:sz w:val="21"/>
          <w:szCs w:val="21"/>
        </w:rPr>
      </w:pPr>
      <w:r>
        <w:rPr>
          <w:rFonts w:hint="eastAsia" w:ascii="宋体" w:hAnsi="宋体" w:eastAsia="宋体"/>
          <w:b/>
          <w:bCs/>
          <w:sz w:val="21"/>
          <w:szCs w:val="21"/>
        </w:rPr>
        <w:t>第</w:t>
      </w:r>
      <w:r>
        <w:rPr>
          <w:rFonts w:ascii="宋体" w:hAnsi="宋体" w:eastAsia="宋体"/>
          <w:b/>
          <w:bCs/>
          <w:sz w:val="21"/>
          <w:szCs w:val="21"/>
        </w:rPr>
        <w:t>三</w:t>
      </w:r>
      <w:r>
        <w:rPr>
          <w:rFonts w:hint="eastAsia" w:ascii="宋体" w:hAnsi="宋体" w:eastAsia="宋体"/>
          <w:b/>
          <w:bCs/>
          <w:sz w:val="21"/>
          <w:szCs w:val="21"/>
        </w:rPr>
        <w:t>条</w:t>
      </w:r>
      <w:r>
        <w:rPr>
          <w:rFonts w:ascii="Times New Roman" w:hAnsi="Times New Roman" w:eastAsia="宋体"/>
          <w:sz w:val="21"/>
          <w:szCs w:val="21"/>
        </w:rPr>
        <w:t>产品的包装标准和包装物的供应与回收       </w:t>
      </w:r>
      <w:r>
        <w:rPr>
          <w:rFonts w:hint="eastAsia" w:ascii="Times New Roman" w:hAnsi="Times New Roman" w:eastAsia="宋体"/>
          <w:sz w:val="21"/>
          <w:szCs w:val="21"/>
        </w:rPr>
        <w:t xml:space="preserve">          。</w:t>
      </w:r>
    </w:p>
    <w:p w14:paraId="7850C62A">
      <w:pPr>
        <w:spacing w:line="360" w:lineRule="auto"/>
        <w:ind w:firstLine="420" w:firstLineChars="200"/>
        <w:rPr>
          <w:sz w:val="21"/>
          <w:szCs w:val="21"/>
        </w:rPr>
      </w:pPr>
      <w:r>
        <w:rPr>
          <w:sz w:val="21"/>
          <w:szCs w:val="21"/>
        </w:rPr>
        <w:t>（国家或</w:t>
      </w:r>
      <w:r>
        <w:rPr>
          <w:rFonts w:hint="eastAsia"/>
          <w:sz w:val="21"/>
          <w:szCs w:val="21"/>
        </w:rPr>
        <w:t>行业</w:t>
      </w:r>
      <w:r>
        <w:rPr>
          <w:sz w:val="21"/>
          <w:szCs w:val="21"/>
        </w:rPr>
        <w:t>主管部门有技术规定的，按技术规定执行；国家与</w:t>
      </w:r>
      <w:r>
        <w:rPr>
          <w:rFonts w:hint="eastAsia"/>
          <w:sz w:val="21"/>
          <w:szCs w:val="21"/>
        </w:rPr>
        <w:t>行业</w:t>
      </w:r>
      <w:r>
        <w:rPr>
          <w:sz w:val="21"/>
          <w:szCs w:val="21"/>
        </w:rPr>
        <w:t>主管部门无技术规定的，由甲乙双方商定。）</w:t>
      </w:r>
    </w:p>
    <w:p w14:paraId="399A350B">
      <w:pPr>
        <w:spacing w:line="360" w:lineRule="auto"/>
        <w:ind w:firstLine="420" w:firstLineChars="200"/>
        <w:rPr>
          <w:sz w:val="21"/>
          <w:szCs w:val="21"/>
        </w:rPr>
      </w:pPr>
      <w:r>
        <w:rPr>
          <w:rFonts w:hint="eastAsia"/>
          <w:sz w:val="21"/>
          <w:szCs w:val="21"/>
        </w:rPr>
        <w:t>【注：合同中约定的包装标准应与乙方在投标文件中承诺的一致，且投标文件应作为合同附件与合同具有同等法律效力。】</w:t>
      </w:r>
    </w:p>
    <w:p w14:paraId="25D043D6">
      <w:pPr>
        <w:spacing w:line="360" w:lineRule="auto"/>
        <w:ind w:firstLine="420" w:firstLineChars="200"/>
        <w:rPr>
          <w:sz w:val="21"/>
          <w:szCs w:val="21"/>
        </w:rPr>
      </w:pPr>
      <w:r>
        <w:rPr>
          <w:rFonts w:hint="eastAsia"/>
          <w:b/>
          <w:bCs/>
          <w:sz w:val="21"/>
          <w:szCs w:val="21"/>
        </w:rPr>
        <w:t xml:space="preserve">第四条  </w:t>
      </w:r>
      <w:r>
        <w:rPr>
          <w:sz w:val="21"/>
          <w:szCs w:val="21"/>
        </w:rPr>
        <w:t>产品的交货方法、到货地点</w:t>
      </w:r>
      <w:r>
        <w:rPr>
          <w:rFonts w:hint="eastAsia"/>
          <w:sz w:val="21"/>
          <w:szCs w:val="21"/>
        </w:rPr>
        <w:t>和交货期限</w:t>
      </w:r>
    </w:p>
    <w:p w14:paraId="690CB72C">
      <w:pPr>
        <w:spacing w:line="360" w:lineRule="auto"/>
        <w:ind w:firstLine="420" w:firstLineChars="200"/>
        <w:rPr>
          <w:sz w:val="21"/>
          <w:szCs w:val="21"/>
        </w:rPr>
      </w:pPr>
      <w:r>
        <w:rPr>
          <w:rFonts w:hint="eastAsia"/>
          <w:sz w:val="21"/>
          <w:szCs w:val="21"/>
        </w:rPr>
        <w:t>1.</w:t>
      </w:r>
      <w:r>
        <w:rPr>
          <w:sz w:val="21"/>
          <w:szCs w:val="21"/>
        </w:rPr>
        <w:t>交货方法，按下列第（ ）项执行：</w:t>
      </w:r>
    </w:p>
    <w:p w14:paraId="73440CEF">
      <w:pPr>
        <w:spacing w:line="360" w:lineRule="auto"/>
        <w:ind w:firstLine="420" w:firstLineChars="200"/>
        <w:rPr>
          <w:sz w:val="21"/>
          <w:szCs w:val="21"/>
        </w:rPr>
      </w:pPr>
      <w:r>
        <w:rPr>
          <w:rFonts w:hint="eastAsia"/>
          <w:sz w:val="21"/>
          <w:szCs w:val="21"/>
        </w:rPr>
        <w:t>①</w:t>
      </w:r>
      <w:r>
        <w:rPr>
          <w:sz w:val="21"/>
          <w:szCs w:val="21"/>
        </w:rPr>
        <w:t>乙方送货</w:t>
      </w:r>
      <w:r>
        <w:rPr>
          <w:rFonts w:hint="eastAsia"/>
          <w:sz w:val="21"/>
          <w:szCs w:val="21"/>
        </w:rPr>
        <w:t>上门；②</w:t>
      </w:r>
      <w:r>
        <w:rPr>
          <w:sz w:val="21"/>
          <w:szCs w:val="21"/>
        </w:rPr>
        <w:t>乙方代运；</w:t>
      </w:r>
      <w:r>
        <w:rPr>
          <w:rFonts w:hint="eastAsia"/>
          <w:sz w:val="21"/>
          <w:szCs w:val="21"/>
        </w:rPr>
        <w:t>③</w:t>
      </w:r>
      <w:r>
        <w:rPr>
          <w:sz w:val="21"/>
          <w:szCs w:val="21"/>
        </w:rPr>
        <w:t>甲方自提自运。</w:t>
      </w:r>
    </w:p>
    <w:p w14:paraId="67D29C5A">
      <w:pPr>
        <w:spacing w:line="360" w:lineRule="auto"/>
        <w:ind w:firstLine="420" w:firstLineChars="200"/>
        <w:rPr>
          <w:sz w:val="21"/>
          <w:szCs w:val="21"/>
        </w:rPr>
      </w:pPr>
      <w:r>
        <w:rPr>
          <w:rFonts w:hint="eastAsia"/>
          <w:sz w:val="21"/>
          <w:szCs w:val="21"/>
        </w:rPr>
        <w:t>2.</w:t>
      </w:r>
      <w:r>
        <w:rPr>
          <w:sz w:val="21"/>
          <w:szCs w:val="21"/>
        </w:rPr>
        <w:t>到货地点</w:t>
      </w:r>
      <w:r>
        <w:rPr>
          <w:rFonts w:hint="eastAsia"/>
          <w:sz w:val="21"/>
          <w:szCs w:val="21"/>
        </w:rPr>
        <w:t>：</w:t>
      </w:r>
      <w:r>
        <w:rPr>
          <w:sz w:val="21"/>
          <w:szCs w:val="21"/>
        </w:rPr>
        <w:softHyphen/>
      </w:r>
      <w:r>
        <w:rPr>
          <w:sz w:val="21"/>
          <w:szCs w:val="21"/>
        </w:rPr>
        <w:softHyphen/>
      </w:r>
      <w:r>
        <w:rPr>
          <w:sz w:val="21"/>
          <w:szCs w:val="21"/>
        </w:rPr>
        <w:softHyphen/>
      </w:r>
      <w:r>
        <w:rPr>
          <w:sz w:val="21"/>
          <w:szCs w:val="21"/>
        </w:rPr>
        <w:softHyphen/>
      </w:r>
      <w:r>
        <w:rPr>
          <w:sz w:val="21"/>
          <w:szCs w:val="21"/>
        </w:rPr>
        <w:softHyphen/>
      </w:r>
      <w:r>
        <w:rPr>
          <w:sz w:val="21"/>
          <w:szCs w:val="21"/>
        </w:rPr>
        <w:softHyphen/>
      </w:r>
      <w:r>
        <w:rPr>
          <w:sz w:val="21"/>
          <w:szCs w:val="21"/>
        </w:rPr>
        <w:softHyphen/>
      </w:r>
      <w:r>
        <w:rPr>
          <w:sz w:val="21"/>
          <w:szCs w:val="21"/>
        </w:rPr>
        <w:softHyphen/>
      </w:r>
      <w:r>
        <w:rPr>
          <w:sz w:val="21"/>
          <w:szCs w:val="21"/>
        </w:rPr>
        <w:softHyphen/>
      </w:r>
      <w:r>
        <w:rPr>
          <w:sz w:val="21"/>
          <w:szCs w:val="21"/>
        </w:rPr>
        <w:softHyphen/>
      </w:r>
      <w:r>
        <w:rPr>
          <w:sz w:val="21"/>
          <w:szCs w:val="21"/>
          <w:u w:val="single"/>
        </w:rPr>
        <w:t xml:space="preserve">                 (</w:t>
      </w:r>
      <w:r>
        <w:rPr>
          <w:rFonts w:hint="eastAsia"/>
          <w:sz w:val="21"/>
          <w:szCs w:val="21"/>
        </w:rPr>
        <w:t>甲方指定的任何地点，安装并调试.)</w:t>
      </w:r>
    </w:p>
    <w:p w14:paraId="5F6045AF">
      <w:pPr>
        <w:spacing w:line="360" w:lineRule="auto"/>
        <w:ind w:firstLine="420" w:firstLineChars="200"/>
        <w:rPr>
          <w:sz w:val="21"/>
          <w:szCs w:val="21"/>
        </w:rPr>
      </w:pPr>
      <w:r>
        <w:rPr>
          <w:rFonts w:hint="eastAsia"/>
          <w:sz w:val="21"/>
          <w:szCs w:val="21"/>
        </w:rPr>
        <w:t>3.</w:t>
      </w:r>
      <w:r>
        <w:rPr>
          <w:sz w:val="21"/>
          <w:szCs w:val="21"/>
        </w:rPr>
        <w:t>产品</w:t>
      </w:r>
      <w:r>
        <w:rPr>
          <w:rFonts w:hint="eastAsia"/>
          <w:sz w:val="21"/>
          <w:szCs w:val="21"/>
        </w:rPr>
        <w:t>的交货期限</w:t>
      </w:r>
      <w:r>
        <w:rPr>
          <w:sz w:val="21"/>
          <w:szCs w:val="21"/>
          <w:u w:val="single"/>
        </w:rPr>
        <w:t>                         </w:t>
      </w:r>
      <w:r>
        <w:rPr>
          <w:sz w:val="21"/>
          <w:szCs w:val="21"/>
        </w:rPr>
        <w:t>。</w:t>
      </w:r>
    </w:p>
    <w:p w14:paraId="7CF2A693">
      <w:pPr>
        <w:spacing w:line="360" w:lineRule="auto"/>
        <w:ind w:firstLine="420" w:firstLineChars="200"/>
        <w:rPr>
          <w:sz w:val="21"/>
          <w:szCs w:val="21"/>
        </w:rPr>
      </w:pPr>
      <w:r>
        <w:rPr>
          <w:rFonts w:hint="eastAsia"/>
          <w:b/>
          <w:bCs/>
          <w:sz w:val="21"/>
          <w:szCs w:val="21"/>
        </w:rPr>
        <w:t>第五条</w:t>
      </w:r>
      <w:r>
        <w:rPr>
          <w:rFonts w:hint="eastAsia"/>
          <w:sz w:val="21"/>
          <w:szCs w:val="21"/>
        </w:rPr>
        <w:t xml:space="preserve">  合同总价款</w:t>
      </w:r>
    </w:p>
    <w:p w14:paraId="15C7BE10">
      <w:pPr>
        <w:spacing w:line="360" w:lineRule="auto"/>
        <w:ind w:firstLine="420" w:firstLineChars="200"/>
        <w:rPr>
          <w:sz w:val="21"/>
          <w:szCs w:val="21"/>
          <w:u w:val="single"/>
        </w:rPr>
      </w:pPr>
      <w:r>
        <w:rPr>
          <w:rFonts w:hint="eastAsia"/>
          <w:sz w:val="21"/>
          <w:szCs w:val="21"/>
        </w:rPr>
        <w:t>合同总价款（大小写）：</w:t>
      </w:r>
      <w:r>
        <w:rPr>
          <w:rFonts w:hint="eastAsia"/>
          <w:sz w:val="21"/>
          <w:szCs w:val="21"/>
          <w:u w:val="single"/>
        </w:rPr>
        <w:t xml:space="preserve">                        </w:t>
      </w:r>
    </w:p>
    <w:p w14:paraId="14825191">
      <w:pPr>
        <w:numPr>
          <w:ilvl w:val="0"/>
          <w:numId w:val="4"/>
        </w:numPr>
        <w:spacing w:line="360" w:lineRule="auto"/>
        <w:ind w:left="0" w:firstLine="420" w:firstLineChars="200"/>
        <w:rPr>
          <w:sz w:val="21"/>
          <w:szCs w:val="21"/>
        </w:rPr>
      </w:pPr>
      <w:r>
        <w:rPr>
          <w:rFonts w:hint="eastAsia"/>
          <w:sz w:val="21"/>
          <w:szCs w:val="21"/>
        </w:rPr>
        <w:t xml:space="preserve">付款条件                  </w:t>
      </w:r>
    </w:p>
    <w:p w14:paraId="1284BB8E">
      <w:pPr>
        <w:spacing w:line="360" w:lineRule="auto"/>
        <w:ind w:firstLine="420" w:firstLineChars="200"/>
        <w:rPr>
          <w:sz w:val="21"/>
          <w:szCs w:val="21"/>
        </w:rPr>
      </w:pPr>
      <w:r>
        <w:rPr>
          <w:rFonts w:hint="eastAsia"/>
          <w:sz w:val="21"/>
          <w:szCs w:val="21"/>
        </w:rPr>
        <w:t>本合同以人民币付款。</w:t>
      </w:r>
    </w:p>
    <w:p w14:paraId="1698F264">
      <w:pPr>
        <w:spacing w:line="360" w:lineRule="auto"/>
        <w:ind w:firstLine="420" w:firstLineChars="200"/>
        <w:rPr>
          <w:sz w:val="21"/>
          <w:szCs w:val="21"/>
        </w:rPr>
      </w:pPr>
      <w:r>
        <w:rPr>
          <w:rFonts w:hint="eastAsia"/>
          <w:sz w:val="21"/>
          <w:szCs w:val="21"/>
        </w:rPr>
        <w:t>该项目是否实行预付款：</w:t>
      </w:r>
    </w:p>
    <w:p w14:paraId="43ABE00F">
      <w:pPr>
        <w:spacing w:line="360" w:lineRule="auto"/>
        <w:ind w:firstLine="420" w:firstLineChars="200"/>
        <w:rPr>
          <w:sz w:val="21"/>
          <w:szCs w:val="21"/>
        </w:rPr>
      </w:pPr>
      <w:r>
        <w:rPr>
          <w:rFonts w:hint="eastAsia"/>
          <w:sz w:val="21"/>
          <w:szCs w:val="21"/>
        </w:rPr>
        <w:t>实行预付款的条件和比例：</w:t>
      </w:r>
    </w:p>
    <w:p w14:paraId="48FE78CD">
      <w:pPr>
        <w:spacing w:line="360" w:lineRule="auto"/>
        <w:ind w:firstLine="420" w:firstLineChars="200"/>
        <w:rPr>
          <w:sz w:val="21"/>
          <w:szCs w:val="21"/>
        </w:rPr>
      </w:pPr>
      <w:r>
        <w:rPr>
          <w:rFonts w:hint="eastAsia"/>
          <w:sz w:val="21"/>
          <w:szCs w:val="21"/>
        </w:rPr>
        <w:t xml:space="preserve">合同款项结算方式和支付比例：   </w:t>
      </w:r>
    </w:p>
    <w:p w14:paraId="67037402">
      <w:pPr>
        <w:spacing w:line="360" w:lineRule="auto"/>
        <w:ind w:firstLine="420" w:firstLineChars="200"/>
        <w:rPr>
          <w:b/>
          <w:bCs/>
          <w:sz w:val="21"/>
          <w:szCs w:val="21"/>
        </w:rPr>
      </w:pPr>
      <w:r>
        <w:rPr>
          <w:rFonts w:hint="eastAsia"/>
          <w:sz w:val="21"/>
          <w:szCs w:val="21"/>
        </w:rPr>
        <w:t>(具体付款方式</w:t>
      </w:r>
      <w:r>
        <w:rPr>
          <w:rFonts w:hint="eastAsia"/>
          <w:sz w:val="21"/>
          <w:szCs w:val="21"/>
          <w:u w:val="single"/>
        </w:rPr>
        <w:t>按投标人须知前附表以及采、购双方的具体约定</w:t>
      </w:r>
    </w:p>
    <w:p w14:paraId="794CE282">
      <w:pPr>
        <w:numPr>
          <w:ilvl w:val="0"/>
          <w:numId w:val="4"/>
        </w:numPr>
        <w:spacing w:line="360" w:lineRule="auto"/>
        <w:ind w:left="0" w:firstLine="420" w:firstLineChars="200"/>
        <w:rPr>
          <w:sz w:val="21"/>
          <w:szCs w:val="21"/>
        </w:rPr>
      </w:pPr>
      <w:r>
        <w:rPr>
          <w:sz w:val="21"/>
          <w:szCs w:val="21"/>
        </w:rPr>
        <w:t>验收方法</w:t>
      </w:r>
    </w:p>
    <w:p w14:paraId="3861BA54">
      <w:pPr>
        <w:spacing w:line="360" w:lineRule="auto"/>
        <w:ind w:firstLine="420" w:firstLineChars="200"/>
        <w:rPr>
          <w:rFonts w:hint="eastAsia"/>
          <w:sz w:val="21"/>
          <w:szCs w:val="21"/>
        </w:rPr>
      </w:pPr>
      <w:r>
        <w:rPr>
          <w:rFonts w:hint="eastAsia"/>
          <w:sz w:val="21"/>
          <w:szCs w:val="21"/>
        </w:rPr>
        <w:t>1.乙方安装调试后，在      天内通知甲方组织验收，采购代理机构保留受托参与本项目验收的权利。验收不合格的，乙方应负责重新提供达到本合同约定的质量要求的产品。</w:t>
      </w:r>
    </w:p>
    <w:p w14:paraId="045305AF">
      <w:pPr>
        <w:spacing w:line="360" w:lineRule="auto"/>
        <w:ind w:firstLine="420" w:firstLineChars="200"/>
        <w:rPr>
          <w:rFonts w:hint="eastAsia"/>
          <w:sz w:val="21"/>
          <w:szCs w:val="21"/>
        </w:rPr>
      </w:pPr>
      <w:r>
        <w:rPr>
          <w:rFonts w:hint="eastAsia"/>
          <w:sz w:val="21"/>
          <w:szCs w:val="21"/>
        </w:rPr>
        <w:t>2.甲、乙双方应严格履行合同有关条款，如果验收过程中发现乙方在没有征得采购人同意的情况下擅自变更合同标的物，将拒绝通过验收，由此引起的一切后果及损失由乙方承担。</w:t>
      </w:r>
    </w:p>
    <w:p w14:paraId="327E7535">
      <w:pPr>
        <w:spacing w:line="360" w:lineRule="auto"/>
        <w:ind w:firstLine="420" w:firstLineChars="200"/>
        <w:rPr>
          <w:rFonts w:hint="eastAsia"/>
          <w:sz w:val="21"/>
          <w:szCs w:val="21"/>
        </w:rPr>
      </w:pPr>
      <w:r>
        <w:rPr>
          <w:rFonts w:hint="eastAsia"/>
          <w:sz w:val="21"/>
          <w:szCs w:val="21"/>
        </w:rPr>
        <w:t>3.甲方应承担项目验收的主体责任。供应商须保证如期完成供货，并协助采购人顺利完成验收工作，需在投标文件中承诺如期完成供货保证书。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1AB4F02">
      <w:pPr>
        <w:spacing w:line="360" w:lineRule="auto"/>
        <w:ind w:firstLine="420" w:firstLineChars="200"/>
        <w:rPr>
          <w:rFonts w:hint="eastAsia"/>
          <w:sz w:val="21"/>
          <w:szCs w:val="21"/>
        </w:rPr>
      </w:pPr>
      <w:r>
        <w:rPr>
          <w:rFonts w:hint="eastAsia"/>
          <w:sz w:val="21"/>
          <w:szCs w:val="21"/>
        </w:rPr>
        <w:t>4、甲方视情况可以邀请参加本项目的其他投标人或者第三方机构参与验收，参与验收的投标人或者第三方机构的意见作为验收书的参考资料一并存档。</w:t>
      </w:r>
    </w:p>
    <w:p w14:paraId="265A0E89">
      <w:pPr>
        <w:spacing w:line="360" w:lineRule="auto"/>
        <w:ind w:firstLine="420" w:firstLineChars="200"/>
        <w:rPr>
          <w:rFonts w:hint="eastAsia"/>
          <w:sz w:val="21"/>
          <w:szCs w:val="21"/>
        </w:rPr>
      </w:pPr>
      <w:r>
        <w:rPr>
          <w:rFonts w:hint="eastAsia"/>
          <w:sz w:val="21"/>
          <w:szCs w:val="21"/>
        </w:rPr>
        <w:t xml:space="preserve">   涉及安全、消防、环保等其他需要由质检或行业主管部门进行验收的项目，必须邀请相关部门或相关专家参与验收。</w:t>
      </w:r>
    </w:p>
    <w:p w14:paraId="68A63E6B">
      <w:pPr>
        <w:spacing w:line="360" w:lineRule="auto"/>
        <w:ind w:firstLine="420" w:firstLineChars="200"/>
        <w:rPr>
          <w:rFonts w:ascii="宋体"/>
          <w:b/>
          <w:bCs/>
          <w:sz w:val="21"/>
          <w:szCs w:val="21"/>
          <w:u w:val="single"/>
        </w:rPr>
      </w:pPr>
      <w:r>
        <w:rPr>
          <w:rFonts w:hint="eastAsia"/>
          <w:sz w:val="21"/>
          <w:szCs w:val="21"/>
        </w:rPr>
        <w:t>检测、验收费用承担方式：</w:t>
      </w:r>
    </w:p>
    <w:p w14:paraId="0A8AA847">
      <w:pPr>
        <w:spacing w:line="360" w:lineRule="auto"/>
        <w:ind w:firstLine="420" w:firstLineChars="200"/>
        <w:rPr>
          <w:sz w:val="21"/>
          <w:szCs w:val="21"/>
        </w:rPr>
      </w:pPr>
      <w:r>
        <w:rPr>
          <w:b/>
          <w:bCs/>
          <w:sz w:val="21"/>
          <w:szCs w:val="21"/>
        </w:rPr>
        <w:t>第八条 </w:t>
      </w:r>
      <w:r>
        <w:rPr>
          <w:sz w:val="21"/>
          <w:szCs w:val="21"/>
        </w:rPr>
        <w:t xml:space="preserve"> 对产品提出异议的时间和办法</w:t>
      </w:r>
    </w:p>
    <w:p w14:paraId="7538C8EB">
      <w:pPr>
        <w:spacing w:line="360" w:lineRule="auto"/>
        <w:ind w:firstLine="420" w:firstLineChars="200"/>
        <w:rPr>
          <w:sz w:val="21"/>
          <w:szCs w:val="21"/>
        </w:rPr>
      </w:pPr>
      <w:r>
        <w:rPr>
          <w:rFonts w:hint="eastAsia"/>
          <w:sz w:val="21"/>
          <w:szCs w:val="21"/>
        </w:rPr>
        <w:t>1.</w:t>
      </w:r>
      <w:r>
        <w:rPr>
          <w:sz w:val="21"/>
          <w:szCs w:val="21"/>
        </w:rPr>
        <w:t>甲方在验收中，如果发现产品不</w:t>
      </w:r>
      <w:r>
        <w:rPr>
          <w:rFonts w:hint="eastAsia"/>
          <w:sz w:val="21"/>
          <w:szCs w:val="21"/>
        </w:rPr>
        <w:t>符合合同约定的</w:t>
      </w:r>
      <w:r>
        <w:rPr>
          <w:sz w:val="21"/>
          <w:szCs w:val="21"/>
        </w:rPr>
        <w:t>，应一面妥为保管，一面在</w:t>
      </w:r>
      <w:r>
        <w:rPr>
          <w:sz w:val="21"/>
          <w:szCs w:val="21"/>
          <w:u w:val="single"/>
        </w:rPr>
        <w:t xml:space="preserve">         </w:t>
      </w:r>
      <w:r>
        <w:rPr>
          <w:rFonts w:hint="eastAsia"/>
          <w:sz w:val="21"/>
          <w:szCs w:val="21"/>
        </w:rPr>
        <w:t>工作日</w:t>
      </w:r>
      <w:r>
        <w:rPr>
          <w:sz w:val="21"/>
          <w:szCs w:val="21"/>
        </w:rPr>
        <w:t>内向乙方</w:t>
      </w:r>
      <w:r>
        <w:rPr>
          <w:rFonts w:hint="eastAsia"/>
          <w:sz w:val="21"/>
          <w:szCs w:val="21"/>
        </w:rPr>
        <w:t>书面</w:t>
      </w:r>
      <w:r>
        <w:rPr>
          <w:sz w:val="21"/>
          <w:szCs w:val="21"/>
        </w:rPr>
        <w:t>提出异议</w:t>
      </w:r>
      <w:r>
        <w:rPr>
          <w:rFonts w:hint="eastAsia"/>
          <w:sz w:val="21"/>
          <w:szCs w:val="21"/>
        </w:rPr>
        <w:t>，并抄送采购代理机构，具体说明产品</w:t>
      </w:r>
      <w:r>
        <w:rPr>
          <w:sz w:val="21"/>
          <w:szCs w:val="21"/>
        </w:rPr>
        <w:t>不符合规定的</w:t>
      </w:r>
      <w:r>
        <w:rPr>
          <w:rFonts w:hint="eastAsia"/>
          <w:sz w:val="21"/>
          <w:szCs w:val="21"/>
        </w:rPr>
        <w:t>内容并附相关验收材料，同时</w:t>
      </w:r>
      <w:r>
        <w:rPr>
          <w:sz w:val="21"/>
          <w:szCs w:val="21"/>
        </w:rPr>
        <w:t>提出不符合规定产品的处理意见。</w:t>
      </w:r>
    </w:p>
    <w:p w14:paraId="000F2478">
      <w:pPr>
        <w:spacing w:line="360" w:lineRule="auto"/>
        <w:ind w:firstLine="420" w:firstLineChars="200"/>
        <w:rPr>
          <w:sz w:val="21"/>
          <w:szCs w:val="21"/>
        </w:rPr>
      </w:pPr>
      <w:r>
        <w:rPr>
          <w:rFonts w:hint="eastAsia"/>
          <w:sz w:val="21"/>
          <w:szCs w:val="21"/>
        </w:rPr>
        <w:t>2.</w:t>
      </w:r>
      <w:r>
        <w:rPr>
          <w:sz w:val="21"/>
          <w:szCs w:val="21"/>
        </w:rPr>
        <w:t>甲方因使用、保管、保养不善等造成产品质量下降的，不得提出异议。</w:t>
      </w:r>
    </w:p>
    <w:p w14:paraId="09D1EBAF">
      <w:pPr>
        <w:spacing w:line="360" w:lineRule="auto"/>
        <w:ind w:firstLine="420" w:firstLineChars="200"/>
        <w:rPr>
          <w:sz w:val="21"/>
          <w:szCs w:val="21"/>
        </w:rPr>
      </w:pPr>
      <w:r>
        <w:rPr>
          <w:rFonts w:hint="eastAsia"/>
          <w:sz w:val="21"/>
          <w:szCs w:val="21"/>
        </w:rPr>
        <w:t>3.</w:t>
      </w:r>
      <w:r>
        <w:rPr>
          <w:sz w:val="21"/>
          <w:szCs w:val="21"/>
        </w:rPr>
        <w:t>乙方在接到</w:t>
      </w:r>
      <w:r>
        <w:rPr>
          <w:rFonts w:hint="eastAsia"/>
          <w:sz w:val="21"/>
          <w:szCs w:val="21"/>
        </w:rPr>
        <w:t>甲</w:t>
      </w:r>
      <w:r>
        <w:rPr>
          <w:sz w:val="21"/>
          <w:szCs w:val="21"/>
        </w:rPr>
        <w:t>方异议后，应在</w:t>
      </w:r>
      <w:r>
        <w:rPr>
          <w:rFonts w:hint="eastAsia"/>
          <w:sz w:val="21"/>
          <w:szCs w:val="21"/>
        </w:rPr>
        <w:t xml:space="preserve"> </w:t>
      </w:r>
      <w:r>
        <w:rPr>
          <w:sz w:val="21"/>
          <w:szCs w:val="21"/>
          <w:u w:val="single"/>
        </w:rPr>
        <w:t xml:space="preserve">       </w:t>
      </w:r>
      <w:r>
        <w:rPr>
          <w:rFonts w:hint="eastAsia"/>
          <w:sz w:val="21"/>
          <w:szCs w:val="21"/>
        </w:rPr>
        <w:t xml:space="preserve"> 工作日</w:t>
      </w:r>
      <w:r>
        <w:rPr>
          <w:sz w:val="21"/>
          <w:szCs w:val="21"/>
        </w:rPr>
        <w:t>内负责处理，否则，即视为默认甲方提出的异议和处理意见。</w:t>
      </w:r>
    </w:p>
    <w:p w14:paraId="05164446">
      <w:pPr>
        <w:spacing w:line="360" w:lineRule="auto"/>
        <w:ind w:firstLine="420" w:firstLineChars="200"/>
        <w:rPr>
          <w:sz w:val="21"/>
          <w:szCs w:val="21"/>
        </w:rPr>
      </w:pPr>
      <w:r>
        <w:rPr>
          <w:rFonts w:hint="eastAsia"/>
          <w:b/>
          <w:bCs/>
          <w:sz w:val="21"/>
          <w:szCs w:val="21"/>
        </w:rPr>
        <w:t>第九条</w:t>
      </w:r>
      <w:r>
        <w:rPr>
          <w:rFonts w:hint="eastAsia"/>
          <w:sz w:val="21"/>
          <w:szCs w:val="21"/>
        </w:rPr>
        <w:t xml:space="preserve">  乙方应提供完善周到的技术支持和售后服务，否则甲方视情节轻重从乙方的质量保证金中扣除部分或全部补偿甲方。</w:t>
      </w:r>
    </w:p>
    <w:p w14:paraId="5116CBF1">
      <w:pPr>
        <w:spacing w:line="360" w:lineRule="auto"/>
        <w:ind w:firstLine="420" w:firstLineChars="200"/>
        <w:rPr>
          <w:sz w:val="21"/>
          <w:szCs w:val="21"/>
        </w:rPr>
      </w:pPr>
      <w:r>
        <w:rPr>
          <w:rFonts w:hint="eastAsia"/>
          <w:sz w:val="21"/>
          <w:szCs w:val="21"/>
        </w:rPr>
        <w:t>1.保修</w:t>
      </w:r>
    </w:p>
    <w:p w14:paraId="58ABAC7C">
      <w:pPr>
        <w:spacing w:line="360" w:lineRule="auto"/>
        <w:ind w:firstLine="420" w:firstLineChars="200"/>
        <w:rPr>
          <w:sz w:val="21"/>
          <w:szCs w:val="21"/>
        </w:rPr>
      </w:pPr>
      <w:r>
        <w:rPr>
          <w:rFonts w:hint="eastAsia"/>
          <w:sz w:val="21"/>
          <w:szCs w:val="21"/>
        </w:rPr>
        <w:t>乙方对其所提供的货物免费保修</w:t>
      </w:r>
      <w:r>
        <w:rPr>
          <w:rFonts w:hint="eastAsia"/>
          <w:sz w:val="21"/>
          <w:szCs w:val="21"/>
          <w:u w:val="single"/>
        </w:rPr>
        <w:t xml:space="preserve">      </w:t>
      </w:r>
      <w:r>
        <w:rPr>
          <w:rFonts w:hint="eastAsia"/>
          <w:sz w:val="21"/>
          <w:szCs w:val="21"/>
        </w:rPr>
        <w:t>年，保修期从</w:t>
      </w:r>
      <w:r>
        <w:rPr>
          <w:rFonts w:hint="eastAsia"/>
          <w:sz w:val="21"/>
          <w:szCs w:val="21"/>
          <w:u w:val="single"/>
        </w:rPr>
        <w:t xml:space="preserve">             </w:t>
      </w:r>
      <w:r>
        <w:rPr>
          <w:rFonts w:hint="eastAsia"/>
          <w:sz w:val="21"/>
          <w:szCs w:val="21"/>
        </w:rPr>
        <w:t>开始。乙方应在接到报修通知后</w:t>
      </w:r>
      <w:r>
        <w:rPr>
          <w:rFonts w:hint="eastAsia"/>
          <w:sz w:val="21"/>
          <w:szCs w:val="21"/>
          <w:u w:val="single"/>
        </w:rPr>
        <w:t xml:space="preserve">      </w:t>
      </w:r>
      <w:r>
        <w:rPr>
          <w:rFonts w:hint="eastAsia"/>
          <w:sz w:val="21"/>
          <w:szCs w:val="21"/>
        </w:rPr>
        <w:t>天内上门维修，负责更换有瑕疵的货物、部件或提供相应的质量保证期内的服务。由此造成的损失，甲方保留索赔的权利。</w:t>
      </w:r>
    </w:p>
    <w:p w14:paraId="439CD2A8">
      <w:pPr>
        <w:spacing w:line="360" w:lineRule="auto"/>
        <w:ind w:firstLine="420" w:firstLineChars="200"/>
        <w:rPr>
          <w:sz w:val="21"/>
          <w:szCs w:val="21"/>
        </w:rPr>
      </w:pPr>
      <w:r>
        <w:rPr>
          <w:rFonts w:hint="eastAsia"/>
          <w:sz w:val="21"/>
          <w:szCs w:val="21"/>
        </w:rPr>
        <w:t>如果乙方在收到报修通知后</w:t>
      </w:r>
      <w:r>
        <w:rPr>
          <w:rFonts w:hint="eastAsia"/>
          <w:sz w:val="21"/>
          <w:szCs w:val="21"/>
          <w:u w:val="single"/>
        </w:rPr>
        <w:t xml:space="preserve">      </w:t>
      </w:r>
      <w:r>
        <w:rPr>
          <w:rFonts w:hint="eastAsia"/>
          <w:sz w:val="21"/>
          <w:szCs w:val="21"/>
        </w:rPr>
        <w:t>天内没有弥补缺陷，甲方可采取必要的补救措施，但费用和风险由乙方承担。</w:t>
      </w:r>
    </w:p>
    <w:p w14:paraId="185247AA">
      <w:pPr>
        <w:spacing w:line="360" w:lineRule="auto"/>
        <w:ind w:firstLine="420" w:firstLineChars="200"/>
        <w:rPr>
          <w:rFonts w:hint="eastAsia"/>
          <w:sz w:val="21"/>
          <w:szCs w:val="21"/>
        </w:rPr>
      </w:pPr>
      <w:r>
        <w:rPr>
          <w:rFonts w:hint="eastAsia"/>
          <w:sz w:val="21"/>
          <w:szCs w:val="21"/>
        </w:rPr>
        <w:t>2.维修</w:t>
      </w:r>
    </w:p>
    <w:p w14:paraId="0B2E3FC4">
      <w:pPr>
        <w:spacing w:line="360" w:lineRule="auto"/>
        <w:ind w:firstLine="420" w:firstLineChars="200"/>
        <w:rPr>
          <w:rFonts w:hint="eastAsia"/>
          <w:sz w:val="21"/>
          <w:szCs w:val="21"/>
        </w:rPr>
      </w:pPr>
      <w:r>
        <w:rPr>
          <w:rFonts w:hint="eastAsia"/>
          <w:sz w:val="21"/>
          <w:szCs w:val="21"/>
        </w:rPr>
        <w:t>保修期届满后，乙方应对其提供的货物负有维修义务，但所涉及的费用由甲方承担。</w:t>
      </w:r>
    </w:p>
    <w:p w14:paraId="17C244E1">
      <w:pPr>
        <w:spacing w:line="360" w:lineRule="auto"/>
        <w:ind w:firstLine="420" w:firstLineChars="200"/>
        <w:rPr>
          <w:sz w:val="21"/>
          <w:szCs w:val="21"/>
        </w:rPr>
      </w:pPr>
      <w:r>
        <w:rPr>
          <w:b/>
          <w:bCs/>
          <w:sz w:val="21"/>
          <w:szCs w:val="21"/>
        </w:rPr>
        <w:t>第</w:t>
      </w:r>
      <w:r>
        <w:rPr>
          <w:rFonts w:hint="eastAsia"/>
          <w:b/>
          <w:bCs/>
          <w:sz w:val="21"/>
          <w:szCs w:val="21"/>
        </w:rPr>
        <w:t>十</w:t>
      </w:r>
      <w:r>
        <w:rPr>
          <w:b/>
          <w:bCs/>
          <w:sz w:val="21"/>
          <w:szCs w:val="21"/>
        </w:rPr>
        <w:t>条</w:t>
      </w:r>
      <w:r>
        <w:rPr>
          <w:sz w:val="21"/>
          <w:szCs w:val="21"/>
        </w:rPr>
        <w:t>  乙方的违约责任</w:t>
      </w:r>
    </w:p>
    <w:p w14:paraId="3662AD83">
      <w:pPr>
        <w:spacing w:line="360" w:lineRule="auto"/>
        <w:ind w:firstLine="420" w:firstLineChars="200"/>
        <w:rPr>
          <w:sz w:val="21"/>
          <w:szCs w:val="21"/>
        </w:rPr>
      </w:pPr>
      <w:r>
        <w:rPr>
          <w:sz w:val="21"/>
          <w:szCs w:val="21"/>
        </w:rPr>
        <w:t>1.乙方不能交货的，应向甲方偿付不能交货部分货款的</w:t>
      </w:r>
      <w:r>
        <w:rPr>
          <w:sz w:val="21"/>
          <w:szCs w:val="21"/>
          <w:u w:val="single"/>
        </w:rPr>
        <w:t>      %</w:t>
      </w:r>
      <w:r>
        <w:rPr>
          <w:sz w:val="21"/>
          <w:szCs w:val="21"/>
        </w:rPr>
        <w:t>（通用产品的幅度为</w:t>
      </w:r>
      <w:r>
        <w:rPr>
          <w:rFonts w:hint="eastAsia"/>
          <w:sz w:val="21"/>
          <w:szCs w:val="21"/>
        </w:rPr>
        <w:t>1%－5%</w:t>
      </w:r>
      <w:r>
        <w:rPr>
          <w:sz w:val="21"/>
          <w:szCs w:val="21"/>
        </w:rPr>
        <w:t>，专用产品的幅度为</w:t>
      </w:r>
      <w:r>
        <w:rPr>
          <w:rFonts w:hint="eastAsia"/>
          <w:sz w:val="21"/>
          <w:szCs w:val="21"/>
        </w:rPr>
        <w:t>10%－30%</w:t>
      </w:r>
      <w:r>
        <w:rPr>
          <w:sz w:val="21"/>
          <w:szCs w:val="21"/>
        </w:rPr>
        <w:t>）的违约金。</w:t>
      </w:r>
    </w:p>
    <w:p w14:paraId="26CFC960">
      <w:pPr>
        <w:spacing w:line="360" w:lineRule="auto"/>
        <w:ind w:firstLine="420" w:firstLineChars="200"/>
        <w:rPr>
          <w:sz w:val="21"/>
          <w:szCs w:val="21"/>
        </w:rPr>
      </w:pPr>
      <w:r>
        <w:rPr>
          <w:rFonts w:hint="eastAsia"/>
          <w:sz w:val="21"/>
          <w:szCs w:val="21"/>
        </w:rPr>
        <w:t>2.</w:t>
      </w:r>
      <w:r>
        <w:rPr>
          <w:sz w:val="21"/>
          <w:szCs w:val="21"/>
        </w:rPr>
        <w:t>乙方所交产品不符合合同规定的，如果甲方同意利用，应当按质论价；如果甲方不能利用的，应根据产品的具体情况，由乙方负责包换或包修，并承担修理、调换或退货而支付的实际费用,</w:t>
      </w:r>
      <w:r>
        <w:rPr>
          <w:rFonts w:hint="eastAsia"/>
          <w:sz w:val="21"/>
          <w:szCs w:val="21"/>
        </w:rPr>
        <w:t>同时，乙方应按规定，对更换件相应延长质量保证期，并赔偿甲方相应的损失。</w:t>
      </w:r>
      <w:r>
        <w:rPr>
          <w:sz w:val="21"/>
          <w:szCs w:val="21"/>
        </w:rPr>
        <w:t>乙方不能修理或者不能调换的，按不能交货处理。</w:t>
      </w:r>
    </w:p>
    <w:p w14:paraId="43E06DAD">
      <w:pPr>
        <w:spacing w:line="360" w:lineRule="auto"/>
        <w:ind w:firstLine="420" w:firstLineChars="200"/>
        <w:rPr>
          <w:sz w:val="21"/>
          <w:szCs w:val="21"/>
        </w:rPr>
      </w:pPr>
      <w:r>
        <w:rPr>
          <w:rFonts w:hint="eastAsia"/>
          <w:sz w:val="21"/>
          <w:szCs w:val="21"/>
        </w:rPr>
        <w:t>3.</w:t>
      </w:r>
      <w:r>
        <w:rPr>
          <w:sz w:val="21"/>
          <w:szCs w:val="21"/>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sz w:val="21"/>
          <w:szCs w:val="21"/>
        </w:rPr>
        <w:t>每件货物包装箱内应附一份详细装箱单和质量证书。为进口件的，应出具报关手续和原产地、原产工厂证明、报关手续和商检证明等。</w:t>
      </w:r>
    </w:p>
    <w:p w14:paraId="783DD53D">
      <w:pPr>
        <w:spacing w:line="360" w:lineRule="auto"/>
        <w:ind w:firstLine="420" w:firstLineChars="200"/>
        <w:rPr>
          <w:sz w:val="21"/>
          <w:szCs w:val="21"/>
        </w:rPr>
      </w:pPr>
      <w:r>
        <w:rPr>
          <w:rFonts w:hint="eastAsia"/>
          <w:sz w:val="21"/>
          <w:szCs w:val="21"/>
        </w:rPr>
        <w:t>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w:t>
      </w:r>
      <w:r>
        <w:rPr>
          <w:sz w:val="21"/>
          <w:szCs w:val="21"/>
        </w:rPr>
        <w:t>。</w:t>
      </w:r>
    </w:p>
    <w:p w14:paraId="584E5F79">
      <w:pPr>
        <w:spacing w:line="360" w:lineRule="auto"/>
        <w:ind w:firstLine="420" w:firstLineChars="200"/>
        <w:rPr>
          <w:sz w:val="21"/>
          <w:szCs w:val="21"/>
        </w:rPr>
      </w:pPr>
      <w:r>
        <w:rPr>
          <w:rFonts w:hint="eastAsia"/>
          <w:sz w:val="21"/>
          <w:szCs w:val="21"/>
        </w:rPr>
        <w:t>5.</w:t>
      </w:r>
      <w:r>
        <w:rPr>
          <w:sz w:val="21"/>
          <w:szCs w:val="21"/>
        </w:rPr>
        <w:t>乙方提前交货的产品、多交的产品和不符合合同规定的产品，甲方在代保管期内实际支付的保管、保养等费用以及非因甲方保管不善而发生的损失，应当由乙方承担。</w:t>
      </w:r>
    </w:p>
    <w:p w14:paraId="1C858258">
      <w:pPr>
        <w:spacing w:line="360" w:lineRule="auto"/>
        <w:ind w:firstLine="420" w:firstLineChars="200"/>
        <w:rPr>
          <w:sz w:val="21"/>
          <w:szCs w:val="21"/>
        </w:rPr>
      </w:pPr>
      <w:r>
        <w:rPr>
          <w:rFonts w:hint="eastAsia"/>
          <w:sz w:val="21"/>
          <w:szCs w:val="21"/>
        </w:rPr>
        <w:t>6.乙方应对其所提供的货物承担所有权担保责任，并应保证甲方在中华人民共和国内使用该货物时不侵犯第三人的知识产权。否则乙方应承担由此引起的一切法律责任及费用。</w:t>
      </w:r>
    </w:p>
    <w:p w14:paraId="7FDC9897">
      <w:pPr>
        <w:spacing w:line="360" w:lineRule="auto"/>
        <w:ind w:firstLine="420" w:firstLineChars="200"/>
        <w:rPr>
          <w:sz w:val="21"/>
          <w:szCs w:val="21"/>
        </w:rPr>
      </w:pPr>
      <w:r>
        <w:rPr>
          <w:rFonts w:hint="eastAsia"/>
          <w:sz w:val="21"/>
          <w:szCs w:val="21"/>
        </w:rPr>
        <w:t>7.任何一方未经对方同意而单方面终止合同的，应向对方赔偿相当于本合同总价款</w:t>
      </w:r>
      <w:r>
        <w:rPr>
          <w:rFonts w:hint="eastAsia"/>
          <w:sz w:val="21"/>
          <w:szCs w:val="21"/>
          <w:u w:val="single"/>
        </w:rPr>
        <w:t xml:space="preserve">      %</w:t>
      </w:r>
      <w:r>
        <w:rPr>
          <w:rFonts w:hint="eastAsia"/>
          <w:sz w:val="21"/>
          <w:szCs w:val="21"/>
        </w:rPr>
        <w:t>违约金。</w:t>
      </w:r>
    </w:p>
    <w:p w14:paraId="521247A0">
      <w:pPr>
        <w:spacing w:line="360" w:lineRule="auto"/>
        <w:ind w:firstLine="420" w:firstLineChars="200"/>
        <w:rPr>
          <w:sz w:val="21"/>
          <w:szCs w:val="21"/>
        </w:rPr>
      </w:pPr>
      <w:r>
        <w:rPr>
          <w:b/>
          <w:bCs/>
          <w:sz w:val="21"/>
          <w:szCs w:val="21"/>
        </w:rPr>
        <w:t>第十</w:t>
      </w:r>
      <w:r>
        <w:rPr>
          <w:rFonts w:hint="eastAsia"/>
          <w:b/>
          <w:bCs/>
          <w:sz w:val="21"/>
          <w:szCs w:val="21"/>
        </w:rPr>
        <w:t>一</w:t>
      </w:r>
      <w:r>
        <w:rPr>
          <w:b/>
          <w:bCs/>
          <w:sz w:val="21"/>
          <w:szCs w:val="21"/>
        </w:rPr>
        <w:t>条</w:t>
      </w:r>
      <w:r>
        <w:rPr>
          <w:sz w:val="21"/>
          <w:szCs w:val="21"/>
        </w:rPr>
        <w:t>  甲方的违约责任</w:t>
      </w:r>
    </w:p>
    <w:p w14:paraId="5C61A5A6">
      <w:pPr>
        <w:spacing w:line="360" w:lineRule="auto"/>
        <w:ind w:firstLine="420" w:firstLineChars="200"/>
        <w:rPr>
          <w:sz w:val="21"/>
          <w:szCs w:val="21"/>
        </w:rPr>
      </w:pPr>
      <w:r>
        <w:rPr>
          <w:rFonts w:hint="eastAsia"/>
          <w:sz w:val="21"/>
          <w:szCs w:val="21"/>
        </w:rPr>
        <w:t>1.</w:t>
      </w:r>
      <w:r>
        <w:rPr>
          <w:sz w:val="21"/>
          <w:szCs w:val="21"/>
        </w:rPr>
        <w:t>甲方中途退货，应向乙方偿付退货部分货款</w:t>
      </w:r>
      <w:r>
        <w:rPr>
          <w:rFonts w:hint="eastAsia"/>
          <w:sz w:val="21"/>
          <w:szCs w:val="21"/>
          <w:u w:val="single"/>
        </w:rPr>
        <w:t xml:space="preserve">             </w:t>
      </w:r>
      <w:r>
        <w:rPr>
          <w:rFonts w:hint="eastAsia"/>
          <w:sz w:val="21"/>
          <w:szCs w:val="21"/>
        </w:rPr>
        <w:t>%</w:t>
      </w:r>
      <w:r>
        <w:rPr>
          <w:sz w:val="21"/>
          <w:szCs w:val="21"/>
        </w:rPr>
        <w:t>（通用产品的幅度为1%</w:t>
      </w:r>
      <w:r>
        <w:rPr>
          <w:rFonts w:hint="eastAsia"/>
          <w:sz w:val="21"/>
          <w:szCs w:val="21"/>
        </w:rPr>
        <w:t>~5%</w:t>
      </w:r>
      <w:r>
        <w:rPr>
          <w:sz w:val="21"/>
          <w:szCs w:val="21"/>
        </w:rPr>
        <w:t>专用产品的幅度为</w:t>
      </w:r>
      <w:r>
        <w:rPr>
          <w:rFonts w:hint="eastAsia"/>
          <w:sz w:val="21"/>
          <w:szCs w:val="21"/>
        </w:rPr>
        <w:t>15%-30%</w:t>
      </w:r>
      <w:r>
        <w:rPr>
          <w:sz w:val="21"/>
          <w:szCs w:val="21"/>
        </w:rPr>
        <w:t>）的违约金。</w:t>
      </w:r>
    </w:p>
    <w:p w14:paraId="49053893">
      <w:pPr>
        <w:spacing w:line="360" w:lineRule="auto"/>
        <w:ind w:firstLine="420" w:firstLineChars="200"/>
        <w:rPr>
          <w:sz w:val="21"/>
          <w:szCs w:val="21"/>
        </w:rPr>
      </w:pPr>
      <w:r>
        <w:rPr>
          <w:rFonts w:hint="eastAsia"/>
          <w:sz w:val="21"/>
          <w:szCs w:val="21"/>
        </w:rPr>
        <w:t>2.</w:t>
      </w:r>
      <w:r>
        <w:rPr>
          <w:sz w:val="21"/>
          <w:szCs w:val="21"/>
        </w:rPr>
        <w:t>甲方违反合同规定拒绝接货的，应当承担由此造成的损失。</w:t>
      </w:r>
    </w:p>
    <w:p w14:paraId="65D89836">
      <w:pPr>
        <w:spacing w:line="360" w:lineRule="auto"/>
        <w:ind w:firstLine="420" w:firstLineChars="200"/>
        <w:rPr>
          <w:sz w:val="21"/>
          <w:szCs w:val="21"/>
          <w:u w:val="single"/>
        </w:rPr>
      </w:pPr>
      <w:r>
        <w:rPr>
          <w:rFonts w:hint="eastAsia"/>
          <w:sz w:val="21"/>
          <w:szCs w:val="21"/>
        </w:rPr>
        <w:t>3.</w:t>
      </w:r>
      <w:r>
        <w:rPr>
          <w:sz w:val="21"/>
          <w:szCs w:val="21"/>
        </w:rPr>
        <w:t xml:space="preserve"> 甲方未按照合同约定支付货款，应向乙方</w:t>
      </w:r>
      <w:r>
        <w:rPr>
          <w:rFonts w:hint="eastAsia"/>
          <w:sz w:val="21"/>
          <w:szCs w:val="21"/>
        </w:rPr>
        <w:t>违约金</w:t>
      </w:r>
      <w:r>
        <w:rPr>
          <w:rFonts w:hint="eastAsia"/>
          <w:sz w:val="21"/>
          <w:szCs w:val="21"/>
          <w:u w:val="single"/>
        </w:rPr>
        <w:t xml:space="preserve">   </w:t>
      </w:r>
      <w:r>
        <w:rPr>
          <w:rFonts w:hint="eastAsia"/>
          <w:sz w:val="21"/>
          <w:szCs w:val="21"/>
        </w:rPr>
        <w:t>元。</w:t>
      </w:r>
    </w:p>
    <w:p w14:paraId="43D491F9">
      <w:pPr>
        <w:spacing w:line="360" w:lineRule="auto"/>
        <w:ind w:firstLine="420" w:firstLineChars="200"/>
        <w:rPr>
          <w:b/>
          <w:sz w:val="21"/>
          <w:szCs w:val="21"/>
        </w:rPr>
      </w:pPr>
      <w:r>
        <w:rPr>
          <w:b/>
          <w:bCs/>
          <w:sz w:val="21"/>
          <w:szCs w:val="21"/>
        </w:rPr>
        <w:t>第十</w:t>
      </w:r>
      <w:r>
        <w:rPr>
          <w:rFonts w:hint="eastAsia"/>
          <w:b/>
          <w:bCs/>
          <w:sz w:val="21"/>
          <w:szCs w:val="21"/>
        </w:rPr>
        <w:t>二</w:t>
      </w:r>
      <w:r>
        <w:rPr>
          <w:b/>
          <w:bCs/>
          <w:sz w:val="21"/>
          <w:szCs w:val="21"/>
        </w:rPr>
        <w:t>条 </w:t>
      </w:r>
      <w:r>
        <w:rPr>
          <w:sz w:val="21"/>
          <w:szCs w:val="21"/>
        </w:rPr>
        <w:t xml:space="preserve"> 不可抗力</w:t>
      </w:r>
    </w:p>
    <w:p w14:paraId="3769DE2D">
      <w:pPr>
        <w:spacing w:line="360" w:lineRule="auto"/>
        <w:ind w:firstLine="420" w:firstLineChars="200"/>
        <w:rPr>
          <w:sz w:val="21"/>
          <w:szCs w:val="21"/>
        </w:rPr>
      </w:pPr>
      <w:r>
        <w:rPr>
          <w:rFonts w:hint="eastAsia"/>
          <w:sz w:val="21"/>
          <w:szCs w:val="21"/>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CE5AF1A">
      <w:pPr>
        <w:spacing w:line="360" w:lineRule="auto"/>
        <w:ind w:firstLine="420" w:firstLineChars="200"/>
        <w:rPr>
          <w:sz w:val="21"/>
          <w:szCs w:val="21"/>
        </w:rPr>
      </w:pPr>
      <w:r>
        <w:rPr>
          <w:rFonts w:hint="eastAsia"/>
          <w:sz w:val="21"/>
          <w:szCs w:val="21"/>
        </w:rPr>
        <w:t>2.</w:t>
      </w:r>
      <w:r>
        <w:rPr>
          <w:sz w:val="21"/>
          <w:szCs w:val="21"/>
        </w:rPr>
        <w:t>甲乙双方的任何一方由于不可抗力的原因不能履行合同时，应及时向对方通报不能履行或不能完全履行的理由，在取得有关</w:t>
      </w:r>
      <w:r>
        <w:rPr>
          <w:rFonts w:hint="eastAsia"/>
          <w:sz w:val="21"/>
          <w:szCs w:val="21"/>
        </w:rPr>
        <w:t>部门</w:t>
      </w:r>
      <w:r>
        <w:rPr>
          <w:sz w:val="21"/>
          <w:szCs w:val="21"/>
        </w:rPr>
        <w:t>证明以后，允许延期履行、部分履行或者不履行合同，并根据情况可部分或全部免予承担违约责任。</w:t>
      </w:r>
    </w:p>
    <w:p w14:paraId="621ACE64">
      <w:pPr>
        <w:spacing w:line="360" w:lineRule="auto"/>
        <w:ind w:firstLine="420" w:firstLineChars="200"/>
        <w:rPr>
          <w:b/>
          <w:bCs/>
          <w:sz w:val="21"/>
          <w:szCs w:val="21"/>
        </w:rPr>
      </w:pPr>
      <w:r>
        <w:rPr>
          <w:b/>
          <w:bCs/>
          <w:sz w:val="21"/>
          <w:szCs w:val="21"/>
        </w:rPr>
        <w:t>第十</w:t>
      </w:r>
      <w:r>
        <w:rPr>
          <w:rFonts w:hint="eastAsia"/>
          <w:b/>
          <w:bCs/>
          <w:sz w:val="21"/>
          <w:szCs w:val="21"/>
        </w:rPr>
        <w:t>三</w:t>
      </w:r>
      <w:r>
        <w:rPr>
          <w:b/>
          <w:bCs/>
          <w:sz w:val="21"/>
          <w:szCs w:val="21"/>
        </w:rPr>
        <w:t>条</w:t>
      </w:r>
      <w:r>
        <w:rPr>
          <w:rFonts w:hint="eastAsia"/>
          <w:b/>
          <w:bCs/>
          <w:sz w:val="21"/>
          <w:szCs w:val="21"/>
        </w:rPr>
        <w:t xml:space="preserve">  </w:t>
      </w:r>
      <w:r>
        <w:rPr>
          <w:rFonts w:hint="eastAsia"/>
          <w:sz w:val="21"/>
          <w:szCs w:val="21"/>
        </w:rPr>
        <w:t>履约（或质量）保证金</w:t>
      </w:r>
    </w:p>
    <w:p w14:paraId="1618D65E">
      <w:pPr>
        <w:spacing w:line="360" w:lineRule="auto"/>
        <w:ind w:firstLine="420" w:firstLineChars="200"/>
        <w:rPr>
          <w:rFonts w:hint="eastAsia"/>
          <w:sz w:val="21"/>
          <w:szCs w:val="21"/>
        </w:rPr>
      </w:pPr>
      <w:r>
        <w:rPr>
          <w:rFonts w:hint="eastAsia"/>
          <w:sz w:val="21"/>
          <w:szCs w:val="21"/>
        </w:rPr>
        <w:t>1.本项目不收取履约保证金。确需收取履约保证金的，甲方不得要求乙方以现款的形式提供。乙方提供的履约保证金按规定格式以银行保函形式提供，与此有关的费用由卖方承担。</w:t>
      </w:r>
    </w:p>
    <w:p w14:paraId="0377C0B4">
      <w:pPr>
        <w:spacing w:line="360" w:lineRule="auto"/>
        <w:ind w:firstLine="420" w:firstLineChars="200"/>
        <w:rPr>
          <w:rFonts w:hint="eastAsia"/>
          <w:sz w:val="21"/>
          <w:szCs w:val="21"/>
        </w:rPr>
      </w:pPr>
      <w:r>
        <w:rPr>
          <w:rFonts w:hint="eastAsia"/>
          <w:sz w:val="21"/>
          <w:szCs w:val="21"/>
        </w:rPr>
        <w:t>2.若确需质量保证金的，质量保证金不得超过合同总价款的5%。</w:t>
      </w:r>
    </w:p>
    <w:p w14:paraId="6AE41EAC">
      <w:pPr>
        <w:spacing w:line="360" w:lineRule="auto"/>
        <w:ind w:firstLine="420" w:firstLineChars="200"/>
        <w:rPr>
          <w:rFonts w:hint="eastAsia"/>
          <w:sz w:val="21"/>
          <w:szCs w:val="21"/>
        </w:rPr>
      </w:pPr>
      <w:r>
        <w:rPr>
          <w:rFonts w:hint="eastAsia"/>
          <w:sz w:val="21"/>
          <w:szCs w:val="21"/>
        </w:rPr>
        <w:t>3.如乙方未能履行其合同规定的任何义务，甲方有权从履约保证金中取得补偿。</w:t>
      </w:r>
    </w:p>
    <w:p w14:paraId="72D565A3">
      <w:pPr>
        <w:spacing w:line="360" w:lineRule="auto"/>
        <w:ind w:firstLine="420" w:firstLineChars="200"/>
        <w:rPr>
          <w:b/>
          <w:sz w:val="21"/>
          <w:szCs w:val="21"/>
        </w:rPr>
      </w:pPr>
      <w:r>
        <w:rPr>
          <w:b/>
          <w:bCs/>
          <w:sz w:val="21"/>
          <w:szCs w:val="21"/>
        </w:rPr>
        <w:t>第十</w:t>
      </w:r>
      <w:r>
        <w:rPr>
          <w:rFonts w:hint="eastAsia"/>
          <w:b/>
          <w:bCs/>
          <w:sz w:val="21"/>
          <w:szCs w:val="21"/>
        </w:rPr>
        <w:t>四</w:t>
      </w:r>
      <w:r>
        <w:rPr>
          <w:b/>
          <w:bCs/>
          <w:sz w:val="21"/>
          <w:szCs w:val="21"/>
        </w:rPr>
        <w:t>条</w:t>
      </w:r>
      <w:r>
        <w:rPr>
          <w:rFonts w:hint="eastAsia"/>
          <w:b/>
          <w:bCs/>
          <w:sz w:val="21"/>
          <w:szCs w:val="21"/>
        </w:rPr>
        <w:t xml:space="preserve"> </w:t>
      </w:r>
      <w:r>
        <w:rPr>
          <w:rFonts w:hint="eastAsia"/>
          <w:bCs/>
          <w:sz w:val="21"/>
          <w:szCs w:val="21"/>
        </w:rPr>
        <w:t>转让与分包</w:t>
      </w:r>
    </w:p>
    <w:p w14:paraId="0226AE86">
      <w:pPr>
        <w:spacing w:line="360" w:lineRule="auto"/>
        <w:ind w:firstLine="420" w:firstLineChars="200"/>
        <w:rPr>
          <w:sz w:val="21"/>
          <w:szCs w:val="21"/>
        </w:rPr>
      </w:pPr>
      <w:r>
        <w:rPr>
          <w:rFonts w:hint="eastAsia"/>
          <w:sz w:val="21"/>
          <w:szCs w:val="21"/>
        </w:rPr>
        <w:t>1.除甲方事先书面同意外，乙方不得部分转让或全部转让其应履行的合同义务。</w:t>
      </w:r>
    </w:p>
    <w:p w14:paraId="425DFAC3">
      <w:pPr>
        <w:spacing w:line="360" w:lineRule="auto"/>
        <w:ind w:firstLine="420" w:firstLineChars="200"/>
        <w:rPr>
          <w:sz w:val="21"/>
          <w:szCs w:val="21"/>
        </w:rPr>
      </w:pPr>
      <w:r>
        <w:rPr>
          <w:rFonts w:hint="eastAsia"/>
          <w:sz w:val="21"/>
          <w:szCs w:val="21"/>
        </w:rPr>
        <w:t>2.乙方应在投标文件中或以其他书面形式对甲方确认本合同项下所授予的所有分包合同。但该确认不解除乙方承担的本合同下的任何责任或义务。意即在本合同项下，乙方对甲方负总责。</w:t>
      </w:r>
    </w:p>
    <w:p w14:paraId="54B7708E">
      <w:pPr>
        <w:spacing w:line="360" w:lineRule="auto"/>
        <w:ind w:firstLine="420" w:firstLineChars="200"/>
        <w:rPr>
          <w:b/>
          <w:sz w:val="21"/>
          <w:szCs w:val="21"/>
        </w:rPr>
      </w:pPr>
      <w:r>
        <w:rPr>
          <w:b/>
          <w:bCs/>
          <w:sz w:val="21"/>
          <w:szCs w:val="21"/>
        </w:rPr>
        <w:t>第十</w:t>
      </w:r>
      <w:r>
        <w:rPr>
          <w:rFonts w:hint="eastAsia"/>
          <w:b/>
          <w:bCs/>
          <w:sz w:val="21"/>
          <w:szCs w:val="21"/>
        </w:rPr>
        <w:t>五</w:t>
      </w:r>
      <w:r>
        <w:rPr>
          <w:b/>
          <w:bCs/>
          <w:sz w:val="21"/>
          <w:szCs w:val="21"/>
        </w:rPr>
        <w:t>条</w:t>
      </w:r>
      <w:r>
        <w:rPr>
          <w:rFonts w:hint="eastAsia"/>
          <w:b/>
          <w:bCs/>
          <w:sz w:val="21"/>
          <w:szCs w:val="21"/>
        </w:rPr>
        <w:t xml:space="preserve"> </w:t>
      </w:r>
      <w:r>
        <w:rPr>
          <w:rFonts w:hint="eastAsia"/>
          <w:bCs/>
          <w:sz w:val="21"/>
          <w:szCs w:val="21"/>
        </w:rPr>
        <w:t>合同文件及资料的使用</w:t>
      </w:r>
    </w:p>
    <w:p w14:paraId="16472D23">
      <w:pPr>
        <w:spacing w:line="360" w:lineRule="auto"/>
        <w:ind w:firstLine="420" w:firstLineChars="200"/>
        <w:rPr>
          <w:sz w:val="21"/>
          <w:szCs w:val="21"/>
        </w:rPr>
      </w:pPr>
      <w:r>
        <w:rPr>
          <w:rFonts w:hint="eastAsia"/>
          <w:sz w:val="21"/>
          <w:szCs w:val="21"/>
        </w:rPr>
        <w:t>1.乙方在未经甲方同意的情况下，不得将合同、合同中的规定、有关计划、图纸、样本或甲方为上述内容向乙方提供的资料透露给任何人。</w:t>
      </w:r>
    </w:p>
    <w:p w14:paraId="53F7B264">
      <w:pPr>
        <w:spacing w:line="360" w:lineRule="auto"/>
        <w:ind w:firstLine="420" w:firstLineChars="200"/>
        <w:rPr>
          <w:sz w:val="21"/>
          <w:szCs w:val="21"/>
        </w:rPr>
      </w:pPr>
      <w:r>
        <w:rPr>
          <w:rFonts w:hint="eastAsia"/>
          <w:sz w:val="21"/>
          <w:szCs w:val="21"/>
        </w:rPr>
        <w:t>2.除非执行合同需要，在事先未得到甲方同意的情况下，乙方不得使用前款所列的任何文件和资料。</w:t>
      </w:r>
    </w:p>
    <w:p w14:paraId="74462144">
      <w:pPr>
        <w:spacing w:line="360" w:lineRule="auto"/>
        <w:ind w:firstLine="420" w:firstLineChars="200"/>
        <w:rPr>
          <w:sz w:val="21"/>
          <w:szCs w:val="21"/>
        </w:rPr>
      </w:pPr>
      <w:r>
        <w:rPr>
          <w:b/>
          <w:bCs/>
          <w:sz w:val="21"/>
          <w:szCs w:val="21"/>
        </w:rPr>
        <w:t>第十</w:t>
      </w:r>
      <w:r>
        <w:rPr>
          <w:rFonts w:hint="eastAsia"/>
          <w:b/>
          <w:bCs/>
          <w:sz w:val="21"/>
          <w:szCs w:val="21"/>
        </w:rPr>
        <w:t>六</w:t>
      </w:r>
      <w:r>
        <w:rPr>
          <w:b/>
          <w:bCs/>
          <w:sz w:val="21"/>
          <w:szCs w:val="21"/>
        </w:rPr>
        <w:t>条 </w:t>
      </w:r>
      <w:r>
        <w:rPr>
          <w:rFonts w:hint="eastAsia"/>
          <w:sz w:val="21"/>
          <w:szCs w:val="21"/>
        </w:rPr>
        <w:t>合同纠纷调处</w:t>
      </w:r>
    </w:p>
    <w:p w14:paraId="05B16458">
      <w:pPr>
        <w:spacing w:line="360" w:lineRule="auto"/>
        <w:ind w:firstLine="420" w:firstLineChars="200"/>
        <w:rPr>
          <w:sz w:val="21"/>
          <w:szCs w:val="21"/>
        </w:rPr>
      </w:pPr>
      <w:r>
        <w:rPr>
          <w:rFonts w:hint="eastAsia"/>
          <w:sz w:val="21"/>
          <w:szCs w:val="21"/>
        </w:rPr>
        <w:t>1.</w:t>
      </w:r>
      <w:r>
        <w:rPr>
          <w:sz w:val="21"/>
          <w:szCs w:val="21"/>
        </w:rPr>
        <w:t>按本合同规定应该偿付的违约金、赔偿金、保管保养费和各种经济损失，应当在明确责任后</w:t>
      </w:r>
      <w:r>
        <w:rPr>
          <w:rFonts w:hint="eastAsia"/>
          <w:sz w:val="21"/>
          <w:szCs w:val="21"/>
        </w:rPr>
        <w:t>10</w:t>
      </w:r>
      <w:r>
        <w:rPr>
          <w:sz w:val="21"/>
          <w:szCs w:val="21"/>
        </w:rPr>
        <w:t>天内，按银行规定的结算办法付清，否则按逾期付款处理。但任何一方不得自行扣发货物或扣付货款来充抵。</w:t>
      </w:r>
    </w:p>
    <w:p w14:paraId="196383D6">
      <w:pPr>
        <w:spacing w:line="360" w:lineRule="auto"/>
        <w:ind w:firstLine="420" w:firstLineChars="200"/>
        <w:rPr>
          <w:sz w:val="21"/>
          <w:szCs w:val="21"/>
        </w:rPr>
      </w:pPr>
      <w:r>
        <w:rPr>
          <w:rFonts w:hint="eastAsia"/>
          <w:sz w:val="21"/>
          <w:szCs w:val="21"/>
        </w:rPr>
        <w:t>2.</w:t>
      </w:r>
      <w:r>
        <w:rPr>
          <w:sz w:val="21"/>
          <w:szCs w:val="21"/>
        </w:rPr>
        <w:t>本合同如发生纠纷，当事人双方应当及时协商解决，协商不成时，任何一方均可请</w:t>
      </w:r>
      <w:r>
        <w:rPr>
          <w:rFonts w:hint="eastAsia"/>
          <w:sz w:val="21"/>
          <w:szCs w:val="21"/>
        </w:rPr>
        <w:t>本项目政府采购监督管理部门</w:t>
      </w:r>
      <w:r>
        <w:rPr>
          <w:sz w:val="21"/>
          <w:szCs w:val="21"/>
        </w:rPr>
        <w:t>调解，调解不成，按以下第（</w:t>
      </w:r>
      <w:r>
        <w:rPr>
          <w:rFonts w:hint="eastAsia"/>
          <w:sz w:val="21"/>
          <w:szCs w:val="21"/>
        </w:rPr>
        <w:t xml:space="preserve"> </w:t>
      </w:r>
      <w:r>
        <w:rPr>
          <w:sz w:val="21"/>
          <w:szCs w:val="21"/>
        </w:rPr>
        <w:t>）项方式处理：</w:t>
      </w:r>
      <w:r>
        <w:rPr>
          <w:rFonts w:hint="eastAsia"/>
          <w:sz w:val="21"/>
          <w:szCs w:val="21"/>
        </w:rPr>
        <w:t>①根据《中华人民共和国仲裁法》的规定向</w:t>
      </w:r>
      <w:r>
        <w:rPr>
          <w:rFonts w:hint="eastAsia"/>
          <w:b/>
          <w:bCs/>
          <w:sz w:val="21"/>
          <w:szCs w:val="21"/>
          <w:u w:val="single"/>
          <w:lang w:val="en-US" w:eastAsia="zh-CN"/>
        </w:rPr>
        <w:t>当地</w:t>
      </w:r>
      <w:r>
        <w:rPr>
          <w:rFonts w:hint="eastAsia"/>
          <w:b/>
          <w:bCs/>
          <w:sz w:val="21"/>
          <w:szCs w:val="21"/>
          <w:u w:val="single"/>
        </w:rPr>
        <w:t>仲裁委员会</w:t>
      </w:r>
      <w:r>
        <w:rPr>
          <w:rFonts w:hint="eastAsia"/>
          <w:sz w:val="21"/>
          <w:szCs w:val="21"/>
        </w:rPr>
        <w:t>申请仲裁。②</w:t>
      </w:r>
      <w:r>
        <w:rPr>
          <w:sz w:val="21"/>
          <w:szCs w:val="21"/>
        </w:rPr>
        <w:t>向</w:t>
      </w:r>
      <w:r>
        <w:rPr>
          <w:rFonts w:hint="eastAsia"/>
          <w:sz w:val="21"/>
          <w:szCs w:val="21"/>
        </w:rPr>
        <w:t>合同签订地有级别管辖权的</w:t>
      </w:r>
      <w:r>
        <w:rPr>
          <w:sz w:val="21"/>
          <w:szCs w:val="21"/>
        </w:rPr>
        <w:t>人民法院起诉。</w:t>
      </w:r>
    </w:p>
    <w:p w14:paraId="2B81B19F">
      <w:pPr>
        <w:pStyle w:val="57"/>
        <w:spacing w:beforeLines="0" w:afterLines="0"/>
        <w:ind w:left="0" w:firstLine="420" w:firstLineChars="200"/>
        <w:rPr>
          <w:sz w:val="21"/>
          <w:szCs w:val="21"/>
        </w:rPr>
      </w:pPr>
      <w:r>
        <w:rPr>
          <w:rFonts w:hint="eastAsia"/>
          <w:sz w:val="21"/>
          <w:szCs w:val="21"/>
        </w:rPr>
        <w:t>3、甲、乙双方均有权利向本项目具有监管职能的政府采购监督管理部门举报反映对方在合同履约中的违法违纪行为。</w:t>
      </w:r>
    </w:p>
    <w:p w14:paraId="0F9C1111">
      <w:pPr>
        <w:spacing w:line="360" w:lineRule="auto"/>
        <w:ind w:firstLine="420" w:firstLineChars="200"/>
        <w:rPr>
          <w:sz w:val="21"/>
          <w:szCs w:val="21"/>
        </w:rPr>
      </w:pPr>
      <w:r>
        <w:rPr>
          <w:rFonts w:hint="eastAsia"/>
          <w:b/>
          <w:bCs/>
          <w:sz w:val="21"/>
          <w:szCs w:val="21"/>
        </w:rPr>
        <w:t xml:space="preserve">第十七条  </w:t>
      </w:r>
      <w:r>
        <w:rPr>
          <w:rFonts w:hint="eastAsia"/>
          <w:sz w:val="21"/>
          <w:szCs w:val="21"/>
        </w:rPr>
        <w:t>下列关于政府采购代理机构名称</w:t>
      </w:r>
      <w:r>
        <w:rPr>
          <w:rFonts w:hint="eastAsia"/>
          <w:sz w:val="21"/>
          <w:szCs w:val="21"/>
          <w:u w:val="single"/>
        </w:rPr>
        <w:t>某项目（项目编号：某编号）</w:t>
      </w:r>
      <w:r>
        <w:rPr>
          <w:rFonts w:hint="eastAsia"/>
          <w:sz w:val="21"/>
          <w:szCs w:val="21"/>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21E129A5">
      <w:pPr>
        <w:spacing w:line="360" w:lineRule="auto"/>
        <w:ind w:firstLine="420" w:firstLineChars="200"/>
        <w:rPr>
          <w:sz w:val="21"/>
          <w:szCs w:val="21"/>
        </w:rPr>
      </w:pPr>
      <w:r>
        <w:rPr>
          <w:rFonts w:hint="eastAsia"/>
          <w:sz w:val="21"/>
          <w:szCs w:val="21"/>
        </w:rPr>
        <w:t xml:space="preserve">    本合同一式</w:t>
      </w:r>
      <w:r>
        <w:rPr>
          <w:rFonts w:hint="eastAsia"/>
          <w:sz w:val="21"/>
          <w:szCs w:val="21"/>
          <w:u w:val="single"/>
        </w:rPr>
        <w:t xml:space="preserve">   </w:t>
      </w:r>
      <w:r>
        <w:rPr>
          <w:rFonts w:hint="eastAsia"/>
          <w:sz w:val="21"/>
          <w:szCs w:val="21"/>
        </w:rPr>
        <w:t>份，甲乙双方各执</w:t>
      </w:r>
      <w:r>
        <w:rPr>
          <w:rFonts w:hint="eastAsia"/>
          <w:sz w:val="21"/>
          <w:szCs w:val="21"/>
          <w:u w:val="single"/>
        </w:rPr>
        <w:t xml:space="preserve">   </w:t>
      </w:r>
      <w:r>
        <w:rPr>
          <w:rFonts w:hint="eastAsia"/>
          <w:sz w:val="21"/>
          <w:szCs w:val="21"/>
        </w:rPr>
        <w:t>份，自双方当事人签字盖章之日起生效。</w:t>
      </w:r>
    </w:p>
    <w:p w14:paraId="1978FF23">
      <w:pPr>
        <w:spacing w:line="360" w:lineRule="auto"/>
        <w:ind w:firstLine="420" w:firstLineChars="200"/>
        <w:rPr>
          <w:sz w:val="21"/>
          <w:szCs w:val="21"/>
        </w:rPr>
      </w:pPr>
    </w:p>
    <w:p w14:paraId="6DB44913">
      <w:pPr>
        <w:spacing w:line="360" w:lineRule="auto"/>
        <w:ind w:firstLine="420" w:firstLineChars="200"/>
        <w:rPr>
          <w:sz w:val="21"/>
          <w:szCs w:val="21"/>
        </w:rPr>
      </w:pPr>
    </w:p>
    <w:p w14:paraId="2765FC20">
      <w:pPr>
        <w:spacing w:line="360" w:lineRule="auto"/>
        <w:ind w:firstLine="420" w:firstLineChars="200"/>
        <w:rPr>
          <w:sz w:val="21"/>
          <w:szCs w:val="21"/>
        </w:rPr>
      </w:pPr>
      <w:r>
        <w:rPr>
          <w:rFonts w:hint="eastAsia"/>
          <w:sz w:val="21"/>
          <w:szCs w:val="21"/>
        </w:rPr>
        <w:t>采购人</w:t>
      </w:r>
      <w:r>
        <w:rPr>
          <w:sz w:val="21"/>
          <w:szCs w:val="21"/>
        </w:rPr>
        <w:t>（甲方）：</w:t>
      </w:r>
      <w:r>
        <w:rPr>
          <w:rFonts w:hint="eastAsia"/>
          <w:sz w:val="21"/>
          <w:szCs w:val="21"/>
        </w:rPr>
        <w:t xml:space="preserve">    </w:t>
      </w:r>
      <w:r>
        <w:rPr>
          <w:sz w:val="21"/>
          <w:szCs w:val="21"/>
        </w:rPr>
        <w:t>（公章）</w:t>
      </w:r>
      <w:r>
        <w:rPr>
          <w:rFonts w:hint="eastAsia"/>
          <w:sz w:val="21"/>
          <w:szCs w:val="21"/>
        </w:rPr>
        <w:t xml:space="preserve">        </w:t>
      </w:r>
      <w:r>
        <w:rPr>
          <w:sz w:val="21"/>
          <w:szCs w:val="21"/>
        </w:rPr>
        <w:t> </w:t>
      </w:r>
      <w:r>
        <w:rPr>
          <w:rFonts w:hint="eastAsia"/>
          <w:sz w:val="21"/>
          <w:szCs w:val="21"/>
        </w:rPr>
        <w:t xml:space="preserve">  </w:t>
      </w:r>
      <w:r>
        <w:rPr>
          <w:sz w:val="21"/>
          <w:szCs w:val="21"/>
        </w:rPr>
        <w:t>供货</w:t>
      </w:r>
      <w:r>
        <w:rPr>
          <w:rFonts w:hint="eastAsia"/>
          <w:sz w:val="21"/>
          <w:szCs w:val="21"/>
        </w:rPr>
        <w:t>人</w:t>
      </w:r>
      <w:r>
        <w:rPr>
          <w:sz w:val="21"/>
          <w:szCs w:val="21"/>
        </w:rPr>
        <w:t>（乙方）：</w:t>
      </w:r>
      <w:r>
        <w:rPr>
          <w:rFonts w:hint="eastAsia"/>
          <w:sz w:val="21"/>
          <w:szCs w:val="21"/>
        </w:rPr>
        <w:t xml:space="preserve">     </w:t>
      </w:r>
      <w:r>
        <w:rPr>
          <w:sz w:val="21"/>
          <w:szCs w:val="21"/>
        </w:rPr>
        <w:t>（公章）</w:t>
      </w:r>
      <w:r>
        <w:rPr>
          <w:rFonts w:hint="eastAsia"/>
          <w:sz w:val="21"/>
          <w:szCs w:val="21"/>
        </w:rPr>
        <w:t xml:space="preserve">  </w:t>
      </w:r>
    </w:p>
    <w:p w14:paraId="79FE0FF2">
      <w:pPr>
        <w:spacing w:line="360" w:lineRule="auto"/>
        <w:ind w:firstLine="420" w:firstLineChars="200"/>
        <w:rPr>
          <w:sz w:val="21"/>
          <w:szCs w:val="21"/>
        </w:rPr>
      </w:pPr>
      <w:r>
        <w:rPr>
          <w:rFonts w:hint="eastAsia"/>
          <w:sz w:val="21"/>
          <w:szCs w:val="21"/>
        </w:rPr>
        <w:t xml:space="preserve">地址：                               </w:t>
      </w:r>
      <w:r>
        <w:rPr>
          <w:sz w:val="21"/>
          <w:szCs w:val="21"/>
        </w:rPr>
        <w:t>地址：</w:t>
      </w:r>
    </w:p>
    <w:p w14:paraId="5CA8620B">
      <w:pPr>
        <w:spacing w:line="360" w:lineRule="auto"/>
        <w:ind w:firstLine="420" w:firstLineChars="200"/>
        <w:rPr>
          <w:sz w:val="21"/>
          <w:szCs w:val="21"/>
        </w:rPr>
      </w:pPr>
      <w:r>
        <w:rPr>
          <w:sz w:val="21"/>
          <w:szCs w:val="21"/>
        </w:rPr>
        <w:t>法定代表人：</w:t>
      </w:r>
      <w:r>
        <w:rPr>
          <w:rFonts w:hint="eastAsia"/>
          <w:sz w:val="21"/>
          <w:szCs w:val="21"/>
        </w:rPr>
        <w:t xml:space="preserve">                         </w:t>
      </w:r>
      <w:r>
        <w:rPr>
          <w:sz w:val="21"/>
          <w:szCs w:val="21"/>
        </w:rPr>
        <w:t>法定代表人：</w:t>
      </w:r>
    </w:p>
    <w:p w14:paraId="1EDFC581">
      <w:pPr>
        <w:spacing w:line="360" w:lineRule="auto"/>
        <w:ind w:firstLine="420" w:firstLineChars="200"/>
        <w:rPr>
          <w:sz w:val="21"/>
          <w:szCs w:val="21"/>
          <w:u w:val="single"/>
        </w:rPr>
      </w:pPr>
      <w:r>
        <w:rPr>
          <w:rFonts w:hint="eastAsia"/>
          <w:sz w:val="21"/>
          <w:szCs w:val="21"/>
        </w:rPr>
        <w:t>委托代理人：                         委托代理人：</w:t>
      </w:r>
    </w:p>
    <w:p w14:paraId="762D469B">
      <w:pPr>
        <w:spacing w:line="360" w:lineRule="auto"/>
        <w:ind w:firstLine="420" w:firstLineChars="200"/>
        <w:rPr>
          <w:sz w:val="21"/>
          <w:szCs w:val="21"/>
        </w:rPr>
      </w:pPr>
      <w:r>
        <w:rPr>
          <w:rFonts w:hint="eastAsia"/>
          <w:sz w:val="21"/>
          <w:szCs w:val="21"/>
        </w:rPr>
        <w:t>电话：                               电话：</w:t>
      </w:r>
    </w:p>
    <w:p w14:paraId="5E68587E">
      <w:pPr>
        <w:spacing w:line="360" w:lineRule="auto"/>
        <w:ind w:firstLine="420" w:firstLineChars="200"/>
        <w:rPr>
          <w:sz w:val="21"/>
          <w:szCs w:val="21"/>
        </w:rPr>
      </w:pPr>
      <w:r>
        <w:rPr>
          <w:sz w:val="21"/>
          <w:szCs w:val="21"/>
        </w:rPr>
        <w:t>开户银行：</w:t>
      </w:r>
      <w:r>
        <w:rPr>
          <w:rFonts w:hint="eastAsia"/>
          <w:sz w:val="21"/>
          <w:szCs w:val="21"/>
        </w:rPr>
        <w:t xml:space="preserve">                           </w:t>
      </w:r>
      <w:r>
        <w:rPr>
          <w:sz w:val="21"/>
          <w:szCs w:val="21"/>
        </w:rPr>
        <w:t>开户银行：</w:t>
      </w:r>
    </w:p>
    <w:p w14:paraId="731D7822">
      <w:pPr>
        <w:spacing w:line="360" w:lineRule="auto"/>
        <w:ind w:firstLine="420" w:firstLineChars="200"/>
        <w:rPr>
          <w:sz w:val="21"/>
          <w:szCs w:val="21"/>
        </w:rPr>
      </w:pPr>
      <w:r>
        <w:rPr>
          <w:rFonts w:hint="eastAsia"/>
          <w:sz w:val="21"/>
          <w:szCs w:val="21"/>
        </w:rPr>
        <w:t>账号</w:t>
      </w:r>
      <w:r>
        <w:rPr>
          <w:sz w:val="21"/>
          <w:szCs w:val="21"/>
        </w:rPr>
        <w:t>：</w:t>
      </w:r>
      <w:r>
        <w:rPr>
          <w:rFonts w:hint="eastAsia"/>
          <w:sz w:val="21"/>
          <w:szCs w:val="21"/>
        </w:rPr>
        <w:t xml:space="preserve">                               账号</w:t>
      </w:r>
      <w:r>
        <w:rPr>
          <w:sz w:val="21"/>
          <w:szCs w:val="21"/>
        </w:rPr>
        <w:t>：</w:t>
      </w:r>
    </w:p>
    <w:p w14:paraId="1E399181">
      <w:pPr>
        <w:pStyle w:val="25"/>
        <w:ind w:firstLine="840" w:firstLineChars="400"/>
        <w:rPr>
          <w:rFonts w:hint="eastAsia"/>
          <w:sz w:val="21"/>
          <w:szCs w:val="21"/>
        </w:rPr>
      </w:pPr>
      <w:r>
        <w:rPr>
          <w:sz w:val="21"/>
          <w:szCs w:val="21"/>
          <w:u w:val="single"/>
        </w:rPr>
        <w:t>   </w:t>
      </w:r>
      <w:r>
        <w:rPr>
          <w:rFonts w:hint="eastAsia"/>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rFonts w:hint="eastAsia"/>
          <w:sz w:val="21"/>
          <w:szCs w:val="21"/>
        </w:rPr>
        <w:t xml:space="preserve">                        </w:t>
      </w:r>
      <w:r>
        <w:rPr>
          <w:sz w:val="21"/>
          <w:szCs w:val="21"/>
          <w:u w:val="single"/>
        </w:rPr>
        <w:t xml:space="preserve">    </w:t>
      </w:r>
      <w:r>
        <w:rPr>
          <w:rFonts w:hint="eastAsia"/>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rFonts w:hint="eastAsia"/>
          <w:sz w:val="21"/>
          <w:szCs w:val="21"/>
        </w:rPr>
        <w:t xml:space="preserve"> </w:t>
      </w:r>
    </w:p>
    <w:p w14:paraId="3FB93CA5">
      <w:pPr>
        <w:pStyle w:val="25"/>
        <w:rPr>
          <w:rFonts w:hint="eastAsia"/>
          <w:sz w:val="21"/>
          <w:szCs w:val="21"/>
        </w:rPr>
      </w:pPr>
    </w:p>
    <w:p w14:paraId="7638C436">
      <w:pPr>
        <w:pStyle w:val="25"/>
        <w:rPr>
          <w:rFonts w:hint="eastAsia"/>
          <w:sz w:val="21"/>
          <w:szCs w:val="21"/>
        </w:rPr>
      </w:pPr>
    </w:p>
    <w:p w14:paraId="57EC8FC3">
      <w:pPr>
        <w:spacing w:line="360" w:lineRule="auto"/>
        <w:rPr>
          <w:rFonts w:hint="eastAsia" w:ascii="宋体" w:hAnsi="宋体"/>
          <w:sz w:val="21"/>
          <w:szCs w:val="21"/>
        </w:rPr>
      </w:pPr>
    </w:p>
    <w:p w14:paraId="3BD1A0DD">
      <w:pPr>
        <w:pStyle w:val="4"/>
        <w:numPr>
          <w:numId w:val="0"/>
        </w:numPr>
        <w:bidi w:val="0"/>
        <w:jc w:val="center"/>
        <w:rPr>
          <w:rFonts w:hint="eastAsia"/>
          <w:color w:val="auto"/>
        </w:rPr>
      </w:pPr>
      <w:r>
        <w:rPr>
          <w:rFonts w:ascii="宋体" w:hAnsi="宋体"/>
          <w:sz w:val="21"/>
          <w:szCs w:val="21"/>
        </w:rPr>
        <w:br w:type="page"/>
      </w:r>
      <w:bookmarkEnd w:id="32"/>
      <w:bookmarkStart w:id="33" w:name="_Toc80256509"/>
      <w:bookmarkStart w:id="34" w:name="_Toc30436"/>
      <w:bookmarkStart w:id="35" w:name="_Toc23982"/>
      <w:r>
        <w:rPr>
          <w:rFonts w:hint="eastAsia"/>
          <w:color w:val="auto"/>
        </w:rPr>
        <w:t>第六章  投标文件格式</w:t>
      </w:r>
      <w:bookmarkEnd w:id="33"/>
      <w:bookmarkEnd w:id="34"/>
      <w:bookmarkEnd w:id="35"/>
    </w:p>
    <w:p w14:paraId="42049DEA">
      <w:pPr>
        <w:spacing w:line="360" w:lineRule="auto"/>
        <w:jc w:val="center"/>
        <w:rPr>
          <w:rFonts w:hint="eastAsia" w:ascii="宋体" w:hAnsi="宋体" w:eastAsia="宋体" w:cs="宋体"/>
          <w:color w:val="auto"/>
          <w:sz w:val="24"/>
          <w:highlight w:val="none"/>
        </w:rPr>
      </w:pPr>
    </w:p>
    <w:p w14:paraId="422B3C0A">
      <w:pPr>
        <w:spacing w:line="360" w:lineRule="auto"/>
        <w:jc w:val="center"/>
        <w:rPr>
          <w:rFonts w:hint="eastAsia" w:ascii="宋体" w:hAnsi="宋体" w:eastAsia="宋体" w:cs="宋体"/>
          <w:color w:val="auto"/>
          <w:sz w:val="24"/>
          <w:highlight w:val="none"/>
        </w:rPr>
      </w:pPr>
    </w:p>
    <w:p w14:paraId="111D778A">
      <w:pPr>
        <w:widowControl/>
        <w:spacing w:line="480" w:lineRule="exact"/>
        <w:jc w:val="center"/>
        <w:outlineLvl w:val="0"/>
        <w:rPr>
          <w:rFonts w:hint="eastAsia" w:ascii="宋体" w:hAnsi="宋体" w:eastAsia="宋体" w:cs="宋体"/>
          <w:color w:val="auto"/>
          <w:sz w:val="36"/>
          <w:szCs w:val="36"/>
          <w:highlight w:val="none"/>
          <w:u w:val="single"/>
        </w:rPr>
      </w:pPr>
      <w:bookmarkStart w:id="36" w:name="_Toc466566820"/>
      <w:bookmarkEnd w:id="36"/>
      <w:bookmarkStart w:id="37" w:name="_Toc9470_WPSOffice_Level1"/>
      <w:bookmarkEnd w:id="37"/>
      <w:bookmarkStart w:id="38" w:name="_Toc16926_WPSOffice_Level1"/>
      <w:bookmarkEnd w:id="38"/>
      <w:bookmarkStart w:id="39" w:name="_Toc80256510"/>
      <w:bookmarkStart w:id="40" w:name="_Toc466566730"/>
      <w:bookmarkStart w:id="41" w:name="_Toc9157"/>
      <w:bookmarkStart w:id="42" w:name="_Toc29424"/>
      <w:r>
        <w:rPr>
          <w:rFonts w:hint="eastAsia" w:ascii="宋体" w:hAnsi="宋体" w:eastAsia="宋体" w:cs="宋体"/>
          <w:color w:val="auto"/>
          <w:sz w:val="36"/>
          <w:szCs w:val="36"/>
          <w:highlight w:val="none"/>
          <w:u w:val="single"/>
        </w:rPr>
        <w:t>（项目名称）</w:t>
      </w:r>
      <w:bookmarkEnd w:id="39"/>
      <w:bookmarkEnd w:id="40"/>
      <w:bookmarkEnd w:id="41"/>
      <w:bookmarkEnd w:id="42"/>
    </w:p>
    <w:p w14:paraId="22B8991D">
      <w:pPr>
        <w:spacing w:line="360" w:lineRule="auto"/>
        <w:jc w:val="center"/>
        <w:rPr>
          <w:rFonts w:hint="eastAsia" w:ascii="宋体" w:hAnsi="宋体" w:eastAsia="宋体" w:cs="宋体"/>
          <w:color w:val="auto"/>
          <w:sz w:val="24"/>
          <w:highlight w:val="none"/>
        </w:rPr>
      </w:pPr>
    </w:p>
    <w:p w14:paraId="4FC30846">
      <w:pPr>
        <w:spacing w:line="360" w:lineRule="auto"/>
        <w:jc w:val="center"/>
        <w:rPr>
          <w:rFonts w:hint="eastAsia" w:ascii="宋体" w:hAnsi="宋体" w:eastAsia="宋体" w:cs="宋体"/>
          <w:color w:val="auto"/>
          <w:highlight w:val="none"/>
        </w:rPr>
      </w:pPr>
    </w:p>
    <w:p w14:paraId="0F4E4F17">
      <w:pPr>
        <w:spacing w:line="360" w:lineRule="auto"/>
        <w:jc w:val="center"/>
        <w:rPr>
          <w:rFonts w:hint="eastAsia" w:ascii="宋体" w:hAnsi="宋体" w:eastAsia="宋体" w:cs="宋体"/>
          <w:color w:val="auto"/>
          <w:sz w:val="24"/>
          <w:highlight w:val="none"/>
        </w:rPr>
      </w:pPr>
    </w:p>
    <w:p w14:paraId="2355A95F">
      <w:pPr>
        <w:spacing w:line="360" w:lineRule="auto"/>
        <w:jc w:val="center"/>
        <w:rPr>
          <w:rFonts w:hint="eastAsia" w:ascii="宋体" w:hAnsi="宋体" w:eastAsia="宋体" w:cs="宋体"/>
          <w:color w:val="auto"/>
          <w:highlight w:val="none"/>
        </w:rPr>
      </w:pPr>
    </w:p>
    <w:p w14:paraId="0D014E39">
      <w:pPr>
        <w:widowControl/>
        <w:jc w:val="center"/>
        <w:outlineLvl w:val="0"/>
        <w:rPr>
          <w:rFonts w:hint="eastAsia" w:ascii="宋体" w:hAnsi="宋体" w:eastAsia="宋体" w:cs="宋体"/>
          <w:color w:val="auto"/>
          <w:sz w:val="72"/>
          <w:szCs w:val="72"/>
          <w:highlight w:val="none"/>
        </w:rPr>
      </w:pPr>
      <w:bookmarkStart w:id="43" w:name="_Toc26723_WPSOffice_Level1"/>
      <w:bookmarkEnd w:id="43"/>
      <w:bookmarkStart w:id="44" w:name="_Toc22300_WPSOffice_Level1"/>
      <w:bookmarkEnd w:id="44"/>
      <w:bookmarkStart w:id="45" w:name="_Toc7210"/>
      <w:bookmarkStart w:id="46" w:name="_Toc80256511"/>
      <w:bookmarkStart w:id="47" w:name="_Toc971"/>
      <w:bookmarkStart w:id="48" w:name="_Toc18800_WPSOffice_Level1"/>
      <w:bookmarkStart w:id="49" w:name="_Toc10582_WPSOffice_Level1"/>
      <w:r>
        <w:rPr>
          <w:rFonts w:hint="eastAsia" w:ascii="宋体" w:hAnsi="宋体" w:eastAsia="宋体" w:cs="宋体"/>
          <w:color w:val="auto"/>
          <w:sz w:val="72"/>
          <w:szCs w:val="72"/>
          <w:highlight w:val="none"/>
        </w:rPr>
        <w:t>投 标 文 件</w:t>
      </w:r>
      <w:bookmarkEnd w:id="45"/>
      <w:bookmarkEnd w:id="46"/>
      <w:bookmarkEnd w:id="47"/>
      <w:bookmarkEnd w:id="48"/>
      <w:bookmarkEnd w:id="49"/>
    </w:p>
    <w:p w14:paraId="372572AB">
      <w:pPr>
        <w:spacing w:line="360" w:lineRule="auto"/>
        <w:jc w:val="center"/>
        <w:rPr>
          <w:rFonts w:hint="eastAsia" w:ascii="宋体" w:hAnsi="宋体" w:eastAsia="宋体" w:cs="宋体"/>
          <w:color w:val="auto"/>
          <w:sz w:val="28"/>
          <w:szCs w:val="28"/>
          <w:highlight w:val="none"/>
        </w:rPr>
      </w:pPr>
    </w:p>
    <w:p w14:paraId="76730A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项目编号：</w:t>
      </w:r>
    </w:p>
    <w:p w14:paraId="31E5CC4B">
      <w:pPr>
        <w:spacing w:line="360" w:lineRule="auto"/>
        <w:jc w:val="center"/>
        <w:rPr>
          <w:rFonts w:hint="eastAsia" w:ascii="宋体" w:hAnsi="宋体" w:eastAsia="宋体" w:cs="宋体"/>
          <w:color w:val="auto"/>
          <w:sz w:val="24"/>
          <w:highlight w:val="none"/>
        </w:rPr>
      </w:pPr>
    </w:p>
    <w:p w14:paraId="736BC72E">
      <w:pPr>
        <w:spacing w:line="360" w:lineRule="auto"/>
        <w:jc w:val="center"/>
        <w:rPr>
          <w:rFonts w:hint="eastAsia" w:ascii="宋体" w:hAnsi="宋体" w:eastAsia="宋体" w:cs="宋体"/>
          <w:color w:val="auto"/>
          <w:highlight w:val="none"/>
        </w:rPr>
      </w:pPr>
    </w:p>
    <w:p w14:paraId="1E12E2BA">
      <w:pPr>
        <w:spacing w:line="360" w:lineRule="auto"/>
        <w:jc w:val="center"/>
        <w:rPr>
          <w:rFonts w:hint="eastAsia" w:ascii="宋体" w:hAnsi="宋体" w:eastAsia="宋体" w:cs="宋体"/>
          <w:color w:val="auto"/>
          <w:sz w:val="24"/>
          <w:highlight w:val="none"/>
        </w:rPr>
      </w:pPr>
    </w:p>
    <w:p w14:paraId="5423CD6A">
      <w:pPr>
        <w:spacing w:line="360" w:lineRule="auto"/>
        <w:jc w:val="center"/>
        <w:rPr>
          <w:rFonts w:hint="eastAsia" w:ascii="宋体" w:hAnsi="宋体" w:eastAsia="宋体" w:cs="宋体"/>
          <w:color w:val="auto"/>
          <w:sz w:val="24"/>
          <w:highlight w:val="none"/>
        </w:rPr>
      </w:pPr>
    </w:p>
    <w:p w14:paraId="49CE1CFE">
      <w:pPr>
        <w:spacing w:line="360" w:lineRule="auto"/>
        <w:jc w:val="center"/>
        <w:rPr>
          <w:rFonts w:hint="eastAsia" w:ascii="宋体" w:hAnsi="宋体" w:eastAsia="宋体" w:cs="宋体"/>
          <w:color w:val="auto"/>
          <w:sz w:val="24"/>
          <w:highlight w:val="none"/>
        </w:rPr>
      </w:pPr>
    </w:p>
    <w:p w14:paraId="1DDB2323">
      <w:pPr>
        <w:spacing w:line="360" w:lineRule="auto"/>
        <w:jc w:val="center"/>
        <w:rPr>
          <w:rFonts w:hint="eastAsia" w:ascii="宋体" w:hAnsi="宋体" w:eastAsia="宋体" w:cs="宋体"/>
          <w:color w:val="auto"/>
          <w:sz w:val="24"/>
          <w:highlight w:val="none"/>
        </w:rPr>
      </w:pPr>
    </w:p>
    <w:p w14:paraId="694EE935">
      <w:pPr>
        <w:spacing w:line="360" w:lineRule="auto"/>
        <w:jc w:val="center"/>
        <w:rPr>
          <w:rFonts w:hint="eastAsia" w:ascii="宋体" w:hAnsi="宋体" w:eastAsia="宋体" w:cs="宋体"/>
          <w:color w:val="auto"/>
          <w:sz w:val="24"/>
          <w:highlight w:val="none"/>
        </w:rPr>
      </w:pPr>
    </w:p>
    <w:p w14:paraId="56A6081E">
      <w:pPr>
        <w:widowControl/>
        <w:spacing w:line="480" w:lineRule="auto"/>
        <w:ind w:firstLine="2100" w:firstLineChars="700"/>
        <w:jc w:val="left"/>
        <w:outlineLvl w:val="0"/>
        <w:rPr>
          <w:rFonts w:hint="eastAsia" w:ascii="宋体" w:hAnsi="宋体" w:eastAsia="宋体" w:cs="宋体"/>
          <w:color w:val="auto"/>
          <w:sz w:val="30"/>
          <w:szCs w:val="30"/>
          <w:highlight w:val="none"/>
        </w:rPr>
      </w:pPr>
      <w:bookmarkStart w:id="50" w:name="_Toc80256512"/>
      <w:bookmarkStart w:id="51" w:name="_Toc29803"/>
      <w:r>
        <w:rPr>
          <w:rFonts w:hint="eastAsia" w:ascii="宋体" w:hAnsi="宋体" w:eastAsia="宋体" w:cs="宋体"/>
          <w:color w:val="auto"/>
          <w:sz w:val="30"/>
          <w:szCs w:val="30"/>
          <w:highlight w:val="none"/>
        </w:rPr>
        <w:t xml:space="preserve">  </w:t>
      </w:r>
      <w:bookmarkStart w:id="52" w:name="_Toc26667"/>
      <w:r>
        <w:rPr>
          <w:rFonts w:hint="eastAsia" w:ascii="宋体" w:hAnsi="宋体" w:eastAsia="宋体" w:cs="宋体"/>
          <w:color w:val="auto"/>
          <w:sz w:val="30"/>
          <w:szCs w:val="30"/>
          <w:highlight w:val="none"/>
        </w:rPr>
        <w:t>投标供应商：（企业电子签章）</w:t>
      </w:r>
      <w:bookmarkEnd w:id="50"/>
      <w:bookmarkEnd w:id="51"/>
      <w:bookmarkEnd w:id="52"/>
    </w:p>
    <w:p w14:paraId="5F997BCB">
      <w:pPr>
        <w:widowControl/>
        <w:spacing w:line="480" w:lineRule="auto"/>
        <w:ind w:firstLine="2100" w:firstLineChars="700"/>
        <w:jc w:val="left"/>
        <w:outlineLvl w:val="0"/>
        <w:rPr>
          <w:rFonts w:hint="eastAsia" w:ascii="宋体" w:hAnsi="宋体" w:eastAsia="宋体" w:cs="宋体"/>
          <w:color w:val="auto"/>
          <w:sz w:val="30"/>
          <w:szCs w:val="30"/>
          <w:highlight w:val="none"/>
        </w:rPr>
      </w:pPr>
      <w:bookmarkStart w:id="53" w:name="_Toc25185"/>
      <w:bookmarkStart w:id="54" w:name="_Toc80256513"/>
      <w:r>
        <w:rPr>
          <w:rFonts w:hint="eastAsia" w:ascii="宋体" w:hAnsi="宋体" w:eastAsia="宋体" w:cs="宋体"/>
          <w:color w:val="auto"/>
          <w:sz w:val="30"/>
          <w:szCs w:val="30"/>
          <w:highlight w:val="none"/>
        </w:rPr>
        <w:t xml:space="preserve">  </w:t>
      </w:r>
      <w:bookmarkStart w:id="55" w:name="_Toc25871"/>
      <w:r>
        <w:rPr>
          <w:rFonts w:hint="eastAsia" w:ascii="宋体" w:hAnsi="宋体" w:eastAsia="宋体" w:cs="宋体"/>
          <w:color w:val="auto"/>
          <w:sz w:val="30"/>
          <w:szCs w:val="30"/>
          <w:highlight w:val="none"/>
        </w:rPr>
        <w:t>法定代表人：（个人电子签章）</w:t>
      </w:r>
      <w:bookmarkEnd w:id="53"/>
      <w:bookmarkEnd w:id="54"/>
      <w:bookmarkEnd w:id="55"/>
    </w:p>
    <w:p w14:paraId="046AD25D">
      <w:pPr>
        <w:widowControl/>
        <w:spacing w:line="480" w:lineRule="auto"/>
        <w:outlineLvl w:val="0"/>
        <w:rPr>
          <w:rFonts w:hint="eastAsia" w:ascii="宋体" w:hAnsi="宋体" w:eastAsia="宋体" w:cs="宋体"/>
          <w:color w:val="auto"/>
          <w:sz w:val="30"/>
          <w:szCs w:val="30"/>
          <w:highlight w:val="none"/>
        </w:rPr>
      </w:pPr>
      <w:bookmarkStart w:id="56" w:name="_Toc17200"/>
      <w:bookmarkStart w:id="57" w:name="_Toc80256514"/>
      <w:r>
        <w:rPr>
          <w:rFonts w:hint="eastAsia" w:ascii="宋体" w:hAnsi="宋体" w:eastAsia="宋体" w:cs="宋体"/>
          <w:color w:val="auto"/>
          <w:sz w:val="30"/>
          <w:szCs w:val="30"/>
          <w:highlight w:val="none"/>
        </w:rPr>
        <w:t xml:space="preserve">                </w:t>
      </w:r>
      <w:bookmarkStart w:id="58" w:name="_Toc25564"/>
      <w:r>
        <w:rPr>
          <w:rFonts w:hint="eastAsia" w:ascii="宋体" w:hAnsi="宋体" w:eastAsia="宋体" w:cs="宋体"/>
          <w:color w:val="auto"/>
          <w:sz w:val="30"/>
          <w:szCs w:val="30"/>
          <w:highlight w:val="none"/>
        </w:rPr>
        <w:t>日      期： 年   月   日</w:t>
      </w:r>
      <w:bookmarkEnd w:id="56"/>
      <w:bookmarkEnd w:id="57"/>
      <w:bookmarkEnd w:id="58"/>
      <w:bookmarkStart w:id="59" w:name="_Toc30946_WPSOffice_Level1"/>
      <w:bookmarkEnd w:id="59"/>
    </w:p>
    <w:p w14:paraId="48EBBE74">
      <w:pPr>
        <w:spacing w:line="600" w:lineRule="exact"/>
        <w:jc w:val="center"/>
        <w:outlineLvl w:val="0"/>
        <w:rPr>
          <w:rFonts w:hint="eastAsia" w:ascii="宋体" w:hAnsi="宋体" w:eastAsia="宋体" w:cs="宋体"/>
          <w:b/>
          <w:color w:val="auto"/>
          <w:kern w:val="0"/>
          <w:sz w:val="32"/>
          <w:szCs w:val="32"/>
          <w:highlight w:val="none"/>
        </w:rPr>
      </w:pPr>
    </w:p>
    <w:p w14:paraId="26ADB1CC">
      <w:pPr>
        <w:pStyle w:val="94"/>
        <w:rPr>
          <w:rFonts w:hint="eastAsia" w:ascii="宋体" w:hAnsi="宋体" w:eastAsia="宋体" w:cs="宋体"/>
          <w:color w:val="auto"/>
          <w:highlight w:val="none"/>
        </w:rPr>
      </w:pPr>
    </w:p>
    <w:p w14:paraId="5B6C99CD">
      <w:pPr>
        <w:pStyle w:val="94"/>
        <w:rPr>
          <w:rFonts w:hint="eastAsia" w:ascii="宋体" w:hAnsi="宋体" w:eastAsia="宋体" w:cs="宋体"/>
          <w:color w:val="auto"/>
          <w:highlight w:val="none"/>
        </w:rPr>
      </w:pPr>
    </w:p>
    <w:p w14:paraId="44E6F9F8">
      <w:pPr>
        <w:pStyle w:val="94"/>
        <w:rPr>
          <w:rFonts w:hint="eastAsia" w:ascii="宋体" w:hAnsi="宋体" w:eastAsia="宋体" w:cs="宋体"/>
          <w:color w:val="auto"/>
          <w:highlight w:val="none"/>
        </w:rPr>
      </w:pPr>
    </w:p>
    <w:p w14:paraId="67305570">
      <w:pPr>
        <w:pStyle w:val="94"/>
        <w:rPr>
          <w:rFonts w:hint="eastAsia" w:ascii="宋体" w:hAnsi="宋体" w:eastAsia="宋体" w:cs="宋体"/>
          <w:color w:val="auto"/>
          <w:highlight w:val="none"/>
        </w:rPr>
      </w:pPr>
    </w:p>
    <w:p w14:paraId="45842646">
      <w:pPr>
        <w:spacing w:line="600" w:lineRule="exact"/>
        <w:jc w:val="center"/>
        <w:outlineLvl w:val="0"/>
        <w:rPr>
          <w:rFonts w:hint="eastAsia" w:ascii="宋体" w:hAnsi="宋体" w:eastAsia="宋体" w:cs="宋体"/>
          <w:b/>
          <w:color w:val="auto"/>
          <w:kern w:val="0"/>
          <w:sz w:val="32"/>
          <w:szCs w:val="32"/>
          <w:highlight w:val="none"/>
        </w:rPr>
      </w:pPr>
    </w:p>
    <w:p w14:paraId="5061E060">
      <w:pPr>
        <w:tabs>
          <w:tab w:val="left" w:pos="1260"/>
        </w:tabs>
        <w:spacing w:line="480" w:lineRule="atLeast"/>
        <w:jc w:val="center"/>
        <w:outlineLvl w:val="1"/>
        <w:rPr>
          <w:rFonts w:hint="eastAsia" w:ascii="宋体" w:hAnsi="宋体" w:eastAsia="宋体" w:cs="宋体"/>
          <w:b/>
          <w:color w:val="auto"/>
          <w:sz w:val="32"/>
          <w:szCs w:val="30"/>
          <w:highlight w:val="none"/>
        </w:rPr>
      </w:pPr>
      <w:r>
        <w:rPr>
          <w:rFonts w:hint="eastAsia" w:ascii="宋体" w:hAnsi="宋体" w:eastAsia="宋体" w:cs="宋体"/>
          <w:b/>
          <w:color w:val="auto"/>
          <w:sz w:val="32"/>
          <w:szCs w:val="30"/>
          <w:highlight w:val="none"/>
        </w:rPr>
        <w:t>目    录</w:t>
      </w:r>
    </w:p>
    <w:p w14:paraId="6CFDD511">
      <w:pPr>
        <w:tabs>
          <w:tab w:val="left" w:pos="1260"/>
        </w:tabs>
        <w:spacing w:line="48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（自拟）</w:t>
      </w:r>
    </w:p>
    <w:p w14:paraId="3C95C2F6">
      <w:pPr>
        <w:spacing w:line="600" w:lineRule="exact"/>
        <w:jc w:val="center"/>
        <w:outlineLvl w:val="0"/>
        <w:rPr>
          <w:rFonts w:hint="eastAsia" w:ascii="宋体" w:hAnsi="宋体" w:eastAsia="宋体" w:cs="宋体"/>
          <w:b/>
          <w:color w:val="auto"/>
          <w:kern w:val="0"/>
          <w:sz w:val="32"/>
          <w:szCs w:val="32"/>
          <w:highlight w:val="none"/>
        </w:rPr>
      </w:pPr>
    </w:p>
    <w:p w14:paraId="432DD87E">
      <w:pPr>
        <w:spacing w:line="600" w:lineRule="exact"/>
        <w:jc w:val="center"/>
        <w:outlineLvl w:val="0"/>
        <w:rPr>
          <w:rFonts w:hint="eastAsia" w:ascii="宋体" w:hAnsi="宋体" w:eastAsia="宋体" w:cs="宋体"/>
          <w:b/>
          <w:color w:val="auto"/>
          <w:kern w:val="0"/>
          <w:sz w:val="32"/>
          <w:szCs w:val="32"/>
          <w:highlight w:val="none"/>
        </w:rPr>
      </w:pPr>
    </w:p>
    <w:p w14:paraId="41C84EA9">
      <w:pPr>
        <w:spacing w:line="600" w:lineRule="exact"/>
        <w:jc w:val="center"/>
        <w:outlineLvl w:val="0"/>
        <w:rPr>
          <w:rFonts w:hint="eastAsia" w:ascii="宋体" w:hAnsi="宋体" w:eastAsia="宋体" w:cs="宋体"/>
          <w:b/>
          <w:color w:val="auto"/>
          <w:kern w:val="0"/>
          <w:sz w:val="32"/>
          <w:szCs w:val="32"/>
          <w:highlight w:val="none"/>
        </w:rPr>
      </w:pPr>
    </w:p>
    <w:p w14:paraId="431A7299">
      <w:pPr>
        <w:pStyle w:val="94"/>
        <w:rPr>
          <w:rFonts w:hint="eastAsia" w:ascii="宋体" w:hAnsi="宋体" w:eastAsia="宋体" w:cs="宋体"/>
          <w:color w:val="auto"/>
          <w:highlight w:val="none"/>
        </w:rPr>
      </w:pPr>
    </w:p>
    <w:p w14:paraId="4693E26D">
      <w:pPr>
        <w:pStyle w:val="94"/>
        <w:rPr>
          <w:rFonts w:hint="eastAsia" w:ascii="宋体" w:hAnsi="宋体" w:eastAsia="宋体" w:cs="宋体"/>
          <w:color w:val="auto"/>
          <w:highlight w:val="none"/>
        </w:rPr>
      </w:pPr>
    </w:p>
    <w:p w14:paraId="602608C8">
      <w:pPr>
        <w:pStyle w:val="94"/>
        <w:rPr>
          <w:rFonts w:hint="eastAsia" w:ascii="宋体" w:hAnsi="宋体" w:eastAsia="宋体" w:cs="宋体"/>
          <w:color w:val="auto"/>
          <w:highlight w:val="none"/>
        </w:rPr>
      </w:pPr>
    </w:p>
    <w:p w14:paraId="6F1B6176">
      <w:pPr>
        <w:spacing w:line="600" w:lineRule="exact"/>
        <w:jc w:val="center"/>
        <w:outlineLvl w:val="0"/>
        <w:rPr>
          <w:rFonts w:hint="eastAsia" w:ascii="宋体" w:hAnsi="宋体" w:eastAsia="宋体" w:cs="宋体"/>
          <w:b/>
          <w:color w:val="auto"/>
          <w:kern w:val="0"/>
          <w:sz w:val="32"/>
          <w:szCs w:val="32"/>
          <w:highlight w:val="none"/>
        </w:rPr>
      </w:pPr>
    </w:p>
    <w:p w14:paraId="2EAD2222">
      <w:pPr>
        <w:spacing w:line="600" w:lineRule="exact"/>
        <w:jc w:val="center"/>
        <w:outlineLvl w:val="0"/>
        <w:rPr>
          <w:rFonts w:hint="eastAsia" w:ascii="宋体" w:hAnsi="宋体" w:eastAsia="宋体" w:cs="宋体"/>
          <w:b/>
          <w:color w:val="auto"/>
          <w:kern w:val="0"/>
          <w:sz w:val="32"/>
          <w:szCs w:val="32"/>
          <w:highlight w:val="none"/>
        </w:rPr>
      </w:pPr>
    </w:p>
    <w:p w14:paraId="64346801">
      <w:pPr>
        <w:spacing w:line="600" w:lineRule="exact"/>
        <w:jc w:val="center"/>
        <w:outlineLvl w:val="0"/>
        <w:rPr>
          <w:rFonts w:hint="eastAsia" w:ascii="宋体" w:hAnsi="宋体" w:eastAsia="宋体" w:cs="宋体"/>
          <w:b/>
          <w:color w:val="auto"/>
          <w:kern w:val="0"/>
          <w:sz w:val="32"/>
          <w:szCs w:val="32"/>
          <w:highlight w:val="none"/>
        </w:rPr>
      </w:pPr>
    </w:p>
    <w:p w14:paraId="6AC9E952">
      <w:pPr>
        <w:spacing w:line="600" w:lineRule="exact"/>
        <w:jc w:val="center"/>
        <w:outlineLvl w:val="0"/>
        <w:rPr>
          <w:rFonts w:hint="eastAsia" w:ascii="宋体" w:hAnsi="宋体" w:eastAsia="宋体" w:cs="宋体"/>
          <w:b/>
          <w:color w:val="auto"/>
          <w:kern w:val="0"/>
          <w:sz w:val="32"/>
          <w:szCs w:val="32"/>
          <w:highlight w:val="none"/>
        </w:rPr>
      </w:pPr>
    </w:p>
    <w:p w14:paraId="69B02F11">
      <w:pPr>
        <w:spacing w:line="600" w:lineRule="exact"/>
        <w:jc w:val="center"/>
        <w:outlineLvl w:val="0"/>
        <w:rPr>
          <w:rFonts w:hint="eastAsia" w:ascii="宋体" w:hAnsi="宋体" w:eastAsia="宋体" w:cs="宋体"/>
          <w:b/>
          <w:color w:val="auto"/>
          <w:kern w:val="0"/>
          <w:sz w:val="32"/>
          <w:szCs w:val="32"/>
          <w:highlight w:val="none"/>
        </w:rPr>
      </w:pPr>
    </w:p>
    <w:p w14:paraId="7431A7C7">
      <w:pPr>
        <w:spacing w:line="600" w:lineRule="exact"/>
        <w:jc w:val="center"/>
        <w:outlineLvl w:val="0"/>
        <w:rPr>
          <w:rFonts w:hint="eastAsia" w:ascii="宋体" w:hAnsi="宋体" w:eastAsia="宋体" w:cs="宋体"/>
          <w:b/>
          <w:color w:val="auto"/>
          <w:kern w:val="0"/>
          <w:sz w:val="32"/>
          <w:szCs w:val="32"/>
          <w:highlight w:val="none"/>
        </w:rPr>
      </w:pPr>
    </w:p>
    <w:p w14:paraId="156399EA">
      <w:pPr>
        <w:spacing w:line="600" w:lineRule="exact"/>
        <w:jc w:val="center"/>
        <w:outlineLvl w:val="0"/>
        <w:rPr>
          <w:rFonts w:hint="eastAsia" w:ascii="宋体" w:hAnsi="宋体" w:eastAsia="宋体" w:cs="宋体"/>
          <w:b/>
          <w:color w:val="auto"/>
          <w:kern w:val="0"/>
          <w:sz w:val="32"/>
          <w:szCs w:val="32"/>
          <w:highlight w:val="none"/>
        </w:rPr>
      </w:pPr>
    </w:p>
    <w:p w14:paraId="0BB5DEFE">
      <w:pPr>
        <w:spacing w:line="600" w:lineRule="exact"/>
        <w:jc w:val="center"/>
        <w:outlineLvl w:val="0"/>
        <w:rPr>
          <w:rFonts w:hint="eastAsia" w:ascii="宋体" w:hAnsi="宋体" w:eastAsia="宋体" w:cs="宋体"/>
          <w:b/>
          <w:color w:val="auto"/>
          <w:kern w:val="0"/>
          <w:sz w:val="32"/>
          <w:szCs w:val="32"/>
          <w:highlight w:val="none"/>
        </w:rPr>
      </w:pPr>
    </w:p>
    <w:p w14:paraId="6EF4BA0C">
      <w:pPr>
        <w:spacing w:line="600" w:lineRule="exact"/>
        <w:jc w:val="center"/>
        <w:outlineLvl w:val="0"/>
        <w:rPr>
          <w:rFonts w:hint="eastAsia" w:ascii="宋体" w:hAnsi="宋体" w:eastAsia="宋体" w:cs="宋体"/>
          <w:b/>
          <w:color w:val="auto"/>
          <w:kern w:val="0"/>
          <w:sz w:val="32"/>
          <w:szCs w:val="32"/>
          <w:highlight w:val="none"/>
        </w:rPr>
      </w:pPr>
    </w:p>
    <w:p w14:paraId="5BD73DB3">
      <w:pPr>
        <w:spacing w:line="600" w:lineRule="exact"/>
        <w:jc w:val="center"/>
        <w:outlineLvl w:val="0"/>
        <w:rPr>
          <w:rFonts w:hint="eastAsia" w:ascii="宋体" w:hAnsi="宋体" w:eastAsia="宋体" w:cs="宋体"/>
          <w:b/>
          <w:color w:val="auto"/>
          <w:kern w:val="0"/>
          <w:sz w:val="32"/>
          <w:szCs w:val="32"/>
          <w:highlight w:val="none"/>
        </w:rPr>
      </w:pPr>
    </w:p>
    <w:p w14:paraId="0A925F15">
      <w:pPr>
        <w:spacing w:line="600" w:lineRule="exact"/>
        <w:jc w:val="center"/>
        <w:outlineLvl w:val="0"/>
        <w:rPr>
          <w:rFonts w:hint="eastAsia" w:ascii="宋体" w:hAnsi="宋体" w:eastAsia="宋体" w:cs="宋体"/>
          <w:b/>
          <w:color w:val="auto"/>
          <w:kern w:val="0"/>
          <w:sz w:val="32"/>
          <w:szCs w:val="32"/>
          <w:highlight w:val="none"/>
        </w:rPr>
      </w:pPr>
    </w:p>
    <w:p w14:paraId="530EFA8F">
      <w:pPr>
        <w:pStyle w:val="94"/>
        <w:rPr>
          <w:rFonts w:hint="eastAsia" w:ascii="宋体" w:hAnsi="宋体" w:eastAsia="宋体" w:cs="宋体"/>
          <w:b/>
          <w:color w:val="auto"/>
          <w:kern w:val="0"/>
          <w:sz w:val="32"/>
          <w:szCs w:val="32"/>
          <w:highlight w:val="none"/>
        </w:rPr>
      </w:pPr>
    </w:p>
    <w:p w14:paraId="5C75BDDB">
      <w:pPr>
        <w:pStyle w:val="94"/>
        <w:rPr>
          <w:rFonts w:hint="eastAsia" w:ascii="宋体" w:hAnsi="宋体" w:eastAsia="宋体" w:cs="宋体"/>
          <w:b/>
          <w:color w:val="auto"/>
          <w:kern w:val="0"/>
          <w:sz w:val="32"/>
          <w:szCs w:val="32"/>
          <w:highlight w:val="none"/>
        </w:rPr>
      </w:pPr>
    </w:p>
    <w:p w14:paraId="3CB23FF3">
      <w:pPr>
        <w:pStyle w:val="94"/>
        <w:rPr>
          <w:rFonts w:hint="eastAsia" w:ascii="宋体" w:hAnsi="宋体" w:eastAsia="宋体" w:cs="宋体"/>
          <w:b/>
          <w:color w:val="auto"/>
          <w:kern w:val="0"/>
          <w:sz w:val="32"/>
          <w:szCs w:val="32"/>
          <w:highlight w:val="none"/>
        </w:rPr>
      </w:pPr>
    </w:p>
    <w:p w14:paraId="3E7D63AB">
      <w:pPr>
        <w:pStyle w:val="94"/>
        <w:rPr>
          <w:rFonts w:hint="eastAsia" w:ascii="宋体" w:hAnsi="宋体" w:eastAsia="宋体" w:cs="宋体"/>
          <w:b/>
          <w:color w:val="auto"/>
          <w:kern w:val="0"/>
          <w:sz w:val="32"/>
          <w:szCs w:val="32"/>
          <w:highlight w:val="none"/>
        </w:rPr>
      </w:pPr>
    </w:p>
    <w:p w14:paraId="59E20ECF">
      <w:pPr>
        <w:pStyle w:val="94"/>
        <w:rPr>
          <w:rFonts w:hint="eastAsia" w:ascii="宋体" w:hAnsi="宋体" w:eastAsia="宋体" w:cs="宋体"/>
          <w:b/>
          <w:color w:val="auto"/>
          <w:kern w:val="0"/>
          <w:sz w:val="32"/>
          <w:szCs w:val="32"/>
          <w:highlight w:val="none"/>
        </w:rPr>
      </w:pPr>
    </w:p>
    <w:p w14:paraId="77A1556F">
      <w:pPr>
        <w:spacing w:line="600" w:lineRule="exact"/>
        <w:jc w:val="center"/>
        <w:outlineLvl w:val="0"/>
        <w:rPr>
          <w:rFonts w:hint="eastAsia" w:ascii="宋体" w:hAnsi="宋体" w:eastAsia="宋体" w:cs="宋体"/>
          <w:b/>
          <w:color w:val="auto"/>
          <w:kern w:val="0"/>
          <w:sz w:val="32"/>
          <w:szCs w:val="32"/>
          <w:highlight w:val="none"/>
        </w:rPr>
      </w:pPr>
    </w:p>
    <w:p w14:paraId="1128408C">
      <w:pPr>
        <w:spacing w:line="480" w:lineRule="atLeast"/>
        <w:jc w:val="center"/>
        <w:outlineLvl w:val="0"/>
        <w:rPr>
          <w:rFonts w:hint="eastAsia" w:ascii="宋体" w:hAnsi="宋体" w:eastAsia="宋体" w:cs="宋体"/>
          <w:b/>
          <w:color w:val="auto"/>
          <w:sz w:val="28"/>
          <w:szCs w:val="28"/>
          <w:highlight w:val="none"/>
        </w:rPr>
      </w:pPr>
      <w:bookmarkStart w:id="60" w:name="_Toc1364_WPSOffice_Level1"/>
      <w:bookmarkStart w:id="61" w:name="_Toc32383"/>
      <w:bookmarkStart w:id="62" w:name="_Toc8736"/>
      <w:bookmarkStart w:id="63" w:name="_Toc80256515"/>
      <w:r>
        <w:rPr>
          <w:rFonts w:hint="eastAsia" w:ascii="宋体" w:hAnsi="宋体" w:eastAsia="宋体" w:cs="宋体"/>
          <w:b/>
          <w:color w:val="auto"/>
          <w:sz w:val="28"/>
          <w:szCs w:val="28"/>
          <w:highlight w:val="none"/>
        </w:rPr>
        <w:t>一、投标函</w:t>
      </w:r>
      <w:bookmarkEnd w:id="60"/>
      <w:r>
        <w:rPr>
          <w:rFonts w:hint="eastAsia" w:ascii="宋体" w:hAnsi="宋体" w:eastAsia="宋体" w:cs="宋体"/>
          <w:b/>
          <w:color w:val="auto"/>
          <w:sz w:val="28"/>
          <w:szCs w:val="28"/>
          <w:highlight w:val="none"/>
        </w:rPr>
        <w:t>及开标一览表</w:t>
      </w:r>
      <w:bookmarkEnd w:id="61"/>
      <w:bookmarkEnd w:id="62"/>
      <w:bookmarkEnd w:id="63"/>
    </w:p>
    <w:p w14:paraId="7B3F8976">
      <w:pPr>
        <w:jc w:val="center"/>
        <w:outlineLvl w:val="2"/>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（一）投标函</w:t>
      </w:r>
    </w:p>
    <w:p w14:paraId="02AE4840">
      <w:pPr>
        <w:spacing w:line="360" w:lineRule="auto"/>
        <w:jc w:val="center"/>
        <w:rPr>
          <w:rFonts w:hint="eastAsia" w:ascii="宋体" w:hAnsi="宋体" w:eastAsia="宋体" w:cs="宋体"/>
          <w:bCs/>
          <w:color w:val="auto"/>
          <w:sz w:val="24"/>
          <w:highlight w:val="none"/>
        </w:rPr>
      </w:pPr>
    </w:p>
    <w:p w14:paraId="4160A9AD">
      <w:pPr>
        <w:spacing w:line="48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致：</w:t>
      </w:r>
      <w:r>
        <w:rPr>
          <w:rFonts w:hint="eastAsia" w:ascii="宋体" w:hAnsi="宋体" w:eastAsia="宋体" w:cs="宋体"/>
          <w:bCs/>
          <w:color w:val="auto"/>
          <w:sz w:val="24"/>
          <w:highlight w:val="none"/>
          <w:u w:val="single"/>
        </w:rPr>
        <w:t xml:space="preserve">              （采购人）</w:t>
      </w:r>
    </w:p>
    <w:p w14:paraId="60168A02">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我方已阅读</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（项目名称）招标文件，愿以投标报价为(大写)</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lang w:val="en-US" w:eastAsia="zh-CN"/>
        </w:rPr>
        <w:t>元/千克</w:t>
      </w:r>
      <w:r>
        <w:rPr>
          <w:rFonts w:hint="eastAsia" w:ascii="宋体" w:hAnsi="宋体" w:eastAsia="宋体" w:cs="宋体"/>
          <w:color w:val="auto"/>
          <w:sz w:val="24"/>
          <w:szCs w:val="28"/>
          <w:highlight w:val="none"/>
        </w:rPr>
        <w:t>，(小写)</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u w:val="single"/>
        </w:rPr>
        <w:t>元</w:t>
      </w:r>
      <w:r>
        <w:rPr>
          <w:rFonts w:hint="eastAsia" w:ascii="宋体" w:hAnsi="宋体" w:eastAsia="宋体" w:cs="宋体"/>
          <w:color w:val="auto"/>
          <w:sz w:val="24"/>
          <w:szCs w:val="28"/>
          <w:highlight w:val="none"/>
          <w:u w:val="single"/>
          <w:lang w:val="en-US" w:eastAsia="zh-CN"/>
        </w:rPr>
        <w:t>/kg</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highlight w:val="none"/>
        </w:rPr>
        <w:t>参加贵方组织的招标有关活动，并对此项目进行投标。为此：</w:t>
      </w:r>
    </w:p>
    <w:p w14:paraId="65DF4F4C">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1、我方同意在本项目招标文件中规定的投标有效期</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日历天内，遵守本投标文件中的承诺且在此期限期满之前均具有约束力。</w:t>
      </w:r>
    </w:p>
    <w:p w14:paraId="154B7C22">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2、我方承诺已经具备《中华人民共和国政府采购法》中规定的参加政府采购活动的供应商应当具备的条件。</w:t>
      </w:r>
    </w:p>
    <w:p w14:paraId="3419C46B">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3、我方保证销售过程中完全满足</w:t>
      </w:r>
      <w:r>
        <w:rPr>
          <w:rFonts w:hint="eastAsia" w:ascii="宋体" w:hAnsi="宋体" w:eastAsia="宋体" w:cs="宋体"/>
          <w:color w:val="auto"/>
          <w:sz w:val="24"/>
          <w:szCs w:val="28"/>
          <w:highlight w:val="none"/>
          <w:lang w:val="en-US" w:eastAsia="zh-CN"/>
        </w:rPr>
        <w:t>采购人</w:t>
      </w:r>
      <w:r>
        <w:rPr>
          <w:rFonts w:hint="eastAsia" w:ascii="宋体" w:hAnsi="宋体" w:eastAsia="宋体" w:cs="宋体"/>
          <w:color w:val="auto"/>
          <w:sz w:val="24"/>
          <w:szCs w:val="28"/>
          <w:highlight w:val="none"/>
        </w:rPr>
        <w:t>对地膜的</w:t>
      </w:r>
      <w:r>
        <w:rPr>
          <w:rFonts w:hint="eastAsia" w:ascii="宋体" w:hAnsi="宋体" w:eastAsia="宋体" w:cs="宋体"/>
          <w:color w:val="auto"/>
          <w:sz w:val="24"/>
          <w:szCs w:val="28"/>
          <w:highlight w:val="none"/>
          <w:lang w:val="en-US" w:eastAsia="zh-CN"/>
        </w:rPr>
        <w:t>要求</w:t>
      </w:r>
      <w:r>
        <w:rPr>
          <w:rFonts w:hint="eastAsia" w:ascii="宋体" w:hAnsi="宋体" w:eastAsia="宋体" w:cs="宋体"/>
          <w:color w:val="auto"/>
          <w:sz w:val="24"/>
          <w:szCs w:val="28"/>
          <w:highlight w:val="none"/>
        </w:rPr>
        <w:t>，并忠实地执行双方所签订的合同，并承担合同规定的责任和义务。</w:t>
      </w:r>
    </w:p>
    <w:p w14:paraId="28912446">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4、我方承诺完全满足和响应招标文件中的各项商务和技术要求，若有偏差，已在投标文件商务条款偏离表中予以明确特别说明。</w:t>
      </w:r>
    </w:p>
    <w:p w14:paraId="0BC35861">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5、我方完全理解贵方不一定接受最低价的投标。</w:t>
      </w:r>
    </w:p>
    <w:p w14:paraId="30D243C8">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6、我方愿意向贵方提供任何与本项目投标有关的数据、情况和技术资料。若贵方需要，我方愿意提供我方作出的一切承诺的证明材料。</w:t>
      </w:r>
    </w:p>
    <w:p w14:paraId="52A4F8AD">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7、我方已详细审核全部投标文件及有关附件，确认无误。</w:t>
      </w:r>
    </w:p>
    <w:p w14:paraId="461CC04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szCs w:val="28"/>
          <w:highlight w:val="none"/>
        </w:rPr>
        <w:t>8、</w:t>
      </w:r>
      <w:r>
        <w:rPr>
          <w:rFonts w:hint="eastAsia" w:ascii="宋体" w:hAnsi="宋体" w:eastAsia="宋体" w:cs="宋体"/>
          <w:bCs/>
          <w:color w:val="auto"/>
          <w:sz w:val="24"/>
          <w:highlight w:val="none"/>
        </w:rPr>
        <w:t>（其他补充说明）。</w:t>
      </w:r>
    </w:p>
    <w:p w14:paraId="704D2434">
      <w:pPr>
        <w:spacing w:line="480" w:lineRule="auto"/>
        <w:jc w:val="right"/>
        <w:rPr>
          <w:rFonts w:hint="eastAsia" w:ascii="宋体" w:hAnsi="宋体" w:eastAsia="宋体" w:cs="宋体"/>
          <w:bCs/>
          <w:color w:val="auto"/>
          <w:sz w:val="24"/>
          <w:highlight w:val="none"/>
        </w:rPr>
      </w:pPr>
    </w:p>
    <w:p w14:paraId="3EBADC72">
      <w:pPr>
        <w:pStyle w:val="94"/>
        <w:rPr>
          <w:rFonts w:hint="eastAsia" w:ascii="宋体" w:hAnsi="宋体" w:eastAsia="宋体" w:cs="宋体"/>
          <w:color w:val="auto"/>
          <w:highlight w:val="none"/>
        </w:rPr>
      </w:pPr>
    </w:p>
    <w:p w14:paraId="62991CA3">
      <w:pPr>
        <w:spacing w:line="480" w:lineRule="auto"/>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投标供应商（企业电子签章）：</w:t>
      </w:r>
    </w:p>
    <w:p w14:paraId="5124F612">
      <w:pPr>
        <w:spacing w:line="480" w:lineRule="auto"/>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法定代表人（个人电子签章）：</w:t>
      </w:r>
    </w:p>
    <w:p w14:paraId="0F87FFD6">
      <w:pPr>
        <w:wordWrap w:val="0"/>
        <w:overflowPunct w:val="0"/>
        <w:spacing w:beforeLines="5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日      期： 年  月  日</w:t>
      </w:r>
    </w:p>
    <w:p w14:paraId="3B3C8A2E">
      <w:pPr>
        <w:spacing w:line="480" w:lineRule="auto"/>
        <w:jc w:val="center"/>
        <w:rPr>
          <w:rFonts w:ascii="Times New Roman" w:hAnsi="Times New Roman" w:eastAsia="宋体" w:cs="Times New Roman"/>
          <w:color w:val="auto"/>
          <w:kern w:val="2"/>
          <w:sz w:val="28"/>
          <w:szCs w:val="28"/>
          <w:highlight w:val="none"/>
          <w:u w:val="single"/>
          <w:lang w:eastAsia="zh-CN"/>
        </w:rPr>
      </w:pPr>
      <w:bookmarkStart w:id="64" w:name="_Toc21940_WPSOffice_Level1"/>
      <w:r>
        <w:rPr>
          <w:rFonts w:hint="eastAsia" w:ascii="宋体" w:hAnsi="宋体" w:eastAsia="宋体" w:cs="宋体"/>
          <w:color w:val="auto"/>
          <w:sz w:val="28"/>
          <w:szCs w:val="36"/>
          <w:highlight w:val="none"/>
        </w:rPr>
        <w:t>（二）</w:t>
      </w:r>
      <w:bookmarkEnd w:id="64"/>
      <w:r>
        <w:rPr>
          <w:rFonts w:hint="eastAsia" w:ascii="Times New Roman" w:hAnsi="Times New Roman" w:eastAsia="宋体" w:cs="Times New Roman"/>
          <w:b/>
          <w:bCs/>
          <w:color w:val="auto"/>
          <w:kern w:val="2"/>
          <w:sz w:val="32"/>
          <w:szCs w:val="32"/>
          <w:highlight w:val="none"/>
          <w:lang w:eastAsia="zh-CN"/>
        </w:rPr>
        <w:t>投标报价一览表</w:t>
      </w:r>
    </w:p>
    <w:p w14:paraId="1F2BF2B6">
      <w:pPr>
        <w:spacing w:line="480" w:lineRule="atLeast"/>
        <w:jc w:val="center"/>
        <w:outlineLvl w:val="2"/>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2.1投标报价一览表</w:t>
      </w:r>
    </w:p>
    <w:p w14:paraId="361EC5CD">
      <w:pPr>
        <w:spacing w:line="480" w:lineRule="atLeast"/>
        <w:jc w:val="center"/>
        <w:outlineLvl w:val="2"/>
        <w:rPr>
          <w:rFonts w:hint="eastAsia" w:ascii="宋体" w:hAnsi="宋体" w:eastAsia="宋体" w:cs="宋体"/>
          <w:color w:val="auto"/>
          <w:sz w:val="28"/>
          <w:szCs w:val="36"/>
          <w:highlight w:val="none"/>
        </w:rPr>
      </w:pPr>
    </w:p>
    <w:tbl>
      <w:tblPr>
        <w:tblStyle w:val="32"/>
        <w:tblW w:w="8966" w:type="dxa"/>
        <w:jc w:val="center"/>
        <w:tblLayout w:type="fixed"/>
        <w:tblCellMar>
          <w:top w:w="0" w:type="dxa"/>
          <w:left w:w="108" w:type="dxa"/>
          <w:bottom w:w="0" w:type="dxa"/>
          <w:right w:w="108" w:type="dxa"/>
        </w:tblCellMar>
      </w:tblPr>
      <w:tblGrid>
        <w:gridCol w:w="2169"/>
        <w:gridCol w:w="6797"/>
      </w:tblGrid>
      <w:tr w14:paraId="1247951D">
        <w:tblPrEx>
          <w:tblCellMar>
            <w:top w:w="0" w:type="dxa"/>
            <w:left w:w="108" w:type="dxa"/>
            <w:bottom w:w="0" w:type="dxa"/>
            <w:right w:w="108" w:type="dxa"/>
          </w:tblCellMar>
        </w:tblPrEx>
        <w:trPr>
          <w:trHeight w:val="63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5F1CCE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797" w:type="dxa"/>
            <w:tcBorders>
              <w:top w:val="single" w:color="auto" w:sz="4" w:space="0"/>
              <w:left w:val="nil"/>
              <w:bottom w:val="single" w:color="auto" w:sz="4" w:space="0"/>
              <w:right w:val="single" w:color="auto" w:sz="4" w:space="0"/>
            </w:tcBorders>
            <w:noWrap w:val="0"/>
            <w:vAlign w:val="center"/>
          </w:tcPr>
          <w:p w14:paraId="612F487D">
            <w:pPr>
              <w:spacing w:line="360" w:lineRule="auto"/>
              <w:jc w:val="center"/>
              <w:rPr>
                <w:rFonts w:hint="eastAsia" w:ascii="宋体" w:hAnsi="宋体" w:eastAsia="宋体" w:cs="宋体"/>
                <w:color w:val="auto"/>
                <w:sz w:val="24"/>
                <w:highlight w:val="none"/>
              </w:rPr>
            </w:pPr>
          </w:p>
        </w:tc>
      </w:tr>
      <w:tr w14:paraId="1E4A576F">
        <w:tblPrEx>
          <w:tblCellMar>
            <w:top w:w="0" w:type="dxa"/>
            <w:left w:w="108" w:type="dxa"/>
            <w:bottom w:w="0" w:type="dxa"/>
            <w:right w:w="108" w:type="dxa"/>
          </w:tblCellMar>
        </w:tblPrEx>
        <w:trPr>
          <w:trHeight w:val="63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3BFE650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p>
        </w:tc>
        <w:tc>
          <w:tcPr>
            <w:tcW w:w="6797" w:type="dxa"/>
            <w:tcBorders>
              <w:top w:val="single" w:color="auto" w:sz="4" w:space="0"/>
              <w:left w:val="nil"/>
              <w:bottom w:val="single" w:color="auto" w:sz="4" w:space="0"/>
              <w:right w:val="single" w:color="auto" w:sz="4" w:space="0"/>
            </w:tcBorders>
            <w:noWrap w:val="0"/>
            <w:vAlign w:val="center"/>
          </w:tcPr>
          <w:p w14:paraId="72AA4154">
            <w:pPr>
              <w:spacing w:line="360" w:lineRule="auto"/>
              <w:jc w:val="center"/>
              <w:rPr>
                <w:rFonts w:hint="eastAsia" w:ascii="宋体" w:hAnsi="宋体" w:eastAsia="宋体" w:cs="宋体"/>
                <w:color w:val="auto"/>
                <w:sz w:val="24"/>
                <w:highlight w:val="none"/>
              </w:rPr>
            </w:pPr>
          </w:p>
        </w:tc>
      </w:tr>
      <w:tr w14:paraId="528D6ABE">
        <w:tblPrEx>
          <w:tblCellMar>
            <w:top w:w="0" w:type="dxa"/>
            <w:left w:w="108" w:type="dxa"/>
            <w:bottom w:w="0" w:type="dxa"/>
            <w:right w:w="108" w:type="dxa"/>
          </w:tblCellMar>
        </w:tblPrEx>
        <w:trPr>
          <w:trHeight w:val="886"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15BCBF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投标单价</w:t>
            </w:r>
          </w:p>
        </w:tc>
        <w:tc>
          <w:tcPr>
            <w:tcW w:w="6797" w:type="dxa"/>
            <w:tcBorders>
              <w:top w:val="single" w:color="auto" w:sz="4" w:space="0"/>
              <w:left w:val="nil"/>
              <w:bottom w:val="single" w:color="auto" w:sz="4" w:space="0"/>
              <w:right w:val="single" w:color="auto" w:sz="4" w:space="0"/>
            </w:tcBorders>
            <w:noWrap w:val="0"/>
            <w:vAlign w:val="center"/>
          </w:tcPr>
          <w:p w14:paraId="1707E7DD">
            <w:pPr>
              <w:spacing w:line="360" w:lineRule="auto"/>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kern w:val="0"/>
                <w:sz w:val="22"/>
                <w:szCs w:val="22"/>
                <w:highlight w:val="none"/>
                <w:lang w:val="en-US" w:eastAsia="en-US" w:bidi="ar-SA"/>
              </w:rPr>
              <w:t xml:space="preserve">大写： </w:t>
            </w:r>
            <w:r>
              <w:rPr>
                <w:rFonts w:hint="eastAsia" w:ascii="宋体" w:hAnsi="宋体" w:eastAsia="宋体" w:cs="宋体"/>
                <w:color w:val="auto"/>
                <w:kern w:val="0"/>
                <w:sz w:val="22"/>
                <w:szCs w:val="22"/>
                <w:highlight w:val="none"/>
                <w:u w:val="single"/>
                <w:lang w:val="en-US" w:eastAsia="en-US" w:bidi="ar-SA"/>
              </w:rPr>
              <w:t xml:space="preserve">                 </w:t>
            </w:r>
            <w:r>
              <w:rPr>
                <w:rFonts w:hint="eastAsia" w:ascii="宋体" w:hAnsi="宋体" w:eastAsia="宋体" w:cs="宋体"/>
                <w:color w:val="auto"/>
                <w:kern w:val="0"/>
                <w:sz w:val="22"/>
                <w:szCs w:val="22"/>
                <w:highlight w:val="none"/>
                <w:u w:val="none"/>
                <w:lang w:val="en-US" w:eastAsia="zh-CN" w:bidi="ar-SA"/>
              </w:rPr>
              <w:t>元/千克</w:t>
            </w:r>
          </w:p>
          <w:p w14:paraId="797A7B8C">
            <w:pPr>
              <w:pStyle w:val="94"/>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en-US" w:bidi="ar-SA"/>
              </w:rPr>
              <w:t>小写：</w:t>
            </w:r>
            <w:r>
              <w:rPr>
                <w:rFonts w:hint="eastAsia" w:ascii="宋体" w:hAnsi="宋体" w:eastAsia="宋体" w:cs="宋体"/>
                <w:color w:val="auto"/>
                <w:kern w:val="0"/>
                <w:sz w:val="22"/>
                <w:szCs w:val="22"/>
                <w:highlight w:val="none"/>
                <w:u w:val="single"/>
                <w:lang w:val="en-US" w:eastAsia="en-US" w:bidi="ar-SA"/>
              </w:rPr>
              <w:t xml:space="preserve">                </w:t>
            </w:r>
            <w:r>
              <w:rPr>
                <w:rFonts w:hint="eastAsia" w:ascii="宋体" w:hAnsi="宋体" w:eastAsia="宋体" w:cs="宋体"/>
                <w:color w:val="auto"/>
                <w:kern w:val="0"/>
                <w:sz w:val="22"/>
                <w:szCs w:val="22"/>
                <w:highlight w:val="none"/>
                <w:u w:val="none"/>
                <w:lang w:val="en-US" w:eastAsia="en-US" w:bidi="ar-SA"/>
              </w:rPr>
              <w:t>元</w:t>
            </w:r>
            <w:r>
              <w:rPr>
                <w:rFonts w:hint="eastAsia" w:ascii="宋体" w:hAnsi="宋体" w:eastAsia="宋体" w:cs="宋体"/>
                <w:color w:val="auto"/>
                <w:kern w:val="0"/>
                <w:sz w:val="22"/>
                <w:szCs w:val="22"/>
                <w:highlight w:val="none"/>
                <w:u w:val="none"/>
                <w:lang w:val="en-US" w:eastAsia="zh-CN" w:bidi="ar-SA"/>
              </w:rPr>
              <w:t>/kg</w:t>
            </w:r>
          </w:p>
          <w:p w14:paraId="65F4BEC5">
            <w:pPr>
              <w:pStyle w:val="94"/>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注：</w:t>
            </w:r>
            <w:r>
              <w:rPr>
                <w:rFonts w:hint="eastAsia" w:ascii="宋体" w:hAnsi="宋体" w:eastAsia="宋体" w:cs="宋体"/>
                <w:b/>
                <w:bCs/>
                <w:sz w:val="22"/>
                <w:szCs w:val="22"/>
                <w:vertAlign w:val="baseline"/>
                <w:lang w:val="en-US" w:eastAsia="zh-CN"/>
              </w:rPr>
              <w:t>投标报价含货物费、运输费、税费、卸费车、仓储费等本项目一切相关费用。</w:t>
            </w:r>
          </w:p>
        </w:tc>
      </w:tr>
      <w:tr w14:paraId="321EA5F8">
        <w:tblPrEx>
          <w:tblCellMar>
            <w:top w:w="0" w:type="dxa"/>
            <w:left w:w="108" w:type="dxa"/>
            <w:bottom w:w="0" w:type="dxa"/>
            <w:right w:w="108" w:type="dxa"/>
          </w:tblCellMar>
        </w:tblPrEx>
        <w:trPr>
          <w:trHeight w:val="759"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6E3F0133">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6797" w:type="dxa"/>
            <w:tcBorders>
              <w:top w:val="single" w:color="auto" w:sz="4" w:space="0"/>
              <w:left w:val="nil"/>
              <w:bottom w:val="single" w:color="auto" w:sz="4" w:space="0"/>
              <w:right w:val="single" w:color="auto" w:sz="4" w:space="0"/>
            </w:tcBorders>
            <w:noWrap w:val="0"/>
            <w:vAlign w:val="center"/>
          </w:tcPr>
          <w:p w14:paraId="4C3D3C3E">
            <w:pPr>
              <w:spacing w:line="360" w:lineRule="auto"/>
              <w:jc w:val="center"/>
              <w:rPr>
                <w:rFonts w:hint="eastAsia" w:ascii="宋体" w:hAnsi="宋体" w:eastAsia="宋体" w:cs="宋体"/>
                <w:color w:val="auto"/>
                <w:sz w:val="24"/>
                <w:highlight w:val="none"/>
              </w:rPr>
            </w:pPr>
          </w:p>
        </w:tc>
      </w:tr>
      <w:tr w14:paraId="0ECEBD1B">
        <w:tblPrEx>
          <w:tblCellMar>
            <w:top w:w="0" w:type="dxa"/>
            <w:left w:w="108" w:type="dxa"/>
            <w:bottom w:w="0" w:type="dxa"/>
            <w:right w:w="108" w:type="dxa"/>
          </w:tblCellMar>
        </w:tblPrEx>
        <w:trPr>
          <w:trHeight w:val="69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2EFDFE44">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供货期</w:t>
            </w:r>
          </w:p>
        </w:tc>
        <w:tc>
          <w:tcPr>
            <w:tcW w:w="6797" w:type="dxa"/>
            <w:tcBorders>
              <w:top w:val="single" w:color="auto" w:sz="4" w:space="0"/>
              <w:left w:val="nil"/>
              <w:bottom w:val="single" w:color="auto" w:sz="4" w:space="0"/>
              <w:right w:val="single" w:color="auto" w:sz="4" w:space="0"/>
            </w:tcBorders>
            <w:noWrap w:val="0"/>
            <w:vAlign w:val="center"/>
          </w:tcPr>
          <w:p w14:paraId="48B22771">
            <w:pPr>
              <w:spacing w:line="360" w:lineRule="auto"/>
              <w:jc w:val="center"/>
              <w:rPr>
                <w:rFonts w:hint="eastAsia" w:ascii="宋体" w:hAnsi="宋体" w:eastAsia="宋体" w:cs="宋体"/>
                <w:color w:val="auto"/>
                <w:sz w:val="24"/>
                <w:highlight w:val="none"/>
              </w:rPr>
            </w:pPr>
          </w:p>
        </w:tc>
      </w:tr>
      <w:tr w14:paraId="0F3B6146">
        <w:tblPrEx>
          <w:tblCellMar>
            <w:top w:w="0" w:type="dxa"/>
            <w:left w:w="108" w:type="dxa"/>
            <w:bottom w:w="0" w:type="dxa"/>
            <w:right w:w="108" w:type="dxa"/>
          </w:tblCellMar>
        </w:tblPrEx>
        <w:trPr>
          <w:trHeight w:val="69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1D8595D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 保 期</w:t>
            </w:r>
          </w:p>
        </w:tc>
        <w:tc>
          <w:tcPr>
            <w:tcW w:w="6797" w:type="dxa"/>
            <w:tcBorders>
              <w:top w:val="single" w:color="auto" w:sz="4" w:space="0"/>
              <w:left w:val="nil"/>
              <w:bottom w:val="single" w:color="auto" w:sz="4" w:space="0"/>
              <w:right w:val="single" w:color="auto" w:sz="4" w:space="0"/>
            </w:tcBorders>
            <w:noWrap w:val="0"/>
            <w:vAlign w:val="center"/>
          </w:tcPr>
          <w:p w14:paraId="1CFB7624">
            <w:pPr>
              <w:spacing w:line="360" w:lineRule="auto"/>
              <w:jc w:val="center"/>
              <w:rPr>
                <w:rFonts w:hint="eastAsia" w:ascii="宋体" w:hAnsi="宋体" w:eastAsia="宋体" w:cs="宋体"/>
                <w:color w:val="auto"/>
                <w:sz w:val="24"/>
                <w:highlight w:val="none"/>
              </w:rPr>
            </w:pPr>
          </w:p>
        </w:tc>
      </w:tr>
      <w:tr w14:paraId="69BEC83C">
        <w:tblPrEx>
          <w:tblCellMar>
            <w:top w:w="0" w:type="dxa"/>
            <w:left w:w="108" w:type="dxa"/>
            <w:bottom w:w="0" w:type="dxa"/>
            <w:right w:w="108" w:type="dxa"/>
          </w:tblCellMar>
        </w:tblPrEx>
        <w:trPr>
          <w:trHeight w:val="69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79340B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供货地点</w:t>
            </w:r>
          </w:p>
        </w:tc>
        <w:tc>
          <w:tcPr>
            <w:tcW w:w="6797" w:type="dxa"/>
            <w:tcBorders>
              <w:top w:val="single" w:color="auto" w:sz="4" w:space="0"/>
              <w:left w:val="nil"/>
              <w:bottom w:val="single" w:color="auto" w:sz="4" w:space="0"/>
              <w:right w:val="single" w:color="auto" w:sz="4" w:space="0"/>
            </w:tcBorders>
            <w:noWrap w:val="0"/>
            <w:vAlign w:val="center"/>
          </w:tcPr>
          <w:p w14:paraId="1C9410E0">
            <w:pPr>
              <w:spacing w:line="360" w:lineRule="auto"/>
              <w:jc w:val="center"/>
              <w:rPr>
                <w:rFonts w:hint="eastAsia" w:ascii="宋体" w:hAnsi="宋体" w:eastAsia="宋体" w:cs="宋体"/>
                <w:color w:val="auto"/>
                <w:sz w:val="24"/>
                <w:highlight w:val="none"/>
              </w:rPr>
            </w:pPr>
          </w:p>
        </w:tc>
      </w:tr>
      <w:tr w14:paraId="0EBB4869">
        <w:tblPrEx>
          <w:tblCellMar>
            <w:top w:w="0" w:type="dxa"/>
            <w:left w:w="108" w:type="dxa"/>
            <w:bottom w:w="0" w:type="dxa"/>
            <w:right w:w="108" w:type="dxa"/>
          </w:tblCellMar>
        </w:tblPrEx>
        <w:trPr>
          <w:trHeight w:val="69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117ED03C">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lang w:val="en-US" w:eastAsia="zh-CN"/>
              </w:rPr>
              <w:t>及联系电话</w:t>
            </w:r>
          </w:p>
        </w:tc>
        <w:tc>
          <w:tcPr>
            <w:tcW w:w="6797" w:type="dxa"/>
            <w:tcBorders>
              <w:top w:val="single" w:color="auto" w:sz="4" w:space="0"/>
              <w:left w:val="nil"/>
              <w:bottom w:val="single" w:color="auto" w:sz="4" w:space="0"/>
              <w:right w:val="single" w:color="auto" w:sz="4" w:space="0"/>
            </w:tcBorders>
            <w:noWrap w:val="0"/>
            <w:vAlign w:val="center"/>
          </w:tcPr>
          <w:p w14:paraId="00D17A8C">
            <w:pPr>
              <w:spacing w:line="360" w:lineRule="auto"/>
              <w:jc w:val="center"/>
              <w:rPr>
                <w:rFonts w:hint="eastAsia" w:ascii="宋体" w:hAnsi="宋体" w:eastAsia="宋体" w:cs="宋体"/>
                <w:color w:val="auto"/>
                <w:sz w:val="24"/>
                <w:highlight w:val="none"/>
              </w:rPr>
            </w:pPr>
          </w:p>
        </w:tc>
      </w:tr>
      <w:tr w14:paraId="33391DC1">
        <w:tblPrEx>
          <w:tblCellMar>
            <w:top w:w="0" w:type="dxa"/>
            <w:left w:w="108" w:type="dxa"/>
            <w:bottom w:w="0" w:type="dxa"/>
            <w:right w:w="108" w:type="dxa"/>
          </w:tblCellMar>
        </w:tblPrEx>
        <w:trPr>
          <w:trHeight w:val="69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1C6E51D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797" w:type="dxa"/>
            <w:tcBorders>
              <w:top w:val="single" w:color="auto" w:sz="4" w:space="0"/>
              <w:left w:val="nil"/>
              <w:bottom w:val="single" w:color="auto" w:sz="4" w:space="0"/>
              <w:right w:val="single" w:color="auto" w:sz="4" w:space="0"/>
            </w:tcBorders>
            <w:noWrap w:val="0"/>
            <w:vAlign w:val="center"/>
          </w:tcPr>
          <w:p w14:paraId="3A1C814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日历天（自投标截止之日起）</w:t>
            </w:r>
          </w:p>
        </w:tc>
      </w:tr>
      <w:tr w14:paraId="7882E2B8">
        <w:tblPrEx>
          <w:tblCellMar>
            <w:top w:w="0" w:type="dxa"/>
            <w:left w:w="108" w:type="dxa"/>
            <w:bottom w:w="0" w:type="dxa"/>
            <w:right w:w="108" w:type="dxa"/>
          </w:tblCellMar>
        </w:tblPrEx>
        <w:trPr>
          <w:trHeight w:val="719"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23D469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其他说明</w:t>
            </w:r>
          </w:p>
        </w:tc>
        <w:tc>
          <w:tcPr>
            <w:tcW w:w="6797" w:type="dxa"/>
            <w:tcBorders>
              <w:top w:val="single" w:color="auto" w:sz="4" w:space="0"/>
              <w:left w:val="nil"/>
              <w:bottom w:val="single" w:color="auto" w:sz="4" w:space="0"/>
              <w:right w:val="single" w:color="auto" w:sz="4" w:space="0"/>
            </w:tcBorders>
            <w:noWrap w:val="0"/>
            <w:vAlign w:val="center"/>
          </w:tcPr>
          <w:p w14:paraId="08C0B5C3">
            <w:pPr>
              <w:spacing w:line="360" w:lineRule="auto"/>
              <w:jc w:val="center"/>
              <w:rPr>
                <w:rFonts w:hint="eastAsia" w:ascii="宋体" w:hAnsi="宋体" w:eastAsia="宋体" w:cs="宋体"/>
                <w:color w:val="auto"/>
                <w:sz w:val="24"/>
                <w:highlight w:val="none"/>
              </w:rPr>
            </w:pPr>
          </w:p>
        </w:tc>
      </w:tr>
    </w:tbl>
    <w:p w14:paraId="1CD152BA">
      <w:pPr>
        <w:spacing w:line="440" w:lineRule="exact"/>
        <w:jc w:val="right"/>
        <w:rPr>
          <w:rFonts w:hint="eastAsia" w:ascii="宋体" w:hAnsi="宋体" w:eastAsia="宋体" w:cs="宋体"/>
          <w:bCs/>
          <w:color w:val="auto"/>
          <w:sz w:val="24"/>
          <w:highlight w:val="none"/>
        </w:rPr>
      </w:pPr>
      <w:bookmarkStart w:id="65" w:name="_Toc14073_WPSOffice_Level1"/>
      <w:bookmarkStart w:id="66" w:name="_Toc80256516"/>
      <w:bookmarkStart w:id="67" w:name="_Toc15598"/>
    </w:p>
    <w:p w14:paraId="42E65F35">
      <w:pPr>
        <w:spacing w:line="480" w:lineRule="auto"/>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投标供应商：（企业电子签章）</w:t>
      </w:r>
    </w:p>
    <w:p w14:paraId="7677A386">
      <w:pPr>
        <w:spacing w:line="480" w:lineRule="auto"/>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法定代表人：（个人电子签章）</w:t>
      </w:r>
    </w:p>
    <w:p w14:paraId="4148021F">
      <w:pPr>
        <w:wordWrap w:val="0"/>
        <w:overflowPunct w:val="0"/>
        <w:spacing w:beforeLines="5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日      期： 年   月   日</w:t>
      </w:r>
    </w:p>
    <w:p w14:paraId="718AF283">
      <w:pPr>
        <w:jc w:val="center"/>
        <w:outlineLvl w:val="1"/>
        <w:rPr>
          <w:rFonts w:hint="eastAsia" w:ascii="黑体" w:hAnsi="黑体" w:eastAsia="黑体" w:cs="黑体"/>
          <w:sz w:val="30"/>
          <w:szCs w:val="30"/>
          <w:lang w:val="en-US" w:eastAsia="zh-CN"/>
        </w:rPr>
        <w:sectPr>
          <w:headerReference r:id="rId4" w:type="default"/>
          <w:footerReference r:id="rId5" w:type="default"/>
          <w:pgSz w:w="12240" w:h="15840"/>
          <w:pgMar w:top="1400" w:right="1720" w:bottom="1120" w:left="1720" w:header="794" w:footer="921" w:gutter="0"/>
          <w:cols w:space="720" w:num="1"/>
        </w:sectPr>
      </w:pPr>
    </w:p>
    <w:p w14:paraId="14948C3F">
      <w:pPr>
        <w:spacing w:line="500" w:lineRule="exact"/>
        <w:jc w:val="left"/>
        <w:rPr>
          <w:rFonts w:hint="eastAsia" w:ascii="宋体" w:hAnsi="宋体" w:eastAsia="宋体" w:cs="宋体"/>
          <w:b/>
          <w:bCs/>
          <w:color w:val="auto"/>
          <w:sz w:val="32"/>
          <w:szCs w:val="32"/>
          <w:highlight w:val="none"/>
        </w:rPr>
      </w:pPr>
      <w:bookmarkStart w:id="68" w:name="_Toc17188"/>
      <w:r>
        <w:rPr>
          <w:rFonts w:hint="eastAsia" w:ascii="宋体" w:hAnsi="宋体" w:eastAsia="宋体" w:cs="宋体"/>
          <w:b/>
          <w:bCs/>
          <w:color w:val="auto"/>
          <w:sz w:val="32"/>
          <w:szCs w:val="32"/>
          <w:highlight w:val="none"/>
          <w:lang w:val="en-US" w:eastAsia="zh-CN"/>
        </w:rPr>
        <w:t>2.2</w:t>
      </w:r>
      <w:r>
        <w:rPr>
          <w:rFonts w:hint="eastAsia" w:ascii="宋体" w:hAnsi="宋体" w:eastAsia="宋体" w:cs="宋体"/>
          <w:b/>
          <w:bCs/>
          <w:color w:val="auto"/>
          <w:sz w:val="32"/>
          <w:szCs w:val="32"/>
          <w:highlight w:val="none"/>
        </w:rPr>
        <w:t>附件：投标参数及报价明细</w:t>
      </w:r>
    </w:p>
    <w:p w14:paraId="1F6B0F5C">
      <w:pPr>
        <w:keepNext/>
        <w:keepLines/>
        <w:numPr>
          <w:ilvl w:val="0"/>
          <w:numId w:val="5"/>
        </w:numPr>
        <w:spacing w:line="360" w:lineRule="auto"/>
        <w:jc w:val="center"/>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bookmarkStart w:id="69" w:name="_Toc3959"/>
      <w:bookmarkStart w:id="70" w:name="_Toc495304005"/>
      <w:bookmarkStart w:id="71" w:name="_Toc8501"/>
      <w:r>
        <w:rPr>
          <w:rFonts w:hint="eastAsia" w:ascii="宋体" w:hAnsi="宋体" w:eastAsia="宋体" w:cs="宋体"/>
          <w:b/>
          <w:bCs/>
          <w:color w:val="auto"/>
          <w:szCs w:val="21"/>
          <w:highlight w:val="none"/>
        </w:rPr>
        <w:t>货物分项报价一览表</w:t>
      </w:r>
      <w:bookmarkEnd w:id="69"/>
      <w:bookmarkEnd w:id="70"/>
      <w:bookmarkEnd w:id="71"/>
    </w:p>
    <w:p w14:paraId="6F5FC0BA">
      <w:pPr>
        <w:pStyle w:val="13"/>
        <w:rPr>
          <w:rFonts w:hint="eastAsia" w:ascii="宋体" w:hAnsi="宋体" w:eastAsia="宋体" w:cs="宋体"/>
          <w:lang w:val="en-US" w:eastAsia="zh-CN"/>
        </w:rPr>
      </w:pPr>
      <w:r>
        <w:rPr>
          <w:rFonts w:hint="eastAsia" w:ascii="宋体" w:hAnsi="宋体" w:eastAsia="宋体" w:cs="宋体"/>
          <w:b/>
          <w:bCs/>
          <w:color w:val="auto"/>
          <w:szCs w:val="21"/>
          <w:highlight w:val="none"/>
          <w:lang w:val="en-US" w:eastAsia="zh-CN"/>
        </w:rPr>
        <w:t>单位：元</w:t>
      </w:r>
    </w:p>
    <w:tbl>
      <w:tblPr>
        <w:tblStyle w:val="32"/>
        <w:tblW w:w="15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17"/>
        <w:gridCol w:w="1132"/>
        <w:gridCol w:w="1131"/>
        <w:gridCol w:w="1182"/>
        <w:gridCol w:w="926"/>
        <w:gridCol w:w="1004"/>
        <w:gridCol w:w="1068"/>
        <w:gridCol w:w="1019"/>
        <w:gridCol w:w="1108"/>
        <w:gridCol w:w="1336"/>
        <w:gridCol w:w="2637"/>
      </w:tblGrid>
      <w:tr w14:paraId="4663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noWrap w:val="0"/>
            <w:vAlign w:val="center"/>
          </w:tcPr>
          <w:p w14:paraId="7A48D426">
            <w:pPr>
              <w:adjustRightInd w:val="0"/>
              <w:spacing w:line="360" w:lineRule="auto"/>
              <w:jc w:val="center"/>
              <w:rPr>
                <w:rFonts w:hint="eastAsia" w:ascii="宋体" w:hAnsi="宋体" w:eastAsia="宋体" w:cs="宋体"/>
                <w:color w:val="auto"/>
                <w:sz w:val="18"/>
                <w:szCs w:val="16"/>
                <w:highlight w:val="none"/>
              </w:rPr>
            </w:pPr>
            <w:r>
              <w:rPr>
                <w:rFonts w:hint="eastAsia" w:ascii="宋体" w:hAnsi="宋体" w:eastAsia="宋体" w:cs="宋体"/>
                <w:color w:val="auto"/>
                <w:sz w:val="18"/>
                <w:szCs w:val="16"/>
                <w:highlight w:val="none"/>
              </w:rPr>
              <w:t>序号</w:t>
            </w:r>
          </w:p>
        </w:tc>
        <w:tc>
          <w:tcPr>
            <w:tcW w:w="1717" w:type="dxa"/>
            <w:noWrap w:val="0"/>
            <w:vAlign w:val="center"/>
          </w:tcPr>
          <w:p w14:paraId="70974257">
            <w:pPr>
              <w:adjustRightInd w:val="0"/>
              <w:spacing w:line="360" w:lineRule="auto"/>
              <w:jc w:val="center"/>
              <w:rPr>
                <w:rFonts w:hint="eastAsia" w:ascii="宋体" w:hAnsi="宋体" w:eastAsia="宋体" w:cs="宋体"/>
                <w:color w:val="auto"/>
                <w:sz w:val="18"/>
                <w:szCs w:val="16"/>
                <w:highlight w:val="none"/>
              </w:rPr>
            </w:pPr>
            <w:r>
              <w:rPr>
                <w:rFonts w:hint="eastAsia" w:ascii="宋体" w:hAnsi="宋体" w:eastAsia="宋体" w:cs="宋体"/>
                <w:color w:val="auto"/>
                <w:sz w:val="18"/>
                <w:szCs w:val="16"/>
                <w:highlight w:val="none"/>
              </w:rPr>
              <w:t>货物名称</w:t>
            </w:r>
          </w:p>
        </w:tc>
        <w:tc>
          <w:tcPr>
            <w:tcW w:w="1132" w:type="dxa"/>
            <w:noWrap w:val="0"/>
            <w:vAlign w:val="center"/>
          </w:tcPr>
          <w:p w14:paraId="599B1E78">
            <w:pPr>
              <w:adjustRightInd w:val="0"/>
              <w:spacing w:line="360" w:lineRule="auto"/>
              <w:jc w:val="center"/>
              <w:rPr>
                <w:rFonts w:hint="eastAsia" w:ascii="宋体" w:hAnsi="宋体" w:eastAsia="宋体" w:cs="宋体"/>
                <w:color w:val="auto"/>
                <w:sz w:val="18"/>
                <w:szCs w:val="16"/>
                <w:highlight w:val="none"/>
                <w:lang w:eastAsia="zh-CN"/>
              </w:rPr>
            </w:pPr>
            <w:r>
              <w:rPr>
                <w:rFonts w:hint="eastAsia" w:ascii="宋体" w:hAnsi="宋体" w:eastAsia="宋体" w:cs="宋体"/>
                <w:color w:val="auto"/>
                <w:sz w:val="18"/>
                <w:szCs w:val="16"/>
                <w:highlight w:val="none"/>
                <w:lang w:val="en-US" w:eastAsia="zh-CN"/>
              </w:rPr>
              <w:t>规格</w:t>
            </w:r>
          </w:p>
        </w:tc>
        <w:tc>
          <w:tcPr>
            <w:tcW w:w="1131" w:type="dxa"/>
            <w:noWrap w:val="0"/>
            <w:vAlign w:val="center"/>
          </w:tcPr>
          <w:p w14:paraId="110B6F3C">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品牌</w:t>
            </w:r>
          </w:p>
        </w:tc>
        <w:tc>
          <w:tcPr>
            <w:tcW w:w="1182" w:type="dxa"/>
            <w:noWrap w:val="0"/>
            <w:vAlign w:val="center"/>
          </w:tcPr>
          <w:p w14:paraId="60E4497F">
            <w:pPr>
              <w:adjustRightInd w:val="0"/>
              <w:spacing w:line="360" w:lineRule="auto"/>
              <w:jc w:val="center"/>
              <w:rPr>
                <w:rFonts w:hint="eastAsia" w:ascii="宋体" w:hAnsi="宋体" w:eastAsia="宋体" w:cs="宋体"/>
                <w:color w:val="auto"/>
                <w:sz w:val="18"/>
                <w:szCs w:val="16"/>
                <w:highlight w:val="none"/>
                <w:lang w:eastAsia="zh-CN"/>
              </w:rPr>
            </w:pPr>
            <w:r>
              <w:rPr>
                <w:rFonts w:hint="eastAsia" w:ascii="宋体" w:hAnsi="宋体" w:eastAsia="宋体" w:cs="宋体"/>
                <w:color w:val="auto"/>
                <w:sz w:val="18"/>
                <w:szCs w:val="16"/>
                <w:highlight w:val="none"/>
              </w:rPr>
              <w:t>数量</w:t>
            </w:r>
          </w:p>
        </w:tc>
        <w:tc>
          <w:tcPr>
            <w:tcW w:w="926" w:type="dxa"/>
            <w:noWrap w:val="0"/>
            <w:vAlign w:val="center"/>
          </w:tcPr>
          <w:p w14:paraId="14BDB070">
            <w:pPr>
              <w:adjustRightInd w:val="0"/>
              <w:spacing w:line="360" w:lineRule="auto"/>
              <w:jc w:val="center"/>
              <w:rPr>
                <w:rFonts w:hint="eastAsia" w:ascii="宋体" w:hAnsi="宋体" w:eastAsia="宋体" w:cs="宋体"/>
                <w:color w:val="auto"/>
                <w:sz w:val="18"/>
                <w:szCs w:val="16"/>
                <w:highlight w:val="none"/>
              </w:rPr>
            </w:pPr>
            <w:r>
              <w:rPr>
                <w:rFonts w:hint="eastAsia" w:ascii="宋体" w:hAnsi="宋体" w:eastAsia="宋体" w:cs="宋体"/>
                <w:color w:val="auto"/>
                <w:sz w:val="18"/>
                <w:szCs w:val="16"/>
                <w:highlight w:val="none"/>
              </w:rPr>
              <w:t>单位</w:t>
            </w:r>
          </w:p>
        </w:tc>
        <w:tc>
          <w:tcPr>
            <w:tcW w:w="1004" w:type="dxa"/>
            <w:noWrap w:val="0"/>
            <w:vAlign w:val="center"/>
          </w:tcPr>
          <w:p w14:paraId="63449001">
            <w:pPr>
              <w:adjustRightInd w:val="0"/>
              <w:spacing w:line="360" w:lineRule="auto"/>
              <w:jc w:val="center"/>
              <w:rPr>
                <w:rFonts w:hint="eastAsia" w:ascii="宋体" w:hAnsi="宋体" w:eastAsia="宋体" w:cs="宋体"/>
                <w:color w:val="auto"/>
                <w:sz w:val="18"/>
                <w:szCs w:val="16"/>
                <w:highlight w:val="none"/>
              </w:rPr>
            </w:pPr>
            <w:r>
              <w:rPr>
                <w:rFonts w:hint="eastAsia" w:ascii="宋体" w:hAnsi="宋体" w:eastAsia="宋体" w:cs="宋体"/>
                <w:color w:val="auto"/>
                <w:sz w:val="18"/>
                <w:szCs w:val="16"/>
                <w:highlight w:val="none"/>
              </w:rPr>
              <w:t>单价（元）</w:t>
            </w:r>
          </w:p>
        </w:tc>
        <w:tc>
          <w:tcPr>
            <w:tcW w:w="1068" w:type="dxa"/>
            <w:noWrap w:val="0"/>
            <w:vAlign w:val="center"/>
          </w:tcPr>
          <w:p w14:paraId="497C47D8">
            <w:pPr>
              <w:adjustRightInd w:val="0"/>
              <w:spacing w:line="360" w:lineRule="auto"/>
              <w:jc w:val="center"/>
              <w:rPr>
                <w:rFonts w:hint="eastAsia" w:ascii="宋体" w:hAnsi="宋体" w:eastAsia="宋体" w:cs="宋体"/>
                <w:color w:val="auto"/>
                <w:sz w:val="18"/>
                <w:szCs w:val="16"/>
                <w:highlight w:val="none"/>
              </w:rPr>
            </w:pPr>
            <w:r>
              <w:rPr>
                <w:rFonts w:hint="eastAsia" w:ascii="宋体" w:hAnsi="宋体" w:eastAsia="宋体" w:cs="宋体"/>
                <w:color w:val="auto"/>
                <w:sz w:val="18"/>
                <w:szCs w:val="16"/>
                <w:highlight w:val="none"/>
                <w:lang w:val="en-US" w:eastAsia="zh-CN"/>
              </w:rPr>
              <w:t>财政补贴价</w:t>
            </w:r>
          </w:p>
        </w:tc>
        <w:tc>
          <w:tcPr>
            <w:tcW w:w="1019" w:type="dxa"/>
            <w:noWrap w:val="0"/>
            <w:vAlign w:val="center"/>
          </w:tcPr>
          <w:p w14:paraId="0FF77B3A">
            <w:pPr>
              <w:adjustRightInd w:val="0"/>
              <w:spacing w:line="360" w:lineRule="auto"/>
              <w:jc w:val="center"/>
              <w:rPr>
                <w:rFonts w:hint="default"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合</w:t>
            </w:r>
            <w:r>
              <w:rPr>
                <w:rFonts w:hint="eastAsia" w:ascii="宋体" w:hAnsi="宋体" w:eastAsia="宋体" w:cs="宋体"/>
                <w:color w:val="auto"/>
                <w:sz w:val="18"/>
                <w:szCs w:val="16"/>
                <w:highlight w:val="none"/>
              </w:rPr>
              <w:t>价（元）</w:t>
            </w:r>
          </w:p>
        </w:tc>
        <w:tc>
          <w:tcPr>
            <w:tcW w:w="1108" w:type="dxa"/>
            <w:noWrap w:val="0"/>
            <w:vAlign w:val="center"/>
          </w:tcPr>
          <w:p w14:paraId="6CDC4941">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生产厂家</w:t>
            </w:r>
          </w:p>
        </w:tc>
        <w:tc>
          <w:tcPr>
            <w:tcW w:w="1336" w:type="dxa"/>
            <w:noWrap w:val="0"/>
            <w:vAlign w:val="center"/>
          </w:tcPr>
          <w:p w14:paraId="23CD2C6F">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企业类型（中/小/微企业）</w:t>
            </w:r>
          </w:p>
        </w:tc>
        <w:tc>
          <w:tcPr>
            <w:tcW w:w="2637" w:type="dxa"/>
            <w:noWrap w:val="0"/>
            <w:vAlign w:val="center"/>
          </w:tcPr>
          <w:p w14:paraId="0A8733AA">
            <w:pPr>
              <w:adjustRightInd w:val="0"/>
              <w:spacing w:line="360" w:lineRule="auto"/>
              <w:jc w:val="center"/>
              <w:rPr>
                <w:rFonts w:hint="default"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备注</w:t>
            </w:r>
          </w:p>
        </w:tc>
      </w:tr>
      <w:tr w14:paraId="31E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65" w:type="dxa"/>
            <w:noWrap w:val="0"/>
            <w:vAlign w:val="center"/>
          </w:tcPr>
          <w:p w14:paraId="0D636BCE">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1</w:t>
            </w:r>
          </w:p>
        </w:tc>
        <w:tc>
          <w:tcPr>
            <w:tcW w:w="1717" w:type="dxa"/>
            <w:noWrap w:val="0"/>
            <w:vAlign w:val="center"/>
          </w:tcPr>
          <w:p w14:paraId="28EF8E78">
            <w:pPr>
              <w:jc w:val="center"/>
              <w:rPr>
                <w:rFonts w:hint="eastAsia" w:ascii="宋体" w:hAnsi="宋体" w:eastAsia="宋体" w:cs="宋体"/>
                <w:color w:val="auto"/>
                <w:sz w:val="18"/>
                <w:szCs w:val="16"/>
                <w:highlight w:val="none"/>
              </w:rPr>
            </w:pPr>
            <w:r>
              <w:rPr>
                <w:rFonts w:hint="eastAsia" w:ascii="宋体" w:hAnsi="宋体" w:eastAsia="宋体" w:cs="宋体"/>
                <w:sz w:val="18"/>
                <w:szCs w:val="18"/>
                <w:vertAlign w:val="baseline"/>
                <w:lang w:val="en-US" w:eastAsia="zh-CN"/>
              </w:rPr>
              <w:t>烟叶种植户使用</w:t>
            </w:r>
            <w:r>
              <w:rPr>
                <w:rFonts w:hint="eastAsia" w:ascii="宋体" w:hAnsi="宋体" w:eastAsia="宋体" w:cs="宋体"/>
                <w:sz w:val="18"/>
                <w:szCs w:val="18"/>
                <w:vertAlign w:val="baseline"/>
                <w:lang w:eastAsia="zh-CN"/>
              </w:rPr>
              <w:t>加厚高强度地膜</w:t>
            </w:r>
          </w:p>
        </w:tc>
        <w:tc>
          <w:tcPr>
            <w:tcW w:w="1132" w:type="dxa"/>
            <w:noWrap w:val="0"/>
            <w:vAlign w:val="center"/>
          </w:tcPr>
          <w:p w14:paraId="7D2A0AED">
            <w:pPr>
              <w:adjustRightInd w:val="0"/>
              <w:spacing w:line="360" w:lineRule="auto"/>
              <w:jc w:val="center"/>
              <w:rPr>
                <w:rFonts w:hint="eastAsia" w:ascii="宋体" w:hAnsi="宋体" w:eastAsia="宋体" w:cs="宋体"/>
                <w:color w:val="auto"/>
                <w:sz w:val="18"/>
                <w:szCs w:val="16"/>
                <w:highlight w:val="none"/>
              </w:rPr>
            </w:pPr>
          </w:p>
        </w:tc>
        <w:tc>
          <w:tcPr>
            <w:tcW w:w="1131" w:type="dxa"/>
            <w:noWrap w:val="0"/>
            <w:vAlign w:val="center"/>
          </w:tcPr>
          <w:p w14:paraId="2F5F2A6D">
            <w:pPr>
              <w:adjustRightInd w:val="0"/>
              <w:spacing w:line="360" w:lineRule="auto"/>
              <w:jc w:val="center"/>
              <w:rPr>
                <w:rFonts w:hint="eastAsia" w:ascii="宋体" w:hAnsi="宋体" w:eastAsia="宋体" w:cs="宋体"/>
                <w:color w:val="auto"/>
                <w:sz w:val="18"/>
                <w:szCs w:val="16"/>
                <w:highlight w:val="none"/>
              </w:rPr>
            </w:pPr>
          </w:p>
        </w:tc>
        <w:tc>
          <w:tcPr>
            <w:tcW w:w="1182" w:type="dxa"/>
            <w:noWrap w:val="0"/>
            <w:vAlign w:val="center"/>
          </w:tcPr>
          <w:p w14:paraId="007ED290">
            <w:pPr>
              <w:adjustRightInd w:val="0"/>
              <w:spacing w:line="360" w:lineRule="auto"/>
              <w:jc w:val="center"/>
              <w:rPr>
                <w:rFonts w:hint="eastAsia" w:ascii="宋体" w:hAnsi="宋体" w:eastAsia="宋体" w:cs="宋体"/>
                <w:color w:val="auto"/>
                <w:sz w:val="18"/>
                <w:szCs w:val="16"/>
                <w:highlight w:val="none"/>
              </w:rPr>
            </w:pPr>
          </w:p>
        </w:tc>
        <w:tc>
          <w:tcPr>
            <w:tcW w:w="926" w:type="dxa"/>
            <w:noWrap w:val="0"/>
            <w:vAlign w:val="center"/>
          </w:tcPr>
          <w:p w14:paraId="25ECB17B">
            <w:pPr>
              <w:adjustRightInd w:val="0"/>
              <w:spacing w:line="360" w:lineRule="auto"/>
              <w:jc w:val="center"/>
              <w:rPr>
                <w:rFonts w:hint="eastAsia" w:ascii="宋体" w:hAnsi="宋体" w:eastAsia="宋体" w:cs="宋体"/>
                <w:color w:val="auto"/>
                <w:sz w:val="18"/>
                <w:szCs w:val="16"/>
                <w:highlight w:val="none"/>
              </w:rPr>
            </w:pPr>
          </w:p>
        </w:tc>
        <w:tc>
          <w:tcPr>
            <w:tcW w:w="1004" w:type="dxa"/>
            <w:noWrap w:val="0"/>
            <w:vAlign w:val="center"/>
          </w:tcPr>
          <w:p w14:paraId="3EF64F85">
            <w:pPr>
              <w:adjustRightInd w:val="0"/>
              <w:spacing w:line="360" w:lineRule="auto"/>
              <w:jc w:val="center"/>
              <w:rPr>
                <w:rFonts w:hint="eastAsia" w:ascii="宋体" w:hAnsi="宋体" w:eastAsia="宋体" w:cs="宋体"/>
                <w:color w:val="auto"/>
                <w:sz w:val="18"/>
                <w:szCs w:val="16"/>
                <w:highlight w:val="none"/>
              </w:rPr>
            </w:pPr>
          </w:p>
        </w:tc>
        <w:tc>
          <w:tcPr>
            <w:tcW w:w="1068" w:type="dxa"/>
            <w:noWrap w:val="0"/>
            <w:vAlign w:val="center"/>
          </w:tcPr>
          <w:p w14:paraId="50312D6D">
            <w:pPr>
              <w:adjustRightInd w:val="0"/>
              <w:spacing w:line="360" w:lineRule="auto"/>
              <w:jc w:val="center"/>
              <w:rPr>
                <w:rFonts w:hint="default"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6元/kg</w:t>
            </w:r>
          </w:p>
        </w:tc>
        <w:tc>
          <w:tcPr>
            <w:tcW w:w="1019" w:type="dxa"/>
            <w:noWrap w:val="0"/>
            <w:vAlign w:val="center"/>
          </w:tcPr>
          <w:p w14:paraId="3CB12120">
            <w:pPr>
              <w:adjustRightInd w:val="0"/>
              <w:spacing w:line="360" w:lineRule="auto"/>
              <w:jc w:val="center"/>
              <w:rPr>
                <w:rFonts w:hint="default"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2820000</w:t>
            </w:r>
          </w:p>
        </w:tc>
        <w:tc>
          <w:tcPr>
            <w:tcW w:w="1108" w:type="dxa"/>
            <w:noWrap w:val="0"/>
            <w:vAlign w:val="center"/>
          </w:tcPr>
          <w:p w14:paraId="29693DA8">
            <w:pPr>
              <w:adjustRightInd w:val="0"/>
              <w:spacing w:line="360" w:lineRule="auto"/>
              <w:jc w:val="center"/>
              <w:rPr>
                <w:rFonts w:hint="eastAsia" w:ascii="宋体" w:hAnsi="宋体" w:eastAsia="宋体" w:cs="宋体"/>
                <w:color w:val="auto"/>
                <w:sz w:val="18"/>
                <w:szCs w:val="16"/>
                <w:highlight w:val="none"/>
              </w:rPr>
            </w:pPr>
          </w:p>
        </w:tc>
        <w:tc>
          <w:tcPr>
            <w:tcW w:w="1336" w:type="dxa"/>
            <w:noWrap w:val="0"/>
            <w:vAlign w:val="center"/>
          </w:tcPr>
          <w:p w14:paraId="4D864AFC">
            <w:pPr>
              <w:adjustRightInd w:val="0"/>
              <w:spacing w:line="360" w:lineRule="auto"/>
              <w:jc w:val="center"/>
              <w:rPr>
                <w:rFonts w:hint="eastAsia" w:ascii="宋体" w:hAnsi="宋体" w:eastAsia="宋体" w:cs="宋体"/>
                <w:color w:val="auto"/>
                <w:sz w:val="18"/>
                <w:szCs w:val="16"/>
                <w:highlight w:val="none"/>
              </w:rPr>
            </w:pPr>
          </w:p>
        </w:tc>
        <w:tc>
          <w:tcPr>
            <w:tcW w:w="2637" w:type="dxa"/>
            <w:noWrap w:val="0"/>
            <w:vAlign w:val="center"/>
          </w:tcPr>
          <w:p w14:paraId="4C4CB9AD">
            <w:pPr>
              <w:adjustRightInd w:val="0"/>
              <w:spacing w:line="240" w:lineRule="auto"/>
              <w:jc w:val="left"/>
              <w:rPr>
                <w:rFonts w:hint="default" w:ascii="宋体" w:hAnsi="宋体" w:eastAsia="宋体" w:cs="宋体"/>
                <w:color w:val="auto"/>
                <w:sz w:val="18"/>
                <w:szCs w:val="16"/>
                <w:highlight w:val="none"/>
                <w:lang w:val="en-US" w:eastAsia="zh-CN"/>
              </w:rPr>
            </w:pPr>
            <w:r>
              <w:rPr>
                <w:rFonts w:hint="eastAsia" w:ascii="宋体" w:hAnsi="宋体" w:eastAsia="宋体" w:cs="宋体"/>
                <w:b/>
                <w:bCs/>
                <w:color w:val="auto"/>
                <w:sz w:val="15"/>
                <w:szCs w:val="13"/>
                <w:highlight w:val="none"/>
                <w:lang w:val="en-US" w:eastAsia="zh-CN"/>
              </w:rPr>
              <w:t>供应商在投标时，烟农地膜合价=财政补贴价*数量=6元/kg*470000kg=2820000元</w:t>
            </w:r>
          </w:p>
        </w:tc>
      </w:tr>
      <w:tr w14:paraId="51B9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65" w:type="dxa"/>
            <w:noWrap w:val="0"/>
            <w:vAlign w:val="center"/>
          </w:tcPr>
          <w:p w14:paraId="343BF5B6">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2</w:t>
            </w:r>
          </w:p>
        </w:tc>
        <w:tc>
          <w:tcPr>
            <w:tcW w:w="1717" w:type="dxa"/>
            <w:noWrap w:val="0"/>
            <w:vAlign w:val="center"/>
          </w:tcPr>
          <w:p w14:paraId="5D6142E2">
            <w:pPr>
              <w:jc w:val="center"/>
              <w:rPr>
                <w:rFonts w:hint="eastAsia" w:ascii="宋体" w:hAnsi="宋体" w:eastAsia="宋体" w:cs="宋体"/>
                <w:color w:val="auto"/>
                <w:sz w:val="18"/>
                <w:szCs w:val="16"/>
                <w:highlight w:val="none"/>
              </w:rPr>
            </w:pPr>
            <w:r>
              <w:rPr>
                <w:rFonts w:hint="eastAsia" w:ascii="宋体" w:hAnsi="宋体" w:eastAsia="宋体" w:cs="宋体"/>
                <w:sz w:val="18"/>
                <w:szCs w:val="18"/>
                <w:vertAlign w:val="baseline"/>
                <w:lang w:val="en-US" w:eastAsia="zh-CN"/>
              </w:rPr>
              <w:t>粮食、果蔬、中药材种植户及农民专业合作社使用</w:t>
            </w:r>
            <w:r>
              <w:rPr>
                <w:rFonts w:hint="eastAsia" w:ascii="宋体" w:hAnsi="宋体" w:eastAsia="宋体" w:cs="宋体"/>
                <w:sz w:val="18"/>
                <w:szCs w:val="18"/>
                <w:vertAlign w:val="baseline"/>
                <w:lang w:eastAsia="zh-CN"/>
              </w:rPr>
              <w:t>加厚高强度地膜</w:t>
            </w:r>
          </w:p>
        </w:tc>
        <w:tc>
          <w:tcPr>
            <w:tcW w:w="1132" w:type="dxa"/>
            <w:noWrap w:val="0"/>
            <w:vAlign w:val="top"/>
          </w:tcPr>
          <w:p w14:paraId="4053515C">
            <w:pPr>
              <w:adjustRightInd w:val="0"/>
              <w:spacing w:line="360" w:lineRule="auto"/>
              <w:rPr>
                <w:rFonts w:hint="eastAsia" w:ascii="宋体" w:hAnsi="宋体" w:eastAsia="宋体" w:cs="宋体"/>
                <w:color w:val="auto"/>
                <w:sz w:val="18"/>
                <w:szCs w:val="16"/>
                <w:highlight w:val="none"/>
              </w:rPr>
            </w:pPr>
          </w:p>
        </w:tc>
        <w:tc>
          <w:tcPr>
            <w:tcW w:w="1131" w:type="dxa"/>
            <w:noWrap w:val="0"/>
            <w:vAlign w:val="top"/>
          </w:tcPr>
          <w:p w14:paraId="1608C1E6">
            <w:pPr>
              <w:adjustRightInd w:val="0"/>
              <w:spacing w:line="360" w:lineRule="auto"/>
              <w:rPr>
                <w:rFonts w:hint="eastAsia" w:ascii="宋体" w:hAnsi="宋体" w:eastAsia="宋体" w:cs="宋体"/>
                <w:color w:val="auto"/>
                <w:sz w:val="18"/>
                <w:szCs w:val="16"/>
                <w:highlight w:val="none"/>
              </w:rPr>
            </w:pPr>
          </w:p>
        </w:tc>
        <w:tc>
          <w:tcPr>
            <w:tcW w:w="1182" w:type="dxa"/>
            <w:noWrap w:val="0"/>
            <w:vAlign w:val="top"/>
          </w:tcPr>
          <w:p w14:paraId="384EBDAD">
            <w:pPr>
              <w:adjustRightInd w:val="0"/>
              <w:spacing w:line="360" w:lineRule="auto"/>
              <w:rPr>
                <w:rFonts w:hint="eastAsia" w:ascii="宋体" w:hAnsi="宋体" w:eastAsia="宋体" w:cs="宋体"/>
                <w:color w:val="auto"/>
                <w:sz w:val="18"/>
                <w:szCs w:val="16"/>
                <w:highlight w:val="none"/>
              </w:rPr>
            </w:pPr>
          </w:p>
        </w:tc>
        <w:tc>
          <w:tcPr>
            <w:tcW w:w="926" w:type="dxa"/>
            <w:noWrap w:val="0"/>
            <w:vAlign w:val="top"/>
          </w:tcPr>
          <w:p w14:paraId="7F9027F4">
            <w:pPr>
              <w:adjustRightInd w:val="0"/>
              <w:spacing w:line="360" w:lineRule="auto"/>
              <w:rPr>
                <w:rFonts w:hint="eastAsia" w:ascii="宋体" w:hAnsi="宋体" w:eastAsia="宋体" w:cs="宋体"/>
                <w:color w:val="auto"/>
                <w:sz w:val="18"/>
                <w:szCs w:val="16"/>
                <w:highlight w:val="none"/>
              </w:rPr>
            </w:pPr>
          </w:p>
        </w:tc>
        <w:tc>
          <w:tcPr>
            <w:tcW w:w="1004" w:type="dxa"/>
            <w:noWrap w:val="0"/>
            <w:vAlign w:val="top"/>
          </w:tcPr>
          <w:p w14:paraId="57DBEAE9">
            <w:pPr>
              <w:adjustRightInd w:val="0"/>
              <w:spacing w:line="360" w:lineRule="auto"/>
              <w:rPr>
                <w:rFonts w:hint="eastAsia" w:ascii="宋体" w:hAnsi="宋体" w:eastAsia="宋体" w:cs="宋体"/>
                <w:color w:val="auto"/>
                <w:sz w:val="18"/>
                <w:szCs w:val="16"/>
                <w:highlight w:val="none"/>
              </w:rPr>
            </w:pPr>
          </w:p>
        </w:tc>
        <w:tc>
          <w:tcPr>
            <w:tcW w:w="1068" w:type="dxa"/>
            <w:noWrap w:val="0"/>
            <w:vAlign w:val="top"/>
          </w:tcPr>
          <w:p w14:paraId="3E92465C">
            <w:pPr>
              <w:adjustRightInd w:val="0"/>
              <w:spacing w:line="360" w:lineRule="auto"/>
              <w:jc w:val="center"/>
              <w:rPr>
                <w:rFonts w:hint="eastAsia" w:ascii="宋体" w:hAnsi="宋体" w:eastAsia="宋体" w:cs="宋体"/>
                <w:color w:val="auto"/>
                <w:sz w:val="18"/>
                <w:szCs w:val="16"/>
                <w:highlight w:val="none"/>
                <w:lang w:val="en-US" w:eastAsia="zh-CN"/>
              </w:rPr>
            </w:pPr>
          </w:p>
          <w:p w14:paraId="419B5177">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w:t>
            </w:r>
          </w:p>
        </w:tc>
        <w:tc>
          <w:tcPr>
            <w:tcW w:w="1019" w:type="dxa"/>
            <w:noWrap w:val="0"/>
            <w:vAlign w:val="top"/>
          </w:tcPr>
          <w:p w14:paraId="7D5D7816">
            <w:pPr>
              <w:adjustRightInd w:val="0"/>
              <w:spacing w:line="360" w:lineRule="auto"/>
              <w:rPr>
                <w:rFonts w:hint="eastAsia" w:ascii="宋体" w:hAnsi="宋体" w:eastAsia="宋体" w:cs="宋体"/>
                <w:color w:val="auto"/>
                <w:sz w:val="18"/>
                <w:szCs w:val="16"/>
                <w:highlight w:val="none"/>
              </w:rPr>
            </w:pPr>
          </w:p>
        </w:tc>
        <w:tc>
          <w:tcPr>
            <w:tcW w:w="1108" w:type="dxa"/>
            <w:noWrap w:val="0"/>
            <w:vAlign w:val="top"/>
          </w:tcPr>
          <w:p w14:paraId="6FEA6C87">
            <w:pPr>
              <w:adjustRightInd w:val="0"/>
              <w:spacing w:line="360" w:lineRule="auto"/>
              <w:rPr>
                <w:rFonts w:hint="eastAsia" w:ascii="宋体" w:hAnsi="宋体" w:eastAsia="宋体" w:cs="宋体"/>
                <w:color w:val="auto"/>
                <w:sz w:val="18"/>
                <w:szCs w:val="16"/>
                <w:highlight w:val="none"/>
              </w:rPr>
            </w:pPr>
          </w:p>
        </w:tc>
        <w:tc>
          <w:tcPr>
            <w:tcW w:w="1336" w:type="dxa"/>
            <w:noWrap w:val="0"/>
            <w:vAlign w:val="top"/>
          </w:tcPr>
          <w:p w14:paraId="3BDB5E03">
            <w:pPr>
              <w:adjustRightInd w:val="0"/>
              <w:spacing w:line="360" w:lineRule="auto"/>
              <w:rPr>
                <w:rFonts w:hint="eastAsia" w:ascii="宋体" w:hAnsi="宋体" w:eastAsia="宋体" w:cs="宋体"/>
                <w:color w:val="auto"/>
                <w:sz w:val="18"/>
                <w:szCs w:val="16"/>
                <w:highlight w:val="none"/>
              </w:rPr>
            </w:pPr>
          </w:p>
        </w:tc>
        <w:tc>
          <w:tcPr>
            <w:tcW w:w="2637" w:type="dxa"/>
            <w:noWrap w:val="0"/>
            <w:vAlign w:val="top"/>
          </w:tcPr>
          <w:p w14:paraId="6EDD3E88">
            <w:pPr>
              <w:adjustRightInd w:val="0"/>
              <w:spacing w:line="360" w:lineRule="auto"/>
              <w:rPr>
                <w:rFonts w:hint="eastAsia" w:ascii="宋体" w:hAnsi="宋体" w:eastAsia="宋体" w:cs="宋体"/>
                <w:color w:val="auto"/>
                <w:sz w:val="18"/>
                <w:szCs w:val="16"/>
                <w:highlight w:val="none"/>
              </w:rPr>
            </w:pPr>
          </w:p>
        </w:tc>
      </w:tr>
      <w:tr w14:paraId="4CBB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65" w:type="dxa"/>
            <w:noWrap w:val="0"/>
            <w:vAlign w:val="center"/>
          </w:tcPr>
          <w:p w14:paraId="420049C8">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3</w:t>
            </w:r>
          </w:p>
        </w:tc>
        <w:tc>
          <w:tcPr>
            <w:tcW w:w="1717" w:type="dxa"/>
            <w:noWrap w:val="0"/>
            <w:vAlign w:val="center"/>
          </w:tcPr>
          <w:p w14:paraId="7AC64EBE">
            <w:pPr>
              <w:jc w:val="center"/>
              <w:rPr>
                <w:rFonts w:hint="eastAsia" w:ascii="宋体" w:hAnsi="宋体" w:eastAsia="宋体" w:cs="宋体"/>
                <w:color w:val="auto"/>
                <w:sz w:val="18"/>
                <w:szCs w:val="16"/>
                <w:highlight w:val="none"/>
              </w:rPr>
            </w:pPr>
            <w:r>
              <w:rPr>
                <w:rFonts w:hint="eastAsia" w:ascii="宋体" w:hAnsi="宋体" w:eastAsia="宋体" w:cs="宋体"/>
                <w:sz w:val="18"/>
                <w:szCs w:val="18"/>
                <w:vertAlign w:val="baseline"/>
                <w:lang w:val="en-US" w:eastAsia="zh-CN"/>
              </w:rPr>
              <w:t>“以新换旧”置换农户回收的废旧地膜</w:t>
            </w:r>
          </w:p>
        </w:tc>
        <w:tc>
          <w:tcPr>
            <w:tcW w:w="1132" w:type="dxa"/>
            <w:noWrap w:val="0"/>
            <w:vAlign w:val="top"/>
          </w:tcPr>
          <w:p w14:paraId="1E2CF9D7">
            <w:pPr>
              <w:adjustRightInd w:val="0"/>
              <w:spacing w:line="360" w:lineRule="auto"/>
              <w:rPr>
                <w:rFonts w:hint="eastAsia" w:ascii="宋体" w:hAnsi="宋体" w:eastAsia="宋体" w:cs="宋体"/>
                <w:color w:val="auto"/>
                <w:sz w:val="18"/>
                <w:szCs w:val="16"/>
                <w:highlight w:val="none"/>
              </w:rPr>
            </w:pPr>
          </w:p>
        </w:tc>
        <w:tc>
          <w:tcPr>
            <w:tcW w:w="1131" w:type="dxa"/>
            <w:noWrap w:val="0"/>
            <w:vAlign w:val="top"/>
          </w:tcPr>
          <w:p w14:paraId="7ED1700C">
            <w:pPr>
              <w:adjustRightInd w:val="0"/>
              <w:spacing w:line="360" w:lineRule="auto"/>
              <w:rPr>
                <w:rFonts w:hint="eastAsia" w:ascii="宋体" w:hAnsi="宋体" w:eastAsia="宋体" w:cs="宋体"/>
                <w:color w:val="auto"/>
                <w:sz w:val="18"/>
                <w:szCs w:val="16"/>
                <w:highlight w:val="none"/>
              </w:rPr>
            </w:pPr>
          </w:p>
        </w:tc>
        <w:tc>
          <w:tcPr>
            <w:tcW w:w="1182" w:type="dxa"/>
            <w:noWrap w:val="0"/>
            <w:vAlign w:val="top"/>
          </w:tcPr>
          <w:p w14:paraId="7B6CCB97">
            <w:pPr>
              <w:adjustRightInd w:val="0"/>
              <w:spacing w:line="360" w:lineRule="auto"/>
              <w:rPr>
                <w:rFonts w:hint="eastAsia" w:ascii="宋体" w:hAnsi="宋体" w:eastAsia="宋体" w:cs="宋体"/>
                <w:color w:val="auto"/>
                <w:sz w:val="18"/>
                <w:szCs w:val="16"/>
                <w:highlight w:val="none"/>
              </w:rPr>
            </w:pPr>
          </w:p>
        </w:tc>
        <w:tc>
          <w:tcPr>
            <w:tcW w:w="926" w:type="dxa"/>
            <w:noWrap w:val="0"/>
            <w:vAlign w:val="top"/>
          </w:tcPr>
          <w:p w14:paraId="19DAFC31">
            <w:pPr>
              <w:adjustRightInd w:val="0"/>
              <w:spacing w:line="360" w:lineRule="auto"/>
              <w:rPr>
                <w:rFonts w:hint="eastAsia" w:ascii="宋体" w:hAnsi="宋体" w:eastAsia="宋体" w:cs="宋体"/>
                <w:color w:val="auto"/>
                <w:sz w:val="18"/>
                <w:szCs w:val="16"/>
                <w:highlight w:val="none"/>
              </w:rPr>
            </w:pPr>
          </w:p>
        </w:tc>
        <w:tc>
          <w:tcPr>
            <w:tcW w:w="1004" w:type="dxa"/>
            <w:noWrap w:val="0"/>
            <w:vAlign w:val="top"/>
          </w:tcPr>
          <w:p w14:paraId="0C8DA881">
            <w:pPr>
              <w:adjustRightInd w:val="0"/>
              <w:spacing w:line="360" w:lineRule="auto"/>
              <w:rPr>
                <w:rFonts w:hint="eastAsia" w:ascii="宋体" w:hAnsi="宋体" w:eastAsia="宋体" w:cs="宋体"/>
                <w:color w:val="auto"/>
                <w:sz w:val="18"/>
                <w:szCs w:val="16"/>
                <w:highlight w:val="none"/>
              </w:rPr>
            </w:pPr>
          </w:p>
        </w:tc>
        <w:tc>
          <w:tcPr>
            <w:tcW w:w="1068" w:type="dxa"/>
            <w:noWrap w:val="0"/>
            <w:vAlign w:val="top"/>
          </w:tcPr>
          <w:p w14:paraId="60BFFB3E">
            <w:pPr>
              <w:adjustRightInd w:val="0"/>
              <w:spacing w:line="360" w:lineRule="auto"/>
              <w:jc w:val="center"/>
              <w:rPr>
                <w:rFonts w:hint="eastAsia" w:ascii="宋体" w:hAnsi="宋体" w:eastAsia="宋体" w:cs="宋体"/>
                <w:color w:val="auto"/>
                <w:sz w:val="18"/>
                <w:szCs w:val="16"/>
                <w:highlight w:val="none"/>
                <w:lang w:val="en-US" w:eastAsia="zh-CN"/>
              </w:rPr>
            </w:pPr>
          </w:p>
          <w:p w14:paraId="76E83D7B">
            <w:pPr>
              <w:adjustRightInd w:val="0"/>
              <w:spacing w:line="360" w:lineRule="auto"/>
              <w:jc w:val="center"/>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w:t>
            </w:r>
          </w:p>
        </w:tc>
        <w:tc>
          <w:tcPr>
            <w:tcW w:w="1019" w:type="dxa"/>
            <w:noWrap w:val="0"/>
            <w:vAlign w:val="top"/>
          </w:tcPr>
          <w:p w14:paraId="376C8686">
            <w:pPr>
              <w:adjustRightInd w:val="0"/>
              <w:spacing w:line="360" w:lineRule="auto"/>
              <w:rPr>
                <w:rFonts w:hint="eastAsia" w:ascii="宋体" w:hAnsi="宋体" w:eastAsia="宋体" w:cs="宋体"/>
                <w:color w:val="auto"/>
                <w:sz w:val="18"/>
                <w:szCs w:val="16"/>
                <w:highlight w:val="none"/>
              </w:rPr>
            </w:pPr>
          </w:p>
        </w:tc>
        <w:tc>
          <w:tcPr>
            <w:tcW w:w="1108" w:type="dxa"/>
            <w:noWrap w:val="0"/>
            <w:vAlign w:val="top"/>
          </w:tcPr>
          <w:p w14:paraId="0F195622">
            <w:pPr>
              <w:adjustRightInd w:val="0"/>
              <w:spacing w:line="360" w:lineRule="auto"/>
              <w:rPr>
                <w:rFonts w:hint="eastAsia" w:ascii="宋体" w:hAnsi="宋体" w:eastAsia="宋体" w:cs="宋体"/>
                <w:color w:val="auto"/>
                <w:sz w:val="18"/>
                <w:szCs w:val="16"/>
                <w:highlight w:val="none"/>
              </w:rPr>
            </w:pPr>
          </w:p>
        </w:tc>
        <w:tc>
          <w:tcPr>
            <w:tcW w:w="1336" w:type="dxa"/>
            <w:noWrap w:val="0"/>
            <w:vAlign w:val="top"/>
          </w:tcPr>
          <w:p w14:paraId="634816D9">
            <w:pPr>
              <w:adjustRightInd w:val="0"/>
              <w:spacing w:line="360" w:lineRule="auto"/>
              <w:rPr>
                <w:rFonts w:hint="eastAsia" w:ascii="宋体" w:hAnsi="宋体" w:eastAsia="宋体" w:cs="宋体"/>
                <w:color w:val="auto"/>
                <w:sz w:val="18"/>
                <w:szCs w:val="16"/>
                <w:highlight w:val="none"/>
              </w:rPr>
            </w:pPr>
          </w:p>
        </w:tc>
        <w:tc>
          <w:tcPr>
            <w:tcW w:w="2637" w:type="dxa"/>
            <w:noWrap w:val="0"/>
            <w:vAlign w:val="top"/>
          </w:tcPr>
          <w:p w14:paraId="3CB8149D">
            <w:pPr>
              <w:adjustRightInd w:val="0"/>
              <w:spacing w:line="360" w:lineRule="auto"/>
              <w:rPr>
                <w:rFonts w:hint="eastAsia" w:ascii="宋体" w:hAnsi="宋体" w:eastAsia="宋体" w:cs="宋体"/>
                <w:color w:val="auto"/>
                <w:sz w:val="18"/>
                <w:szCs w:val="16"/>
                <w:highlight w:val="none"/>
              </w:rPr>
            </w:pPr>
          </w:p>
        </w:tc>
      </w:tr>
    </w:tbl>
    <w:p w14:paraId="149B0933">
      <w:pPr>
        <w:spacing w:line="400" w:lineRule="exact"/>
        <w:ind w:right="480"/>
        <w:jc w:val="right"/>
        <w:rPr>
          <w:rFonts w:hint="eastAsia" w:ascii="宋体" w:hAnsi="宋体" w:eastAsia="宋体" w:cs="宋体"/>
          <w:color w:val="auto"/>
          <w:sz w:val="21"/>
          <w:szCs w:val="21"/>
          <w:highlight w:val="none"/>
          <w:lang w:val="en-US" w:eastAsia="zh-CN"/>
        </w:rPr>
      </w:pPr>
    </w:p>
    <w:p w14:paraId="2AE86A39">
      <w:pPr>
        <w:spacing w:line="400" w:lineRule="exact"/>
        <w:ind w:firstLine="2400" w:firstLineChars="10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p>
    <w:p w14:paraId="17E9BB51">
      <w:pPr>
        <w:spacing w:line="400" w:lineRule="exact"/>
        <w:ind w:right="480" w:firstLine="2400" w:firstLineChars="10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p>
    <w:p w14:paraId="72D74C0A">
      <w:pPr>
        <w:spacing w:line="500" w:lineRule="exact"/>
        <w:ind w:firstLine="3523" w:firstLineChars="1468"/>
        <w:jc w:val="center"/>
        <w:rPr>
          <w:rFonts w:hint="eastAsia" w:ascii="宋体" w:hAnsi="宋体" w:eastAsia="宋体" w:cs="宋体"/>
          <w:bCs/>
          <w:color w:val="auto"/>
          <w:sz w:val="28"/>
          <w:szCs w:val="28"/>
          <w:highlight w:val="none"/>
        </w:rPr>
      </w:pPr>
      <w:r>
        <w:rPr>
          <w:rFonts w:hint="eastAsia" w:ascii="宋体" w:hAnsi="宋体" w:eastAsia="宋体" w:cs="宋体"/>
          <w:iCs/>
          <w:color w:val="auto"/>
          <w:sz w:val="24"/>
          <w:szCs w:val="24"/>
          <w:highlight w:val="none"/>
        </w:rPr>
        <w:t>日</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期</w:t>
      </w:r>
      <w:r>
        <w:rPr>
          <w:rFonts w:hint="eastAsia" w:ascii="宋体" w:hAnsi="宋体" w:eastAsia="宋体" w:cs="宋体"/>
          <w:iCs/>
          <w:color w:val="auto"/>
          <w:sz w:val="28"/>
          <w:szCs w:val="28"/>
          <w:highlight w:val="none"/>
        </w:rPr>
        <w:t>：</w:t>
      </w:r>
    </w:p>
    <w:p w14:paraId="22A38F4E">
      <w:pPr>
        <w:spacing w:line="500" w:lineRule="exact"/>
        <w:rPr>
          <w:rFonts w:hint="eastAsia" w:ascii="宋体" w:hAnsi="宋体" w:eastAsia="宋体" w:cs="宋体"/>
          <w:b/>
          <w:bCs/>
          <w:color w:val="auto"/>
          <w:sz w:val="32"/>
          <w:szCs w:val="32"/>
          <w:highlight w:val="none"/>
        </w:rPr>
        <w:sectPr>
          <w:headerReference r:id="rId6" w:type="default"/>
          <w:footerReference r:id="rId7" w:type="default"/>
          <w:pgSz w:w="16838" w:h="11906" w:orient="landscape"/>
          <w:pgMar w:top="1440" w:right="1440" w:bottom="1440" w:left="1440" w:header="851" w:footer="992" w:gutter="0"/>
          <w:cols w:space="0" w:num="1"/>
          <w:rtlGutter w:val="0"/>
          <w:docGrid w:type="lines" w:linePitch="322" w:charSpace="0"/>
        </w:sectPr>
      </w:pPr>
    </w:p>
    <w:p w14:paraId="35B7FC9B">
      <w:pPr>
        <w:keepNext/>
        <w:keepLines/>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（二）技术偏差表</w:t>
      </w:r>
    </w:p>
    <w:tbl>
      <w:tblPr>
        <w:tblStyle w:val="32"/>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C69C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2EC600AB">
            <w:pPr>
              <w:snapToGrid w:val="0"/>
              <w:spacing w:before="312" w:beforeLines="100" w:after="312" w:afterLines="1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7" w:type="dxa"/>
            <w:noWrap w:val="0"/>
            <w:vAlign w:val="center"/>
          </w:tcPr>
          <w:p w14:paraId="13D17806">
            <w:pPr>
              <w:snapToGrid w:val="0"/>
              <w:spacing w:before="156" w:beforeLines="5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509" w:type="dxa"/>
            <w:noWrap w:val="0"/>
            <w:vAlign w:val="center"/>
          </w:tcPr>
          <w:p w14:paraId="40B78C6D">
            <w:pPr>
              <w:snapToGrid w:val="0"/>
              <w:spacing w:before="156" w:beforeLines="5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文件技术需求</w:t>
            </w:r>
          </w:p>
        </w:tc>
        <w:tc>
          <w:tcPr>
            <w:tcW w:w="2425" w:type="dxa"/>
            <w:noWrap w:val="0"/>
            <w:vAlign w:val="center"/>
          </w:tcPr>
          <w:p w14:paraId="64543120">
            <w:pPr>
              <w:snapToGrid w:val="0"/>
              <w:spacing w:before="156" w:beforeLines="50" w:after="156" w:afterLines="50"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文件的技术参数</w:t>
            </w:r>
          </w:p>
        </w:tc>
        <w:tc>
          <w:tcPr>
            <w:tcW w:w="1744" w:type="dxa"/>
            <w:noWrap w:val="0"/>
            <w:vAlign w:val="center"/>
          </w:tcPr>
          <w:p w14:paraId="5CE8A20C">
            <w:pPr>
              <w:snapToGrid w:val="0"/>
              <w:spacing w:before="156" w:beforeLines="5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偏差说明</w:t>
            </w:r>
          </w:p>
        </w:tc>
      </w:tr>
      <w:tr w14:paraId="7A67B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56446978">
            <w:pPr>
              <w:snapToGrid w:val="0"/>
              <w:spacing w:before="312" w:beforeLines="100" w:after="312" w:afterLines="1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7" w:type="dxa"/>
            <w:noWrap w:val="0"/>
            <w:vAlign w:val="center"/>
          </w:tcPr>
          <w:p w14:paraId="35B4DA0D">
            <w:pPr>
              <w:spacing w:line="360" w:lineRule="auto"/>
              <w:jc w:val="center"/>
              <w:rPr>
                <w:rFonts w:hint="eastAsia" w:ascii="宋体" w:hAnsi="宋体" w:eastAsia="宋体" w:cs="宋体"/>
                <w:color w:val="auto"/>
                <w:szCs w:val="21"/>
                <w:highlight w:val="none"/>
              </w:rPr>
            </w:pPr>
          </w:p>
        </w:tc>
        <w:tc>
          <w:tcPr>
            <w:tcW w:w="2509" w:type="dxa"/>
            <w:noWrap w:val="0"/>
            <w:vAlign w:val="center"/>
          </w:tcPr>
          <w:p w14:paraId="1FAA0E0D">
            <w:pPr>
              <w:spacing w:line="360" w:lineRule="auto"/>
              <w:jc w:val="center"/>
              <w:rPr>
                <w:rFonts w:hint="eastAsia" w:ascii="宋体" w:hAnsi="宋体" w:eastAsia="宋体" w:cs="宋体"/>
                <w:color w:val="auto"/>
                <w:szCs w:val="21"/>
                <w:highlight w:val="none"/>
              </w:rPr>
            </w:pPr>
          </w:p>
        </w:tc>
        <w:tc>
          <w:tcPr>
            <w:tcW w:w="2425" w:type="dxa"/>
            <w:noWrap w:val="0"/>
            <w:vAlign w:val="center"/>
          </w:tcPr>
          <w:p w14:paraId="4D059DA6">
            <w:pPr>
              <w:spacing w:line="360" w:lineRule="auto"/>
              <w:jc w:val="center"/>
              <w:rPr>
                <w:rFonts w:hint="eastAsia" w:ascii="宋体" w:hAnsi="宋体" w:eastAsia="宋体" w:cs="宋体"/>
                <w:color w:val="auto"/>
                <w:szCs w:val="21"/>
                <w:highlight w:val="none"/>
              </w:rPr>
            </w:pPr>
          </w:p>
        </w:tc>
        <w:tc>
          <w:tcPr>
            <w:tcW w:w="1744" w:type="dxa"/>
            <w:noWrap w:val="0"/>
            <w:vAlign w:val="center"/>
          </w:tcPr>
          <w:p w14:paraId="36D94CE1">
            <w:pPr>
              <w:spacing w:line="360" w:lineRule="auto"/>
              <w:jc w:val="center"/>
              <w:rPr>
                <w:rFonts w:hint="eastAsia" w:ascii="宋体" w:hAnsi="宋体" w:eastAsia="宋体" w:cs="宋体"/>
                <w:color w:val="auto"/>
                <w:szCs w:val="21"/>
                <w:highlight w:val="none"/>
              </w:rPr>
            </w:pPr>
          </w:p>
        </w:tc>
      </w:tr>
      <w:tr w14:paraId="392AE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4E336AFF">
            <w:pPr>
              <w:snapToGrid w:val="0"/>
              <w:spacing w:before="312" w:beforeLines="100" w:after="312" w:afterLines="1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7" w:type="dxa"/>
            <w:noWrap w:val="0"/>
            <w:vAlign w:val="center"/>
          </w:tcPr>
          <w:p w14:paraId="6E375E55">
            <w:pPr>
              <w:spacing w:line="360" w:lineRule="auto"/>
              <w:jc w:val="center"/>
              <w:rPr>
                <w:rFonts w:hint="eastAsia" w:ascii="宋体" w:hAnsi="宋体" w:eastAsia="宋体" w:cs="宋体"/>
                <w:color w:val="auto"/>
                <w:szCs w:val="21"/>
                <w:highlight w:val="none"/>
              </w:rPr>
            </w:pPr>
          </w:p>
        </w:tc>
        <w:tc>
          <w:tcPr>
            <w:tcW w:w="2509" w:type="dxa"/>
            <w:noWrap w:val="0"/>
            <w:vAlign w:val="center"/>
          </w:tcPr>
          <w:p w14:paraId="61BF839E">
            <w:pPr>
              <w:spacing w:line="360" w:lineRule="auto"/>
              <w:jc w:val="center"/>
              <w:rPr>
                <w:rFonts w:hint="eastAsia" w:ascii="宋体" w:hAnsi="宋体" w:eastAsia="宋体" w:cs="宋体"/>
                <w:color w:val="auto"/>
                <w:szCs w:val="21"/>
                <w:highlight w:val="none"/>
              </w:rPr>
            </w:pPr>
          </w:p>
        </w:tc>
        <w:tc>
          <w:tcPr>
            <w:tcW w:w="2425" w:type="dxa"/>
            <w:noWrap w:val="0"/>
            <w:vAlign w:val="center"/>
          </w:tcPr>
          <w:p w14:paraId="437BD307">
            <w:pPr>
              <w:spacing w:line="360" w:lineRule="auto"/>
              <w:jc w:val="center"/>
              <w:rPr>
                <w:rFonts w:hint="eastAsia" w:ascii="宋体" w:hAnsi="宋体" w:eastAsia="宋体" w:cs="宋体"/>
                <w:color w:val="auto"/>
                <w:szCs w:val="21"/>
                <w:highlight w:val="none"/>
              </w:rPr>
            </w:pPr>
          </w:p>
        </w:tc>
        <w:tc>
          <w:tcPr>
            <w:tcW w:w="1744" w:type="dxa"/>
            <w:noWrap w:val="0"/>
            <w:vAlign w:val="center"/>
          </w:tcPr>
          <w:p w14:paraId="3F7A8435">
            <w:pPr>
              <w:spacing w:line="360" w:lineRule="auto"/>
              <w:jc w:val="center"/>
              <w:rPr>
                <w:rFonts w:hint="eastAsia" w:ascii="宋体" w:hAnsi="宋体" w:eastAsia="宋体" w:cs="宋体"/>
                <w:color w:val="auto"/>
                <w:szCs w:val="21"/>
                <w:highlight w:val="none"/>
              </w:rPr>
            </w:pPr>
          </w:p>
        </w:tc>
      </w:tr>
      <w:tr w14:paraId="4C608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0C4CF542">
            <w:pPr>
              <w:snapToGrid w:val="0"/>
              <w:spacing w:before="312" w:beforeLines="100" w:after="312" w:afterLines="1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37" w:type="dxa"/>
            <w:noWrap w:val="0"/>
            <w:vAlign w:val="center"/>
          </w:tcPr>
          <w:p w14:paraId="034A76B4">
            <w:pPr>
              <w:spacing w:line="360" w:lineRule="auto"/>
              <w:jc w:val="center"/>
              <w:rPr>
                <w:rFonts w:hint="eastAsia" w:ascii="宋体" w:hAnsi="宋体" w:eastAsia="宋体" w:cs="宋体"/>
                <w:color w:val="auto"/>
                <w:szCs w:val="21"/>
                <w:highlight w:val="none"/>
              </w:rPr>
            </w:pPr>
          </w:p>
        </w:tc>
        <w:tc>
          <w:tcPr>
            <w:tcW w:w="2509" w:type="dxa"/>
            <w:noWrap w:val="0"/>
            <w:vAlign w:val="center"/>
          </w:tcPr>
          <w:p w14:paraId="6AE10844">
            <w:pPr>
              <w:spacing w:line="360" w:lineRule="auto"/>
              <w:jc w:val="center"/>
              <w:rPr>
                <w:rFonts w:hint="eastAsia" w:ascii="宋体" w:hAnsi="宋体" w:eastAsia="宋体" w:cs="宋体"/>
                <w:color w:val="auto"/>
                <w:szCs w:val="21"/>
                <w:highlight w:val="none"/>
              </w:rPr>
            </w:pPr>
          </w:p>
        </w:tc>
        <w:tc>
          <w:tcPr>
            <w:tcW w:w="2425" w:type="dxa"/>
            <w:noWrap w:val="0"/>
            <w:vAlign w:val="center"/>
          </w:tcPr>
          <w:p w14:paraId="36FDA05F">
            <w:pPr>
              <w:spacing w:line="360" w:lineRule="auto"/>
              <w:jc w:val="center"/>
              <w:rPr>
                <w:rFonts w:hint="eastAsia" w:ascii="宋体" w:hAnsi="宋体" w:eastAsia="宋体" w:cs="宋体"/>
                <w:color w:val="auto"/>
                <w:szCs w:val="21"/>
                <w:highlight w:val="none"/>
              </w:rPr>
            </w:pPr>
          </w:p>
        </w:tc>
        <w:tc>
          <w:tcPr>
            <w:tcW w:w="1744" w:type="dxa"/>
            <w:noWrap w:val="0"/>
            <w:vAlign w:val="center"/>
          </w:tcPr>
          <w:p w14:paraId="7D01ACE3">
            <w:pPr>
              <w:spacing w:line="360" w:lineRule="auto"/>
              <w:jc w:val="center"/>
              <w:rPr>
                <w:rFonts w:hint="eastAsia" w:ascii="宋体" w:hAnsi="宋体" w:eastAsia="宋体" w:cs="宋体"/>
                <w:color w:val="auto"/>
                <w:szCs w:val="21"/>
                <w:highlight w:val="none"/>
              </w:rPr>
            </w:pPr>
          </w:p>
        </w:tc>
      </w:tr>
    </w:tbl>
    <w:p w14:paraId="2088780D">
      <w:pPr>
        <w:spacing w:line="360" w:lineRule="auto"/>
        <w:rPr>
          <w:rFonts w:hint="eastAsia" w:ascii="宋体" w:hAnsi="宋体" w:eastAsia="宋体" w:cs="宋体"/>
          <w:bCs/>
          <w:color w:val="auto"/>
          <w:sz w:val="28"/>
          <w:szCs w:val="28"/>
          <w:highlight w:val="none"/>
        </w:rPr>
      </w:pPr>
    </w:p>
    <w:p w14:paraId="0050BBE6">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注：</w:t>
      </w:r>
      <w:r>
        <w:rPr>
          <w:rFonts w:hint="eastAsia" w:ascii="宋体" w:hAnsi="宋体" w:eastAsia="宋体" w:cs="宋体"/>
          <w:color w:val="auto"/>
          <w:szCs w:val="21"/>
          <w:highlight w:val="none"/>
        </w:rPr>
        <w:t>1. 供应商需按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文件第三章“采购需求”条款的要求逐条填写，列出所投产品或服务的具体技术指标，并辅以详细解释。除“满足”项目外，必须在偏差说明一栏中对偏差予以详细说明。</w:t>
      </w:r>
    </w:p>
    <w:p w14:paraId="558B66EF">
      <w:pPr>
        <w:adjustRightInd w:val="0"/>
        <w:snapToGrid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供应商可根据其响应内容进一步细化上述表格，并可增添其它表格或说明以便进一步明确响应内容。</w:t>
      </w:r>
    </w:p>
    <w:p w14:paraId="7738DD3B">
      <w:pPr>
        <w:adjustRightInd w:val="0"/>
        <w:snapToGrid w:val="0"/>
        <w:spacing w:line="360" w:lineRule="auto"/>
        <w:ind w:firstLine="440" w:firstLineChars="200"/>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3.未按要求填写，可能会造成不良后果，供应商自行承担。</w:t>
      </w:r>
    </w:p>
    <w:p w14:paraId="16164EBB">
      <w:pPr>
        <w:spacing w:line="480" w:lineRule="atLeas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二、法定代表人身份证明</w:t>
      </w:r>
      <w:bookmarkEnd w:id="65"/>
      <w:bookmarkEnd w:id="66"/>
      <w:bookmarkEnd w:id="67"/>
      <w:bookmarkEnd w:id="68"/>
    </w:p>
    <w:p w14:paraId="202D8DE5">
      <w:pPr>
        <w:spacing w:line="480" w:lineRule="atLeast"/>
        <w:rPr>
          <w:rFonts w:hint="eastAsia" w:ascii="宋体" w:hAnsi="宋体" w:eastAsia="宋体" w:cs="宋体"/>
          <w:b/>
          <w:color w:val="auto"/>
          <w:sz w:val="24"/>
          <w:highlight w:val="none"/>
        </w:rPr>
      </w:pPr>
    </w:p>
    <w:p w14:paraId="04710A13">
      <w:pPr>
        <w:wordWrap w:val="0"/>
        <w:overflowPunct w:val="0"/>
        <w:spacing w:beforeLines="50" w:afterLines="50" w:line="360" w:lineRule="auto"/>
        <w:ind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投标供应商名称：</w:t>
      </w:r>
    </w:p>
    <w:p w14:paraId="2E11EAFB">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单位性质：</w:t>
      </w:r>
    </w:p>
    <w:p w14:paraId="748D4C90">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地  址：</w:t>
      </w:r>
    </w:p>
    <w:p w14:paraId="3EF8CD30">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成立时间：年月日</w:t>
      </w:r>
    </w:p>
    <w:p w14:paraId="62F73110">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经营期限：</w:t>
      </w:r>
    </w:p>
    <w:p w14:paraId="1B7F1283">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姓名：     性别：</w:t>
      </w:r>
    </w:p>
    <w:p w14:paraId="41A442DD">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年龄：     职务：</w:t>
      </w:r>
    </w:p>
    <w:p w14:paraId="70CADC6D">
      <w:pPr>
        <w:wordWrap w:val="0"/>
        <w:overflowPunct w:val="0"/>
        <w:spacing w:beforeLines="50" w:after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（投标供应商名称）</w:t>
      </w:r>
      <w:r>
        <w:rPr>
          <w:rFonts w:hint="eastAsia" w:ascii="宋体" w:hAnsi="宋体" w:eastAsia="宋体" w:cs="宋体"/>
          <w:color w:val="auto"/>
          <w:kern w:val="0"/>
          <w:sz w:val="24"/>
          <w:highlight w:val="none"/>
        </w:rPr>
        <w:t>的法定代表人。</w:t>
      </w:r>
    </w:p>
    <w:p w14:paraId="23C43E92">
      <w:pPr>
        <w:wordWrap w:val="0"/>
        <w:overflowPunct w:val="0"/>
        <w:spacing w:beforeLines="50" w:afterLines="5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09952E3A">
      <w:pPr>
        <w:wordWrap w:val="0"/>
        <w:overflowPunct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附：法定代表人身份证扫描件。</w:t>
      </w:r>
    </w:p>
    <w:p w14:paraId="4C9DD518">
      <w:pPr>
        <w:rPr>
          <w:rFonts w:hint="eastAsia" w:ascii="宋体" w:hAnsi="宋体" w:eastAsia="宋体" w:cs="宋体"/>
          <w:color w:val="auto"/>
          <w:highlight w:val="none"/>
        </w:rPr>
      </w:pPr>
    </w:p>
    <w:p w14:paraId="003CE496">
      <w:pPr>
        <w:wordWrap w:val="0"/>
        <w:overflowPunct w:val="0"/>
        <w:spacing w:beforeLines="50" w:afterLines="50" w:line="360" w:lineRule="auto"/>
        <w:jc w:val="left"/>
        <w:rPr>
          <w:rFonts w:hint="eastAsia" w:ascii="宋体" w:hAnsi="宋体" w:eastAsia="宋体" w:cs="宋体"/>
          <w:color w:val="auto"/>
          <w:sz w:val="24"/>
          <w:highlight w:val="none"/>
        </w:rPr>
      </w:pPr>
    </w:p>
    <w:p w14:paraId="5D9F2455">
      <w:pPr>
        <w:wordWrap w:val="0"/>
        <w:overflowPunct w:val="0"/>
        <w:spacing w:beforeLines="50" w:afterLines="50" w:line="360" w:lineRule="auto"/>
        <w:jc w:val="left"/>
        <w:rPr>
          <w:rFonts w:hint="eastAsia" w:ascii="宋体" w:hAnsi="宋体" w:eastAsia="宋体" w:cs="宋体"/>
          <w:color w:val="auto"/>
          <w:sz w:val="24"/>
          <w:highlight w:val="none"/>
        </w:rPr>
      </w:pPr>
    </w:p>
    <w:p w14:paraId="58577E67">
      <w:pPr>
        <w:wordWrap w:val="0"/>
        <w:overflowPunct w:val="0"/>
        <w:spacing w:beforeLines="50" w:afterLines="50" w:line="360" w:lineRule="auto"/>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投标供应商：（</w:t>
      </w:r>
      <w:r>
        <w:rPr>
          <w:rFonts w:hint="eastAsia" w:ascii="宋体" w:hAnsi="宋体" w:eastAsia="宋体" w:cs="宋体"/>
          <w:bCs/>
          <w:color w:val="auto"/>
          <w:sz w:val="24"/>
          <w:highlight w:val="none"/>
        </w:rPr>
        <w:t>企业电子签章</w:t>
      </w:r>
      <w:r>
        <w:rPr>
          <w:rFonts w:hint="eastAsia" w:ascii="宋体" w:hAnsi="宋体" w:eastAsia="宋体" w:cs="宋体"/>
          <w:color w:val="auto"/>
          <w:kern w:val="0"/>
          <w:sz w:val="24"/>
          <w:highlight w:val="none"/>
        </w:rPr>
        <w:t>）</w:t>
      </w:r>
    </w:p>
    <w:p w14:paraId="5962ECC8">
      <w:pPr>
        <w:wordWrap w:val="0"/>
        <w:overflowPunct w:val="0"/>
        <w:spacing w:beforeLines="5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日      期： 年   月   日</w:t>
      </w:r>
    </w:p>
    <w:p w14:paraId="20D79753">
      <w:pPr>
        <w:spacing w:line="600" w:lineRule="exact"/>
        <w:jc w:val="center"/>
        <w:outlineLvl w:val="0"/>
        <w:rPr>
          <w:rFonts w:hint="eastAsia" w:ascii="宋体" w:hAnsi="宋体" w:eastAsia="宋体" w:cs="宋体"/>
          <w:b/>
          <w:color w:val="auto"/>
          <w:kern w:val="0"/>
          <w:sz w:val="32"/>
          <w:szCs w:val="32"/>
          <w:highlight w:val="none"/>
        </w:rPr>
      </w:pPr>
    </w:p>
    <w:p w14:paraId="26502C20">
      <w:pPr>
        <w:spacing w:line="480" w:lineRule="atLeast"/>
        <w:jc w:val="center"/>
        <w:outlineLvl w:val="0"/>
        <w:rPr>
          <w:rFonts w:hint="eastAsia" w:ascii="宋体" w:hAnsi="宋体" w:eastAsia="宋体" w:cs="宋体"/>
          <w:b/>
          <w:color w:val="auto"/>
          <w:sz w:val="28"/>
          <w:szCs w:val="28"/>
          <w:highlight w:val="none"/>
        </w:rPr>
      </w:pPr>
      <w:bookmarkStart w:id="72" w:name="_Toc23981_WPSOffice_Level1"/>
      <w:bookmarkStart w:id="73" w:name="_Toc21143"/>
      <w:bookmarkStart w:id="74" w:name="_Toc80256517"/>
      <w:bookmarkStart w:id="75" w:name="_Toc27252"/>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三、授权委托书</w:t>
      </w:r>
      <w:bookmarkEnd w:id="72"/>
      <w:bookmarkEnd w:id="73"/>
      <w:bookmarkEnd w:id="74"/>
      <w:bookmarkEnd w:id="75"/>
    </w:p>
    <w:p w14:paraId="19E7A36F">
      <w:pPr>
        <w:widowControl/>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系（投标供应商名称）的法定代表人，现委托（姓名）为我方代理人。代理人根据授权，以我方名义签署、澄清、说明、补正、递交、撤回、修改（项目名称）投标文件、签订合同和处理有关事宜，其法律后果由我方承担。</w:t>
      </w:r>
    </w:p>
    <w:p w14:paraId="5ED67E4A">
      <w:pPr>
        <w:widowControl/>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kern w:val="0"/>
          <w:sz w:val="24"/>
          <w:highlight w:val="none"/>
        </w:rPr>
        <w:t>。</w:t>
      </w:r>
    </w:p>
    <w:p w14:paraId="00E387A8">
      <w:pPr>
        <w:widowControl/>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代理人无转委托权。 </w:t>
      </w:r>
    </w:p>
    <w:p w14:paraId="48245CF5">
      <w:pPr>
        <w:widowControl/>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kern w:val="0"/>
          <w:sz w:val="24"/>
          <w:highlight w:val="none"/>
        </w:rPr>
        <w:t>法定代表人</w:t>
      </w:r>
      <w:r>
        <w:rPr>
          <w:rFonts w:hint="eastAsia" w:ascii="宋体" w:hAnsi="宋体" w:eastAsia="宋体" w:cs="宋体"/>
          <w:color w:val="auto"/>
          <w:sz w:val="24"/>
          <w:highlight w:val="none"/>
        </w:rPr>
        <w:t>和授权委托人</w:t>
      </w:r>
      <w:r>
        <w:rPr>
          <w:rFonts w:hint="eastAsia" w:ascii="宋体" w:hAnsi="宋体" w:eastAsia="宋体" w:cs="宋体"/>
          <w:color w:val="auto"/>
          <w:kern w:val="0"/>
          <w:sz w:val="24"/>
          <w:highlight w:val="none"/>
        </w:rPr>
        <w:t>身份证扫描件</w:t>
      </w:r>
      <w:r>
        <w:rPr>
          <w:rFonts w:hint="eastAsia" w:ascii="宋体" w:hAnsi="宋体" w:eastAsia="宋体" w:cs="宋体"/>
          <w:color w:val="auto"/>
          <w:sz w:val="24"/>
          <w:highlight w:val="none"/>
        </w:rPr>
        <w:t>。</w:t>
      </w:r>
    </w:p>
    <w:p w14:paraId="67B61F1F">
      <w:pPr>
        <w:rPr>
          <w:rFonts w:hint="eastAsia" w:ascii="宋体" w:hAnsi="宋体" w:eastAsia="宋体" w:cs="宋体"/>
          <w:color w:val="auto"/>
          <w:highlight w:val="none"/>
        </w:rPr>
      </w:pPr>
    </w:p>
    <w:p w14:paraId="743647E1">
      <w:pPr>
        <w:rPr>
          <w:rFonts w:hint="eastAsia" w:ascii="宋体" w:hAnsi="宋体" w:eastAsia="宋体" w:cs="宋体"/>
          <w:color w:val="auto"/>
          <w:highlight w:val="none"/>
        </w:rPr>
      </w:pPr>
    </w:p>
    <w:p w14:paraId="6308CD9B">
      <w:pPr>
        <w:widowControl/>
        <w:spacing w:beforeLines="20" w:afterLines="20"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w:t>
      </w:r>
      <w:r>
        <w:rPr>
          <w:rFonts w:hint="eastAsia" w:ascii="宋体" w:hAnsi="宋体" w:eastAsia="宋体" w:cs="宋体"/>
          <w:color w:val="auto"/>
          <w:kern w:val="0"/>
          <w:sz w:val="24"/>
          <w:highlight w:val="none"/>
        </w:rPr>
        <w:t>（</w:t>
      </w:r>
      <w:r>
        <w:rPr>
          <w:rFonts w:hint="eastAsia" w:ascii="宋体" w:hAnsi="宋体" w:eastAsia="宋体" w:cs="宋体"/>
          <w:bCs/>
          <w:color w:val="auto"/>
          <w:sz w:val="24"/>
          <w:highlight w:val="none"/>
        </w:rPr>
        <w:t>企业电子签章</w:t>
      </w:r>
      <w:r>
        <w:rPr>
          <w:rFonts w:hint="eastAsia" w:ascii="宋体" w:hAnsi="宋体" w:eastAsia="宋体" w:cs="宋体"/>
          <w:color w:val="auto"/>
          <w:kern w:val="0"/>
          <w:sz w:val="24"/>
          <w:highlight w:val="none"/>
        </w:rPr>
        <w:t>）</w:t>
      </w:r>
    </w:p>
    <w:p w14:paraId="49081E61">
      <w:pPr>
        <w:widowControl/>
        <w:spacing w:beforeLines="20" w:afterLines="20"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法定代表人：（个人电子签章）</w:t>
      </w:r>
    </w:p>
    <w:p w14:paraId="2BF4C61B">
      <w:pPr>
        <w:widowControl/>
        <w:spacing w:beforeLines="20" w:afterLines="20"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5F6EDDDB">
      <w:pPr>
        <w:widowControl/>
        <w:spacing w:beforeLines="20" w:afterLines="20"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委托代理人：（签字或盖章）</w:t>
      </w:r>
    </w:p>
    <w:p w14:paraId="263EBE09">
      <w:pPr>
        <w:widowControl/>
        <w:spacing w:beforeLines="20" w:afterLines="20"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0CD92050">
      <w:pPr>
        <w:widowControl/>
        <w:spacing w:beforeLines="20" w:afterLines="20"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31EB2B5B">
      <w:pPr>
        <w:widowControl/>
        <w:spacing w:line="480" w:lineRule="atLeast"/>
        <w:rPr>
          <w:rFonts w:hint="eastAsia" w:ascii="宋体" w:hAnsi="宋体" w:eastAsia="宋体" w:cs="宋体"/>
          <w:color w:val="auto"/>
          <w:sz w:val="24"/>
          <w:highlight w:val="none"/>
        </w:rPr>
      </w:pPr>
    </w:p>
    <w:p w14:paraId="4A8E3741">
      <w:pPr>
        <w:widowControl/>
        <w:spacing w:line="480" w:lineRule="atLeast"/>
        <w:rPr>
          <w:rFonts w:hint="eastAsia" w:ascii="宋体" w:hAnsi="宋体" w:eastAsia="宋体" w:cs="宋体"/>
          <w:color w:val="auto"/>
          <w:sz w:val="24"/>
          <w:highlight w:val="none"/>
        </w:rPr>
      </w:pPr>
    </w:p>
    <w:p w14:paraId="32FE48FB">
      <w:pPr>
        <w:widowControl/>
        <w:spacing w:line="480" w:lineRule="atLeast"/>
        <w:ind w:firstLine="472" w:firstLineChars="196"/>
        <w:jc w:val="left"/>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注：因投标文件中授权委托书授权代理人无法手写签字，可以以印刷体代替（印刷体为电脑打出的字体），加盖法定代表人电子章。</w:t>
      </w:r>
    </w:p>
    <w:p w14:paraId="6C415F41">
      <w:pPr>
        <w:spacing w:line="600" w:lineRule="exact"/>
        <w:jc w:val="center"/>
        <w:outlineLvl w:val="0"/>
        <w:rPr>
          <w:rFonts w:hint="eastAsia" w:ascii="宋体" w:hAnsi="宋体" w:eastAsia="宋体" w:cs="宋体"/>
          <w:b/>
          <w:color w:val="auto"/>
          <w:kern w:val="0"/>
          <w:sz w:val="32"/>
          <w:szCs w:val="32"/>
          <w:highlight w:val="none"/>
        </w:rPr>
      </w:pPr>
    </w:p>
    <w:p w14:paraId="6A20EA73">
      <w:pPr>
        <w:spacing w:line="600" w:lineRule="exact"/>
        <w:jc w:val="center"/>
        <w:outlineLvl w:val="0"/>
        <w:rPr>
          <w:rFonts w:hint="eastAsia" w:ascii="宋体" w:hAnsi="宋体" w:eastAsia="宋体" w:cs="宋体"/>
          <w:b/>
          <w:color w:val="auto"/>
          <w:kern w:val="0"/>
          <w:sz w:val="32"/>
          <w:szCs w:val="32"/>
          <w:highlight w:val="none"/>
        </w:rPr>
      </w:pPr>
    </w:p>
    <w:p w14:paraId="52A6FA9F">
      <w:pPr>
        <w:spacing w:line="600" w:lineRule="exact"/>
        <w:jc w:val="center"/>
        <w:outlineLvl w:val="0"/>
        <w:rPr>
          <w:rFonts w:hint="eastAsia" w:ascii="宋体" w:hAnsi="宋体" w:eastAsia="宋体" w:cs="宋体"/>
          <w:b/>
          <w:color w:val="auto"/>
          <w:kern w:val="0"/>
          <w:sz w:val="32"/>
          <w:szCs w:val="32"/>
          <w:highlight w:val="none"/>
        </w:rPr>
      </w:pPr>
    </w:p>
    <w:p w14:paraId="36DDD1FD">
      <w:pPr>
        <w:pStyle w:val="94"/>
        <w:rPr>
          <w:rFonts w:hint="eastAsia" w:ascii="宋体" w:hAnsi="宋体" w:eastAsia="宋体" w:cs="宋体"/>
          <w:b/>
          <w:color w:val="auto"/>
          <w:kern w:val="0"/>
          <w:sz w:val="32"/>
          <w:szCs w:val="32"/>
          <w:highlight w:val="none"/>
        </w:rPr>
      </w:pPr>
    </w:p>
    <w:p w14:paraId="622BAD74">
      <w:pPr>
        <w:pStyle w:val="94"/>
        <w:rPr>
          <w:rFonts w:hint="eastAsia" w:ascii="宋体" w:hAnsi="宋体" w:eastAsia="宋体" w:cs="宋体"/>
          <w:b/>
          <w:color w:val="auto"/>
          <w:kern w:val="0"/>
          <w:sz w:val="32"/>
          <w:szCs w:val="32"/>
          <w:highlight w:val="none"/>
        </w:rPr>
      </w:pPr>
    </w:p>
    <w:p w14:paraId="040C9B4F">
      <w:pPr>
        <w:spacing w:line="600" w:lineRule="exact"/>
        <w:jc w:val="center"/>
        <w:outlineLvl w:val="0"/>
        <w:rPr>
          <w:rFonts w:hint="eastAsia" w:ascii="宋体" w:hAnsi="宋体" w:eastAsia="宋体" w:cs="宋体"/>
          <w:b/>
          <w:color w:val="auto"/>
          <w:kern w:val="0"/>
          <w:sz w:val="32"/>
          <w:szCs w:val="32"/>
          <w:highlight w:val="none"/>
        </w:rPr>
      </w:pPr>
    </w:p>
    <w:p w14:paraId="7635A37C">
      <w:pPr>
        <w:spacing w:line="600" w:lineRule="exact"/>
        <w:jc w:val="center"/>
        <w:outlineLvl w:val="0"/>
        <w:rPr>
          <w:rFonts w:hint="eastAsia" w:ascii="宋体" w:hAnsi="宋体" w:eastAsia="宋体" w:cs="宋体"/>
          <w:b/>
          <w:color w:val="auto"/>
          <w:kern w:val="0"/>
          <w:sz w:val="32"/>
          <w:szCs w:val="32"/>
          <w:highlight w:val="none"/>
        </w:rPr>
      </w:pPr>
    </w:p>
    <w:p w14:paraId="7C6FA4FA">
      <w:pPr>
        <w:pStyle w:val="94"/>
        <w:rPr>
          <w:rFonts w:hint="eastAsia" w:ascii="宋体" w:hAnsi="宋体" w:eastAsia="宋体" w:cs="宋体"/>
          <w:b/>
          <w:color w:val="auto"/>
          <w:kern w:val="0"/>
          <w:sz w:val="32"/>
          <w:szCs w:val="32"/>
          <w:highlight w:val="none"/>
        </w:rPr>
      </w:pPr>
    </w:p>
    <w:p w14:paraId="0CB907E6">
      <w:pPr>
        <w:pStyle w:val="94"/>
        <w:rPr>
          <w:rFonts w:hint="eastAsia" w:ascii="宋体" w:hAnsi="宋体" w:eastAsia="宋体" w:cs="宋体"/>
          <w:b/>
          <w:color w:val="auto"/>
          <w:kern w:val="0"/>
          <w:sz w:val="32"/>
          <w:szCs w:val="32"/>
          <w:highlight w:val="none"/>
        </w:rPr>
      </w:pPr>
    </w:p>
    <w:p w14:paraId="6895BF55">
      <w:pPr>
        <w:spacing w:line="480" w:lineRule="atLeast"/>
        <w:jc w:val="center"/>
        <w:outlineLvl w:val="0"/>
        <w:rPr>
          <w:rFonts w:hint="eastAsia" w:ascii="宋体" w:hAnsi="宋体" w:eastAsia="宋体" w:cs="宋体"/>
          <w:b/>
          <w:color w:val="auto"/>
          <w:sz w:val="28"/>
          <w:szCs w:val="28"/>
          <w:highlight w:val="none"/>
        </w:rPr>
      </w:pPr>
      <w:bookmarkStart w:id="76" w:name="_Toc80256518"/>
      <w:bookmarkStart w:id="77" w:name="_Toc30862"/>
      <w:bookmarkStart w:id="78" w:name="_Toc15348"/>
      <w:bookmarkStart w:id="79" w:name="_Toc1273_WPSOffice_Level1"/>
      <w:r>
        <w:rPr>
          <w:rFonts w:hint="eastAsia" w:ascii="宋体" w:hAnsi="宋体" w:eastAsia="宋体" w:cs="宋体"/>
          <w:b/>
          <w:color w:val="auto"/>
          <w:sz w:val="28"/>
          <w:szCs w:val="28"/>
          <w:highlight w:val="none"/>
        </w:rPr>
        <w:t>四、投标承诺函</w:t>
      </w:r>
      <w:bookmarkEnd w:id="76"/>
      <w:bookmarkEnd w:id="77"/>
      <w:bookmarkEnd w:id="78"/>
      <w:bookmarkEnd w:id="79"/>
    </w:p>
    <w:p w14:paraId="4E986452">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14:paraId="143A91AD">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我公司作为本次采购项目的投标供应商，根据招标文件要求，现郑重承诺如下：</w:t>
      </w:r>
    </w:p>
    <w:p w14:paraId="4EA6A9FB">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一、具备《中华人民共和国政府采购法》第二十二条第一款和本项目规定的条件：</w:t>
      </w:r>
    </w:p>
    <w:p w14:paraId="5A4AEC6D">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3A754C43">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47CEED95">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208D085B">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16C60753">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24A7B7CB">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14:paraId="44FA4897">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（七）根据采购项目提出的特殊条件。</w:t>
      </w:r>
    </w:p>
    <w:p w14:paraId="517CBA75">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BBC72E2">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三、参加本次招标采购活动，不存在与单位负责人为同一人或者存在直接控股、管理关系的其他投标供应商参与同一合同项下的政府采购活动的行为。</w:t>
      </w:r>
    </w:p>
    <w:p w14:paraId="69786D45">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四、参加本次招标采购活动，不存在为采购项目提供整体设计、规范编制或者项目管理、监理、检测等服务的行为。</w:t>
      </w:r>
    </w:p>
    <w:p w14:paraId="46D329F0">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五、参加本次招标采购活动，不存在和其他投标供应商在同一合同项下的采购项目中，同时委托同一个自然人、同一家庭的人员、同一单位的人员作为代理人的行为。</w:t>
      </w:r>
    </w:p>
    <w:p w14:paraId="1C41A9E3">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六、投标供应商参加本次政府采购活动要求在近三年内投标供应商和其法定代表人没有行贿犯罪行为。</w:t>
      </w:r>
    </w:p>
    <w:p w14:paraId="4C42130F">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七、参加本次招标采购活动，不存在联合体投标。</w:t>
      </w:r>
    </w:p>
    <w:p w14:paraId="18D6AB16">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八、投标文件中提供的能够给予我公司带来优惠、好处的任何材料资料和技术、服务、商务等响应承诺情况都是真实的、有效的、合法的。</w:t>
      </w:r>
    </w:p>
    <w:p w14:paraId="6BDD6581">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九、存在以下行为之一的愿意接受相关部门的处理：</w:t>
      </w:r>
    </w:p>
    <w:p w14:paraId="3BB61C71">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（一）投标有效期内撤销投标文件的；</w:t>
      </w:r>
    </w:p>
    <w:p w14:paraId="7A2CE30D">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（二）在采购人确定中标供应商以前放弃中标候选资格的；</w:t>
      </w:r>
    </w:p>
    <w:p w14:paraId="348CA6F2">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（三）由于中标供应商的原因未能按照招标文件的规定与采购人签订合同；</w:t>
      </w:r>
    </w:p>
    <w:p w14:paraId="097B2C16">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（四）在投标文件中提供虚假材料谋取中标；</w:t>
      </w:r>
    </w:p>
    <w:p w14:paraId="11A0B0ED">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（五）与采购人、其他投标供应商或者采购代理机构恶意串通的；</w:t>
      </w:r>
    </w:p>
    <w:p w14:paraId="77670DD5">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（六）投标有效期内，投标供应商在政府采购活动中有违法、违规、违纪行为。</w:t>
      </w:r>
    </w:p>
    <w:p w14:paraId="52EDB790">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由此产生的一切法律后果和责任由我公司承担。我公司声明放弃对此提出任何异议和追索的权利。</w:t>
      </w:r>
    </w:p>
    <w:p w14:paraId="11BFBF10">
      <w:pPr>
        <w:spacing w:line="48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本公司对上述承诺的内容事项真实性负责。如经查实上述承诺的内容事项存在虚假，我公司愿意接受以提供虚假材料谋取中标追究法律责任。</w:t>
      </w:r>
    </w:p>
    <w:p w14:paraId="6198B4A2">
      <w:pPr>
        <w:spacing w:line="480" w:lineRule="atLeast"/>
        <w:ind w:firstLine="480" w:firstLineChars="200"/>
        <w:rPr>
          <w:rFonts w:hint="eastAsia" w:ascii="宋体" w:hAnsi="宋体" w:eastAsia="宋体" w:cs="宋体"/>
          <w:color w:val="auto"/>
          <w:sz w:val="24"/>
          <w:highlight w:val="none"/>
        </w:rPr>
      </w:pPr>
    </w:p>
    <w:p w14:paraId="620548BC">
      <w:pPr>
        <w:spacing w:line="560" w:lineRule="exact"/>
        <w:jc w:val="right"/>
        <w:rPr>
          <w:rFonts w:hint="eastAsia" w:ascii="宋体" w:hAnsi="宋体" w:eastAsia="宋体" w:cs="宋体"/>
          <w:bCs/>
          <w:color w:val="auto"/>
          <w:sz w:val="24"/>
          <w:highlight w:val="none"/>
        </w:rPr>
      </w:pPr>
    </w:p>
    <w:p w14:paraId="068CE79B">
      <w:pPr>
        <w:spacing w:line="56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投标供应商：（企业电子签章）</w:t>
      </w:r>
    </w:p>
    <w:p w14:paraId="29897613">
      <w:pPr>
        <w:spacing w:line="5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法定代表人：（个人电子签章）</w:t>
      </w:r>
    </w:p>
    <w:p w14:paraId="2CFE4810">
      <w:pPr>
        <w:spacing w:line="560" w:lineRule="exact"/>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 xml:space="preserve">                                             </w:t>
      </w:r>
      <w:bookmarkStart w:id="80" w:name="_Toc15253"/>
      <w:r>
        <w:rPr>
          <w:rFonts w:hint="eastAsia" w:ascii="宋体" w:hAnsi="宋体" w:eastAsia="宋体" w:cs="宋体"/>
          <w:color w:val="auto"/>
          <w:kern w:val="0"/>
          <w:sz w:val="24"/>
          <w:highlight w:val="none"/>
        </w:rPr>
        <w:t>日      期：年   月   日</w:t>
      </w:r>
      <w:bookmarkEnd w:id="80"/>
    </w:p>
    <w:p w14:paraId="6702CE1C">
      <w:pPr>
        <w:spacing w:line="600" w:lineRule="exact"/>
        <w:jc w:val="center"/>
        <w:outlineLvl w:val="0"/>
        <w:rPr>
          <w:rFonts w:hint="eastAsia" w:ascii="宋体" w:hAnsi="宋体" w:eastAsia="宋体" w:cs="宋体"/>
          <w:b/>
          <w:color w:val="auto"/>
          <w:kern w:val="0"/>
          <w:sz w:val="32"/>
          <w:szCs w:val="32"/>
          <w:highlight w:val="none"/>
        </w:rPr>
      </w:pPr>
    </w:p>
    <w:p w14:paraId="19F7966E">
      <w:pPr>
        <w:spacing w:line="600" w:lineRule="exact"/>
        <w:jc w:val="center"/>
        <w:outlineLvl w:val="0"/>
        <w:rPr>
          <w:rFonts w:hint="eastAsia" w:ascii="宋体" w:hAnsi="宋体" w:eastAsia="宋体" w:cs="宋体"/>
          <w:b/>
          <w:color w:val="auto"/>
          <w:kern w:val="0"/>
          <w:sz w:val="32"/>
          <w:szCs w:val="32"/>
          <w:highlight w:val="none"/>
        </w:rPr>
      </w:pPr>
    </w:p>
    <w:p w14:paraId="30BA5280">
      <w:pPr>
        <w:spacing w:line="600" w:lineRule="exact"/>
        <w:jc w:val="center"/>
        <w:outlineLvl w:val="0"/>
        <w:rPr>
          <w:rFonts w:hint="eastAsia" w:ascii="宋体" w:hAnsi="宋体" w:eastAsia="宋体" w:cs="宋体"/>
          <w:b/>
          <w:color w:val="auto"/>
          <w:kern w:val="0"/>
          <w:sz w:val="32"/>
          <w:szCs w:val="32"/>
          <w:highlight w:val="none"/>
        </w:rPr>
      </w:pPr>
    </w:p>
    <w:p w14:paraId="6911A0B0">
      <w:pPr>
        <w:spacing w:line="600" w:lineRule="exact"/>
        <w:jc w:val="center"/>
        <w:outlineLvl w:val="0"/>
        <w:rPr>
          <w:rFonts w:hint="eastAsia" w:ascii="宋体" w:hAnsi="宋体" w:eastAsia="宋体" w:cs="宋体"/>
          <w:b/>
          <w:color w:val="auto"/>
          <w:kern w:val="0"/>
          <w:sz w:val="32"/>
          <w:szCs w:val="32"/>
          <w:highlight w:val="none"/>
        </w:rPr>
      </w:pPr>
    </w:p>
    <w:p w14:paraId="0D521645">
      <w:pPr>
        <w:spacing w:line="600" w:lineRule="exact"/>
        <w:jc w:val="center"/>
        <w:outlineLvl w:val="0"/>
        <w:rPr>
          <w:rFonts w:hint="eastAsia" w:ascii="宋体" w:hAnsi="宋体" w:eastAsia="宋体" w:cs="宋体"/>
          <w:b/>
          <w:color w:val="auto"/>
          <w:kern w:val="0"/>
          <w:sz w:val="32"/>
          <w:szCs w:val="32"/>
          <w:highlight w:val="none"/>
        </w:rPr>
      </w:pPr>
    </w:p>
    <w:p w14:paraId="2F779F20">
      <w:pPr>
        <w:spacing w:line="600" w:lineRule="exact"/>
        <w:jc w:val="center"/>
        <w:outlineLvl w:val="0"/>
        <w:rPr>
          <w:rFonts w:hint="eastAsia" w:ascii="宋体" w:hAnsi="宋体" w:eastAsia="宋体" w:cs="宋体"/>
          <w:b/>
          <w:color w:val="auto"/>
          <w:kern w:val="0"/>
          <w:sz w:val="32"/>
          <w:szCs w:val="32"/>
          <w:highlight w:val="none"/>
        </w:rPr>
      </w:pPr>
    </w:p>
    <w:p w14:paraId="69C13ACB">
      <w:pPr>
        <w:spacing w:line="600" w:lineRule="exact"/>
        <w:jc w:val="center"/>
        <w:outlineLvl w:val="0"/>
        <w:rPr>
          <w:rFonts w:hint="eastAsia" w:ascii="宋体" w:hAnsi="宋体" w:eastAsia="宋体" w:cs="宋体"/>
          <w:b/>
          <w:color w:val="auto"/>
          <w:kern w:val="0"/>
          <w:sz w:val="32"/>
          <w:szCs w:val="32"/>
          <w:highlight w:val="none"/>
        </w:rPr>
      </w:pPr>
    </w:p>
    <w:p w14:paraId="2A694B1B">
      <w:pPr>
        <w:spacing w:line="600" w:lineRule="exact"/>
        <w:jc w:val="center"/>
        <w:outlineLvl w:val="0"/>
        <w:rPr>
          <w:rFonts w:hint="eastAsia" w:ascii="宋体" w:hAnsi="宋体" w:eastAsia="宋体" w:cs="宋体"/>
          <w:b/>
          <w:color w:val="auto"/>
          <w:kern w:val="0"/>
          <w:sz w:val="32"/>
          <w:szCs w:val="32"/>
          <w:highlight w:val="none"/>
        </w:rPr>
      </w:pPr>
    </w:p>
    <w:p w14:paraId="633D61E9">
      <w:pPr>
        <w:pStyle w:val="94"/>
        <w:rPr>
          <w:rFonts w:hint="eastAsia" w:ascii="宋体" w:hAnsi="宋体" w:eastAsia="宋体" w:cs="宋体"/>
          <w:b/>
          <w:color w:val="auto"/>
          <w:kern w:val="0"/>
          <w:sz w:val="32"/>
          <w:szCs w:val="32"/>
          <w:highlight w:val="none"/>
        </w:rPr>
      </w:pPr>
    </w:p>
    <w:p w14:paraId="1EE8EA42">
      <w:pPr>
        <w:pStyle w:val="94"/>
        <w:rPr>
          <w:rFonts w:hint="eastAsia" w:ascii="宋体" w:hAnsi="宋体" w:eastAsia="宋体" w:cs="宋体"/>
          <w:b/>
          <w:color w:val="auto"/>
          <w:kern w:val="0"/>
          <w:sz w:val="32"/>
          <w:szCs w:val="32"/>
          <w:highlight w:val="none"/>
        </w:rPr>
      </w:pPr>
    </w:p>
    <w:p w14:paraId="2C5BD599">
      <w:pPr>
        <w:jc w:val="center"/>
        <w:rPr>
          <w:rFonts w:ascii="宋体" w:hAnsi="宋体" w:eastAsia="宋体" w:cs="宋体"/>
          <w:b/>
          <w:bCs/>
          <w:sz w:val="28"/>
          <w:szCs w:val="28"/>
        </w:rPr>
      </w:pPr>
      <w:bookmarkStart w:id="81" w:name="_Toc31308"/>
      <w:bookmarkStart w:id="82" w:name="_Toc80256523"/>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企业基本情况资料</w:t>
      </w:r>
    </w:p>
    <w:p w14:paraId="4CDD69D5">
      <w:pPr>
        <w:spacing w:line="480" w:lineRule="exact"/>
        <w:jc w:val="center"/>
        <w:outlineLvl w:val="1"/>
        <w:rPr>
          <w:rFonts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企业基本情况表</w:t>
      </w:r>
    </w:p>
    <w:tbl>
      <w:tblPr>
        <w:tblStyle w:val="32"/>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49D1A1D4">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75A8B51">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74C6D76B">
            <w:pPr>
              <w:topLinePunct/>
              <w:spacing w:line="480" w:lineRule="exact"/>
              <w:jc w:val="center"/>
              <w:rPr>
                <w:rFonts w:ascii="宋体" w:hAnsi="宋体" w:eastAsia="宋体" w:cs="宋体"/>
                <w:sz w:val="24"/>
                <w:szCs w:val="24"/>
              </w:rPr>
            </w:pPr>
          </w:p>
        </w:tc>
      </w:tr>
      <w:tr w14:paraId="308F6039">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7614750E">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注册地址</w:t>
            </w:r>
          </w:p>
        </w:tc>
        <w:tc>
          <w:tcPr>
            <w:tcW w:w="3888" w:type="dxa"/>
            <w:gridSpan w:val="4"/>
            <w:tcBorders>
              <w:top w:val="single" w:color="auto" w:sz="4" w:space="0"/>
              <w:left w:val="nil"/>
              <w:bottom w:val="single" w:color="auto" w:sz="4" w:space="0"/>
              <w:right w:val="single" w:color="auto" w:sz="4" w:space="0"/>
            </w:tcBorders>
            <w:vAlign w:val="center"/>
          </w:tcPr>
          <w:p w14:paraId="49E7F4AD">
            <w:pPr>
              <w:topLinePunct/>
              <w:spacing w:line="480" w:lineRule="exact"/>
              <w:jc w:val="center"/>
              <w:rPr>
                <w:rFonts w:ascii="宋体" w:hAnsi="宋体" w:eastAsia="宋体" w:cs="宋体"/>
                <w:sz w:val="24"/>
                <w:szCs w:val="24"/>
              </w:rPr>
            </w:pPr>
          </w:p>
        </w:tc>
        <w:tc>
          <w:tcPr>
            <w:tcW w:w="1360" w:type="dxa"/>
            <w:tcBorders>
              <w:top w:val="single" w:color="auto" w:sz="4" w:space="0"/>
              <w:left w:val="nil"/>
              <w:bottom w:val="single" w:color="auto" w:sz="4" w:space="0"/>
              <w:right w:val="single" w:color="auto" w:sz="4" w:space="0"/>
            </w:tcBorders>
            <w:vAlign w:val="center"/>
          </w:tcPr>
          <w:p w14:paraId="578DF6ED">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邮政编码</w:t>
            </w:r>
          </w:p>
        </w:tc>
        <w:tc>
          <w:tcPr>
            <w:tcW w:w="2070" w:type="dxa"/>
            <w:tcBorders>
              <w:top w:val="single" w:color="auto" w:sz="4" w:space="0"/>
              <w:left w:val="nil"/>
              <w:bottom w:val="single" w:color="auto" w:sz="4" w:space="0"/>
              <w:right w:val="single" w:color="auto" w:sz="4" w:space="0"/>
            </w:tcBorders>
            <w:vAlign w:val="center"/>
          </w:tcPr>
          <w:p w14:paraId="5056025F">
            <w:pPr>
              <w:topLinePunct/>
              <w:spacing w:line="480" w:lineRule="exact"/>
              <w:jc w:val="center"/>
              <w:rPr>
                <w:rFonts w:ascii="宋体" w:hAnsi="宋体" w:eastAsia="宋体" w:cs="宋体"/>
                <w:sz w:val="24"/>
                <w:szCs w:val="24"/>
              </w:rPr>
            </w:pPr>
          </w:p>
        </w:tc>
      </w:tr>
      <w:tr w14:paraId="56822AA1">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37243C78">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联系方式</w:t>
            </w:r>
          </w:p>
        </w:tc>
        <w:tc>
          <w:tcPr>
            <w:tcW w:w="1083" w:type="dxa"/>
            <w:tcBorders>
              <w:top w:val="single" w:color="auto" w:sz="4" w:space="0"/>
              <w:left w:val="nil"/>
              <w:bottom w:val="single" w:color="auto" w:sz="4" w:space="0"/>
              <w:right w:val="single" w:color="auto" w:sz="4" w:space="0"/>
            </w:tcBorders>
            <w:vAlign w:val="center"/>
          </w:tcPr>
          <w:p w14:paraId="207BD72F">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联系人</w:t>
            </w:r>
          </w:p>
        </w:tc>
        <w:tc>
          <w:tcPr>
            <w:tcW w:w="2805" w:type="dxa"/>
            <w:gridSpan w:val="3"/>
            <w:tcBorders>
              <w:top w:val="single" w:color="auto" w:sz="4" w:space="0"/>
              <w:left w:val="nil"/>
              <w:bottom w:val="single" w:color="auto" w:sz="4" w:space="0"/>
              <w:right w:val="single" w:color="auto" w:sz="4" w:space="0"/>
            </w:tcBorders>
            <w:vAlign w:val="center"/>
          </w:tcPr>
          <w:p w14:paraId="7E8778C2">
            <w:pPr>
              <w:topLinePunct/>
              <w:spacing w:line="480" w:lineRule="exact"/>
              <w:jc w:val="center"/>
              <w:rPr>
                <w:rFonts w:ascii="宋体" w:hAnsi="宋体" w:eastAsia="宋体" w:cs="宋体"/>
                <w:sz w:val="24"/>
                <w:szCs w:val="24"/>
              </w:rPr>
            </w:pPr>
          </w:p>
        </w:tc>
        <w:tc>
          <w:tcPr>
            <w:tcW w:w="1360" w:type="dxa"/>
            <w:tcBorders>
              <w:top w:val="single" w:color="auto" w:sz="4" w:space="0"/>
              <w:left w:val="nil"/>
              <w:bottom w:val="single" w:color="auto" w:sz="4" w:space="0"/>
              <w:right w:val="single" w:color="auto" w:sz="4" w:space="0"/>
            </w:tcBorders>
            <w:vAlign w:val="center"/>
          </w:tcPr>
          <w:p w14:paraId="1248FD68">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电 话</w:t>
            </w:r>
          </w:p>
        </w:tc>
        <w:tc>
          <w:tcPr>
            <w:tcW w:w="2070" w:type="dxa"/>
            <w:tcBorders>
              <w:top w:val="single" w:color="auto" w:sz="4" w:space="0"/>
              <w:left w:val="nil"/>
              <w:bottom w:val="single" w:color="auto" w:sz="4" w:space="0"/>
              <w:right w:val="single" w:color="auto" w:sz="4" w:space="0"/>
            </w:tcBorders>
            <w:vAlign w:val="center"/>
          </w:tcPr>
          <w:p w14:paraId="21C59C52">
            <w:pPr>
              <w:topLinePunct/>
              <w:spacing w:line="480" w:lineRule="exact"/>
              <w:jc w:val="center"/>
              <w:rPr>
                <w:rFonts w:ascii="宋体" w:hAnsi="宋体" w:eastAsia="宋体" w:cs="宋体"/>
                <w:sz w:val="24"/>
                <w:szCs w:val="24"/>
              </w:rPr>
            </w:pPr>
          </w:p>
        </w:tc>
      </w:tr>
      <w:tr w14:paraId="6E1E621B">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64DB3B2C">
            <w:pPr>
              <w:widowControl/>
              <w:spacing w:line="480" w:lineRule="exact"/>
              <w:rPr>
                <w:rFonts w:ascii="宋体" w:hAnsi="宋体" w:eastAsia="宋体" w:cs="宋体"/>
                <w:sz w:val="24"/>
                <w:szCs w:val="24"/>
              </w:rPr>
            </w:pPr>
          </w:p>
        </w:tc>
        <w:tc>
          <w:tcPr>
            <w:tcW w:w="1083" w:type="dxa"/>
            <w:tcBorders>
              <w:top w:val="single" w:color="auto" w:sz="4" w:space="0"/>
              <w:left w:val="nil"/>
              <w:bottom w:val="single" w:color="auto" w:sz="4" w:space="0"/>
              <w:right w:val="single" w:color="auto" w:sz="4" w:space="0"/>
            </w:tcBorders>
            <w:vAlign w:val="center"/>
          </w:tcPr>
          <w:p w14:paraId="05A3E116">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传  真</w:t>
            </w:r>
          </w:p>
        </w:tc>
        <w:tc>
          <w:tcPr>
            <w:tcW w:w="2805" w:type="dxa"/>
            <w:gridSpan w:val="3"/>
            <w:tcBorders>
              <w:top w:val="single" w:color="auto" w:sz="4" w:space="0"/>
              <w:left w:val="nil"/>
              <w:bottom w:val="single" w:color="auto" w:sz="4" w:space="0"/>
              <w:right w:val="single" w:color="auto" w:sz="4" w:space="0"/>
            </w:tcBorders>
            <w:vAlign w:val="center"/>
          </w:tcPr>
          <w:p w14:paraId="0591D939">
            <w:pPr>
              <w:topLinePunct/>
              <w:spacing w:line="480" w:lineRule="exact"/>
              <w:jc w:val="center"/>
              <w:rPr>
                <w:rFonts w:ascii="宋体" w:hAnsi="宋体" w:eastAsia="宋体" w:cs="宋体"/>
                <w:sz w:val="24"/>
                <w:szCs w:val="24"/>
              </w:rPr>
            </w:pPr>
          </w:p>
        </w:tc>
        <w:tc>
          <w:tcPr>
            <w:tcW w:w="1360" w:type="dxa"/>
            <w:tcBorders>
              <w:top w:val="single" w:color="auto" w:sz="4" w:space="0"/>
              <w:left w:val="nil"/>
              <w:bottom w:val="single" w:color="auto" w:sz="4" w:space="0"/>
              <w:right w:val="single" w:color="auto" w:sz="4" w:space="0"/>
            </w:tcBorders>
            <w:vAlign w:val="center"/>
          </w:tcPr>
          <w:p w14:paraId="4306B1C4">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网 址</w:t>
            </w:r>
          </w:p>
        </w:tc>
        <w:tc>
          <w:tcPr>
            <w:tcW w:w="2070" w:type="dxa"/>
            <w:tcBorders>
              <w:top w:val="single" w:color="auto" w:sz="4" w:space="0"/>
              <w:left w:val="nil"/>
              <w:bottom w:val="single" w:color="auto" w:sz="4" w:space="0"/>
              <w:right w:val="single" w:color="auto" w:sz="4" w:space="0"/>
            </w:tcBorders>
            <w:vAlign w:val="center"/>
          </w:tcPr>
          <w:p w14:paraId="0B964445">
            <w:pPr>
              <w:topLinePunct/>
              <w:spacing w:line="480" w:lineRule="exact"/>
              <w:jc w:val="center"/>
              <w:rPr>
                <w:rFonts w:ascii="宋体" w:hAnsi="宋体" w:eastAsia="宋体" w:cs="宋体"/>
                <w:sz w:val="24"/>
                <w:szCs w:val="24"/>
              </w:rPr>
            </w:pPr>
          </w:p>
        </w:tc>
      </w:tr>
      <w:tr w14:paraId="3E64017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784F7584">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法定代表人</w:t>
            </w:r>
          </w:p>
        </w:tc>
        <w:tc>
          <w:tcPr>
            <w:tcW w:w="1083" w:type="dxa"/>
            <w:tcBorders>
              <w:top w:val="single" w:color="auto" w:sz="4" w:space="0"/>
              <w:left w:val="nil"/>
              <w:bottom w:val="single" w:color="auto" w:sz="4" w:space="0"/>
              <w:right w:val="single" w:color="auto" w:sz="4" w:space="0"/>
            </w:tcBorders>
            <w:vAlign w:val="center"/>
          </w:tcPr>
          <w:p w14:paraId="39B74BFC">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1059" w:type="dxa"/>
            <w:tcBorders>
              <w:top w:val="single" w:color="auto" w:sz="4" w:space="0"/>
              <w:left w:val="nil"/>
              <w:bottom w:val="single" w:color="auto" w:sz="4" w:space="0"/>
              <w:right w:val="single" w:color="auto" w:sz="4" w:space="0"/>
            </w:tcBorders>
            <w:vAlign w:val="center"/>
          </w:tcPr>
          <w:p w14:paraId="6F8E847D">
            <w:pPr>
              <w:topLinePunct/>
              <w:spacing w:line="480" w:lineRule="exact"/>
              <w:jc w:val="center"/>
              <w:rPr>
                <w:rFonts w:ascii="宋体" w:hAnsi="宋体" w:eastAsia="宋体" w:cs="宋体"/>
                <w:sz w:val="24"/>
                <w:szCs w:val="24"/>
              </w:rPr>
            </w:pPr>
          </w:p>
        </w:tc>
        <w:tc>
          <w:tcPr>
            <w:tcW w:w="1098" w:type="dxa"/>
            <w:tcBorders>
              <w:top w:val="single" w:color="auto" w:sz="4" w:space="0"/>
              <w:left w:val="nil"/>
              <w:bottom w:val="single" w:color="auto" w:sz="4" w:space="0"/>
              <w:right w:val="single" w:color="auto" w:sz="4" w:space="0"/>
            </w:tcBorders>
            <w:vAlign w:val="center"/>
          </w:tcPr>
          <w:p w14:paraId="5A773D82">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电话</w:t>
            </w:r>
          </w:p>
        </w:tc>
        <w:tc>
          <w:tcPr>
            <w:tcW w:w="4078" w:type="dxa"/>
            <w:gridSpan w:val="3"/>
            <w:tcBorders>
              <w:top w:val="single" w:color="auto" w:sz="4" w:space="0"/>
              <w:left w:val="nil"/>
              <w:bottom w:val="single" w:color="auto" w:sz="4" w:space="0"/>
              <w:right w:val="single" w:color="auto" w:sz="4" w:space="0"/>
            </w:tcBorders>
            <w:vAlign w:val="center"/>
          </w:tcPr>
          <w:p w14:paraId="61DBD4D5">
            <w:pPr>
              <w:topLinePunct/>
              <w:spacing w:line="480" w:lineRule="exact"/>
              <w:jc w:val="center"/>
              <w:rPr>
                <w:rFonts w:ascii="宋体" w:hAnsi="宋体" w:eastAsia="宋体" w:cs="宋体"/>
                <w:sz w:val="24"/>
                <w:szCs w:val="24"/>
              </w:rPr>
            </w:pPr>
          </w:p>
        </w:tc>
      </w:tr>
      <w:tr w14:paraId="4DB8F66B">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19F5A13">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联系人</w:t>
            </w:r>
          </w:p>
        </w:tc>
        <w:tc>
          <w:tcPr>
            <w:tcW w:w="1083" w:type="dxa"/>
            <w:tcBorders>
              <w:top w:val="single" w:color="auto" w:sz="4" w:space="0"/>
              <w:left w:val="nil"/>
              <w:bottom w:val="single" w:color="auto" w:sz="4" w:space="0"/>
              <w:right w:val="single" w:color="auto" w:sz="4" w:space="0"/>
            </w:tcBorders>
            <w:vAlign w:val="center"/>
          </w:tcPr>
          <w:p w14:paraId="4AED71EE">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1059" w:type="dxa"/>
            <w:tcBorders>
              <w:top w:val="single" w:color="auto" w:sz="4" w:space="0"/>
              <w:left w:val="nil"/>
              <w:bottom w:val="single" w:color="auto" w:sz="4" w:space="0"/>
              <w:right w:val="single" w:color="auto" w:sz="4" w:space="0"/>
            </w:tcBorders>
            <w:vAlign w:val="center"/>
          </w:tcPr>
          <w:p w14:paraId="1E609E98">
            <w:pPr>
              <w:topLinePunct/>
              <w:spacing w:line="480" w:lineRule="exact"/>
              <w:jc w:val="center"/>
              <w:rPr>
                <w:rFonts w:ascii="宋体" w:hAnsi="宋体" w:eastAsia="宋体" w:cs="宋体"/>
                <w:sz w:val="24"/>
                <w:szCs w:val="24"/>
              </w:rPr>
            </w:pPr>
          </w:p>
        </w:tc>
        <w:tc>
          <w:tcPr>
            <w:tcW w:w="1098" w:type="dxa"/>
            <w:tcBorders>
              <w:top w:val="single" w:color="auto" w:sz="4" w:space="0"/>
              <w:left w:val="nil"/>
              <w:bottom w:val="single" w:color="auto" w:sz="4" w:space="0"/>
              <w:right w:val="single" w:color="auto" w:sz="4" w:space="0"/>
            </w:tcBorders>
            <w:vAlign w:val="center"/>
          </w:tcPr>
          <w:p w14:paraId="7A12007D">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电话</w:t>
            </w:r>
          </w:p>
        </w:tc>
        <w:tc>
          <w:tcPr>
            <w:tcW w:w="4078" w:type="dxa"/>
            <w:gridSpan w:val="3"/>
            <w:tcBorders>
              <w:top w:val="single" w:color="auto" w:sz="4" w:space="0"/>
              <w:left w:val="nil"/>
              <w:bottom w:val="single" w:color="auto" w:sz="4" w:space="0"/>
              <w:right w:val="single" w:color="auto" w:sz="4" w:space="0"/>
            </w:tcBorders>
            <w:vAlign w:val="center"/>
          </w:tcPr>
          <w:p w14:paraId="0722A43E">
            <w:pPr>
              <w:topLinePunct/>
              <w:spacing w:line="480" w:lineRule="exact"/>
              <w:jc w:val="center"/>
              <w:rPr>
                <w:rFonts w:ascii="宋体" w:hAnsi="宋体" w:eastAsia="宋体" w:cs="宋体"/>
                <w:sz w:val="24"/>
                <w:szCs w:val="24"/>
              </w:rPr>
            </w:pPr>
          </w:p>
        </w:tc>
      </w:tr>
      <w:tr w14:paraId="2CB8B4B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7457BB23">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成立时间</w:t>
            </w:r>
          </w:p>
        </w:tc>
        <w:tc>
          <w:tcPr>
            <w:tcW w:w="2142" w:type="dxa"/>
            <w:gridSpan w:val="2"/>
            <w:tcBorders>
              <w:top w:val="single" w:color="auto" w:sz="4" w:space="0"/>
              <w:left w:val="nil"/>
              <w:bottom w:val="single" w:color="auto" w:sz="4" w:space="0"/>
              <w:right w:val="single" w:color="auto" w:sz="4" w:space="0"/>
            </w:tcBorders>
            <w:vAlign w:val="center"/>
          </w:tcPr>
          <w:p w14:paraId="47F77B87">
            <w:pPr>
              <w:topLinePunct/>
              <w:spacing w:line="480" w:lineRule="exact"/>
              <w:jc w:val="center"/>
              <w:rPr>
                <w:rFonts w:ascii="宋体" w:hAnsi="宋体" w:eastAsia="宋体" w:cs="宋体"/>
                <w:sz w:val="24"/>
                <w:szCs w:val="24"/>
              </w:rPr>
            </w:pPr>
          </w:p>
        </w:tc>
        <w:tc>
          <w:tcPr>
            <w:tcW w:w="5176" w:type="dxa"/>
            <w:gridSpan w:val="4"/>
            <w:tcBorders>
              <w:top w:val="single" w:color="auto" w:sz="4" w:space="0"/>
              <w:left w:val="nil"/>
              <w:bottom w:val="single" w:color="auto" w:sz="4" w:space="0"/>
              <w:right w:val="single" w:color="auto" w:sz="4" w:space="0"/>
            </w:tcBorders>
            <w:vAlign w:val="center"/>
          </w:tcPr>
          <w:p w14:paraId="7A70B85B">
            <w:pPr>
              <w:topLinePunct/>
              <w:spacing w:line="480" w:lineRule="exact"/>
              <w:ind w:firstLine="120" w:firstLineChars="50"/>
              <w:jc w:val="center"/>
              <w:rPr>
                <w:rFonts w:ascii="宋体" w:hAnsi="宋体" w:eastAsia="宋体" w:cs="宋体"/>
                <w:sz w:val="24"/>
                <w:szCs w:val="24"/>
              </w:rPr>
            </w:pPr>
            <w:r>
              <w:rPr>
                <w:rFonts w:hint="eastAsia" w:ascii="宋体" w:hAnsi="宋体" w:eastAsia="宋体" w:cs="宋体"/>
                <w:sz w:val="24"/>
                <w:szCs w:val="24"/>
              </w:rPr>
              <w:t>员工总人数：</w:t>
            </w:r>
          </w:p>
        </w:tc>
      </w:tr>
      <w:tr w14:paraId="229D9138">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4739EB3">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29579871">
            <w:pPr>
              <w:topLinePunct/>
              <w:spacing w:line="480" w:lineRule="exact"/>
              <w:jc w:val="center"/>
              <w:rPr>
                <w:rFonts w:ascii="宋体" w:hAnsi="宋体" w:eastAsia="宋体" w:cs="宋体"/>
                <w:sz w:val="24"/>
                <w:szCs w:val="24"/>
              </w:rPr>
            </w:pPr>
          </w:p>
        </w:tc>
      </w:tr>
      <w:tr w14:paraId="457E433A">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FB7978A">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银行开户行及账号</w:t>
            </w:r>
          </w:p>
        </w:tc>
        <w:tc>
          <w:tcPr>
            <w:tcW w:w="7318" w:type="dxa"/>
            <w:gridSpan w:val="6"/>
            <w:tcBorders>
              <w:top w:val="single" w:color="auto" w:sz="4" w:space="0"/>
              <w:left w:val="nil"/>
              <w:bottom w:val="single" w:color="auto" w:sz="4" w:space="0"/>
              <w:right w:val="single" w:color="auto" w:sz="4" w:space="0"/>
            </w:tcBorders>
            <w:vAlign w:val="center"/>
          </w:tcPr>
          <w:p w14:paraId="3A3F417A">
            <w:pPr>
              <w:topLinePunct/>
              <w:spacing w:line="480" w:lineRule="exact"/>
              <w:jc w:val="center"/>
              <w:rPr>
                <w:rFonts w:ascii="宋体" w:hAnsi="宋体" w:eastAsia="宋体" w:cs="宋体"/>
                <w:sz w:val="24"/>
                <w:szCs w:val="24"/>
              </w:rPr>
            </w:pPr>
          </w:p>
        </w:tc>
      </w:tr>
      <w:tr w14:paraId="7C97875F">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D80937C">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注册资金</w:t>
            </w:r>
          </w:p>
        </w:tc>
        <w:tc>
          <w:tcPr>
            <w:tcW w:w="7318" w:type="dxa"/>
            <w:gridSpan w:val="6"/>
            <w:tcBorders>
              <w:top w:val="single" w:color="auto" w:sz="4" w:space="0"/>
              <w:left w:val="nil"/>
              <w:bottom w:val="single" w:color="auto" w:sz="4" w:space="0"/>
              <w:right w:val="single" w:color="auto" w:sz="4" w:space="0"/>
            </w:tcBorders>
            <w:vAlign w:val="center"/>
          </w:tcPr>
          <w:p w14:paraId="5A3EAC75">
            <w:pPr>
              <w:topLinePunct/>
              <w:spacing w:line="480" w:lineRule="exact"/>
              <w:jc w:val="center"/>
              <w:rPr>
                <w:rFonts w:ascii="宋体" w:hAnsi="宋体" w:eastAsia="宋体" w:cs="宋体"/>
                <w:sz w:val="24"/>
                <w:szCs w:val="24"/>
              </w:rPr>
            </w:pPr>
          </w:p>
        </w:tc>
      </w:tr>
      <w:tr w14:paraId="2EC0CD79">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F56EB03">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地址</w:t>
            </w:r>
          </w:p>
        </w:tc>
        <w:tc>
          <w:tcPr>
            <w:tcW w:w="7318" w:type="dxa"/>
            <w:gridSpan w:val="6"/>
            <w:tcBorders>
              <w:top w:val="single" w:color="auto" w:sz="4" w:space="0"/>
              <w:left w:val="nil"/>
              <w:bottom w:val="single" w:color="auto" w:sz="4" w:space="0"/>
              <w:right w:val="single" w:color="auto" w:sz="4" w:space="0"/>
            </w:tcBorders>
            <w:vAlign w:val="center"/>
          </w:tcPr>
          <w:p w14:paraId="71E83243">
            <w:pPr>
              <w:topLinePunct/>
              <w:spacing w:line="480" w:lineRule="exact"/>
              <w:jc w:val="center"/>
              <w:rPr>
                <w:rFonts w:ascii="宋体" w:hAnsi="宋体" w:eastAsia="宋体" w:cs="宋体"/>
                <w:sz w:val="24"/>
                <w:szCs w:val="24"/>
              </w:rPr>
            </w:pPr>
          </w:p>
        </w:tc>
      </w:tr>
      <w:tr w14:paraId="08A29819">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5CB1AC90">
            <w:pPr>
              <w:topLinePunct/>
              <w:spacing w:line="48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经营范围</w:t>
            </w:r>
          </w:p>
        </w:tc>
        <w:tc>
          <w:tcPr>
            <w:tcW w:w="7318" w:type="dxa"/>
            <w:gridSpan w:val="6"/>
            <w:tcBorders>
              <w:top w:val="single" w:color="auto" w:sz="4" w:space="0"/>
              <w:left w:val="nil"/>
              <w:right w:val="single" w:color="auto" w:sz="4" w:space="0"/>
            </w:tcBorders>
            <w:vAlign w:val="center"/>
          </w:tcPr>
          <w:p w14:paraId="13CFFD33">
            <w:pPr>
              <w:topLinePunct/>
              <w:spacing w:line="480" w:lineRule="exact"/>
              <w:rPr>
                <w:rFonts w:ascii="宋体" w:hAnsi="宋体" w:eastAsia="宋体" w:cs="宋体"/>
                <w:sz w:val="24"/>
                <w:szCs w:val="24"/>
              </w:rPr>
            </w:pPr>
          </w:p>
        </w:tc>
      </w:tr>
      <w:tr w14:paraId="3B6E189B">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73303704">
            <w:pPr>
              <w:topLinePunct/>
              <w:spacing w:line="480" w:lineRule="exact"/>
              <w:jc w:val="center"/>
              <w:rPr>
                <w:rFonts w:ascii="宋体" w:hAnsi="宋体" w:eastAsia="宋体" w:cs="宋体"/>
                <w:sz w:val="24"/>
                <w:szCs w:val="24"/>
              </w:rPr>
            </w:pPr>
            <w:r>
              <w:rPr>
                <w:rFonts w:hint="eastAsia" w:ascii="宋体" w:hAnsi="宋体" w:eastAsia="宋体" w:cs="宋体"/>
                <w:sz w:val="24"/>
                <w:szCs w:val="24"/>
              </w:rPr>
              <w:t>备注</w:t>
            </w:r>
          </w:p>
        </w:tc>
        <w:tc>
          <w:tcPr>
            <w:tcW w:w="7318" w:type="dxa"/>
            <w:gridSpan w:val="6"/>
            <w:tcBorders>
              <w:top w:val="single" w:color="auto" w:sz="4" w:space="0"/>
              <w:left w:val="nil"/>
              <w:bottom w:val="single" w:color="auto" w:sz="4" w:space="0"/>
              <w:right w:val="single" w:color="auto" w:sz="4" w:space="0"/>
            </w:tcBorders>
            <w:vAlign w:val="center"/>
          </w:tcPr>
          <w:p w14:paraId="79CFF773">
            <w:pPr>
              <w:topLinePunct/>
              <w:spacing w:line="480" w:lineRule="exact"/>
              <w:jc w:val="center"/>
              <w:rPr>
                <w:rFonts w:ascii="宋体" w:hAnsi="宋体" w:eastAsia="宋体" w:cs="宋体"/>
                <w:sz w:val="24"/>
                <w:szCs w:val="24"/>
              </w:rPr>
            </w:pPr>
          </w:p>
        </w:tc>
      </w:tr>
    </w:tbl>
    <w:p w14:paraId="01149100">
      <w:pPr>
        <w:spacing w:line="360" w:lineRule="auto"/>
        <w:jc w:val="center"/>
        <w:rPr>
          <w:rFonts w:asciiTheme="minorEastAsia" w:hAnsiTheme="minorEastAsia" w:cstheme="minorEastAsia"/>
          <w:b/>
          <w:kern w:val="0"/>
          <w:sz w:val="32"/>
          <w:szCs w:val="32"/>
        </w:rPr>
      </w:pPr>
    </w:p>
    <w:p w14:paraId="6AFA3C49">
      <w:pPr>
        <w:spacing w:line="360" w:lineRule="auto"/>
        <w:jc w:val="center"/>
        <w:rPr>
          <w:rFonts w:asciiTheme="minorEastAsia" w:hAnsiTheme="minorEastAsia" w:cstheme="minorEastAsia"/>
          <w:b/>
          <w:kern w:val="0"/>
          <w:sz w:val="32"/>
          <w:szCs w:val="32"/>
        </w:rPr>
      </w:pPr>
    </w:p>
    <w:p w14:paraId="22D5FFBC">
      <w:pPr>
        <w:spacing w:line="360" w:lineRule="auto"/>
        <w:jc w:val="center"/>
        <w:rPr>
          <w:rFonts w:asciiTheme="minorEastAsia" w:hAnsiTheme="minorEastAsia" w:cstheme="minorEastAsia"/>
          <w:b/>
          <w:kern w:val="0"/>
          <w:sz w:val="32"/>
          <w:szCs w:val="32"/>
        </w:rPr>
      </w:pPr>
    </w:p>
    <w:p w14:paraId="148698C9">
      <w:pPr>
        <w:spacing w:line="360" w:lineRule="auto"/>
        <w:jc w:val="center"/>
        <w:rPr>
          <w:rFonts w:asciiTheme="minorEastAsia" w:hAnsiTheme="minorEastAsia" w:cstheme="minorEastAsia"/>
          <w:b/>
          <w:kern w:val="0"/>
          <w:sz w:val="32"/>
          <w:szCs w:val="32"/>
        </w:rPr>
      </w:pPr>
    </w:p>
    <w:p w14:paraId="626700D7">
      <w:pPr>
        <w:widowControl/>
        <w:numPr>
          <w:ilvl w:val="0"/>
          <w:numId w:val="0"/>
        </w:numPr>
        <w:spacing w:line="480" w:lineRule="exact"/>
        <w:jc w:val="both"/>
        <w:rPr>
          <w:rFonts w:hint="eastAsia" w:ascii="宋体" w:hAnsi="宋体" w:eastAsia="宋体" w:cs="宋体"/>
          <w:b/>
          <w:color w:val="auto"/>
          <w:sz w:val="28"/>
          <w:szCs w:val="28"/>
          <w:highlight w:val="none"/>
        </w:rPr>
      </w:pPr>
    </w:p>
    <w:p w14:paraId="67104C72">
      <w:pPr>
        <w:widowControl/>
        <w:numPr>
          <w:ilvl w:val="0"/>
          <w:numId w:val="0"/>
        </w:numPr>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投标供应商资格证明材料</w:t>
      </w:r>
      <w:bookmarkEnd w:id="81"/>
      <w:bookmarkEnd w:id="82"/>
    </w:p>
    <w:p w14:paraId="43C30EC6">
      <w:pPr>
        <w:pStyle w:val="94"/>
        <w:rPr>
          <w:rFonts w:hint="eastAsia" w:ascii="宋体" w:hAnsi="宋体" w:eastAsia="宋体" w:cs="宋体"/>
          <w:color w:val="auto"/>
          <w:highlight w:val="none"/>
        </w:rPr>
      </w:pPr>
    </w:p>
    <w:p w14:paraId="30CD9A65">
      <w:pPr>
        <w:pStyle w:val="94"/>
        <w:rPr>
          <w:rFonts w:hint="eastAsia" w:ascii="宋体" w:hAnsi="宋体" w:eastAsia="宋体" w:cs="宋体"/>
          <w:b/>
          <w:color w:val="auto"/>
          <w:kern w:val="0"/>
          <w:sz w:val="32"/>
          <w:szCs w:val="32"/>
          <w:highlight w:val="none"/>
        </w:rPr>
      </w:pPr>
    </w:p>
    <w:p w14:paraId="0E33DF5E">
      <w:pPr>
        <w:pStyle w:val="94"/>
        <w:rPr>
          <w:rFonts w:hint="eastAsia" w:ascii="宋体" w:hAnsi="宋体" w:eastAsia="宋体" w:cs="宋体"/>
          <w:b/>
          <w:color w:val="auto"/>
          <w:kern w:val="0"/>
          <w:sz w:val="32"/>
          <w:szCs w:val="32"/>
          <w:highlight w:val="none"/>
        </w:rPr>
      </w:pPr>
    </w:p>
    <w:p w14:paraId="6A27BB9D">
      <w:pPr>
        <w:pStyle w:val="94"/>
        <w:rPr>
          <w:rFonts w:hint="eastAsia" w:ascii="宋体" w:hAnsi="宋体" w:eastAsia="宋体" w:cs="宋体"/>
          <w:b/>
          <w:color w:val="auto"/>
          <w:kern w:val="0"/>
          <w:sz w:val="32"/>
          <w:szCs w:val="32"/>
          <w:highlight w:val="none"/>
        </w:rPr>
      </w:pPr>
    </w:p>
    <w:p w14:paraId="5866A228">
      <w:pPr>
        <w:pStyle w:val="94"/>
        <w:rPr>
          <w:rFonts w:hint="eastAsia" w:ascii="宋体" w:hAnsi="宋体" w:eastAsia="宋体" w:cs="宋体"/>
          <w:b/>
          <w:color w:val="auto"/>
          <w:kern w:val="0"/>
          <w:sz w:val="32"/>
          <w:szCs w:val="32"/>
          <w:highlight w:val="none"/>
        </w:rPr>
      </w:pPr>
    </w:p>
    <w:p w14:paraId="376B3C25">
      <w:pPr>
        <w:pStyle w:val="94"/>
        <w:rPr>
          <w:rFonts w:hint="eastAsia" w:ascii="宋体" w:hAnsi="宋体" w:eastAsia="宋体" w:cs="宋体"/>
          <w:b/>
          <w:color w:val="auto"/>
          <w:kern w:val="0"/>
          <w:sz w:val="32"/>
          <w:szCs w:val="32"/>
          <w:highlight w:val="none"/>
        </w:rPr>
      </w:pPr>
    </w:p>
    <w:p w14:paraId="7B8E3C53">
      <w:pPr>
        <w:pStyle w:val="94"/>
        <w:rPr>
          <w:rFonts w:hint="eastAsia" w:ascii="宋体" w:hAnsi="宋体" w:eastAsia="宋体" w:cs="宋体"/>
          <w:b/>
          <w:color w:val="auto"/>
          <w:kern w:val="0"/>
          <w:sz w:val="32"/>
          <w:szCs w:val="32"/>
          <w:highlight w:val="none"/>
        </w:rPr>
      </w:pPr>
    </w:p>
    <w:p w14:paraId="6C97A4C8">
      <w:pPr>
        <w:pStyle w:val="94"/>
        <w:rPr>
          <w:rFonts w:hint="eastAsia" w:ascii="宋体" w:hAnsi="宋体" w:eastAsia="宋体" w:cs="宋体"/>
          <w:b/>
          <w:color w:val="auto"/>
          <w:kern w:val="0"/>
          <w:sz w:val="32"/>
          <w:szCs w:val="32"/>
          <w:highlight w:val="none"/>
        </w:rPr>
      </w:pPr>
    </w:p>
    <w:p w14:paraId="12410295">
      <w:pPr>
        <w:pStyle w:val="94"/>
        <w:rPr>
          <w:rFonts w:hint="eastAsia" w:ascii="宋体" w:hAnsi="宋体" w:eastAsia="宋体" w:cs="宋体"/>
          <w:b/>
          <w:color w:val="auto"/>
          <w:kern w:val="0"/>
          <w:sz w:val="32"/>
          <w:szCs w:val="32"/>
          <w:highlight w:val="none"/>
        </w:rPr>
      </w:pPr>
    </w:p>
    <w:p w14:paraId="79B7A567">
      <w:pPr>
        <w:pStyle w:val="94"/>
        <w:jc w:val="center"/>
        <w:rPr>
          <w:rFonts w:hint="default" w:ascii="宋体" w:hAnsi="宋体" w:eastAsia="宋体" w:cs="宋体"/>
          <w:color w:val="auto"/>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技术方案</w:t>
      </w:r>
    </w:p>
    <w:p w14:paraId="26274554">
      <w:pPr>
        <w:pStyle w:val="94"/>
        <w:jc w:val="center"/>
        <w:rPr>
          <w:rFonts w:hint="eastAsia" w:ascii="宋体" w:hAnsi="宋体" w:eastAsia="宋体" w:cs="宋体"/>
          <w:color w:val="auto"/>
          <w:highlight w:val="none"/>
        </w:rPr>
      </w:pPr>
      <w:r>
        <w:rPr>
          <w:rFonts w:hint="eastAsia" w:ascii="宋体" w:hAnsi="宋体" w:eastAsia="宋体" w:cs="宋体"/>
          <w:color w:val="auto"/>
          <w:highlight w:val="none"/>
        </w:rPr>
        <w:t>(格式自拟）</w:t>
      </w:r>
    </w:p>
    <w:p w14:paraId="7E7ED891">
      <w:pPr>
        <w:spacing w:line="600" w:lineRule="exact"/>
        <w:jc w:val="center"/>
        <w:outlineLvl w:val="0"/>
        <w:rPr>
          <w:rFonts w:hint="eastAsia" w:ascii="宋体" w:hAnsi="宋体" w:eastAsia="宋体" w:cs="宋体"/>
          <w:b/>
          <w:color w:val="auto"/>
          <w:sz w:val="28"/>
          <w:szCs w:val="28"/>
          <w:highlight w:val="none"/>
        </w:rPr>
      </w:pPr>
    </w:p>
    <w:p w14:paraId="534A2A66">
      <w:pPr>
        <w:spacing w:line="600" w:lineRule="exact"/>
        <w:jc w:val="center"/>
        <w:outlineLvl w:val="0"/>
        <w:rPr>
          <w:rFonts w:hint="eastAsia" w:ascii="宋体" w:hAnsi="宋体" w:eastAsia="宋体" w:cs="宋体"/>
          <w:b/>
          <w:color w:val="auto"/>
          <w:sz w:val="28"/>
          <w:szCs w:val="28"/>
          <w:highlight w:val="none"/>
        </w:rPr>
      </w:pPr>
    </w:p>
    <w:p w14:paraId="3A7394E6">
      <w:pPr>
        <w:spacing w:line="600" w:lineRule="exact"/>
        <w:jc w:val="center"/>
        <w:outlineLvl w:val="0"/>
        <w:rPr>
          <w:rFonts w:hint="eastAsia" w:ascii="宋体" w:hAnsi="宋体" w:eastAsia="宋体" w:cs="宋体"/>
          <w:b/>
          <w:color w:val="auto"/>
          <w:sz w:val="28"/>
          <w:szCs w:val="28"/>
          <w:highlight w:val="none"/>
        </w:rPr>
      </w:pPr>
    </w:p>
    <w:p w14:paraId="3F6030E2">
      <w:pPr>
        <w:spacing w:line="600" w:lineRule="exact"/>
        <w:jc w:val="center"/>
        <w:outlineLvl w:val="0"/>
        <w:rPr>
          <w:rFonts w:hint="eastAsia" w:ascii="宋体" w:hAnsi="宋体" w:eastAsia="宋体" w:cs="宋体"/>
          <w:b/>
          <w:color w:val="auto"/>
          <w:sz w:val="28"/>
          <w:szCs w:val="28"/>
          <w:highlight w:val="none"/>
        </w:rPr>
      </w:pPr>
    </w:p>
    <w:p w14:paraId="28DF4CF2">
      <w:pPr>
        <w:spacing w:line="600" w:lineRule="exact"/>
        <w:jc w:val="center"/>
        <w:outlineLvl w:val="0"/>
        <w:rPr>
          <w:rFonts w:hint="eastAsia" w:ascii="宋体" w:hAnsi="宋体" w:eastAsia="宋体" w:cs="宋体"/>
          <w:b/>
          <w:color w:val="auto"/>
          <w:sz w:val="28"/>
          <w:szCs w:val="28"/>
          <w:highlight w:val="none"/>
        </w:rPr>
      </w:pPr>
    </w:p>
    <w:p w14:paraId="5EE92B05">
      <w:pPr>
        <w:spacing w:line="600" w:lineRule="exact"/>
        <w:jc w:val="center"/>
        <w:outlineLvl w:val="0"/>
        <w:rPr>
          <w:rFonts w:hint="eastAsia" w:ascii="宋体" w:hAnsi="宋体" w:eastAsia="宋体" w:cs="宋体"/>
          <w:b/>
          <w:color w:val="auto"/>
          <w:sz w:val="28"/>
          <w:szCs w:val="28"/>
          <w:highlight w:val="none"/>
        </w:rPr>
      </w:pPr>
    </w:p>
    <w:p w14:paraId="4D4EF375">
      <w:pPr>
        <w:spacing w:line="600" w:lineRule="exact"/>
        <w:jc w:val="center"/>
        <w:outlineLvl w:val="0"/>
        <w:rPr>
          <w:rFonts w:hint="eastAsia" w:ascii="宋体" w:hAnsi="宋体" w:eastAsia="宋体" w:cs="宋体"/>
          <w:b/>
          <w:color w:val="auto"/>
          <w:sz w:val="28"/>
          <w:szCs w:val="28"/>
          <w:highlight w:val="none"/>
        </w:rPr>
      </w:pPr>
    </w:p>
    <w:p w14:paraId="3521526A">
      <w:pPr>
        <w:spacing w:line="600" w:lineRule="exact"/>
        <w:jc w:val="center"/>
        <w:outlineLvl w:val="0"/>
        <w:rPr>
          <w:rFonts w:hint="eastAsia" w:ascii="宋体" w:hAnsi="宋体" w:eastAsia="宋体" w:cs="宋体"/>
          <w:b/>
          <w:color w:val="auto"/>
          <w:sz w:val="28"/>
          <w:szCs w:val="28"/>
          <w:highlight w:val="none"/>
        </w:rPr>
      </w:pPr>
    </w:p>
    <w:p w14:paraId="6674BFEF">
      <w:pPr>
        <w:spacing w:line="600" w:lineRule="exact"/>
        <w:jc w:val="center"/>
        <w:outlineLvl w:val="0"/>
        <w:rPr>
          <w:rFonts w:hint="eastAsia" w:ascii="宋体" w:hAnsi="宋体" w:eastAsia="宋体" w:cs="宋体"/>
          <w:b/>
          <w:color w:val="auto"/>
          <w:sz w:val="28"/>
          <w:szCs w:val="28"/>
          <w:highlight w:val="none"/>
        </w:rPr>
      </w:pPr>
    </w:p>
    <w:p w14:paraId="56F574BC">
      <w:pPr>
        <w:spacing w:line="600" w:lineRule="exact"/>
        <w:jc w:val="center"/>
        <w:outlineLvl w:val="0"/>
        <w:rPr>
          <w:rFonts w:hint="eastAsia" w:ascii="宋体" w:hAnsi="宋体" w:eastAsia="宋体" w:cs="宋体"/>
          <w:b/>
          <w:color w:val="auto"/>
          <w:sz w:val="28"/>
          <w:szCs w:val="28"/>
          <w:highlight w:val="none"/>
        </w:rPr>
      </w:pPr>
    </w:p>
    <w:p w14:paraId="750F9662">
      <w:pPr>
        <w:spacing w:line="600" w:lineRule="exact"/>
        <w:jc w:val="center"/>
        <w:outlineLvl w:val="0"/>
        <w:rPr>
          <w:rFonts w:hint="eastAsia" w:ascii="宋体" w:hAnsi="宋体" w:eastAsia="宋体" w:cs="宋体"/>
          <w:b/>
          <w:color w:val="auto"/>
          <w:sz w:val="28"/>
          <w:szCs w:val="28"/>
          <w:highlight w:val="none"/>
        </w:rPr>
      </w:pPr>
    </w:p>
    <w:p w14:paraId="3EA79220">
      <w:pPr>
        <w:spacing w:line="600" w:lineRule="exact"/>
        <w:jc w:val="center"/>
        <w:outlineLvl w:val="0"/>
        <w:rPr>
          <w:rFonts w:hint="eastAsia" w:ascii="宋体" w:hAnsi="宋体" w:eastAsia="宋体" w:cs="宋体"/>
          <w:b/>
          <w:color w:val="auto"/>
          <w:sz w:val="28"/>
          <w:szCs w:val="28"/>
          <w:highlight w:val="none"/>
        </w:rPr>
      </w:pPr>
    </w:p>
    <w:p w14:paraId="175DBF02">
      <w:pPr>
        <w:spacing w:line="600" w:lineRule="exact"/>
        <w:jc w:val="center"/>
        <w:outlineLvl w:val="0"/>
        <w:rPr>
          <w:rFonts w:hint="eastAsia" w:ascii="宋体" w:hAnsi="宋体" w:eastAsia="宋体" w:cs="宋体"/>
          <w:b/>
          <w:color w:val="auto"/>
          <w:sz w:val="28"/>
          <w:szCs w:val="28"/>
          <w:highlight w:val="none"/>
        </w:rPr>
      </w:pPr>
    </w:p>
    <w:p w14:paraId="0CCE4C59">
      <w:pPr>
        <w:spacing w:line="600" w:lineRule="exact"/>
        <w:jc w:val="center"/>
        <w:outlineLvl w:val="0"/>
        <w:rPr>
          <w:rFonts w:hint="eastAsia" w:ascii="宋体" w:hAnsi="宋体" w:eastAsia="宋体" w:cs="宋体"/>
          <w:b/>
          <w:color w:val="auto"/>
          <w:sz w:val="28"/>
          <w:szCs w:val="28"/>
          <w:highlight w:val="none"/>
        </w:rPr>
      </w:pPr>
    </w:p>
    <w:p w14:paraId="17C65664">
      <w:pPr>
        <w:spacing w:line="600" w:lineRule="exact"/>
        <w:jc w:val="center"/>
        <w:outlineLvl w:val="0"/>
        <w:rPr>
          <w:rFonts w:hint="eastAsia" w:ascii="宋体" w:hAnsi="宋体" w:eastAsia="宋体" w:cs="宋体"/>
          <w:b/>
          <w:color w:val="auto"/>
          <w:sz w:val="28"/>
          <w:szCs w:val="28"/>
          <w:highlight w:val="none"/>
        </w:rPr>
      </w:pPr>
    </w:p>
    <w:p w14:paraId="5A8C3297">
      <w:pPr>
        <w:spacing w:line="600" w:lineRule="exact"/>
        <w:jc w:val="center"/>
        <w:outlineLvl w:val="0"/>
        <w:rPr>
          <w:rFonts w:hint="eastAsia" w:ascii="宋体" w:hAnsi="宋体" w:eastAsia="宋体" w:cs="宋体"/>
          <w:b/>
          <w:color w:val="auto"/>
          <w:sz w:val="28"/>
          <w:szCs w:val="28"/>
          <w:highlight w:val="none"/>
        </w:rPr>
      </w:pPr>
    </w:p>
    <w:p w14:paraId="07956A99">
      <w:pPr>
        <w:pStyle w:val="94"/>
        <w:jc w:val="center"/>
        <w:rPr>
          <w:rFonts w:hint="eastAsia" w:ascii="宋体" w:hAnsi="宋体" w:eastAsia="宋体" w:cs="宋体"/>
          <w:b/>
          <w:color w:val="auto"/>
          <w:sz w:val="28"/>
          <w:szCs w:val="28"/>
          <w:highlight w:val="none"/>
        </w:rPr>
      </w:pPr>
      <w:bookmarkStart w:id="83" w:name="_Toc80256526"/>
      <w:bookmarkStart w:id="84" w:name="_Toc2352"/>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、投标供应商类似业绩</w:t>
      </w:r>
    </w:p>
    <w:p w14:paraId="0090F26B">
      <w:pPr>
        <w:widowControl/>
        <w:autoSpaceDN w:val="0"/>
        <w:spacing w:line="480" w:lineRule="atLeast"/>
        <w:jc w:val="center"/>
        <w:outlineLvl w:val="0"/>
        <w:rPr>
          <w:rFonts w:hint="eastAsia" w:ascii="宋体" w:hAnsi="宋体" w:eastAsia="宋体" w:cs="宋体"/>
          <w:bCs/>
          <w:color w:val="auto"/>
          <w:sz w:val="28"/>
          <w:szCs w:val="28"/>
          <w:highlight w:val="none"/>
        </w:rPr>
      </w:pPr>
      <w:bookmarkStart w:id="85" w:name="_Toc27560"/>
      <w:r>
        <w:rPr>
          <w:rFonts w:hint="eastAsia" w:ascii="宋体" w:hAnsi="宋体" w:eastAsia="宋体" w:cs="宋体"/>
          <w:bCs/>
          <w:color w:val="auto"/>
          <w:sz w:val="28"/>
          <w:szCs w:val="28"/>
          <w:highlight w:val="none"/>
        </w:rPr>
        <w:t>（格式自拟）</w:t>
      </w:r>
      <w:bookmarkEnd w:id="85"/>
    </w:p>
    <w:p w14:paraId="24FAD240">
      <w:pPr>
        <w:pStyle w:val="94"/>
        <w:rPr>
          <w:rFonts w:hint="eastAsia" w:ascii="宋体" w:hAnsi="宋体" w:eastAsia="宋体" w:cs="宋体"/>
          <w:b/>
          <w:color w:val="auto"/>
          <w:sz w:val="28"/>
          <w:szCs w:val="28"/>
          <w:highlight w:val="none"/>
        </w:rPr>
      </w:pPr>
    </w:p>
    <w:p w14:paraId="1E4BA1CA">
      <w:pPr>
        <w:pStyle w:val="94"/>
        <w:rPr>
          <w:rFonts w:hint="eastAsia" w:ascii="宋体" w:hAnsi="宋体" w:eastAsia="宋体" w:cs="宋体"/>
          <w:b/>
          <w:color w:val="auto"/>
          <w:sz w:val="28"/>
          <w:szCs w:val="28"/>
          <w:highlight w:val="none"/>
        </w:rPr>
      </w:pPr>
    </w:p>
    <w:p w14:paraId="3F316DB6">
      <w:pPr>
        <w:pStyle w:val="94"/>
        <w:rPr>
          <w:rFonts w:hint="eastAsia" w:ascii="宋体" w:hAnsi="宋体" w:eastAsia="宋体" w:cs="宋体"/>
          <w:b/>
          <w:color w:val="auto"/>
          <w:sz w:val="28"/>
          <w:szCs w:val="28"/>
          <w:highlight w:val="none"/>
        </w:rPr>
      </w:pPr>
    </w:p>
    <w:p w14:paraId="72C9A119">
      <w:pPr>
        <w:pStyle w:val="94"/>
        <w:rPr>
          <w:rFonts w:hint="eastAsia" w:ascii="宋体" w:hAnsi="宋体" w:eastAsia="宋体" w:cs="宋体"/>
          <w:b/>
          <w:color w:val="auto"/>
          <w:sz w:val="28"/>
          <w:szCs w:val="28"/>
          <w:highlight w:val="none"/>
        </w:rPr>
      </w:pPr>
    </w:p>
    <w:p w14:paraId="02EEEEEF">
      <w:pPr>
        <w:pStyle w:val="94"/>
        <w:rPr>
          <w:rFonts w:hint="eastAsia" w:ascii="宋体" w:hAnsi="宋体" w:eastAsia="宋体" w:cs="宋体"/>
          <w:b/>
          <w:color w:val="auto"/>
          <w:sz w:val="28"/>
          <w:szCs w:val="28"/>
          <w:highlight w:val="none"/>
        </w:rPr>
      </w:pPr>
    </w:p>
    <w:p w14:paraId="607F7F1C">
      <w:pPr>
        <w:pStyle w:val="94"/>
        <w:rPr>
          <w:rFonts w:hint="eastAsia" w:ascii="宋体" w:hAnsi="宋体" w:eastAsia="宋体" w:cs="宋体"/>
          <w:b/>
          <w:color w:val="auto"/>
          <w:sz w:val="28"/>
          <w:szCs w:val="28"/>
          <w:highlight w:val="none"/>
        </w:rPr>
      </w:pPr>
    </w:p>
    <w:p w14:paraId="3B5B88C7">
      <w:pPr>
        <w:pStyle w:val="94"/>
        <w:rPr>
          <w:rFonts w:hint="eastAsia" w:ascii="宋体" w:hAnsi="宋体" w:eastAsia="宋体" w:cs="宋体"/>
          <w:b/>
          <w:color w:val="auto"/>
          <w:sz w:val="28"/>
          <w:szCs w:val="28"/>
          <w:highlight w:val="none"/>
        </w:rPr>
      </w:pPr>
    </w:p>
    <w:p w14:paraId="6C041069">
      <w:pPr>
        <w:pStyle w:val="94"/>
        <w:rPr>
          <w:rFonts w:hint="eastAsia" w:ascii="宋体" w:hAnsi="宋体" w:eastAsia="宋体" w:cs="宋体"/>
          <w:b/>
          <w:color w:val="auto"/>
          <w:sz w:val="28"/>
          <w:szCs w:val="28"/>
          <w:highlight w:val="none"/>
        </w:rPr>
      </w:pPr>
    </w:p>
    <w:p w14:paraId="4265D71A">
      <w:pPr>
        <w:pStyle w:val="94"/>
        <w:rPr>
          <w:rFonts w:hint="eastAsia" w:ascii="宋体" w:hAnsi="宋体" w:eastAsia="宋体" w:cs="宋体"/>
          <w:b/>
          <w:color w:val="auto"/>
          <w:sz w:val="28"/>
          <w:szCs w:val="28"/>
          <w:highlight w:val="none"/>
        </w:rPr>
      </w:pPr>
    </w:p>
    <w:p w14:paraId="64BCDFC0">
      <w:pPr>
        <w:pStyle w:val="94"/>
        <w:rPr>
          <w:rFonts w:hint="eastAsia" w:ascii="宋体" w:hAnsi="宋体" w:eastAsia="宋体" w:cs="宋体"/>
          <w:b/>
          <w:color w:val="auto"/>
          <w:sz w:val="28"/>
          <w:szCs w:val="28"/>
          <w:highlight w:val="none"/>
        </w:rPr>
      </w:pPr>
    </w:p>
    <w:p w14:paraId="18E0241F">
      <w:pPr>
        <w:pStyle w:val="94"/>
        <w:rPr>
          <w:rFonts w:hint="eastAsia" w:ascii="宋体" w:hAnsi="宋体" w:eastAsia="宋体" w:cs="宋体"/>
          <w:b/>
          <w:color w:val="auto"/>
          <w:sz w:val="28"/>
          <w:szCs w:val="28"/>
          <w:highlight w:val="none"/>
        </w:rPr>
      </w:pPr>
    </w:p>
    <w:p w14:paraId="7AE986BD">
      <w:pPr>
        <w:pStyle w:val="94"/>
        <w:rPr>
          <w:rFonts w:hint="eastAsia" w:ascii="宋体" w:hAnsi="宋体" w:eastAsia="宋体" w:cs="宋体"/>
          <w:b/>
          <w:color w:val="auto"/>
          <w:sz w:val="28"/>
          <w:szCs w:val="28"/>
          <w:highlight w:val="none"/>
        </w:rPr>
      </w:pPr>
    </w:p>
    <w:p w14:paraId="6B6107ED">
      <w:pPr>
        <w:pStyle w:val="94"/>
        <w:rPr>
          <w:rFonts w:hint="eastAsia" w:ascii="宋体" w:hAnsi="宋体" w:eastAsia="宋体" w:cs="宋体"/>
          <w:b/>
          <w:color w:val="auto"/>
          <w:sz w:val="28"/>
          <w:szCs w:val="28"/>
          <w:highlight w:val="none"/>
        </w:rPr>
      </w:pPr>
    </w:p>
    <w:p w14:paraId="3B4F60A6">
      <w:pPr>
        <w:pStyle w:val="94"/>
        <w:rPr>
          <w:rFonts w:hint="eastAsia" w:ascii="宋体" w:hAnsi="宋体" w:eastAsia="宋体" w:cs="宋体"/>
          <w:b/>
          <w:color w:val="auto"/>
          <w:sz w:val="28"/>
          <w:szCs w:val="28"/>
          <w:highlight w:val="none"/>
        </w:rPr>
      </w:pPr>
    </w:p>
    <w:p w14:paraId="24497AC8">
      <w:pPr>
        <w:pStyle w:val="94"/>
        <w:rPr>
          <w:rFonts w:hint="eastAsia" w:ascii="宋体" w:hAnsi="宋体" w:eastAsia="宋体" w:cs="宋体"/>
          <w:b/>
          <w:color w:val="auto"/>
          <w:sz w:val="28"/>
          <w:szCs w:val="28"/>
          <w:highlight w:val="none"/>
        </w:rPr>
      </w:pPr>
    </w:p>
    <w:p w14:paraId="0114D67B">
      <w:pPr>
        <w:pStyle w:val="94"/>
        <w:rPr>
          <w:rFonts w:hint="eastAsia" w:ascii="宋体" w:hAnsi="宋体" w:eastAsia="宋体" w:cs="宋体"/>
          <w:b/>
          <w:color w:val="auto"/>
          <w:sz w:val="28"/>
          <w:szCs w:val="28"/>
          <w:highlight w:val="none"/>
        </w:rPr>
      </w:pPr>
    </w:p>
    <w:p w14:paraId="24499FFB">
      <w:pPr>
        <w:pStyle w:val="94"/>
        <w:rPr>
          <w:rFonts w:hint="eastAsia" w:ascii="宋体" w:hAnsi="宋体" w:eastAsia="宋体" w:cs="宋体"/>
          <w:b/>
          <w:color w:val="auto"/>
          <w:sz w:val="28"/>
          <w:szCs w:val="28"/>
          <w:highlight w:val="none"/>
        </w:rPr>
      </w:pPr>
    </w:p>
    <w:p w14:paraId="7CBCD4AE">
      <w:pPr>
        <w:pStyle w:val="94"/>
        <w:rPr>
          <w:rFonts w:hint="eastAsia" w:ascii="宋体" w:hAnsi="宋体" w:eastAsia="宋体" w:cs="宋体"/>
          <w:b/>
          <w:color w:val="auto"/>
          <w:sz w:val="28"/>
          <w:szCs w:val="28"/>
          <w:highlight w:val="none"/>
        </w:rPr>
      </w:pPr>
    </w:p>
    <w:p w14:paraId="303D5C22">
      <w:pPr>
        <w:pStyle w:val="94"/>
        <w:rPr>
          <w:rFonts w:hint="eastAsia" w:ascii="宋体" w:hAnsi="宋体" w:eastAsia="宋体" w:cs="宋体"/>
          <w:b/>
          <w:color w:val="auto"/>
          <w:sz w:val="28"/>
          <w:szCs w:val="28"/>
          <w:highlight w:val="none"/>
        </w:rPr>
      </w:pPr>
    </w:p>
    <w:p w14:paraId="3EEA0DEC">
      <w:pPr>
        <w:pStyle w:val="94"/>
        <w:rPr>
          <w:rFonts w:hint="eastAsia" w:ascii="宋体" w:hAnsi="宋体" w:eastAsia="宋体" w:cs="宋体"/>
          <w:b/>
          <w:color w:val="auto"/>
          <w:sz w:val="28"/>
          <w:szCs w:val="28"/>
          <w:highlight w:val="none"/>
        </w:rPr>
      </w:pPr>
    </w:p>
    <w:p w14:paraId="4923D903">
      <w:pPr>
        <w:pStyle w:val="94"/>
        <w:rPr>
          <w:rFonts w:hint="eastAsia" w:ascii="宋体" w:hAnsi="宋体" w:eastAsia="宋体" w:cs="宋体"/>
          <w:b/>
          <w:color w:val="auto"/>
          <w:sz w:val="28"/>
          <w:szCs w:val="28"/>
          <w:highlight w:val="none"/>
        </w:rPr>
      </w:pPr>
    </w:p>
    <w:p w14:paraId="25E9CC7B">
      <w:pPr>
        <w:pStyle w:val="94"/>
        <w:rPr>
          <w:rFonts w:hint="eastAsia" w:ascii="宋体" w:hAnsi="宋体" w:eastAsia="宋体" w:cs="宋体"/>
          <w:b/>
          <w:color w:val="auto"/>
          <w:sz w:val="28"/>
          <w:szCs w:val="28"/>
          <w:highlight w:val="none"/>
        </w:rPr>
      </w:pPr>
    </w:p>
    <w:p w14:paraId="1FD9BDD6">
      <w:pPr>
        <w:pStyle w:val="94"/>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、售后服务方案</w:t>
      </w:r>
    </w:p>
    <w:p w14:paraId="63680DCA">
      <w:pPr>
        <w:pStyle w:val="94"/>
        <w:jc w:val="center"/>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 xml:space="preserve">  （格式自拟）</w:t>
      </w:r>
    </w:p>
    <w:p w14:paraId="6C624C7D">
      <w:pPr>
        <w:pStyle w:val="94"/>
        <w:jc w:val="center"/>
        <w:rPr>
          <w:rFonts w:hint="eastAsia" w:ascii="宋体" w:hAnsi="宋体" w:eastAsia="宋体" w:cs="宋体"/>
          <w:b/>
          <w:color w:val="auto"/>
          <w:sz w:val="28"/>
          <w:szCs w:val="28"/>
          <w:highlight w:val="none"/>
        </w:rPr>
      </w:pPr>
    </w:p>
    <w:p w14:paraId="286A4D5C">
      <w:pPr>
        <w:pStyle w:val="94"/>
        <w:jc w:val="center"/>
        <w:rPr>
          <w:rFonts w:hint="eastAsia" w:ascii="宋体" w:hAnsi="宋体" w:eastAsia="宋体" w:cs="宋体"/>
          <w:b/>
          <w:color w:val="auto"/>
          <w:sz w:val="28"/>
          <w:szCs w:val="28"/>
          <w:highlight w:val="none"/>
        </w:rPr>
      </w:pPr>
    </w:p>
    <w:p w14:paraId="25EAC320">
      <w:pPr>
        <w:pStyle w:val="94"/>
        <w:jc w:val="center"/>
        <w:rPr>
          <w:rFonts w:hint="eastAsia" w:ascii="宋体" w:hAnsi="宋体" w:eastAsia="宋体" w:cs="宋体"/>
          <w:b/>
          <w:color w:val="auto"/>
          <w:sz w:val="28"/>
          <w:szCs w:val="28"/>
          <w:highlight w:val="none"/>
        </w:rPr>
      </w:pPr>
    </w:p>
    <w:p w14:paraId="2F5C6860">
      <w:pPr>
        <w:pStyle w:val="94"/>
        <w:jc w:val="center"/>
        <w:rPr>
          <w:rFonts w:hint="eastAsia" w:ascii="宋体" w:hAnsi="宋体" w:eastAsia="宋体" w:cs="宋体"/>
          <w:b/>
          <w:color w:val="auto"/>
          <w:sz w:val="28"/>
          <w:szCs w:val="28"/>
          <w:highlight w:val="none"/>
        </w:rPr>
      </w:pPr>
    </w:p>
    <w:p w14:paraId="6E33E711">
      <w:pPr>
        <w:pStyle w:val="94"/>
        <w:jc w:val="center"/>
        <w:rPr>
          <w:rFonts w:hint="eastAsia" w:ascii="宋体" w:hAnsi="宋体" w:eastAsia="宋体" w:cs="宋体"/>
          <w:b/>
          <w:color w:val="auto"/>
          <w:sz w:val="28"/>
          <w:szCs w:val="28"/>
          <w:highlight w:val="none"/>
        </w:rPr>
      </w:pPr>
    </w:p>
    <w:p w14:paraId="507F4904">
      <w:pPr>
        <w:pStyle w:val="94"/>
        <w:jc w:val="center"/>
        <w:rPr>
          <w:rFonts w:hint="eastAsia" w:ascii="宋体" w:hAnsi="宋体" w:eastAsia="宋体" w:cs="宋体"/>
          <w:b/>
          <w:color w:val="auto"/>
          <w:sz w:val="28"/>
          <w:szCs w:val="28"/>
          <w:highlight w:val="none"/>
        </w:rPr>
      </w:pPr>
    </w:p>
    <w:p w14:paraId="5C09098C">
      <w:pPr>
        <w:pStyle w:val="94"/>
        <w:jc w:val="center"/>
        <w:rPr>
          <w:rFonts w:hint="eastAsia" w:ascii="宋体" w:hAnsi="宋体" w:eastAsia="宋体" w:cs="宋体"/>
          <w:b/>
          <w:color w:val="auto"/>
          <w:sz w:val="28"/>
          <w:szCs w:val="28"/>
          <w:highlight w:val="none"/>
        </w:rPr>
      </w:pPr>
    </w:p>
    <w:p w14:paraId="42490329">
      <w:pPr>
        <w:pStyle w:val="94"/>
        <w:jc w:val="center"/>
        <w:rPr>
          <w:rFonts w:hint="eastAsia" w:ascii="宋体" w:hAnsi="宋体" w:eastAsia="宋体" w:cs="宋体"/>
          <w:b/>
          <w:color w:val="auto"/>
          <w:sz w:val="28"/>
          <w:szCs w:val="28"/>
          <w:highlight w:val="none"/>
        </w:rPr>
      </w:pPr>
    </w:p>
    <w:p w14:paraId="7EF2179E">
      <w:pPr>
        <w:pStyle w:val="94"/>
        <w:jc w:val="center"/>
        <w:rPr>
          <w:rFonts w:hint="eastAsia" w:ascii="宋体" w:hAnsi="宋体" w:eastAsia="宋体" w:cs="宋体"/>
          <w:b/>
          <w:color w:val="auto"/>
          <w:sz w:val="28"/>
          <w:szCs w:val="28"/>
          <w:highlight w:val="none"/>
        </w:rPr>
      </w:pPr>
    </w:p>
    <w:p w14:paraId="3E0A85BF">
      <w:pPr>
        <w:pStyle w:val="94"/>
        <w:jc w:val="center"/>
        <w:rPr>
          <w:rFonts w:hint="eastAsia" w:ascii="宋体" w:hAnsi="宋体" w:eastAsia="宋体" w:cs="宋体"/>
          <w:b/>
          <w:color w:val="auto"/>
          <w:sz w:val="28"/>
          <w:szCs w:val="28"/>
          <w:highlight w:val="none"/>
        </w:rPr>
      </w:pPr>
    </w:p>
    <w:p w14:paraId="5DF22E0C">
      <w:pPr>
        <w:pStyle w:val="94"/>
        <w:jc w:val="center"/>
        <w:rPr>
          <w:rFonts w:hint="eastAsia" w:ascii="宋体" w:hAnsi="宋体" w:eastAsia="宋体" w:cs="宋体"/>
          <w:b/>
          <w:color w:val="auto"/>
          <w:sz w:val="28"/>
          <w:szCs w:val="28"/>
          <w:highlight w:val="none"/>
        </w:rPr>
      </w:pPr>
    </w:p>
    <w:p w14:paraId="173486C8">
      <w:pPr>
        <w:pStyle w:val="94"/>
        <w:jc w:val="center"/>
        <w:rPr>
          <w:rFonts w:hint="eastAsia" w:ascii="宋体" w:hAnsi="宋体" w:eastAsia="宋体" w:cs="宋体"/>
          <w:b/>
          <w:color w:val="auto"/>
          <w:sz w:val="28"/>
          <w:szCs w:val="28"/>
          <w:highlight w:val="none"/>
        </w:rPr>
      </w:pPr>
    </w:p>
    <w:p w14:paraId="484F2F88">
      <w:pPr>
        <w:pStyle w:val="94"/>
        <w:jc w:val="center"/>
        <w:rPr>
          <w:rFonts w:hint="eastAsia" w:ascii="宋体" w:hAnsi="宋体" w:eastAsia="宋体" w:cs="宋体"/>
          <w:b/>
          <w:color w:val="auto"/>
          <w:sz w:val="28"/>
          <w:szCs w:val="28"/>
          <w:highlight w:val="none"/>
        </w:rPr>
      </w:pPr>
    </w:p>
    <w:p w14:paraId="7F7BB932">
      <w:pPr>
        <w:pStyle w:val="94"/>
        <w:jc w:val="center"/>
        <w:rPr>
          <w:rFonts w:hint="eastAsia" w:ascii="宋体" w:hAnsi="宋体" w:eastAsia="宋体" w:cs="宋体"/>
          <w:b/>
          <w:color w:val="auto"/>
          <w:sz w:val="28"/>
          <w:szCs w:val="28"/>
          <w:highlight w:val="none"/>
        </w:rPr>
      </w:pPr>
    </w:p>
    <w:p w14:paraId="1206A488">
      <w:pPr>
        <w:pStyle w:val="94"/>
        <w:jc w:val="center"/>
        <w:rPr>
          <w:rFonts w:hint="eastAsia" w:ascii="宋体" w:hAnsi="宋体" w:eastAsia="宋体" w:cs="宋体"/>
          <w:b/>
          <w:color w:val="auto"/>
          <w:sz w:val="28"/>
          <w:szCs w:val="28"/>
          <w:highlight w:val="none"/>
        </w:rPr>
      </w:pPr>
    </w:p>
    <w:p w14:paraId="7B5292A5">
      <w:pPr>
        <w:pStyle w:val="94"/>
        <w:jc w:val="center"/>
        <w:rPr>
          <w:rFonts w:hint="eastAsia" w:ascii="宋体" w:hAnsi="宋体" w:eastAsia="宋体" w:cs="宋体"/>
          <w:b/>
          <w:color w:val="auto"/>
          <w:sz w:val="28"/>
          <w:szCs w:val="28"/>
          <w:highlight w:val="none"/>
        </w:rPr>
      </w:pPr>
    </w:p>
    <w:p w14:paraId="678179CA">
      <w:pPr>
        <w:pStyle w:val="94"/>
        <w:jc w:val="center"/>
        <w:rPr>
          <w:rFonts w:hint="eastAsia" w:ascii="宋体" w:hAnsi="宋体" w:eastAsia="宋体" w:cs="宋体"/>
          <w:b/>
          <w:color w:val="auto"/>
          <w:sz w:val="28"/>
          <w:szCs w:val="28"/>
          <w:highlight w:val="none"/>
        </w:rPr>
      </w:pPr>
    </w:p>
    <w:p w14:paraId="3DF68DF8">
      <w:pPr>
        <w:pStyle w:val="94"/>
        <w:jc w:val="center"/>
        <w:rPr>
          <w:rFonts w:hint="eastAsia" w:ascii="宋体" w:hAnsi="宋体" w:eastAsia="宋体" w:cs="宋体"/>
          <w:b/>
          <w:color w:val="auto"/>
          <w:sz w:val="28"/>
          <w:szCs w:val="28"/>
          <w:highlight w:val="none"/>
        </w:rPr>
      </w:pPr>
    </w:p>
    <w:p w14:paraId="2BFF58E5">
      <w:pPr>
        <w:pStyle w:val="94"/>
        <w:jc w:val="center"/>
        <w:rPr>
          <w:rFonts w:hint="eastAsia" w:ascii="宋体" w:hAnsi="宋体" w:eastAsia="宋体" w:cs="宋体"/>
          <w:b/>
          <w:color w:val="auto"/>
          <w:sz w:val="28"/>
          <w:szCs w:val="28"/>
          <w:highlight w:val="none"/>
        </w:rPr>
      </w:pPr>
    </w:p>
    <w:p w14:paraId="52891258">
      <w:pPr>
        <w:pStyle w:val="94"/>
        <w:jc w:val="center"/>
        <w:rPr>
          <w:rFonts w:hint="eastAsia" w:ascii="宋体" w:hAnsi="宋体" w:eastAsia="宋体" w:cs="宋体"/>
          <w:b/>
          <w:color w:val="auto"/>
          <w:sz w:val="28"/>
          <w:szCs w:val="28"/>
          <w:highlight w:val="none"/>
        </w:rPr>
      </w:pPr>
    </w:p>
    <w:p w14:paraId="397DF178">
      <w:pPr>
        <w:pStyle w:val="94"/>
        <w:jc w:val="center"/>
        <w:rPr>
          <w:rFonts w:hint="eastAsia" w:ascii="宋体" w:hAnsi="宋体" w:eastAsia="宋体" w:cs="宋体"/>
          <w:b/>
          <w:color w:val="auto"/>
          <w:sz w:val="28"/>
          <w:szCs w:val="28"/>
          <w:highlight w:val="none"/>
        </w:rPr>
      </w:pPr>
    </w:p>
    <w:p w14:paraId="76DF3009">
      <w:pPr>
        <w:pStyle w:val="94"/>
        <w:jc w:val="center"/>
        <w:rPr>
          <w:rFonts w:hint="eastAsia" w:ascii="宋体" w:hAnsi="宋体" w:eastAsia="宋体" w:cs="宋体"/>
          <w:b/>
          <w:color w:val="auto"/>
          <w:sz w:val="28"/>
          <w:szCs w:val="28"/>
          <w:highlight w:val="none"/>
        </w:rPr>
      </w:pPr>
    </w:p>
    <w:p w14:paraId="1D39EEE9">
      <w:pPr>
        <w:pStyle w:val="94"/>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、优惠承诺</w:t>
      </w:r>
    </w:p>
    <w:p w14:paraId="1DC24698">
      <w:pPr>
        <w:pStyle w:val="94"/>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（格式自拟）</w:t>
      </w:r>
    </w:p>
    <w:p w14:paraId="0727E36F">
      <w:pPr>
        <w:pStyle w:val="94"/>
        <w:jc w:val="center"/>
        <w:rPr>
          <w:rFonts w:hint="eastAsia" w:ascii="宋体" w:hAnsi="宋体" w:eastAsia="宋体" w:cs="宋体"/>
          <w:bCs/>
          <w:color w:val="auto"/>
          <w:sz w:val="28"/>
          <w:szCs w:val="28"/>
          <w:highlight w:val="none"/>
        </w:rPr>
      </w:pPr>
    </w:p>
    <w:p w14:paraId="54AA85CF">
      <w:pPr>
        <w:pStyle w:val="94"/>
        <w:jc w:val="center"/>
        <w:rPr>
          <w:rFonts w:hint="eastAsia" w:ascii="宋体" w:hAnsi="宋体" w:eastAsia="宋体" w:cs="宋体"/>
          <w:bCs/>
          <w:color w:val="auto"/>
          <w:sz w:val="28"/>
          <w:szCs w:val="28"/>
          <w:highlight w:val="none"/>
        </w:rPr>
      </w:pPr>
    </w:p>
    <w:p w14:paraId="5E298523">
      <w:pPr>
        <w:pStyle w:val="94"/>
        <w:jc w:val="center"/>
        <w:rPr>
          <w:rFonts w:hint="eastAsia" w:ascii="宋体" w:hAnsi="宋体" w:eastAsia="宋体" w:cs="宋体"/>
          <w:bCs/>
          <w:color w:val="auto"/>
          <w:sz w:val="28"/>
          <w:szCs w:val="28"/>
          <w:highlight w:val="none"/>
        </w:rPr>
      </w:pPr>
    </w:p>
    <w:p w14:paraId="249154D5">
      <w:pPr>
        <w:pStyle w:val="94"/>
        <w:jc w:val="center"/>
        <w:rPr>
          <w:rFonts w:hint="eastAsia" w:ascii="宋体" w:hAnsi="宋体" w:eastAsia="宋体" w:cs="宋体"/>
          <w:bCs/>
          <w:color w:val="auto"/>
          <w:sz w:val="28"/>
          <w:szCs w:val="28"/>
          <w:highlight w:val="none"/>
        </w:rPr>
      </w:pPr>
    </w:p>
    <w:p w14:paraId="5A3ABB12">
      <w:pPr>
        <w:pStyle w:val="94"/>
        <w:jc w:val="center"/>
        <w:rPr>
          <w:rFonts w:hint="eastAsia" w:ascii="宋体" w:hAnsi="宋体" w:eastAsia="宋体" w:cs="宋体"/>
          <w:bCs/>
          <w:color w:val="auto"/>
          <w:sz w:val="28"/>
          <w:szCs w:val="28"/>
          <w:highlight w:val="none"/>
        </w:rPr>
      </w:pPr>
    </w:p>
    <w:p w14:paraId="62F353D3">
      <w:pPr>
        <w:pStyle w:val="94"/>
        <w:jc w:val="center"/>
        <w:rPr>
          <w:rFonts w:hint="eastAsia" w:ascii="宋体" w:hAnsi="宋体" w:eastAsia="宋体" w:cs="宋体"/>
          <w:bCs/>
          <w:color w:val="auto"/>
          <w:sz w:val="28"/>
          <w:szCs w:val="28"/>
          <w:highlight w:val="none"/>
        </w:rPr>
      </w:pPr>
    </w:p>
    <w:p w14:paraId="1DC27C09">
      <w:pPr>
        <w:pStyle w:val="94"/>
        <w:jc w:val="center"/>
        <w:rPr>
          <w:rFonts w:hint="eastAsia" w:ascii="宋体" w:hAnsi="宋体" w:eastAsia="宋体" w:cs="宋体"/>
          <w:bCs/>
          <w:color w:val="auto"/>
          <w:sz w:val="28"/>
          <w:szCs w:val="28"/>
          <w:highlight w:val="none"/>
        </w:rPr>
      </w:pPr>
    </w:p>
    <w:p w14:paraId="7F36C7A3">
      <w:pPr>
        <w:pStyle w:val="94"/>
        <w:jc w:val="center"/>
        <w:rPr>
          <w:rFonts w:hint="eastAsia" w:ascii="宋体" w:hAnsi="宋体" w:eastAsia="宋体" w:cs="宋体"/>
          <w:bCs/>
          <w:color w:val="auto"/>
          <w:sz w:val="28"/>
          <w:szCs w:val="28"/>
          <w:highlight w:val="none"/>
        </w:rPr>
      </w:pPr>
    </w:p>
    <w:p w14:paraId="36F70F3C">
      <w:pPr>
        <w:pStyle w:val="94"/>
        <w:jc w:val="center"/>
        <w:rPr>
          <w:rFonts w:hint="eastAsia" w:ascii="宋体" w:hAnsi="宋体" w:eastAsia="宋体" w:cs="宋体"/>
          <w:bCs/>
          <w:color w:val="auto"/>
          <w:sz w:val="28"/>
          <w:szCs w:val="28"/>
          <w:highlight w:val="none"/>
        </w:rPr>
      </w:pPr>
    </w:p>
    <w:p w14:paraId="2A54740A">
      <w:pPr>
        <w:pStyle w:val="94"/>
        <w:jc w:val="center"/>
        <w:rPr>
          <w:rFonts w:hint="eastAsia" w:ascii="宋体" w:hAnsi="宋体" w:eastAsia="宋体" w:cs="宋体"/>
          <w:bCs/>
          <w:color w:val="auto"/>
          <w:sz w:val="28"/>
          <w:szCs w:val="28"/>
          <w:highlight w:val="none"/>
        </w:rPr>
      </w:pPr>
    </w:p>
    <w:p w14:paraId="700DC3C8">
      <w:pPr>
        <w:pStyle w:val="94"/>
        <w:jc w:val="center"/>
        <w:rPr>
          <w:rFonts w:hint="eastAsia" w:ascii="宋体" w:hAnsi="宋体" w:eastAsia="宋体" w:cs="宋体"/>
          <w:bCs/>
          <w:color w:val="auto"/>
          <w:sz w:val="28"/>
          <w:szCs w:val="28"/>
          <w:highlight w:val="none"/>
        </w:rPr>
      </w:pPr>
    </w:p>
    <w:p w14:paraId="44CC37AE">
      <w:pPr>
        <w:pStyle w:val="94"/>
        <w:jc w:val="center"/>
        <w:rPr>
          <w:rFonts w:hint="eastAsia" w:ascii="宋体" w:hAnsi="宋体" w:eastAsia="宋体" w:cs="宋体"/>
          <w:bCs/>
          <w:color w:val="auto"/>
          <w:sz w:val="28"/>
          <w:szCs w:val="28"/>
          <w:highlight w:val="none"/>
        </w:rPr>
      </w:pPr>
    </w:p>
    <w:p w14:paraId="394CEEBA">
      <w:pPr>
        <w:pStyle w:val="94"/>
        <w:jc w:val="center"/>
        <w:rPr>
          <w:rFonts w:hint="eastAsia" w:ascii="宋体" w:hAnsi="宋体" w:eastAsia="宋体" w:cs="宋体"/>
          <w:bCs/>
          <w:color w:val="auto"/>
          <w:sz w:val="28"/>
          <w:szCs w:val="28"/>
          <w:highlight w:val="none"/>
        </w:rPr>
      </w:pPr>
    </w:p>
    <w:p w14:paraId="5A89CD95">
      <w:pPr>
        <w:pStyle w:val="94"/>
        <w:jc w:val="center"/>
        <w:rPr>
          <w:rFonts w:hint="eastAsia" w:ascii="宋体" w:hAnsi="宋体" w:eastAsia="宋体" w:cs="宋体"/>
          <w:bCs/>
          <w:color w:val="auto"/>
          <w:sz w:val="28"/>
          <w:szCs w:val="28"/>
          <w:highlight w:val="none"/>
        </w:rPr>
      </w:pPr>
    </w:p>
    <w:p w14:paraId="739EF533">
      <w:pPr>
        <w:pStyle w:val="94"/>
        <w:jc w:val="center"/>
        <w:rPr>
          <w:rFonts w:hint="eastAsia" w:ascii="宋体" w:hAnsi="宋体" w:eastAsia="宋体" w:cs="宋体"/>
          <w:bCs/>
          <w:color w:val="auto"/>
          <w:sz w:val="28"/>
          <w:szCs w:val="28"/>
          <w:highlight w:val="none"/>
        </w:rPr>
      </w:pPr>
    </w:p>
    <w:p w14:paraId="23DEC278">
      <w:pPr>
        <w:pStyle w:val="94"/>
        <w:jc w:val="center"/>
        <w:rPr>
          <w:rFonts w:hint="eastAsia" w:ascii="宋体" w:hAnsi="宋体" w:eastAsia="宋体" w:cs="宋体"/>
          <w:bCs/>
          <w:color w:val="auto"/>
          <w:sz w:val="28"/>
          <w:szCs w:val="28"/>
          <w:highlight w:val="none"/>
        </w:rPr>
      </w:pPr>
    </w:p>
    <w:p w14:paraId="0E26EE8E">
      <w:pPr>
        <w:pStyle w:val="94"/>
        <w:jc w:val="center"/>
        <w:rPr>
          <w:rFonts w:hint="eastAsia" w:ascii="宋体" w:hAnsi="宋体" w:eastAsia="宋体" w:cs="宋体"/>
          <w:bCs/>
          <w:color w:val="auto"/>
          <w:sz w:val="28"/>
          <w:szCs w:val="28"/>
          <w:highlight w:val="none"/>
        </w:rPr>
      </w:pPr>
    </w:p>
    <w:p w14:paraId="2E0F2ABA">
      <w:pPr>
        <w:pStyle w:val="94"/>
        <w:jc w:val="center"/>
        <w:rPr>
          <w:rFonts w:hint="eastAsia" w:ascii="宋体" w:hAnsi="宋体" w:eastAsia="宋体" w:cs="宋体"/>
          <w:bCs/>
          <w:color w:val="auto"/>
          <w:sz w:val="28"/>
          <w:szCs w:val="28"/>
          <w:highlight w:val="none"/>
        </w:rPr>
      </w:pPr>
    </w:p>
    <w:p w14:paraId="0FC8A8D8">
      <w:pPr>
        <w:pStyle w:val="94"/>
        <w:jc w:val="center"/>
        <w:rPr>
          <w:rFonts w:hint="eastAsia" w:ascii="宋体" w:hAnsi="宋体" w:eastAsia="宋体" w:cs="宋体"/>
          <w:bCs/>
          <w:color w:val="auto"/>
          <w:sz w:val="28"/>
          <w:szCs w:val="28"/>
          <w:highlight w:val="none"/>
        </w:rPr>
      </w:pPr>
    </w:p>
    <w:p w14:paraId="6CAD1084">
      <w:pPr>
        <w:pStyle w:val="2"/>
        <w:jc w:val="center"/>
        <w:rPr>
          <w:rFonts w:hint="eastAsia" w:ascii="宋体" w:hAnsi="宋体" w:eastAsia="宋体" w:cs="宋体"/>
          <w:color w:val="auto"/>
          <w:sz w:val="28"/>
          <w:szCs w:val="18"/>
          <w:highlight w:val="none"/>
        </w:rPr>
      </w:pPr>
      <w:r>
        <w:rPr>
          <w:rFonts w:hint="eastAsia" w:ascii="宋体" w:hAnsi="宋体" w:eastAsia="宋体" w:cs="宋体"/>
          <w:color w:val="auto"/>
          <w:sz w:val="28"/>
          <w:szCs w:val="18"/>
          <w:highlight w:val="none"/>
        </w:rPr>
        <w:br w:type="page"/>
      </w:r>
      <w:r>
        <w:rPr>
          <w:rFonts w:hint="eastAsia" w:ascii="宋体" w:hAnsi="宋体" w:eastAsia="宋体" w:cs="宋体"/>
          <w:color w:val="auto"/>
          <w:sz w:val="28"/>
          <w:szCs w:val="18"/>
          <w:highlight w:val="none"/>
        </w:rPr>
        <w:t>十、其他证明材料</w:t>
      </w:r>
    </w:p>
    <w:p w14:paraId="185905B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1、供应商认为需要提供的对本次投标有</w:t>
      </w:r>
      <w:r>
        <w:rPr>
          <w:rFonts w:hint="eastAsia" w:ascii="宋体" w:hAnsi="宋体" w:eastAsia="宋体" w:cs="宋体"/>
          <w:color w:val="auto"/>
          <w:sz w:val="24"/>
          <w:highlight w:val="none"/>
          <w:lang w:val="en-US" w:eastAsia="zh-CN"/>
        </w:rPr>
        <w:t>利</w:t>
      </w:r>
      <w:r>
        <w:rPr>
          <w:rFonts w:hint="eastAsia" w:ascii="宋体" w:hAnsi="宋体" w:eastAsia="宋体" w:cs="宋体"/>
          <w:color w:val="auto"/>
          <w:sz w:val="24"/>
          <w:highlight w:val="none"/>
        </w:rPr>
        <w:t>的资料。</w:t>
      </w:r>
    </w:p>
    <w:bookmarkEnd w:id="83"/>
    <w:bookmarkEnd w:id="84"/>
    <w:p w14:paraId="08F2CD3C">
      <w:pPr>
        <w:spacing w:line="600" w:lineRule="exact"/>
        <w:jc w:val="center"/>
        <w:outlineLvl w:val="0"/>
        <w:rPr>
          <w:rFonts w:hint="eastAsia" w:ascii="宋体" w:hAnsi="宋体" w:eastAsia="宋体" w:cs="宋体"/>
          <w:b/>
          <w:color w:val="auto"/>
          <w:kern w:val="0"/>
          <w:sz w:val="32"/>
          <w:szCs w:val="32"/>
          <w:highlight w:val="none"/>
        </w:rPr>
      </w:pPr>
    </w:p>
    <w:p w14:paraId="7AFB14BB">
      <w:pPr>
        <w:spacing w:line="600" w:lineRule="exact"/>
        <w:jc w:val="center"/>
        <w:outlineLvl w:val="0"/>
        <w:rPr>
          <w:rFonts w:hint="eastAsia" w:ascii="宋体" w:hAnsi="宋体" w:eastAsia="宋体" w:cs="宋体"/>
          <w:b/>
          <w:color w:val="auto"/>
          <w:kern w:val="0"/>
          <w:sz w:val="32"/>
          <w:szCs w:val="32"/>
          <w:highlight w:val="none"/>
        </w:rPr>
      </w:pPr>
    </w:p>
    <w:p w14:paraId="63CA7A1D">
      <w:pPr>
        <w:spacing w:line="600" w:lineRule="exact"/>
        <w:jc w:val="center"/>
        <w:outlineLvl w:val="0"/>
        <w:rPr>
          <w:rFonts w:hint="eastAsia" w:ascii="宋体" w:hAnsi="宋体" w:eastAsia="宋体" w:cs="宋体"/>
          <w:b/>
          <w:color w:val="auto"/>
          <w:kern w:val="0"/>
          <w:sz w:val="32"/>
          <w:szCs w:val="32"/>
          <w:highlight w:val="none"/>
        </w:rPr>
      </w:pPr>
    </w:p>
    <w:p w14:paraId="7BCF6F1E">
      <w:pPr>
        <w:spacing w:line="600" w:lineRule="exact"/>
        <w:jc w:val="center"/>
        <w:outlineLvl w:val="0"/>
        <w:rPr>
          <w:rFonts w:hint="eastAsia" w:ascii="宋体" w:hAnsi="宋体" w:eastAsia="宋体" w:cs="宋体"/>
          <w:b/>
          <w:color w:val="auto"/>
          <w:kern w:val="0"/>
          <w:sz w:val="32"/>
          <w:szCs w:val="32"/>
          <w:highlight w:val="none"/>
        </w:rPr>
      </w:pPr>
    </w:p>
    <w:p w14:paraId="3CCC3B3E">
      <w:pPr>
        <w:spacing w:line="600" w:lineRule="exact"/>
        <w:jc w:val="center"/>
        <w:outlineLvl w:val="0"/>
        <w:rPr>
          <w:rFonts w:hint="eastAsia" w:ascii="宋体" w:hAnsi="宋体" w:eastAsia="宋体" w:cs="宋体"/>
          <w:b/>
          <w:color w:val="auto"/>
          <w:kern w:val="0"/>
          <w:sz w:val="32"/>
          <w:szCs w:val="32"/>
          <w:highlight w:val="none"/>
        </w:rPr>
      </w:pPr>
    </w:p>
    <w:p w14:paraId="5250379C">
      <w:pPr>
        <w:spacing w:line="600" w:lineRule="exact"/>
        <w:jc w:val="center"/>
        <w:outlineLvl w:val="0"/>
        <w:rPr>
          <w:rFonts w:hint="eastAsia" w:ascii="宋体" w:hAnsi="宋体" w:eastAsia="宋体" w:cs="宋体"/>
          <w:b/>
          <w:color w:val="auto"/>
          <w:kern w:val="0"/>
          <w:sz w:val="32"/>
          <w:szCs w:val="32"/>
          <w:highlight w:val="none"/>
        </w:rPr>
      </w:pPr>
    </w:p>
    <w:p w14:paraId="38399808">
      <w:pPr>
        <w:spacing w:line="600" w:lineRule="exact"/>
        <w:jc w:val="center"/>
        <w:outlineLvl w:val="0"/>
        <w:rPr>
          <w:rFonts w:hint="eastAsia" w:ascii="宋体" w:hAnsi="宋体" w:eastAsia="宋体" w:cs="宋体"/>
          <w:b/>
          <w:color w:val="auto"/>
          <w:kern w:val="0"/>
          <w:sz w:val="32"/>
          <w:szCs w:val="32"/>
          <w:highlight w:val="none"/>
        </w:rPr>
      </w:pPr>
    </w:p>
    <w:p w14:paraId="0FF74F76">
      <w:pPr>
        <w:spacing w:line="600" w:lineRule="exact"/>
        <w:jc w:val="center"/>
        <w:outlineLvl w:val="0"/>
        <w:rPr>
          <w:rFonts w:hint="eastAsia" w:ascii="宋体" w:hAnsi="宋体" w:eastAsia="宋体" w:cs="宋体"/>
          <w:b/>
          <w:color w:val="auto"/>
          <w:kern w:val="0"/>
          <w:sz w:val="32"/>
          <w:szCs w:val="32"/>
          <w:highlight w:val="none"/>
        </w:rPr>
      </w:pPr>
    </w:p>
    <w:p w14:paraId="3E79254D">
      <w:pPr>
        <w:spacing w:line="600" w:lineRule="exact"/>
        <w:jc w:val="center"/>
        <w:outlineLvl w:val="0"/>
        <w:rPr>
          <w:rFonts w:hint="eastAsia" w:ascii="宋体" w:hAnsi="宋体" w:eastAsia="宋体" w:cs="宋体"/>
          <w:b/>
          <w:color w:val="auto"/>
          <w:kern w:val="0"/>
          <w:sz w:val="32"/>
          <w:szCs w:val="32"/>
          <w:highlight w:val="none"/>
        </w:rPr>
      </w:pPr>
    </w:p>
    <w:p w14:paraId="4B708FBE">
      <w:pPr>
        <w:spacing w:line="600" w:lineRule="exact"/>
        <w:jc w:val="center"/>
        <w:outlineLvl w:val="0"/>
        <w:rPr>
          <w:rFonts w:hint="eastAsia" w:ascii="宋体" w:hAnsi="宋体" w:eastAsia="宋体" w:cs="宋体"/>
          <w:b/>
          <w:color w:val="auto"/>
          <w:kern w:val="0"/>
          <w:sz w:val="32"/>
          <w:szCs w:val="32"/>
          <w:highlight w:val="none"/>
        </w:rPr>
      </w:pPr>
    </w:p>
    <w:p w14:paraId="7A4019A0">
      <w:pPr>
        <w:spacing w:line="600" w:lineRule="exact"/>
        <w:jc w:val="center"/>
        <w:outlineLvl w:val="0"/>
        <w:rPr>
          <w:rFonts w:hint="eastAsia" w:ascii="宋体" w:hAnsi="宋体" w:eastAsia="宋体" w:cs="宋体"/>
          <w:b/>
          <w:color w:val="auto"/>
          <w:kern w:val="0"/>
          <w:sz w:val="32"/>
          <w:szCs w:val="32"/>
          <w:highlight w:val="none"/>
        </w:rPr>
      </w:pPr>
    </w:p>
    <w:p w14:paraId="61719F5E">
      <w:pPr>
        <w:spacing w:line="600" w:lineRule="exact"/>
        <w:jc w:val="left"/>
        <w:outlineLvl w:val="0"/>
        <w:rPr>
          <w:rFonts w:hint="eastAsia" w:ascii="宋体" w:hAnsi="宋体" w:eastAsia="宋体" w:cs="宋体"/>
          <w:bCs/>
          <w:color w:val="auto"/>
          <w:kern w:val="0"/>
          <w:sz w:val="28"/>
          <w:szCs w:val="28"/>
          <w:highlight w:val="none"/>
        </w:rPr>
      </w:pPr>
      <w:r>
        <w:rPr>
          <w:rFonts w:hint="eastAsia" w:ascii="宋体" w:hAnsi="宋体" w:eastAsia="宋体" w:cs="宋体"/>
          <w:b/>
          <w:color w:val="auto"/>
          <w:kern w:val="0"/>
          <w:sz w:val="32"/>
          <w:szCs w:val="32"/>
          <w:highlight w:val="none"/>
        </w:rPr>
        <w:br w:type="page"/>
      </w:r>
      <w:bookmarkStart w:id="86" w:name="_Toc27279"/>
      <w:r>
        <w:rPr>
          <w:rFonts w:hint="eastAsia" w:ascii="宋体" w:hAnsi="宋体" w:eastAsia="宋体" w:cs="宋体"/>
          <w:bCs/>
          <w:color w:val="auto"/>
          <w:kern w:val="0"/>
          <w:sz w:val="28"/>
          <w:szCs w:val="28"/>
          <w:highlight w:val="none"/>
        </w:rPr>
        <w:t>附件1：</w:t>
      </w:r>
      <w:bookmarkEnd w:id="86"/>
    </w:p>
    <w:p w14:paraId="44EFB090">
      <w:pPr>
        <w:spacing w:line="360" w:lineRule="auto"/>
        <w:jc w:val="center"/>
        <w:rPr>
          <w:b/>
          <w:bCs/>
          <w:color w:val="auto"/>
          <w:sz w:val="32"/>
          <w:szCs w:val="32"/>
          <w:highlight w:val="none"/>
        </w:rPr>
      </w:pPr>
      <w:r>
        <w:rPr>
          <w:rFonts w:hint="eastAsia" w:ascii="宋体" w:hAnsi="宋体" w:cs="宋体"/>
          <w:b/>
          <w:kern w:val="0"/>
          <w:sz w:val="24"/>
          <w:szCs w:val="28"/>
        </w:rPr>
        <w:t>1、</w:t>
      </w:r>
      <w:r>
        <w:rPr>
          <w:rFonts w:hint="eastAsia"/>
          <w:b/>
          <w:bCs/>
          <w:color w:val="auto"/>
          <w:sz w:val="32"/>
          <w:szCs w:val="32"/>
          <w:highlight w:val="none"/>
        </w:rPr>
        <w:t>中小企业声明函（货物）</w:t>
      </w:r>
    </w:p>
    <w:p w14:paraId="79787708">
      <w:pPr>
        <w:snapToGrid w:val="0"/>
        <w:spacing w:line="360" w:lineRule="auto"/>
        <w:ind w:right="482" w:firstLine="480" w:firstLineChars="200"/>
        <w:rPr>
          <w:color w:val="auto"/>
          <w:sz w:val="24"/>
          <w:szCs w:val="20"/>
          <w:highlight w:val="none"/>
        </w:rPr>
      </w:pPr>
      <w:r>
        <w:rPr>
          <w:rFonts w:hint="eastAsia"/>
          <w:color w:val="auto"/>
          <w:sz w:val="24"/>
          <w:szCs w:val="20"/>
          <w:highlight w:val="none"/>
        </w:rPr>
        <w:t>本公司（联合体）郑重声明，根据《政府采购促进中小企业发展管理办法》（财库﹝2020﹞46 号）的规定，本公司（联合体）参加</w:t>
      </w:r>
      <w:r>
        <w:rPr>
          <w:rFonts w:hint="eastAsia"/>
          <w:color w:val="auto"/>
          <w:sz w:val="24"/>
          <w:szCs w:val="20"/>
          <w:highlight w:val="none"/>
          <w:u w:val="single"/>
        </w:rPr>
        <w:t>（单位名称）</w:t>
      </w:r>
      <w:r>
        <w:rPr>
          <w:rFonts w:hint="eastAsia"/>
          <w:color w:val="auto"/>
          <w:sz w:val="24"/>
          <w:szCs w:val="20"/>
          <w:highlight w:val="none"/>
        </w:rPr>
        <w:t>的</w:t>
      </w:r>
      <w:r>
        <w:rPr>
          <w:rFonts w:hint="eastAsia"/>
          <w:color w:val="auto"/>
          <w:sz w:val="24"/>
          <w:szCs w:val="20"/>
          <w:highlight w:val="none"/>
          <w:u w:val="single"/>
        </w:rPr>
        <w:t>（项目名称）</w:t>
      </w:r>
      <w:r>
        <w:rPr>
          <w:rFonts w:hint="eastAsia"/>
          <w:color w:val="auto"/>
          <w:sz w:val="24"/>
          <w:szCs w:val="20"/>
          <w:highlight w:val="none"/>
        </w:rPr>
        <w:t>采购活动，提供的货物全部由符合政策要求的中小企业制造。相关企业（含联合体中的中小企业、签订分包意向协议的中小企业）的具体情况如下：</w:t>
      </w:r>
    </w:p>
    <w:p w14:paraId="288209DC">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1.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1BBD19E3">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2.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6CC01C29">
      <w:pPr>
        <w:snapToGrid w:val="0"/>
        <w:spacing w:line="360" w:lineRule="auto"/>
        <w:ind w:right="482" w:firstLine="480" w:firstLineChars="200"/>
        <w:rPr>
          <w:color w:val="auto"/>
          <w:sz w:val="24"/>
          <w:szCs w:val="20"/>
          <w:highlight w:val="none"/>
        </w:rPr>
      </w:pPr>
      <w:r>
        <w:rPr>
          <w:rFonts w:hint="eastAsia"/>
          <w:color w:val="auto"/>
          <w:sz w:val="24"/>
          <w:szCs w:val="20"/>
          <w:highlight w:val="none"/>
        </w:rPr>
        <w:t>……</w:t>
      </w:r>
    </w:p>
    <w:p w14:paraId="4B131CD6">
      <w:pPr>
        <w:snapToGrid w:val="0"/>
        <w:spacing w:line="360" w:lineRule="auto"/>
        <w:ind w:right="482" w:firstLine="480" w:firstLineChars="200"/>
        <w:rPr>
          <w:color w:val="auto"/>
          <w:sz w:val="24"/>
          <w:szCs w:val="20"/>
          <w:highlight w:val="none"/>
        </w:rPr>
      </w:pPr>
      <w:r>
        <w:rPr>
          <w:rFonts w:hint="eastAsia"/>
          <w:color w:val="auto"/>
          <w:sz w:val="24"/>
          <w:szCs w:val="20"/>
          <w:highlight w:val="none"/>
        </w:rPr>
        <w:t>以上企业，不属于大企业的分支机构，不存在控股股东为大企业的情形，也不存在与大企业的负责人为同一人的情形。</w:t>
      </w:r>
    </w:p>
    <w:p w14:paraId="1D2DBFF6">
      <w:pPr>
        <w:snapToGrid w:val="0"/>
        <w:spacing w:line="360" w:lineRule="auto"/>
        <w:ind w:right="482" w:firstLine="480" w:firstLineChars="200"/>
        <w:rPr>
          <w:color w:val="auto"/>
          <w:sz w:val="24"/>
          <w:szCs w:val="20"/>
          <w:highlight w:val="none"/>
        </w:rPr>
      </w:pPr>
      <w:r>
        <w:rPr>
          <w:rFonts w:hint="eastAsia"/>
          <w:color w:val="auto"/>
          <w:sz w:val="24"/>
          <w:szCs w:val="20"/>
          <w:highlight w:val="none"/>
        </w:rPr>
        <w:t>本企业对上述声明内容的真实性负责。如有虚假，将依法承担相应责任。</w:t>
      </w:r>
    </w:p>
    <w:p w14:paraId="241F7217">
      <w:pPr>
        <w:snapToGrid w:val="0"/>
        <w:spacing w:line="360" w:lineRule="auto"/>
        <w:ind w:right="482" w:firstLine="5527" w:firstLineChars="2303"/>
        <w:rPr>
          <w:color w:val="auto"/>
          <w:sz w:val="24"/>
          <w:szCs w:val="20"/>
          <w:highlight w:val="none"/>
        </w:rPr>
      </w:pPr>
      <w:r>
        <w:rPr>
          <w:rFonts w:hint="eastAsia"/>
          <w:color w:val="auto"/>
          <w:sz w:val="24"/>
          <w:szCs w:val="20"/>
          <w:highlight w:val="none"/>
        </w:rPr>
        <w:t>企业名称（</w:t>
      </w:r>
      <w:r>
        <w:rPr>
          <w:rFonts w:hint="eastAsia"/>
          <w:color w:val="auto"/>
          <w:sz w:val="24"/>
          <w:szCs w:val="20"/>
          <w:highlight w:val="none"/>
          <w:lang w:val="en-US" w:eastAsia="zh-CN"/>
        </w:rPr>
        <w:t>电子签章</w:t>
      </w:r>
      <w:r>
        <w:rPr>
          <w:rFonts w:hint="eastAsia"/>
          <w:color w:val="auto"/>
          <w:sz w:val="24"/>
          <w:szCs w:val="20"/>
          <w:highlight w:val="none"/>
        </w:rPr>
        <w:t>）：</w:t>
      </w:r>
    </w:p>
    <w:p w14:paraId="62757671">
      <w:pPr>
        <w:snapToGrid w:val="0"/>
        <w:spacing w:line="360" w:lineRule="auto"/>
        <w:ind w:right="482" w:firstLine="5527" w:firstLineChars="2303"/>
        <w:rPr>
          <w:color w:val="auto"/>
          <w:sz w:val="24"/>
          <w:szCs w:val="20"/>
          <w:highlight w:val="none"/>
        </w:rPr>
      </w:pPr>
      <w:r>
        <w:rPr>
          <w:rFonts w:hint="eastAsia"/>
          <w:color w:val="auto"/>
          <w:sz w:val="24"/>
          <w:szCs w:val="20"/>
          <w:highlight w:val="none"/>
        </w:rPr>
        <w:t>日期：</w:t>
      </w:r>
    </w:p>
    <w:p w14:paraId="7C3AB9CF">
      <w:pPr>
        <w:spacing w:line="400" w:lineRule="exact"/>
        <w:rPr>
          <w:b/>
          <w:bCs/>
          <w:color w:val="auto"/>
          <w:sz w:val="24"/>
          <w:szCs w:val="20"/>
          <w:highlight w:val="none"/>
        </w:rPr>
      </w:pPr>
      <w:r>
        <w:rPr>
          <w:rFonts w:hint="eastAsia"/>
          <w:b/>
          <w:bCs/>
          <w:color w:val="auto"/>
          <w:sz w:val="24"/>
          <w:szCs w:val="20"/>
          <w:highlight w:val="none"/>
        </w:rPr>
        <w:t>注：1、从业人员、营业收入、资产总额填报上一年度数据，无上一年度数据的新成立企业可不填报。</w:t>
      </w:r>
    </w:p>
    <w:p w14:paraId="40DB1FAF">
      <w:pPr>
        <w:numPr>
          <w:ilvl w:val="0"/>
          <w:numId w:val="6"/>
        </w:numPr>
        <w:spacing w:line="400" w:lineRule="exact"/>
        <w:ind w:firstLine="630"/>
        <w:rPr>
          <w:rFonts w:hint="eastAsia"/>
          <w:b/>
          <w:bCs/>
          <w:color w:val="auto"/>
          <w:sz w:val="24"/>
          <w:szCs w:val="20"/>
          <w:highlight w:val="none"/>
        </w:rPr>
      </w:pPr>
      <w:r>
        <w:rPr>
          <w:rFonts w:hint="eastAsia"/>
          <w:b/>
          <w:bCs/>
          <w:color w:val="auto"/>
          <w:sz w:val="24"/>
          <w:szCs w:val="20"/>
          <w:highlight w:val="none"/>
        </w:rPr>
        <w:t>中小企业划分标准见工业和信息化部国家统计局国家发展和改革委员财政部《关于印发中小企业划型标准规定的通知》（工信部联企业【2011】300号）。</w:t>
      </w:r>
    </w:p>
    <w:p w14:paraId="5DD649FA">
      <w:pPr>
        <w:numPr>
          <w:ilvl w:val="0"/>
          <w:numId w:val="6"/>
        </w:numPr>
        <w:spacing w:line="400" w:lineRule="exact"/>
        <w:ind w:firstLine="630"/>
        <w:rPr>
          <w:rFonts w:hint="eastAsia"/>
          <w:b/>
          <w:bCs/>
          <w:color w:val="auto"/>
          <w:sz w:val="24"/>
          <w:szCs w:val="20"/>
          <w:highlight w:val="none"/>
        </w:rPr>
      </w:pPr>
      <w:r>
        <w:rPr>
          <w:rFonts w:hint="eastAsia"/>
          <w:b/>
          <w:bCs/>
          <w:color w:val="auto"/>
          <w:sz w:val="24"/>
          <w:szCs w:val="20"/>
          <w:highlight w:val="none"/>
        </w:rPr>
        <w:t>在货物采购项目中，供应商提供的货物既有中型企业制造，也有小微企业的，不享受办法规定的小微企业扶持政策。本次采购项目中包含多个采购标的，则每个采购货物标的均应有中小企业制造方可享受扶持政策。</w:t>
      </w:r>
    </w:p>
    <w:p w14:paraId="1ACC3803">
      <w:pPr>
        <w:widowControl/>
        <w:spacing w:line="360" w:lineRule="auto"/>
        <w:ind w:firstLine="482" w:firstLineChars="200"/>
        <w:jc w:val="left"/>
        <w:rPr>
          <w:rFonts w:hint="eastAsia" w:hAnsi="宋体" w:cs="宋体"/>
          <w:b/>
          <w:bCs/>
          <w:color w:val="000000" w:themeColor="text1"/>
          <w:lang w:eastAsia="zh-CN"/>
        </w:rPr>
      </w:pPr>
      <w:r>
        <w:rPr>
          <w:rFonts w:hint="eastAsia" w:ascii="宋体" w:hAnsi="宋体" w:eastAsia="宋体" w:cs="宋体"/>
          <w:b/>
          <w:bCs/>
          <w:color w:val="auto"/>
          <w:sz w:val="24"/>
          <w:szCs w:val="20"/>
          <w:highlight w:val="none"/>
        </w:rPr>
        <w:t>备注：不属于中小的供应商投标文件中可不提供此声明函或不填写内容</w:t>
      </w:r>
      <w:r>
        <w:rPr>
          <w:rFonts w:hint="eastAsia" w:cs="宋体"/>
          <w:b/>
          <w:bCs/>
          <w:color w:val="auto"/>
          <w:sz w:val="24"/>
          <w:szCs w:val="20"/>
          <w:highlight w:val="none"/>
          <w:lang w:eastAsia="zh-CN"/>
        </w:rPr>
        <w:t>，</w:t>
      </w:r>
      <w:r>
        <w:rPr>
          <w:rFonts w:hint="eastAsia" w:ascii="宋体" w:hAnsi="宋体" w:eastAsia="宋体" w:cs="宋体"/>
          <w:b/>
          <w:bCs/>
          <w:color w:val="auto"/>
          <w:sz w:val="24"/>
          <w:szCs w:val="20"/>
          <w:highlight w:val="none"/>
        </w:rPr>
        <w:t>供应商提供声明函内容不实的，属于提供虚假材料谋取中标，依照《中华人民共和国政府采购法》等国家有关规定追究相应责任。</w:t>
      </w:r>
    </w:p>
    <w:sectPr>
      <w:pgSz w:w="12240" w:h="15840"/>
      <w:pgMar w:top="1400" w:right="1720" w:bottom="1120" w:left="1720" w:header="794"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92A3">
    <w:pPr>
      <w:pStyle w:val="22"/>
    </w:pPr>
    <w:r>
      <w:rPr>
        <w:sz w:val="18"/>
      </w:rP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50E94E3">
                <w:pPr>
                  <w:pStyle w:val="22"/>
                </w:pPr>
                <w:r>
                  <w:fldChar w:fldCharType="begin"/>
                </w:r>
                <w:r>
                  <w:instrText xml:space="preserve"> PAGE  \* MERGEFORMAT </w:instrText>
                </w:r>
                <w:r>
                  <w:fldChar w:fldCharType="separate"/>
                </w:r>
                <w:r>
                  <w:t>1</w:t>
                </w:r>
                <w:r>
                  <w:fldChar w:fldCharType="end"/>
                </w:r>
              </w:p>
            </w:txbxContent>
          </v:textbox>
        </v:shape>
      </w:pict>
    </w:r>
    <w:r>
      <w:pict>
        <v:shape id="文本框 2"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yVXLraAQAAugMAAA4AAAAAAAAAAQAg&#10;AAAAHgEAAGRycy9lMm9Eb2MueG1sUEsFBgAAAAAGAAYAWQEAAGoFAAAAAA==&#10;">
          <v:path/>
          <v:fill on="f" focussize="0,0"/>
          <v:stroke on="f" joinstyle="miter"/>
          <v:imagedata o:title=""/>
          <o:lock v:ext="edit" aspectratio="f"/>
          <v:textbox inset="0mm,0mm,0mm,0mm" style="mso-fit-shape-to-text:t;">
            <w:txbxContent>
              <w:p w14:paraId="6C0431C0">
                <w:pPr>
                  <w:snapToGrid w:val="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580B">
    <w:pPr>
      <w:spacing w:line="14" w:lineRule="auto"/>
      <w:rPr>
        <w:sz w:val="20"/>
        <w:szCs w:val="20"/>
      </w:rPr>
    </w:pPr>
    <w:r>
      <w:rPr>
        <w:lang w:eastAsia="zh-CN"/>
      </w:rPr>
      <w:pict>
        <v:shape id="文本框 14" o:spid="_x0000_s4099"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14:paraId="153073A8">
                <w:pPr>
                  <w:pStyle w:val="2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83</w:t>
                </w:r>
                <w:r>
                  <w:rPr>
                    <w:rFonts w:hint="eastAsia" w:eastAsia="宋体"/>
                    <w:lang w:eastAsia="zh-CN"/>
                  </w:rPr>
                  <w:fldChar w:fldCharType="end"/>
                </w:r>
              </w:p>
            </w:txbxContent>
          </v:textbox>
        </v:shape>
      </w:pict>
    </w:r>
    <w:r>
      <w:rPr>
        <w:lang w:eastAsia="zh-CN"/>
      </w:rPr>
      <w:pict>
        <v:shape id="_x0000_s4100" o:spid="_x0000_s4100" o:spt="202" type="#_x0000_t202" style="position:absolute;left:0pt;margin-left:299.75pt;margin-top:734.9pt;height:11pt;width:10.5pt;mso-position-horizontal-relative:page;mso-position-vertical-relative:page;z-index:-251653120;mso-width-relative:page;mso-height-relative:page;" filled="f" o:preferrelative="t" stroked="f" coordsize="21600,21600">
          <v:path/>
          <v:fill on="f" focussize="0,0"/>
          <v:stroke on="f" joinstyle="miter"/>
          <v:imagedata o:title=""/>
          <o:lock v:ext="edit"/>
          <v:textbox inset="0mm,0mm,0mm,0mm">
            <w:txbxContent>
              <w:p w14:paraId="43DCAF9A">
                <w:pPr>
                  <w:spacing w:line="203" w:lineRule="exact"/>
                  <w:rPr>
                    <w:rFonts w:cs="Calibri"/>
                    <w:sz w:val="18"/>
                    <w:szCs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5280">
    <w:pPr>
      <w:pStyle w:val="22"/>
    </w:pPr>
    <w:r>
      <w:pict>
        <v:shape id="文本框 16" o:spid="_x0000_s4101"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9z4avzcCAABjBAAADgAAAAAAAAABACAAAAAgAQAAZHJzL2Uyb0RvYy54&#10;bWxQSwUGAAAAAAYABgBZAQAAyQUAAAAA&#10;">
          <v:path/>
          <v:fill on="f" focussize="0,0"/>
          <v:stroke on="f" weight="0.5pt"/>
          <v:imagedata o:title=""/>
          <o:lock v:ext="edit" aspectratio="f"/>
          <v:textbox inset="0mm,0mm,0mm,0mm" style="mso-fit-shape-to-text:t;">
            <w:txbxContent>
              <w:p w14:paraId="22E8BC95">
                <w:pPr>
                  <w:pStyle w:val="22"/>
                </w:pPr>
                <w:r>
                  <w:fldChar w:fldCharType="begin"/>
                </w:r>
                <w:r>
                  <w:instrText xml:space="preserve"> PAGE  \* MERGEFORMAT </w:instrText>
                </w:r>
                <w:r>
                  <w:fldChar w:fldCharType="separate"/>
                </w:r>
                <w:r>
                  <w:t>56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DFCA">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C991">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75D"/>
    <w:multiLevelType w:val="singleLevel"/>
    <w:tmpl w:val="AEC7575D"/>
    <w:lvl w:ilvl="0" w:tentative="0">
      <w:start w:val="1"/>
      <w:numFmt w:val="decimal"/>
      <w:suff w:val="nothing"/>
      <w:lvlText w:val="%1、"/>
      <w:lvlJc w:val="left"/>
    </w:lvl>
  </w:abstractNum>
  <w:abstractNum w:abstractNumId="1">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23AD4BC"/>
    <w:multiLevelType w:val="singleLevel"/>
    <w:tmpl w:val="623AD4BC"/>
    <w:lvl w:ilvl="0" w:tentative="0">
      <w:start w:val="2"/>
      <w:numFmt w:val="chineseCounting"/>
      <w:suff w:val="space"/>
      <w:lvlText w:val="第%1章"/>
      <w:lvlJc w:val="left"/>
    </w:lvl>
  </w:abstractNum>
  <w:abstractNum w:abstractNumId="4">
    <w:nsid w:val="6F2BE188"/>
    <w:multiLevelType w:val="singleLevel"/>
    <w:tmpl w:val="6F2BE188"/>
    <w:lvl w:ilvl="0" w:tentative="0">
      <w:start w:val="1"/>
      <w:numFmt w:val="chineseCounting"/>
      <w:suff w:val="nothing"/>
      <w:lvlText w:val="%1、"/>
      <w:lvlJc w:val="left"/>
      <w:rPr>
        <w:rFonts w:hint="eastAsia"/>
      </w:rPr>
    </w:lvl>
  </w:abstractNum>
  <w:abstractNum w:abstractNumId="5">
    <w:nsid w:val="7CECDDEC"/>
    <w:multiLevelType w:val="singleLevel"/>
    <w:tmpl w:val="7CECDDEC"/>
    <w:lvl w:ilvl="0" w:tentative="0">
      <w:start w:val="2"/>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NotTrackMoves/>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UxYWVkZTMyOTYxMDA1ZGVhODVmZWJiODRhMWFlNWYifQ=="/>
  </w:docVars>
  <w:rsids>
    <w:rsidRoot w:val="00A05DA7"/>
    <w:rsid w:val="00001828"/>
    <w:rsid w:val="00003393"/>
    <w:rsid w:val="000138C8"/>
    <w:rsid w:val="00037F59"/>
    <w:rsid w:val="00042D0B"/>
    <w:rsid w:val="0005214E"/>
    <w:rsid w:val="000548B4"/>
    <w:rsid w:val="00072F13"/>
    <w:rsid w:val="0007706E"/>
    <w:rsid w:val="00077596"/>
    <w:rsid w:val="00085226"/>
    <w:rsid w:val="00087FF4"/>
    <w:rsid w:val="00094F70"/>
    <w:rsid w:val="000B2710"/>
    <w:rsid w:val="000B415E"/>
    <w:rsid w:val="000C383B"/>
    <w:rsid w:val="000C43E6"/>
    <w:rsid w:val="000D53A4"/>
    <w:rsid w:val="000E09A8"/>
    <w:rsid w:val="000E3900"/>
    <w:rsid w:val="000E4B76"/>
    <w:rsid w:val="000F2692"/>
    <w:rsid w:val="00102804"/>
    <w:rsid w:val="001163F5"/>
    <w:rsid w:val="001168AD"/>
    <w:rsid w:val="00120151"/>
    <w:rsid w:val="00123AE8"/>
    <w:rsid w:val="001311B8"/>
    <w:rsid w:val="00146927"/>
    <w:rsid w:val="0015215E"/>
    <w:rsid w:val="0016365D"/>
    <w:rsid w:val="0016582F"/>
    <w:rsid w:val="00172549"/>
    <w:rsid w:val="001846C1"/>
    <w:rsid w:val="001907C2"/>
    <w:rsid w:val="00192C49"/>
    <w:rsid w:val="001D5A29"/>
    <w:rsid w:val="001E784D"/>
    <w:rsid w:val="00200D53"/>
    <w:rsid w:val="00211575"/>
    <w:rsid w:val="0021259C"/>
    <w:rsid w:val="0021356F"/>
    <w:rsid w:val="002165C4"/>
    <w:rsid w:val="0021666C"/>
    <w:rsid w:val="00232921"/>
    <w:rsid w:val="00242104"/>
    <w:rsid w:val="002428FC"/>
    <w:rsid w:val="00245685"/>
    <w:rsid w:val="00247826"/>
    <w:rsid w:val="0025002A"/>
    <w:rsid w:val="00256BD1"/>
    <w:rsid w:val="00261EAA"/>
    <w:rsid w:val="0026261E"/>
    <w:rsid w:val="002729D6"/>
    <w:rsid w:val="00292687"/>
    <w:rsid w:val="00293230"/>
    <w:rsid w:val="00294073"/>
    <w:rsid w:val="0029576A"/>
    <w:rsid w:val="002A1981"/>
    <w:rsid w:val="002B2E03"/>
    <w:rsid w:val="002B579B"/>
    <w:rsid w:val="002D6B56"/>
    <w:rsid w:val="002E0B98"/>
    <w:rsid w:val="002E5C13"/>
    <w:rsid w:val="002F3ECC"/>
    <w:rsid w:val="002F760B"/>
    <w:rsid w:val="00317262"/>
    <w:rsid w:val="003244BF"/>
    <w:rsid w:val="003407E2"/>
    <w:rsid w:val="00342FC8"/>
    <w:rsid w:val="00374429"/>
    <w:rsid w:val="00380375"/>
    <w:rsid w:val="003868F1"/>
    <w:rsid w:val="00391EF3"/>
    <w:rsid w:val="003B589D"/>
    <w:rsid w:val="003E179A"/>
    <w:rsid w:val="003E5B28"/>
    <w:rsid w:val="0041362A"/>
    <w:rsid w:val="00435D06"/>
    <w:rsid w:val="00451D22"/>
    <w:rsid w:val="0046786A"/>
    <w:rsid w:val="004709FA"/>
    <w:rsid w:val="00482BA1"/>
    <w:rsid w:val="004935C6"/>
    <w:rsid w:val="004B1F34"/>
    <w:rsid w:val="004B617B"/>
    <w:rsid w:val="004B6FFE"/>
    <w:rsid w:val="004C0C5D"/>
    <w:rsid w:val="004C37B8"/>
    <w:rsid w:val="004C5A68"/>
    <w:rsid w:val="004E09CE"/>
    <w:rsid w:val="004F295D"/>
    <w:rsid w:val="004F2EEF"/>
    <w:rsid w:val="00525772"/>
    <w:rsid w:val="005352DB"/>
    <w:rsid w:val="005360DA"/>
    <w:rsid w:val="005410AF"/>
    <w:rsid w:val="00565AFA"/>
    <w:rsid w:val="005702C3"/>
    <w:rsid w:val="0057417F"/>
    <w:rsid w:val="005878FE"/>
    <w:rsid w:val="005A4753"/>
    <w:rsid w:val="005B0F1B"/>
    <w:rsid w:val="005B2B14"/>
    <w:rsid w:val="005B6CF3"/>
    <w:rsid w:val="005C044E"/>
    <w:rsid w:val="005D0797"/>
    <w:rsid w:val="005D6E62"/>
    <w:rsid w:val="005E2D8D"/>
    <w:rsid w:val="005E7797"/>
    <w:rsid w:val="00627E6B"/>
    <w:rsid w:val="0063130B"/>
    <w:rsid w:val="00634F7A"/>
    <w:rsid w:val="00645110"/>
    <w:rsid w:val="00657832"/>
    <w:rsid w:val="0067560A"/>
    <w:rsid w:val="00682A77"/>
    <w:rsid w:val="0069226E"/>
    <w:rsid w:val="00694921"/>
    <w:rsid w:val="00695E5A"/>
    <w:rsid w:val="00696210"/>
    <w:rsid w:val="006A0A22"/>
    <w:rsid w:val="006B3831"/>
    <w:rsid w:val="006B5463"/>
    <w:rsid w:val="006C7137"/>
    <w:rsid w:val="006D0D68"/>
    <w:rsid w:val="006D6199"/>
    <w:rsid w:val="006E1A8F"/>
    <w:rsid w:val="006E6D6B"/>
    <w:rsid w:val="006F200A"/>
    <w:rsid w:val="006F68F4"/>
    <w:rsid w:val="00700784"/>
    <w:rsid w:val="007007DA"/>
    <w:rsid w:val="00715647"/>
    <w:rsid w:val="00720E67"/>
    <w:rsid w:val="00721954"/>
    <w:rsid w:val="00732A1C"/>
    <w:rsid w:val="00735655"/>
    <w:rsid w:val="00746704"/>
    <w:rsid w:val="007500C5"/>
    <w:rsid w:val="007541B1"/>
    <w:rsid w:val="00763BF5"/>
    <w:rsid w:val="00764CC5"/>
    <w:rsid w:val="007A4B7C"/>
    <w:rsid w:val="007B1E83"/>
    <w:rsid w:val="007B1F78"/>
    <w:rsid w:val="007B677C"/>
    <w:rsid w:val="007C14C4"/>
    <w:rsid w:val="007D0D6B"/>
    <w:rsid w:val="00806E69"/>
    <w:rsid w:val="008233E7"/>
    <w:rsid w:val="00843956"/>
    <w:rsid w:val="00843E7F"/>
    <w:rsid w:val="00853682"/>
    <w:rsid w:val="0086108B"/>
    <w:rsid w:val="0086265F"/>
    <w:rsid w:val="008700BD"/>
    <w:rsid w:val="00882FC8"/>
    <w:rsid w:val="00887675"/>
    <w:rsid w:val="00891ADD"/>
    <w:rsid w:val="008C1057"/>
    <w:rsid w:val="008C21CA"/>
    <w:rsid w:val="008C2A01"/>
    <w:rsid w:val="008D1525"/>
    <w:rsid w:val="008E161F"/>
    <w:rsid w:val="009017DB"/>
    <w:rsid w:val="00902431"/>
    <w:rsid w:val="00915736"/>
    <w:rsid w:val="00942D36"/>
    <w:rsid w:val="009444C8"/>
    <w:rsid w:val="00960202"/>
    <w:rsid w:val="00964463"/>
    <w:rsid w:val="0097219C"/>
    <w:rsid w:val="0097291D"/>
    <w:rsid w:val="00972D1F"/>
    <w:rsid w:val="009732BD"/>
    <w:rsid w:val="00984E95"/>
    <w:rsid w:val="009B1AB3"/>
    <w:rsid w:val="009B53AC"/>
    <w:rsid w:val="00A0544A"/>
    <w:rsid w:val="00A05DA7"/>
    <w:rsid w:val="00A13AF2"/>
    <w:rsid w:val="00A205AB"/>
    <w:rsid w:val="00A505A9"/>
    <w:rsid w:val="00A51329"/>
    <w:rsid w:val="00A5376F"/>
    <w:rsid w:val="00A57CB4"/>
    <w:rsid w:val="00A676C2"/>
    <w:rsid w:val="00A83621"/>
    <w:rsid w:val="00A8554A"/>
    <w:rsid w:val="00A864A4"/>
    <w:rsid w:val="00A90E0C"/>
    <w:rsid w:val="00A96D4F"/>
    <w:rsid w:val="00AA3B9B"/>
    <w:rsid w:val="00AB7C15"/>
    <w:rsid w:val="00AD12EC"/>
    <w:rsid w:val="00AE1F54"/>
    <w:rsid w:val="00AE2576"/>
    <w:rsid w:val="00AE7F6E"/>
    <w:rsid w:val="00B13393"/>
    <w:rsid w:val="00B31B86"/>
    <w:rsid w:val="00B336B8"/>
    <w:rsid w:val="00B430E5"/>
    <w:rsid w:val="00B43B61"/>
    <w:rsid w:val="00B45561"/>
    <w:rsid w:val="00B5336D"/>
    <w:rsid w:val="00B93EC1"/>
    <w:rsid w:val="00BA03B6"/>
    <w:rsid w:val="00BC02A9"/>
    <w:rsid w:val="00BD47AF"/>
    <w:rsid w:val="00BD634F"/>
    <w:rsid w:val="00BF4CF4"/>
    <w:rsid w:val="00C11FC0"/>
    <w:rsid w:val="00C17F86"/>
    <w:rsid w:val="00C3013C"/>
    <w:rsid w:val="00C46CE1"/>
    <w:rsid w:val="00C5485B"/>
    <w:rsid w:val="00C56C0F"/>
    <w:rsid w:val="00C65B9B"/>
    <w:rsid w:val="00C734B6"/>
    <w:rsid w:val="00C813F4"/>
    <w:rsid w:val="00C8621F"/>
    <w:rsid w:val="00C93EED"/>
    <w:rsid w:val="00CA0FC3"/>
    <w:rsid w:val="00CB3647"/>
    <w:rsid w:val="00CD3BA0"/>
    <w:rsid w:val="00CD3DFD"/>
    <w:rsid w:val="00CE6C50"/>
    <w:rsid w:val="00CE7D9C"/>
    <w:rsid w:val="00CF520B"/>
    <w:rsid w:val="00CF646B"/>
    <w:rsid w:val="00CF7FE4"/>
    <w:rsid w:val="00D06232"/>
    <w:rsid w:val="00D232C1"/>
    <w:rsid w:val="00D23B37"/>
    <w:rsid w:val="00D26D9F"/>
    <w:rsid w:val="00D417B0"/>
    <w:rsid w:val="00D47693"/>
    <w:rsid w:val="00D50E06"/>
    <w:rsid w:val="00D55FAD"/>
    <w:rsid w:val="00D83C4F"/>
    <w:rsid w:val="00D93C1A"/>
    <w:rsid w:val="00D962CF"/>
    <w:rsid w:val="00D96E3E"/>
    <w:rsid w:val="00DA5A95"/>
    <w:rsid w:val="00DA62A5"/>
    <w:rsid w:val="00DC36FD"/>
    <w:rsid w:val="00DC3C9E"/>
    <w:rsid w:val="00DD03C4"/>
    <w:rsid w:val="00DD1ED1"/>
    <w:rsid w:val="00DF32E4"/>
    <w:rsid w:val="00E04847"/>
    <w:rsid w:val="00E13FFC"/>
    <w:rsid w:val="00E15636"/>
    <w:rsid w:val="00E159D1"/>
    <w:rsid w:val="00E35E3B"/>
    <w:rsid w:val="00E37C7A"/>
    <w:rsid w:val="00E40912"/>
    <w:rsid w:val="00E45346"/>
    <w:rsid w:val="00E4689D"/>
    <w:rsid w:val="00E55F54"/>
    <w:rsid w:val="00E7434D"/>
    <w:rsid w:val="00E95BE3"/>
    <w:rsid w:val="00EB0686"/>
    <w:rsid w:val="00ED1733"/>
    <w:rsid w:val="00EE18EF"/>
    <w:rsid w:val="00EE6F0C"/>
    <w:rsid w:val="00EE75E0"/>
    <w:rsid w:val="00EF16FF"/>
    <w:rsid w:val="00F15957"/>
    <w:rsid w:val="00F16F69"/>
    <w:rsid w:val="00F230E5"/>
    <w:rsid w:val="00F24E61"/>
    <w:rsid w:val="00F264DE"/>
    <w:rsid w:val="00F3148C"/>
    <w:rsid w:val="00F330D5"/>
    <w:rsid w:val="00F3506A"/>
    <w:rsid w:val="00F51253"/>
    <w:rsid w:val="00F62A9A"/>
    <w:rsid w:val="00F71EA5"/>
    <w:rsid w:val="00F80D20"/>
    <w:rsid w:val="00F8406D"/>
    <w:rsid w:val="00F91170"/>
    <w:rsid w:val="00F9380E"/>
    <w:rsid w:val="00F93E2B"/>
    <w:rsid w:val="00FB2E4B"/>
    <w:rsid w:val="00FD03D5"/>
    <w:rsid w:val="00FF1D76"/>
    <w:rsid w:val="00FF54D0"/>
    <w:rsid w:val="01011432"/>
    <w:rsid w:val="01284C10"/>
    <w:rsid w:val="02467A44"/>
    <w:rsid w:val="02B81FC4"/>
    <w:rsid w:val="032F04D8"/>
    <w:rsid w:val="035B7A5B"/>
    <w:rsid w:val="038D3451"/>
    <w:rsid w:val="03E312C3"/>
    <w:rsid w:val="04673CA2"/>
    <w:rsid w:val="04ED41A7"/>
    <w:rsid w:val="05066C7E"/>
    <w:rsid w:val="05253698"/>
    <w:rsid w:val="059A45BD"/>
    <w:rsid w:val="05D13AC9"/>
    <w:rsid w:val="05E01E38"/>
    <w:rsid w:val="05E57574"/>
    <w:rsid w:val="05F23A3F"/>
    <w:rsid w:val="06B62CBE"/>
    <w:rsid w:val="0728596A"/>
    <w:rsid w:val="074719FC"/>
    <w:rsid w:val="07834D51"/>
    <w:rsid w:val="07E04497"/>
    <w:rsid w:val="08E214E7"/>
    <w:rsid w:val="096E162E"/>
    <w:rsid w:val="0A037FC9"/>
    <w:rsid w:val="0A1B7A08"/>
    <w:rsid w:val="0A782765"/>
    <w:rsid w:val="0B1D155E"/>
    <w:rsid w:val="0B9655C3"/>
    <w:rsid w:val="0BC546B6"/>
    <w:rsid w:val="0C1071ED"/>
    <w:rsid w:val="0C4531F8"/>
    <w:rsid w:val="0CCA0113"/>
    <w:rsid w:val="0D444B80"/>
    <w:rsid w:val="0D500D75"/>
    <w:rsid w:val="0D760893"/>
    <w:rsid w:val="0D8458C4"/>
    <w:rsid w:val="0EAF6971"/>
    <w:rsid w:val="0F4E7CD4"/>
    <w:rsid w:val="0FD267C1"/>
    <w:rsid w:val="0FD6350A"/>
    <w:rsid w:val="10160038"/>
    <w:rsid w:val="103C4234"/>
    <w:rsid w:val="109A1311"/>
    <w:rsid w:val="113D6059"/>
    <w:rsid w:val="1148677C"/>
    <w:rsid w:val="11B12A00"/>
    <w:rsid w:val="131E5E73"/>
    <w:rsid w:val="146412CF"/>
    <w:rsid w:val="14956609"/>
    <w:rsid w:val="14A96674"/>
    <w:rsid w:val="15263AAF"/>
    <w:rsid w:val="15A72150"/>
    <w:rsid w:val="15C9656A"/>
    <w:rsid w:val="1642631D"/>
    <w:rsid w:val="168626AD"/>
    <w:rsid w:val="16A42B33"/>
    <w:rsid w:val="17BC6567"/>
    <w:rsid w:val="18950986"/>
    <w:rsid w:val="18A1557C"/>
    <w:rsid w:val="18D21BDA"/>
    <w:rsid w:val="198A4263"/>
    <w:rsid w:val="19EF40C6"/>
    <w:rsid w:val="1A3F6DFB"/>
    <w:rsid w:val="1B067601"/>
    <w:rsid w:val="1B5A5051"/>
    <w:rsid w:val="1C872CDB"/>
    <w:rsid w:val="1CBD494F"/>
    <w:rsid w:val="1CCE6AC3"/>
    <w:rsid w:val="1D951428"/>
    <w:rsid w:val="1DCA7323"/>
    <w:rsid w:val="1E9C367F"/>
    <w:rsid w:val="1EE43C99"/>
    <w:rsid w:val="1F176598"/>
    <w:rsid w:val="1F8B34B5"/>
    <w:rsid w:val="1FB060A0"/>
    <w:rsid w:val="200F41A6"/>
    <w:rsid w:val="20384A18"/>
    <w:rsid w:val="203B0065"/>
    <w:rsid w:val="21624D20"/>
    <w:rsid w:val="21A22986"/>
    <w:rsid w:val="22482F0D"/>
    <w:rsid w:val="22C32593"/>
    <w:rsid w:val="23360FB7"/>
    <w:rsid w:val="2398757C"/>
    <w:rsid w:val="23D9206E"/>
    <w:rsid w:val="26261CCC"/>
    <w:rsid w:val="26A822A9"/>
    <w:rsid w:val="2706149E"/>
    <w:rsid w:val="27201D62"/>
    <w:rsid w:val="293D4E4D"/>
    <w:rsid w:val="29EC0622"/>
    <w:rsid w:val="2A5649D6"/>
    <w:rsid w:val="2AC825F2"/>
    <w:rsid w:val="2AC82E3D"/>
    <w:rsid w:val="2B054B6B"/>
    <w:rsid w:val="2B9176D3"/>
    <w:rsid w:val="2BAD5B8F"/>
    <w:rsid w:val="2BFD19C7"/>
    <w:rsid w:val="2C495505"/>
    <w:rsid w:val="2CE550C6"/>
    <w:rsid w:val="2CF241A1"/>
    <w:rsid w:val="2D1265F1"/>
    <w:rsid w:val="2D1660E1"/>
    <w:rsid w:val="2D616C31"/>
    <w:rsid w:val="2D73058C"/>
    <w:rsid w:val="2E0423DE"/>
    <w:rsid w:val="2E1F7F0F"/>
    <w:rsid w:val="2E291E44"/>
    <w:rsid w:val="2F0E5351"/>
    <w:rsid w:val="30122898"/>
    <w:rsid w:val="30532F8E"/>
    <w:rsid w:val="3106646D"/>
    <w:rsid w:val="31687D65"/>
    <w:rsid w:val="32143D54"/>
    <w:rsid w:val="32393AD1"/>
    <w:rsid w:val="3253299C"/>
    <w:rsid w:val="32D256C9"/>
    <w:rsid w:val="32ED1692"/>
    <w:rsid w:val="32F44DE0"/>
    <w:rsid w:val="346B51B8"/>
    <w:rsid w:val="34BB30CA"/>
    <w:rsid w:val="35DD739C"/>
    <w:rsid w:val="36714388"/>
    <w:rsid w:val="36767BF1"/>
    <w:rsid w:val="36DE12F2"/>
    <w:rsid w:val="36F7729B"/>
    <w:rsid w:val="37357164"/>
    <w:rsid w:val="37500442"/>
    <w:rsid w:val="37557806"/>
    <w:rsid w:val="37EA03CB"/>
    <w:rsid w:val="382E3373"/>
    <w:rsid w:val="38515A60"/>
    <w:rsid w:val="38806B05"/>
    <w:rsid w:val="38910D12"/>
    <w:rsid w:val="39023AB1"/>
    <w:rsid w:val="399B34CA"/>
    <w:rsid w:val="39D41F37"/>
    <w:rsid w:val="3A695377"/>
    <w:rsid w:val="3A861E43"/>
    <w:rsid w:val="3AF974C9"/>
    <w:rsid w:val="3B5F50F7"/>
    <w:rsid w:val="3B8B1A48"/>
    <w:rsid w:val="3BC461A0"/>
    <w:rsid w:val="3C7D531D"/>
    <w:rsid w:val="3C830972"/>
    <w:rsid w:val="3CEA6C43"/>
    <w:rsid w:val="3CF23B5A"/>
    <w:rsid w:val="3D583BAC"/>
    <w:rsid w:val="3E754AC0"/>
    <w:rsid w:val="3F4C77F4"/>
    <w:rsid w:val="3F8A64BB"/>
    <w:rsid w:val="3F9A4950"/>
    <w:rsid w:val="3FC17683"/>
    <w:rsid w:val="3FD80FD4"/>
    <w:rsid w:val="40D53766"/>
    <w:rsid w:val="41614FF9"/>
    <w:rsid w:val="41F12885"/>
    <w:rsid w:val="41F8595E"/>
    <w:rsid w:val="42A30CC5"/>
    <w:rsid w:val="42CB3259"/>
    <w:rsid w:val="4356219C"/>
    <w:rsid w:val="44287CA1"/>
    <w:rsid w:val="44CC6C2E"/>
    <w:rsid w:val="45156827"/>
    <w:rsid w:val="45807483"/>
    <w:rsid w:val="4597548E"/>
    <w:rsid w:val="45E83F3B"/>
    <w:rsid w:val="45EC7588"/>
    <w:rsid w:val="46026DAB"/>
    <w:rsid w:val="469F0A9E"/>
    <w:rsid w:val="46B74B8A"/>
    <w:rsid w:val="47170634"/>
    <w:rsid w:val="474156B1"/>
    <w:rsid w:val="47605BC6"/>
    <w:rsid w:val="47DF247D"/>
    <w:rsid w:val="481132D5"/>
    <w:rsid w:val="482C7188"/>
    <w:rsid w:val="48561630"/>
    <w:rsid w:val="485D476D"/>
    <w:rsid w:val="48E22EC4"/>
    <w:rsid w:val="49177011"/>
    <w:rsid w:val="4944592C"/>
    <w:rsid w:val="49583186"/>
    <w:rsid w:val="496B72D4"/>
    <w:rsid w:val="49802A68"/>
    <w:rsid w:val="49A02651"/>
    <w:rsid w:val="4B0B4954"/>
    <w:rsid w:val="4B307F16"/>
    <w:rsid w:val="4B6E6C91"/>
    <w:rsid w:val="4B8F7333"/>
    <w:rsid w:val="4B977F95"/>
    <w:rsid w:val="4BF4363A"/>
    <w:rsid w:val="4BF4798A"/>
    <w:rsid w:val="4E2A3343"/>
    <w:rsid w:val="4E816CDB"/>
    <w:rsid w:val="4EF70D4B"/>
    <w:rsid w:val="4F334112"/>
    <w:rsid w:val="4F527237"/>
    <w:rsid w:val="4F64562E"/>
    <w:rsid w:val="4F934F18"/>
    <w:rsid w:val="4F9A44F8"/>
    <w:rsid w:val="500E459E"/>
    <w:rsid w:val="504331CC"/>
    <w:rsid w:val="50925C97"/>
    <w:rsid w:val="51121E6C"/>
    <w:rsid w:val="5160489E"/>
    <w:rsid w:val="51847CC8"/>
    <w:rsid w:val="51AB6027"/>
    <w:rsid w:val="525C7843"/>
    <w:rsid w:val="5277467D"/>
    <w:rsid w:val="542D34A9"/>
    <w:rsid w:val="548D0188"/>
    <w:rsid w:val="549C486F"/>
    <w:rsid w:val="54B92CA9"/>
    <w:rsid w:val="54FD75C8"/>
    <w:rsid w:val="55661086"/>
    <w:rsid w:val="55C01586"/>
    <w:rsid w:val="55CA2593"/>
    <w:rsid w:val="56503B63"/>
    <w:rsid w:val="56617B1E"/>
    <w:rsid w:val="56707D61"/>
    <w:rsid w:val="56D66374"/>
    <w:rsid w:val="56DA3A80"/>
    <w:rsid w:val="584C035A"/>
    <w:rsid w:val="59086AC8"/>
    <w:rsid w:val="59CC1752"/>
    <w:rsid w:val="5B1909C7"/>
    <w:rsid w:val="5B1B05A3"/>
    <w:rsid w:val="5B462234"/>
    <w:rsid w:val="5BD91F04"/>
    <w:rsid w:val="5C492DC1"/>
    <w:rsid w:val="5CEC6F1A"/>
    <w:rsid w:val="5CF76AE6"/>
    <w:rsid w:val="5D22487D"/>
    <w:rsid w:val="5D7C6FEB"/>
    <w:rsid w:val="5E47584B"/>
    <w:rsid w:val="5E4832D8"/>
    <w:rsid w:val="5E8F1E62"/>
    <w:rsid w:val="5EC21376"/>
    <w:rsid w:val="5EDE667C"/>
    <w:rsid w:val="5F491D86"/>
    <w:rsid w:val="5FCA6734"/>
    <w:rsid w:val="5FF77F2F"/>
    <w:rsid w:val="5FFF0AF7"/>
    <w:rsid w:val="602F7491"/>
    <w:rsid w:val="607D653C"/>
    <w:rsid w:val="609B3C2C"/>
    <w:rsid w:val="60C70EC5"/>
    <w:rsid w:val="61B96A60"/>
    <w:rsid w:val="636A1A84"/>
    <w:rsid w:val="63A454EE"/>
    <w:rsid w:val="63D86F45"/>
    <w:rsid w:val="63F21DB5"/>
    <w:rsid w:val="64841C09"/>
    <w:rsid w:val="64ED580C"/>
    <w:rsid w:val="64F30D78"/>
    <w:rsid w:val="651741AC"/>
    <w:rsid w:val="67A621D7"/>
    <w:rsid w:val="680E2F36"/>
    <w:rsid w:val="68476448"/>
    <w:rsid w:val="696279DD"/>
    <w:rsid w:val="699B6A4B"/>
    <w:rsid w:val="6A283DDB"/>
    <w:rsid w:val="6A5C4584"/>
    <w:rsid w:val="6AB51D8E"/>
    <w:rsid w:val="6B161469"/>
    <w:rsid w:val="6B1B6095"/>
    <w:rsid w:val="6B4E719B"/>
    <w:rsid w:val="6C866AC9"/>
    <w:rsid w:val="6D30652C"/>
    <w:rsid w:val="6D317DF2"/>
    <w:rsid w:val="6D911535"/>
    <w:rsid w:val="6EB74327"/>
    <w:rsid w:val="6F502086"/>
    <w:rsid w:val="70761FC0"/>
    <w:rsid w:val="727C25EF"/>
    <w:rsid w:val="72A050D2"/>
    <w:rsid w:val="73221F8B"/>
    <w:rsid w:val="7363682B"/>
    <w:rsid w:val="73804890"/>
    <w:rsid w:val="73C51294"/>
    <w:rsid w:val="73CD639B"/>
    <w:rsid w:val="74026044"/>
    <w:rsid w:val="74195ED6"/>
    <w:rsid w:val="745E5DE3"/>
    <w:rsid w:val="748F3650"/>
    <w:rsid w:val="74BA691F"/>
    <w:rsid w:val="74C55E6F"/>
    <w:rsid w:val="75436915"/>
    <w:rsid w:val="75A874BD"/>
    <w:rsid w:val="76EB6545"/>
    <w:rsid w:val="771B79CA"/>
    <w:rsid w:val="773C7ABF"/>
    <w:rsid w:val="773D3837"/>
    <w:rsid w:val="77E3618D"/>
    <w:rsid w:val="77F7266A"/>
    <w:rsid w:val="781A2F55"/>
    <w:rsid w:val="78432B78"/>
    <w:rsid w:val="786F5C73"/>
    <w:rsid w:val="787C6D9C"/>
    <w:rsid w:val="78A24B75"/>
    <w:rsid w:val="78BB2C66"/>
    <w:rsid w:val="78C7785D"/>
    <w:rsid w:val="78C935D5"/>
    <w:rsid w:val="79815C5D"/>
    <w:rsid w:val="79825532"/>
    <w:rsid w:val="799A0ACD"/>
    <w:rsid w:val="7A2F56B9"/>
    <w:rsid w:val="7A7E5845"/>
    <w:rsid w:val="7A9419C0"/>
    <w:rsid w:val="7A995229"/>
    <w:rsid w:val="7B446F42"/>
    <w:rsid w:val="7BAB0D70"/>
    <w:rsid w:val="7BD14395"/>
    <w:rsid w:val="7C391209"/>
    <w:rsid w:val="7C927A54"/>
    <w:rsid w:val="7CC145C3"/>
    <w:rsid w:val="7D0012D4"/>
    <w:rsid w:val="7D476A06"/>
    <w:rsid w:val="7D4C6582"/>
    <w:rsid w:val="7D756300"/>
    <w:rsid w:val="7EA85A3A"/>
    <w:rsid w:val="7ECF1219"/>
    <w:rsid w:val="7EDC1B88"/>
    <w:rsid w:val="7EFC18E2"/>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Calibri" w:cs="黑体"/>
      <w:sz w:val="22"/>
      <w:szCs w:val="22"/>
      <w:lang w:val="en-US" w:eastAsia="en-US" w:bidi="ar-SA"/>
    </w:rPr>
  </w:style>
  <w:style w:type="paragraph" w:styleId="4">
    <w:name w:val="heading 1"/>
    <w:basedOn w:val="1"/>
    <w:next w:val="1"/>
    <w:link w:val="87"/>
    <w:qFormat/>
    <w:uiPriority w:val="9"/>
    <w:pPr>
      <w:outlineLvl w:val="0"/>
    </w:pPr>
    <w:rPr>
      <w:rFonts w:ascii="宋体" w:hAnsi="宋体" w:eastAsia="宋体"/>
      <w:b/>
      <w:bCs/>
      <w:sz w:val="32"/>
      <w:szCs w:val="32"/>
    </w:rPr>
  </w:style>
  <w:style w:type="paragraph" w:styleId="2">
    <w:name w:val="heading 2"/>
    <w:basedOn w:val="1"/>
    <w:next w:val="3"/>
    <w:link w:val="66"/>
    <w:qFormat/>
    <w:uiPriority w:val="9"/>
    <w:pPr>
      <w:keepNext/>
      <w:keepLines/>
      <w:spacing w:before="260" w:after="260" w:line="416" w:lineRule="auto"/>
      <w:jc w:val="both"/>
      <w:outlineLvl w:val="1"/>
    </w:pPr>
    <w:rPr>
      <w:rFonts w:ascii="Arial" w:hAnsi="Arial" w:eastAsia="黑体" w:cs="Times New Roman"/>
      <w:b/>
      <w:bCs/>
      <w:kern w:val="2"/>
      <w:sz w:val="32"/>
      <w:szCs w:val="32"/>
      <w:lang w:eastAsia="zh-CN"/>
    </w:rPr>
  </w:style>
  <w:style w:type="paragraph" w:styleId="5">
    <w:name w:val="heading 3"/>
    <w:basedOn w:val="1"/>
    <w:next w:val="1"/>
    <w:unhideWhenUsed/>
    <w:qFormat/>
    <w:uiPriority w:val="0"/>
    <w:pPr>
      <w:ind w:left="118"/>
      <w:outlineLvl w:val="2"/>
    </w:pPr>
    <w:rPr>
      <w:rFonts w:ascii="宋体" w:hAnsi="宋体" w:eastAsia="宋体"/>
      <w:b/>
      <w:bCs/>
      <w:sz w:val="30"/>
      <w:szCs w:val="30"/>
    </w:rPr>
  </w:style>
  <w:style w:type="paragraph" w:styleId="6">
    <w:name w:val="heading 4"/>
    <w:basedOn w:val="1"/>
    <w:next w:val="1"/>
    <w:unhideWhenUsed/>
    <w:qFormat/>
    <w:uiPriority w:val="0"/>
    <w:pPr>
      <w:ind w:left="118"/>
      <w:outlineLvl w:val="3"/>
    </w:pPr>
    <w:rPr>
      <w:rFonts w:ascii="宋体" w:hAnsi="宋体" w:eastAsia="宋体"/>
      <w:sz w:val="30"/>
      <w:szCs w:val="30"/>
    </w:rPr>
  </w:style>
  <w:style w:type="paragraph" w:styleId="7">
    <w:name w:val="heading 5"/>
    <w:basedOn w:val="1"/>
    <w:next w:val="1"/>
    <w:semiHidden/>
    <w:unhideWhenUsed/>
    <w:qFormat/>
    <w:uiPriority w:val="0"/>
    <w:pPr>
      <w:ind w:left="122"/>
      <w:outlineLvl w:val="4"/>
    </w:pPr>
    <w:rPr>
      <w:rFonts w:ascii="黑体" w:hAnsi="黑体" w:eastAsia="黑体"/>
      <w:b/>
      <w:bCs/>
      <w:sz w:val="28"/>
      <w:szCs w:val="28"/>
    </w:rPr>
  </w:style>
  <w:style w:type="paragraph" w:styleId="8">
    <w:name w:val="heading 6"/>
    <w:basedOn w:val="1"/>
    <w:next w:val="1"/>
    <w:semiHidden/>
    <w:unhideWhenUsed/>
    <w:qFormat/>
    <w:uiPriority w:val="0"/>
    <w:pPr>
      <w:ind w:left="122"/>
      <w:outlineLvl w:val="5"/>
    </w:pPr>
    <w:rPr>
      <w:rFonts w:ascii="宋体" w:hAnsi="宋体" w:eastAsia="宋体"/>
      <w:sz w:val="28"/>
      <w:szCs w:val="28"/>
      <w:u w:val="single"/>
    </w:rPr>
  </w:style>
  <w:style w:type="paragraph" w:styleId="9">
    <w:name w:val="heading 7"/>
    <w:basedOn w:val="1"/>
    <w:next w:val="1"/>
    <w:semiHidden/>
    <w:unhideWhenUsed/>
    <w:qFormat/>
    <w:uiPriority w:val="0"/>
    <w:pPr>
      <w:spacing w:before="26"/>
      <w:ind w:left="142"/>
      <w:outlineLvl w:val="6"/>
    </w:pPr>
    <w:rPr>
      <w:rFonts w:ascii="宋体" w:hAnsi="宋体" w:eastAsia="宋体"/>
      <w:b/>
      <w:bCs/>
      <w:sz w:val="24"/>
      <w:szCs w:val="24"/>
    </w:rPr>
  </w:style>
  <w:style w:type="paragraph" w:styleId="10">
    <w:name w:val="heading 8"/>
    <w:basedOn w:val="1"/>
    <w:next w:val="1"/>
    <w:semiHidden/>
    <w:unhideWhenUsed/>
    <w:qFormat/>
    <w:uiPriority w:val="0"/>
    <w:pPr>
      <w:ind w:left="118"/>
      <w:outlineLvl w:val="7"/>
    </w:pPr>
    <w:rPr>
      <w:rFonts w:ascii="宋体" w:hAnsi="宋体" w:eastAsia="宋体"/>
      <w:sz w:val="24"/>
      <w:szCs w:val="24"/>
    </w:rPr>
  </w:style>
  <w:style w:type="paragraph" w:styleId="11">
    <w:name w:val="heading 9"/>
    <w:basedOn w:val="1"/>
    <w:next w:val="1"/>
    <w:semiHidden/>
    <w:unhideWhenUsed/>
    <w:qFormat/>
    <w:uiPriority w:val="0"/>
    <w:pPr>
      <w:ind w:left="118"/>
      <w:outlineLvl w:val="8"/>
    </w:pPr>
    <w:rPr>
      <w:rFonts w:ascii="宋体" w:hAnsi="宋体" w:eastAsia="宋体"/>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sz w:val="21"/>
      <w:szCs w:val="20"/>
    </w:rPr>
  </w:style>
  <w:style w:type="paragraph" w:styleId="12">
    <w:name w:val="Body Text 3"/>
    <w:qFormat/>
    <w:uiPriority w:val="0"/>
    <w:rPr>
      <w:rFonts w:ascii="宋体" w:hAnsi="Times New Roman" w:eastAsia="宋体" w:cs="黑体"/>
      <w:sz w:val="24"/>
      <w:szCs w:val="22"/>
      <w:lang w:val="en-US" w:eastAsia="zh-CN" w:bidi="ar-SA"/>
    </w:rPr>
  </w:style>
  <w:style w:type="paragraph" w:styleId="13">
    <w:name w:val="Body Text"/>
    <w:basedOn w:val="1"/>
    <w:link w:val="88"/>
    <w:qFormat/>
    <w:uiPriority w:val="99"/>
    <w:pPr>
      <w:ind w:left="122"/>
    </w:pPr>
    <w:rPr>
      <w:rFonts w:ascii="宋体" w:hAnsi="宋体" w:eastAsia="宋体"/>
      <w:sz w:val="21"/>
      <w:szCs w:val="21"/>
    </w:rPr>
  </w:style>
  <w:style w:type="paragraph" w:styleId="14">
    <w:name w:val="Body Text Indent"/>
    <w:basedOn w:val="1"/>
    <w:next w:val="15"/>
    <w:link w:val="65"/>
    <w:qFormat/>
    <w:uiPriority w:val="0"/>
    <w:pPr>
      <w:spacing w:after="120"/>
      <w:ind w:left="420" w:leftChars="200"/>
    </w:pPr>
  </w:style>
  <w:style w:type="paragraph" w:styleId="15">
    <w:name w:val="envelope return"/>
    <w:basedOn w:val="1"/>
    <w:unhideWhenUsed/>
    <w:qFormat/>
    <w:uiPriority w:val="99"/>
    <w:pPr>
      <w:snapToGrid w:val="0"/>
    </w:pPr>
    <w:rPr>
      <w:rFonts w:ascii="Arial" w:hAnsi="Arial" w:cs="Arial"/>
    </w:rPr>
  </w:style>
  <w:style w:type="paragraph" w:styleId="16">
    <w:name w:val="List 2"/>
    <w:basedOn w:val="1"/>
    <w:qFormat/>
    <w:uiPriority w:val="0"/>
    <w:pPr>
      <w:ind w:left="100" w:leftChars="200" w:hanging="200" w:hangingChars="200"/>
    </w:pPr>
  </w:style>
  <w:style w:type="paragraph" w:styleId="17">
    <w:name w:val="toc 3"/>
    <w:basedOn w:val="1"/>
    <w:next w:val="1"/>
    <w:unhideWhenUsed/>
    <w:qFormat/>
    <w:uiPriority w:val="39"/>
    <w:pPr>
      <w:widowControl/>
      <w:spacing w:after="100" w:line="276" w:lineRule="auto"/>
      <w:ind w:left="440"/>
    </w:pPr>
    <w:rPr>
      <w:rFonts w:eastAsia="宋体"/>
      <w:lang w:eastAsia="zh-CN"/>
    </w:rPr>
  </w:style>
  <w:style w:type="paragraph" w:styleId="18">
    <w:name w:val="Plain Text"/>
    <w:basedOn w:val="1"/>
    <w:next w:val="19"/>
    <w:qFormat/>
    <w:uiPriority w:val="0"/>
    <w:rPr>
      <w:rFonts w:ascii="宋体" w:hAnsi="Courier New" w:eastAsia="华文宋体" w:cs="Times New Roman"/>
      <w:sz w:val="28"/>
    </w:rPr>
  </w:style>
  <w:style w:type="paragraph" w:styleId="19">
    <w:name w:val="index 7"/>
    <w:basedOn w:val="1"/>
    <w:next w:val="1"/>
    <w:unhideWhenUsed/>
    <w:qFormat/>
    <w:uiPriority w:val="99"/>
    <w:pPr>
      <w:ind w:left="1200" w:leftChars="1200"/>
    </w:pPr>
  </w:style>
  <w:style w:type="paragraph" w:styleId="20">
    <w:name w:val="Body Text Indent 2"/>
    <w:basedOn w:val="1"/>
    <w:qFormat/>
    <w:uiPriority w:val="0"/>
    <w:pPr>
      <w:ind w:firstLine="630"/>
    </w:pPr>
    <w:rPr>
      <w:rFonts w:ascii="宋体" w:eastAsia="宋体" w:cs="Times New Roman"/>
      <w:sz w:val="32"/>
      <w:szCs w:val="24"/>
    </w:rPr>
  </w:style>
  <w:style w:type="paragraph" w:styleId="21">
    <w:name w:val="Balloon Text"/>
    <w:basedOn w:val="1"/>
    <w:link w:val="64"/>
    <w:qFormat/>
    <w:uiPriority w:val="99"/>
    <w:rPr>
      <w:sz w:val="18"/>
      <w:szCs w:val="18"/>
    </w:rPr>
  </w:style>
  <w:style w:type="paragraph" w:styleId="22">
    <w:name w:val="footer"/>
    <w:basedOn w:val="1"/>
    <w:link w:val="89"/>
    <w:qFormat/>
    <w:uiPriority w:val="99"/>
    <w:pPr>
      <w:tabs>
        <w:tab w:val="center" w:pos="4153"/>
        <w:tab w:val="right" w:pos="8306"/>
      </w:tabs>
      <w:snapToGrid w:val="0"/>
    </w:pPr>
    <w:rPr>
      <w:sz w:val="18"/>
    </w:rPr>
  </w:style>
  <w:style w:type="paragraph" w:styleId="23">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570"/>
      <w:ind w:left="122"/>
    </w:pPr>
    <w:rPr>
      <w:rFonts w:ascii="宋体" w:hAnsi="宋体" w:eastAsia="宋体"/>
      <w:sz w:val="30"/>
      <w:szCs w:val="30"/>
    </w:rPr>
  </w:style>
  <w:style w:type="paragraph" w:styleId="25">
    <w:name w:val="footnote text"/>
    <w:basedOn w:val="1"/>
    <w:qFormat/>
    <w:uiPriority w:val="99"/>
    <w:pPr>
      <w:snapToGrid w:val="0"/>
      <w:jc w:val="left"/>
    </w:pPr>
    <w:rPr>
      <w:sz w:val="18"/>
      <w:szCs w:val="18"/>
    </w:rPr>
  </w:style>
  <w:style w:type="paragraph" w:styleId="26">
    <w:name w:val="List 5"/>
    <w:basedOn w:val="1"/>
    <w:qFormat/>
    <w:uiPriority w:val="0"/>
    <w:pPr>
      <w:ind w:left="100" w:leftChars="800" w:hanging="200" w:hangingChars="200"/>
    </w:pPr>
    <w:rPr>
      <w:szCs w:val="24"/>
    </w:rPr>
  </w:style>
  <w:style w:type="paragraph" w:styleId="27">
    <w:name w:val="toc 2"/>
    <w:basedOn w:val="1"/>
    <w:next w:val="1"/>
    <w:unhideWhenUsed/>
    <w:qFormat/>
    <w:uiPriority w:val="39"/>
    <w:pPr>
      <w:widowControl/>
      <w:spacing w:after="100" w:line="276" w:lineRule="auto"/>
      <w:ind w:left="220"/>
    </w:pPr>
    <w:rPr>
      <w:rFonts w:eastAsia="宋体"/>
      <w:lang w:eastAsia="zh-CN"/>
    </w:rPr>
  </w:style>
  <w:style w:type="paragraph" w:styleId="28">
    <w:name w:val="Body Text 2"/>
    <w:basedOn w:val="1"/>
    <w:next w:val="18"/>
    <w:qFormat/>
    <w:uiPriority w:val="0"/>
    <w:pPr>
      <w:spacing w:after="120" w:line="480" w:lineRule="auto"/>
      <w:ind w:firstLine="560" w:firstLineChars="200"/>
    </w:pPr>
    <w:rPr>
      <w:rFonts w:ascii="Calibri" w:hAnsi="Calibri" w:eastAsia="仿宋_GB2312"/>
      <w:kern w:val="0"/>
      <w:sz w:val="28"/>
      <w:szCs w:val="24"/>
    </w:rPr>
  </w:style>
  <w:style w:type="paragraph" w:styleId="29">
    <w:name w:val="Normal (Web)"/>
    <w:basedOn w:val="1"/>
    <w:qFormat/>
    <w:uiPriority w:val="0"/>
    <w:rPr>
      <w:sz w:val="24"/>
      <w:lang w:eastAsia="zh-CN"/>
    </w:rPr>
  </w:style>
  <w:style w:type="paragraph" w:styleId="30">
    <w:name w:val="Body Text First Indent"/>
    <w:basedOn w:val="13"/>
    <w:link w:val="91"/>
    <w:qFormat/>
    <w:uiPriority w:val="0"/>
    <w:pPr>
      <w:ind w:firstLine="420" w:firstLineChars="100"/>
    </w:pPr>
    <w:rPr>
      <w:rFonts w:ascii="Calibri" w:hAnsi="Calibri"/>
      <w:lang w:eastAsia="zh-CN"/>
    </w:rPr>
  </w:style>
  <w:style w:type="paragraph" w:styleId="31">
    <w:name w:val="Body Text First Indent 2"/>
    <w:basedOn w:val="14"/>
    <w:qFormat/>
    <w:uiPriority w:val="0"/>
    <w:pPr>
      <w:ind w:firstLine="420" w:firstLineChars="200"/>
    </w:pPr>
    <w:rPr>
      <w:rFonts w:ascii="Calibri" w:hAnsi="Calibri"/>
      <w:kern w:val="0"/>
      <w:sz w:val="20"/>
      <w:szCs w:val="20"/>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FollowedHyperlink"/>
    <w:qFormat/>
    <w:uiPriority w:val="99"/>
    <w:rPr>
      <w:color w:val="000000"/>
      <w:u w:val="none"/>
    </w:rPr>
  </w:style>
  <w:style w:type="character" w:styleId="37">
    <w:name w:val="Emphasis"/>
    <w:basedOn w:val="34"/>
    <w:qFormat/>
    <w:uiPriority w:val="0"/>
  </w:style>
  <w:style w:type="character" w:styleId="38">
    <w:name w:val="HTML Definition"/>
    <w:basedOn w:val="34"/>
    <w:qFormat/>
    <w:uiPriority w:val="0"/>
  </w:style>
  <w:style w:type="character" w:styleId="39">
    <w:name w:val="HTML Typewriter"/>
    <w:qFormat/>
    <w:uiPriority w:val="0"/>
    <w:rPr>
      <w:rFonts w:hint="default" w:ascii="monospace" w:hAnsi="monospace" w:eastAsia="monospace" w:cs="monospace"/>
      <w:sz w:val="20"/>
    </w:rPr>
  </w:style>
  <w:style w:type="character" w:styleId="40">
    <w:name w:val="HTML Acronym"/>
    <w:basedOn w:val="34"/>
    <w:qFormat/>
    <w:uiPriority w:val="0"/>
  </w:style>
  <w:style w:type="character" w:styleId="41">
    <w:name w:val="HTML Variable"/>
    <w:basedOn w:val="34"/>
    <w:qFormat/>
    <w:uiPriority w:val="0"/>
  </w:style>
  <w:style w:type="character" w:styleId="42">
    <w:name w:val="Hyperlink"/>
    <w:qFormat/>
    <w:uiPriority w:val="99"/>
    <w:rPr>
      <w:color w:val="000000"/>
      <w:u w:val="none"/>
    </w:rPr>
  </w:style>
  <w:style w:type="character" w:styleId="43">
    <w:name w:val="HTML Code"/>
    <w:qFormat/>
    <w:uiPriority w:val="0"/>
    <w:rPr>
      <w:rFonts w:ascii="Courier New" w:hAnsi="Courier New"/>
      <w:vanish/>
      <w:sz w:val="20"/>
    </w:rPr>
  </w:style>
  <w:style w:type="character" w:styleId="44">
    <w:name w:val="HTML Cite"/>
    <w:basedOn w:val="34"/>
    <w:qFormat/>
    <w:uiPriority w:val="0"/>
  </w:style>
  <w:style w:type="character" w:styleId="45">
    <w:name w:val="HTML Keyboard"/>
    <w:qFormat/>
    <w:uiPriority w:val="0"/>
    <w:rPr>
      <w:rFonts w:hint="default" w:ascii="monospace" w:hAnsi="monospace" w:eastAsia="monospace" w:cs="monospace"/>
      <w:sz w:val="20"/>
    </w:rPr>
  </w:style>
  <w:style w:type="character" w:styleId="46">
    <w:name w:val="HTML Sample"/>
    <w:qFormat/>
    <w:uiPriority w:val="0"/>
    <w:rPr>
      <w:rFonts w:hint="default" w:ascii="monospace" w:hAnsi="monospace" w:eastAsia="monospace" w:cs="monospace"/>
    </w:rPr>
  </w:style>
  <w:style w:type="paragraph" w:customStyle="1" w:styleId="47">
    <w:name w:val="style4"/>
    <w:basedOn w:val="1"/>
    <w:next w:val="48"/>
    <w:qFormat/>
    <w:uiPriority w:val="99"/>
    <w:pPr>
      <w:widowControl/>
      <w:spacing w:before="280" w:after="280"/>
    </w:pPr>
    <w:rPr>
      <w:rFonts w:ascii="宋体" w:hAnsi="Times New Roman" w:eastAsia="宋体" w:cs="Times New Roman"/>
      <w:sz w:val="18"/>
    </w:rPr>
  </w:style>
  <w:style w:type="paragraph" w:customStyle="1" w:styleId="48">
    <w:name w:val="2"/>
    <w:next w:val="1"/>
    <w:qFormat/>
    <w:uiPriority w:val="0"/>
    <w:pPr>
      <w:widowControl w:val="0"/>
      <w:jc w:val="both"/>
    </w:pPr>
    <w:rPr>
      <w:rFonts w:hint="default" w:ascii="Times New Roman" w:hAnsi="Times New Roman" w:eastAsia="宋体" w:cs="Times New Roman"/>
      <w:sz w:val="21"/>
      <w:szCs w:val="22"/>
    </w:rPr>
  </w:style>
  <w:style w:type="paragraph" w:customStyle="1" w:styleId="49">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Table Paragraph"/>
    <w:basedOn w:val="1"/>
    <w:qFormat/>
    <w:uiPriority w:val="1"/>
  </w:style>
  <w:style w:type="paragraph" w:customStyle="1" w:styleId="51">
    <w:name w:val="表格"/>
    <w:basedOn w:val="1"/>
    <w:qFormat/>
    <w:uiPriority w:val="0"/>
    <w:pPr>
      <w:adjustRightInd w:val="0"/>
      <w:spacing w:line="400" w:lineRule="atLeast"/>
      <w:textAlignment w:val="baseline"/>
    </w:pPr>
    <w:rPr>
      <w:rFonts w:ascii="仿宋_GB2312" w:eastAsia="仿宋_GB2312"/>
      <w:sz w:val="28"/>
      <w:szCs w:val="24"/>
    </w:rPr>
  </w:style>
  <w:style w:type="paragraph" w:customStyle="1" w:styleId="52">
    <w:name w:val="文档正文"/>
    <w:basedOn w:val="1"/>
    <w:qFormat/>
    <w:uiPriority w:val="0"/>
    <w:pPr>
      <w:spacing w:line="480" w:lineRule="atLeast"/>
      <w:ind w:firstLine="567"/>
      <w:textAlignment w:val="baseline"/>
    </w:pPr>
    <w:rPr>
      <w:rFonts w:hint="eastAsia" w:ascii="仿宋_GB2312" w:eastAsia="仿宋_GB2312"/>
      <w:sz w:val="28"/>
      <w:szCs w:val="24"/>
    </w:rPr>
  </w:style>
  <w:style w:type="paragraph" w:customStyle="1" w:styleId="53">
    <w:name w:val="p0"/>
    <w:basedOn w:val="1"/>
    <w:qFormat/>
    <w:uiPriority w:val="0"/>
    <w:pPr>
      <w:widowControl/>
      <w:jc w:val="both"/>
    </w:pPr>
    <w:rPr>
      <w:rFonts w:ascii="Times New Roman" w:hAnsi="Times New Roman" w:eastAsia="宋体" w:cs="Times New Roman"/>
      <w:sz w:val="21"/>
      <w:szCs w:val="21"/>
      <w:lang w:eastAsia="zh-CN"/>
    </w:rPr>
  </w:style>
  <w:style w:type="paragraph" w:customStyle="1" w:styleId="54">
    <w:name w:val="Char1"/>
    <w:basedOn w:val="1"/>
    <w:qFormat/>
    <w:uiPriority w:val="0"/>
    <w:pPr>
      <w:jc w:val="both"/>
    </w:pPr>
    <w:rPr>
      <w:rFonts w:ascii="Times New Roman" w:hAnsi="Times New Roman" w:eastAsia="宋体" w:cs="Times New Roman"/>
      <w:kern w:val="2"/>
      <w:sz w:val="21"/>
      <w:szCs w:val="21"/>
      <w:lang w:eastAsia="zh-CN"/>
    </w:rPr>
  </w:style>
  <w:style w:type="paragraph" w:customStyle="1" w:styleId="55">
    <w:name w:val="TOC 标题1"/>
    <w:basedOn w:val="4"/>
    <w:next w:val="1"/>
    <w:semiHidden/>
    <w:unhideWhenUsed/>
    <w:qFormat/>
    <w:uiPriority w:val="39"/>
    <w:pPr>
      <w:keepNext/>
      <w:keepLines/>
      <w:widowControl/>
      <w:spacing w:before="480" w:line="276" w:lineRule="auto"/>
      <w:outlineLvl w:val="9"/>
    </w:pPr>
    <w:rPr>
      <w:rFonts w:ascii="Calibri Light" w:hAnsi="Calibri Light"/>
      <w:color w:val="2D73B3"/>
      <w:sz w:val="28"/>
      <w:szCs w:val="28"/>
      <w:lang w:eastAsia="zh-CN"/>
    </w:rPr>
  </w:style>
  <w:style w:type="paragraph" w:customStyle="1" w:styleId="56">
    <w:name w:val="列表段落1"/>
    <w:basedOn w:val="1"/>
    <w:qFormat/>
    <w:uiPriority w:val="0"/>
    <w:pPr>
      <w:ind w:firstLine="420" w:firstLineChars="200"/>
    </w:pPr>
    <w:rPr>
      <w:rFonts w:cs="Times New Roman"/>
      <w:szCs w:val="20"/>
    </w:rPr>
  </w:style>
  <w:style w:type="paragraph" w:customStyle="1" w:styleId="57">
    <w:name w:val="正文1"/>
    <w:basedOn w:val="1"/>
    <w:qFormat/>
    <w:uiPriority w:val="0"/>
    <w:pPr>
      <w:tabs>
        <w:tab w:val="left" w:pos="1800"/>
      </w:tabs>
      <w:spacing w:line="360" w:lineRule="auto"/>
    </w:pPr>
    <w:rPr>
      <w:rFonts w:ascii="宋体" w:hAnsi="宋体" w:eastAsia="宋体" w:cs="Arial"/>
      <w:sz w:val="24"/>
    </w:rPr>
  </w:style>
  <w:style w:type="paragraph" w:customStyle="1" w:styleId="58">
    <w:name w:val="列出段落1"/>
    <w:basedOn w:val="1"/>
    <w:qFormat/>
    <w:uiPriority w:val="99"/>
    <w:pPr>
      <w:ind w:firstLine="420" w:firstLineChars="200"/>
    </w:pPr>
    <w:rPr>
      <w:rFonts w:ascii="Times New Roman" w:hAnsi="Times New Roman" w:eastAsia="宋体" w:cs="Times New Roman"/>
      <w:szCs w:val="20"/>
    </w:rPr>
  </w:style>
  <w:style w:type="paragraph" w:customStyle="1" w:styleId="59">
    <w:name w:val="表格文本"/>
    <w:basedOn w:val="1"/>
    <w:qFormat/>
    <w:uiPriority w:val="0"/>
    <w:pPr>
      <w:jc w:val="center"/>
    </w:pPr>
    <w:rPr>
      <w:rFonts w:ascii="宋体" w:hAnsi="宋体"/>
      <w:bCs/>
      <w:sz w:val="21"/>
      <w:szCs w:val="21"/>
    </w:rPr>
  </w:style>
  <w:style w:type="paragraph" w:customStyle="1" w:styleId="60">
    <w:name w:val="CZG正文"/>
    <w:basedOn w:val="1"/>
    <w:qFormat/>
    <w:uiPriority w:val="0"/>
    <w:pPr>
      <w:spacing w:line="440" w:lineRule="exact"/>
    </w:pPr>
    <w:rPr>
      <w:rFonts w:ascii="幼圆" w:eastAsia="幼圆"/>
      <w:sz w:val="24"/>
      <w:szCs w:val="24"/>
    </w:rPr>
  </w:style>
  <w:style w:type="paragraph" w:customStyle="1" w:styleId="61">
    <w:name w:val="retrait3"/>
    <w:basedOn w:val="1"/>
    <w:qFormat/>
    <w:uiPriority w:val="0"/>
    <w:pPr>
      <w:widowControl/>
      <w:spacing w:before="20" w:after="20"/>
      <w:ind w:left="851"/>
    </w:pPr>
    <w:rPr>
      <w:rFonts w:ascii="Arial" w:hAnsi="Arial" w:eastAsia="宋体" w:cs="Times New Roman"/>
      <w:sz w:val="24"/>
      <w:szCs w:val="20"/>
    </w:rPr>
  </w:style>
  <w:style w:type="paragraph" w:customStyle="1" w:styleId="62">
    <w:name w:val="tableau"/>
    <w:basedOn w:val="1"/>
    <w:qFormat/>
    <w:uiPriority w:val="0"/>
    <w:pPr>
      <w:widowControl/>
      <w:spacing w:before="20" w:after="20"/>
      <w:jc w:val="center"/>
    </w:pPr>
    <w:rPr>
      <w:rFonts w:ascii="Arial" w:hAnsi="Arial" w:eastAsia="宋体" w:cs="Times New Roman"/>
      <w:sz w:val="16"/>
      <w:szCs w:val="20"/>
    </w:rPr>
  </w:style>
  <w:style w:type="character" w:customStyle="1" w:styleId="63">
    <w:name w:val="标题 1 Char Char"/>
    <w:qFormat/>
    <w:uiPriority w:val="0"/>
    <w:rPr>
      <w:rFonts w:eastAsia="宋体"/>
      <w:b/>
      <w:spacing w:val="-2"/>
      <w:sz w:val="24"/>
      <w:lang w:val="en-US" w:eastAsia="zh-CN" w:bidi="ar-SA"/>
    </w:rPr>
  </w:style>
  <w:style w:type="character" w:customStyle="1" w:styleId="64">
    <w:name w:val="批注框文本 Char"/>
    <w:link w:val="21"/>
    <w:qFormat/>
    <w:uiPriority w:val="99"/>
    <w:rPr>
      <w:rFonts w:ascii="Calibri" w:hAnsi="Calibri" w:eastAsia="Calibri" w:cs="黑体"/>
      <w:sz w:val="18"/>
      <w:szCs w:val="18"/>
      <w:lang w:eastAsia="en-US"/>
    </w:rPr>
  </w:style>
  <w:style w:type="character" w:customStyle="1" w:styleId="65">
    <w:name w:val="正文文本缩进 Char"/>
    <w:link w:val="14"/>
    <w:qFormat/>
    <w:uiPriority w:val="0"/>
    <w:rPr>
      <w:rFonts w:ascii="Calibri" w:hAnsi="Calibri" w:eastAsia="Calibri" w:cs="黑体"/>
      <w:sz w:val="22"/>
      <w:szCs w:val="22"/>
      <w:lang w:eastAsia="en-US"/>
    </w:rPr>
  </w:style>
  <w:style w:type="character" w:customStyle="1" w:styleId="66">
    <w:name w:val="标题 2 Char"/>
    <w:link w:val="2"/>
    <w:qFormat/>
    <w:uiPriority w:val="9"/>
    <w:rPr>
      <w:rFonts w:ascii="Arial" w:hAnsi="Arial" w:eastAsia="黑体"/>
      <w:b/>
      <w:bCs/>
      <w:kern w:val="2"/>
      <w:sz w:val="32"/>
      <w:szCs w:val="32"/>
    </w:rPr>
  </w:style>
  <w:style w:type="character" w:customStyle="1" w:styleId="67">
    <w:name w:val="font31"/>
    <w:qFormat/>
    <w:uiPriority w:val="0"/>
    <w:rPr>
      <w:rFonts w:hint="eastAsia" w:ascii="微软雅黑" w:hAnsi="微软雅黑" w:eastAsia="微软雅黑" w:cs="微软雅黑"/>
      <w:color w:val="000000"/>
      <w:sz w:val="28"/>
      <w:szCs w:val="28"/>
      <w:u w:val="none"/>
    </w:rPr>
  </w:style>
  <w:style w:type="character" w:customStyle="1" w:styleId="68">
    <w:name w:val="font81"/>
    <w:qFormat/>
    <w:uiPriority w:val="0"/>
    <w:rPr>
      <w:rFonts w:hint="eastAsia" w:ascii="微软雅黑" w:hAnsi="微软雅黑" w:eastAsia="微软雅黑" w:cs="微软雅黑"/>
      <w:color w:val="000000"/>
      <w:sz w:val="28"/>
      <w:szCs w:val="28"/>
      <w:u w:val="none"/>
    </w:rPr>
  </w:style>
  <w:style w:type="character" w:customStyle="1" w:styleId="69">
    <w:name w:val="font91"/>
    <w:qFormat/>
    <w:uiPriority w:val="0"/>
    <w:rPr>
      <w:rFonts w:hint="eastAsia" w:ascii="微软雅黑" w:hAnsi="微软雅黑" w:eastAsia="微软雅黑" w:cs="微软雅黑"/>
      <w:color w:val="000000"/>
      <w:sz w:val="28"/>
      <w:szCs w:val="28"/>
      <w:u w:val="none"/>
    </w:rPr>
  </w:style>
  <w:style w:type="character" w:customStyle="1" w:styleId="70">
    <w:name w:val="awspan1"/>
    <w:qFormat/>
    <w:uiPriority w:val="0"/>
    <w:rPr>
      <w:color w:val="000000"/>
      <w:sz w:val="24"/>
      <w:szCs w:val="24"/>
    </w:rPr>
  </w:style>
  <w:style w:type="character" w:customStyle="1" w:styleId="71">
    <w:name w:val="layui-laypage-curr"/>
    <w:basedOn w:val="34"/>
    <w:qFormat/>
    <w:uiPriority w:val="0"/>
  </w:style>
  <w:style w:type="character" w:customStyle="1" w:styleId="72">
    <w:name w:val="mail-contents"/>
    <w:basedOn w:val="34"/>
    <w:qFormat/>
    <w:uiPriority w:val="0"/>
  </w:style>
  <w:style w:type="character" w:customStyle="1" w:styleId="73">
    <w:name w:val="s5"/>
    <w:qFormat/>
    <w:uiPriority w:val="0"/>
    <w:rPr>
      <w:spacing w:val="125"/>
    </w:rPr>
  </w:style>
  <w:style w:type="character" w:customStyle="1" w:styleId="74">
    <w:name w:val="hover34"/>
    <w:qFormat/>
    <w:uiPriority w:val="0"/>
    <w:rPr>
      <w:color w:val="5FB878"/>
    </w:rPr>
  </w:style>
  <w:style w:type="character" w:customStyle="1" w:styleId="75">
    <w:name w:val="hover35"/>
    <w:qFormat/>
    <w:uiPriority w:val="0"/>
    <w:rPr>
      <w:color w:val="5FB878"/>
    </w:rPr>
  </w:style>
  <w:style w:type="character" w:customStyle="1" w:styleId="76">
    <w:name w:val="hover36"/>
    <w:qFormat/>
    <w:uiPriority w:val="0"/>
    <w:rPr>
      <w:color w:val="FFFFFF"/>
    </w:rPr>
  </w:style>
  <w:style w:type="character" w:customStyle="1" w:styleId="77">
    <w:name w:val="layui-this4"/>
    <w:qFormat/>
    <w:uiPriority w:val="0"/>
    <w:rPr>
      <w:bdr w:val="single" w:color="EEEEEE" w:sz="6" w:space="0"/>
      <w:shd w:val="clear" w:color="010000" w:fill="FFFFFF"/>
    </w:rPr>
  </w:style>
  <w:style w:type="character" w:customStyle="1" w:styleId="78">
    <w:name w:val="first-child"/>
    <w:basedOn w:val="34"/>
    <w:qFormat/>
    <w:uiPriority w:val="0"/>
  </w:style>
  <w:style w:type="character" w:customStyle="1" w:styleId="79">
    <w:name w:val="layui-this"/>
    <w:qFormat/>
    <w:uiPriority w:val="0"/>
    <w:rPr>
      <w:bdr w:val="single" w:color="EEEEEE" w:sz="6" w:space="0"/>
      <w:shd w:val="clear" w:color="010000" w:fill="FFFFFF"/>
    </w:rPr>
  </w:style>
  <w:style w:type="character" w:customStyle="1" w:styleId="80">
    <w:name w:val="hover33"/>
    <w:qFormat/>
    <w:uiPriority w:val="0"/>
    <w:rPr>
      <w:color w:val="5FB878"/>
    </w:rPr>
  </w:style>
  <w:style w:type="character" w:customStyle="1" w:styleId="81">
    <w:name w:val="hover1"/>
    <w:qFormat/>
    <w:uiPriority w:val="0"/>
    <w:rPr>
      <w:color w:val="2590EB"/>
    </w:rPr>
  </w:style>
  <w:style w:type="character" w:customStyle="1" w:styleId="82">
    <w:name w:val="hover2"/>
    <w:qFormat/>
    <w:uiPriority w:val="0"/>
    <w:rPr>
      <w:color w:val="2590EB"/>
    </w:rPr>
  </w:style>
  <w:style w:type="character" w:customStyle="1" w:styleId="83">
    <w:name w:val="hover3"/>
    <w:basedOn w:val="34"/>
    <w:qFormat/>
    <w:uiPriority w:val="0"/>
  </w:style>
  <w:style w:type="character" w:customStyle="1" w:styleId="84">
    <w:name w:val="mini-outputtext1"/>
    <w:basedOn w:val="34"/>
    <w:qFormat/>
    <w:uiPriority w:val="0"/>
  </w:style>
  <w:style w:type="character" w:customStyle="1" w:styleId="85">
    <w:name w:val="font11"/>
    <w:qFormat/>
    <w:uiPriority w:val="0"/>
    <w:rPr>
      <w:rFonts w:hint="eastAsia" w:ascii="宋体" w:hAnsi="宋体" w:eastAsia="宋体" w:cs="宋体"/>
      <w:color w:val="FF0000"/>
      <w:sz w:val="24"/>
      <w:szCs w:val="24"/>
      <w:u w:val="none"/>
    </w:rPr>
  </w:style>
  <w:style w:type="character" w:customStyle="1" w:styleId="86">
    <w:name w:val="layui-layer-tabnow"/>
    <w:qFormat/>
    <w:uiPriority w:val="0"/>
    <w:rPr>
      <w:bdr w:val="single" w:color="CCCCCC" w:sz="6" w:space="0"/>
      <w:shd w:val="clear" w:color="auto" w:fill="FFFFFF"/>
    </w:rPr>
  </w:style>
  <w:style w:type="character" w:customStyle="1" w:styleId="87">
    <w:name w:val="标题 1 Char"/>
    <w:link w:val="4"/>
    <w:qFormat/>
    <w:uiPriority w:val="9"/>
    <w:rPr>
      <w:rFonts w:ascii="宋体" w:hAnsi="宋体" w:cs="黑体"/>
      <w:b/>
      <w:bCs/>
      <w:sz w:val="32"/>
      <w:szCs w:val="32"/>
      <w:lang w:eastAsia="en-US"/>
    </w:rPr>
  </w:style>
  <w:style w:type="character" w:customStyle="1" w:styleId="88">
    <w:name w:val="正文文本 Char"/>
    <w:link w:val="13"/>
    <w:qFormat/>
    <w:uiPriority w:val="99"/>
    <w:rPr>
      <w:rFonts w:ascii="宋体" w:hAnsi="宋体" w:cs="黑体"/>
      <w:sz w:val="21"/>
      <w:szCs w:val="21"/>
      <w:lang w:eastAsia="en-US"/>
    </w:rPr>
  </w:style>
  <w:style w:type="character" w:customStyle="1" w:styleId="89">
    <w:name w:val="页脚 Char"/>
    <w:link w:val="22"/>
    <w:qFormat/>
    <w:uiPriority w:val="99"/>
    <w:rPr>
      <w:rFonts w:ascii="Calibri" w:hAnsi="Calibri" w:eastAsia="Calibri" w:cs="黑体"/>
      <w:sz w:val="18"/>
      <w:szCs w:val="22"/>
      <w:lang w:eastAsia="en-US"/>
    </w:rPr>
  </w:style>
  <w:style w:type="character" w:customStyle="1" w:styleId="90">
    <w:name w:val="页眉 Char"/>
    <w:link w:val="23"/>
    <w:qFormat/>
    <w:uiPriority w:val="99"/>
    <w:rPr>
      <w:rFonts w:ascii="Calibri" w:hAnsi="Calibri" w:eastAsia="Calibri" w:cs="黑体"/>
      <w:sz w:val="18"/>
      <w:szCs w:val="18"/>
      <w:lang w:eastAsia="en-US"/>
    </w:rPr>
  </w:style>
  <w:style w:type="character" w:customStyle="1" w:styleId="91">
    <w:name w:val="正文首行缩进 Char"/>
    <w:link w:val="30"/>
    <w:qFormat/>
    <w:uiPriority w:val="0"/>
    <w:rPr>
      <w:rFonts w:ascii="Calibri" w:hAnsi="Calibri" w:cs="黑体"/>
      <w:sz w:val="21"/>
      <w:szCs w:val="21"/>
    </w:rPr>
  </w:style>
  <w:style w:type="table" w:customStyle="1" w:styleId="92">
    <w:name w:val="网格型1"/>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TOC 标题2"/>
    <w:basedOn w:val="4"/>
    <w:next w:val="1"/>
    <w:qFormat/>
    <w:uiPriority w:val="39"/>
    <w:pPr>
      <w:keepNext/>
      <w:keepLines/>
      <w:widowControl/>
      <w:spacing w:before="480" w:line="276" w:lineRule="auto"/>
      <w:outlineLvl w:val="9"/>
    </w:pPr>
    <w:rPr>
      <w:rFonts w:ascii="Cambria" w:hAnsi="Cambria" w:cs="Times New Roman"/>
      <w:color w:val="365F91"/>
      <w:sz w:val="28"/>
      <w:szCs w:val="28"/>
      <w:lang w:eastAsia="zh-CN"/>
    </w:rPr>
  </w:style>
  <w:style w:type="paragraph" w:customStyle="1" w:styleId="94">
    <w:name w:val="无间隔1"/>
    <w:basedOn w:val="1"/>
    <w:qFormat/>
    <w:uiPriority w:val="1"/>
    <w:pPr>
      <w:spacing w:line="400" w:lineRule="exact"/>
    </w:pPr>
    <w:rPr>
      <w:rFonts w:ascii="Times New Roman" w:hAnsi="Times New Roman"/>
      <w:sz w:val="24"/>
      <w:szCs w:val="24"/>
    </w:rPr>
  </w:style>
  <w:style w:type="paragraph" w:styleId="95">
    <w:name w:val="List Paragraph"/>
    <w:basedOn w:val="1"/>
    <w:unhideWhenUsed/>
    <w:qFormat/>
    <w:uiPriority w:val="99"/>
    <w:pPr>
      <w:ind w:firstLine="420" w:firstLineChars="200"/>
    </w:pPr>
  </w:style>
  <w:style w:type="paragraph" w:customStyle="1" w:styleId="9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7">
    <w:name w:val="Char Char Char Char Char Char Char1 Char"/>
    <w:basedOn w:val="1"/>
    <w:qFormat/>
    <w:uiPriority w:val="0"/>
    <w:rPr>
      <w:rFonts w:ascii="Tahoma" w:hAnsi="Tahoma"/>
      <w:sz w:val="24"/>
    </w:rPr>
  </w:style>
  <w:style w:type="character" w:customStyle="1" w:styleId="98">
    <w:name w:val="hover"/>
    <w:basedOn w:val="34"/>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customShpInfo spid="_x0000_s4099"/>
    <customShpInfo spid="_x0000_s4100"/>
    <customShpInfo spid="_x0000_s4101"/>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57C27-8553-4505-AEC4-3137E449F3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15833</Words>
  <Characters>17751</Characters>
  <Lines>344</Lines>
  <Paragraphs>97</Paragraphs>
  <TotalTime>15</TotalTime>
  <ScaleCrop>false</ScaleCrop>
  <LinksUpToDate>false</LinksUpToDate>
  <CharactersWithSpaces>17979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2018-04-03T07:57:00Z</dcterms:created>
  <dc:creator>dong</dc:creator>
  <cp:lastModifiedBy>莫娇</cp:lastModifiedBy>
  <cp:lastPrinted>2025-11-19T01:22:00Z</cp:lastPrinted>
  <dcterms:modified xsi:type="dcterms:W3CDTF">2025-11-19T03:41:31Z</dcterms:modified>
  <dc:title>卢氏县靖华西路（寨子村）棚户区改造电梯采购项目</dc:title>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C2E8FEB514974008889D75747CE7E7F1_13</vt:lpwstr>
  </property>
  <property fmtid="{D5CDD505-2E9C-101B-9397-08002B2CF9AE}" pid="4" name="KSOTemplateDocerSaveRecord">
    <vt:lpwstr>eyJoZGlkIjoiNGM5NGMwMDFiY2RjZjMxMGVkMzVmOTIzN2NlNmIwMzQiLCJ1c2VySWQiOiIyNDcwOTk1MTIifQ==</vt:lpwstr>
  </property>
</Properties>
</file>