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F5668">
      <w:pPr>
        <w:bidi w:val="0"/>
        <w:spacing w:line="720" w:lineRule="auto"/>
        <w:jc w:val="both"/>
        <w:rPr>
          <w:rFonts w:hint="eastAsia"/>
          <w:b/>
          <w:bCs/>
          <w:color w:val="auto"/>
          <w:sz w:val="44"/>
          <w:szCs w:val="48"/>
          <w:highlight w:val="none"/>
          <w:lang w:eastAsia="zh-CN"/>
        </w:rPr>
      </w:pPr>
      <w:bookmarkStart w:id="0" w:name="_Toc15236"/>
      <w:bookmarkStart w:id="1" w:name="_Toc13814"/>
      <w:bookmarkStart w:id="2" w:name="_Toc12347"/>
    </w:p>
    <w:p w14:paraId="64E515CF">
      <w:pPr>
        <w:bidi w:val="0"/>
        <w:spacing w:line="720" w:lineRule="auto"/>
        <w:jc w:val="center"/>
        <w:rPr>
          <w:rFonts w:hint="eastAsia"/>
          <w:b/>
          <w:bCs/>
          <w:color w:val="auto"/>
          <w:sz w:val="44"/>
          <w:szCs w:val="48"/>
          <w:highlight w:val="none"/>
          <w:lang w:eastAsia="zh-CN"/>
        </w:rPr>
      </w:pPr>
      <w:r>
        <w:rPr>
          <w:rFonts w:hint="eastAsia"/>
          <w:b/>
          <w:bCs/>
          <w:color w:val="auto"/>
          <w:sz w:val="44"/>
          <w:szCs w:val="48"/>
          <w:highlight w:val="none"/>
          <w:lang w:eastAsia="zh-CN"/>
        </w:rPr>
        <w:t>渑池县农业农村局农业生产抗旱项目</w:t>
      </w:r>
    </w:p>
    <w:p w14:paraId="47549C8E">
      <w:pPr>
        <w:pStyle w:val="4"/>
        <w:rPr>
          <w:rFonts w:hint="eastAsia"/>
          <w:highlight w:val="none"/>
          <w:lang w:eastAsia="zh-CN"/>
        </w:rPr>
      </w:pPr>
    </w:p>
    <w:p w14:paraId="6A6F6BC0">
      <w:pPr>
        <w:bidi w:val="0"/>
        <w:spacing w:line="720" w:lineRule="auto"/>
        <w:jc w:val="center"/>
        <w:rPr>
          <w:rFonts w:hint="eastAsia" w:eastAsiaTheme="minorEastAsia"/>
          <w:color w:val="auto"/>
          <w:sz w:val="24"/>
          <w:szCs w:val="28"/>
          <w:highlight w:val="none"/>
          <w:lang w:eastAsia="zh-CN"/>
        </w:rPr>
      </w:pPr>
      <w:r>
        <w:rPr>
          <w:rFonts w:hint="eastAsia"/>
          <w:b/>
          <w:bCs/>
          <w:color w:val="auto"/>
          <w:sz w:val="52"/>
          <w:szCs w:val="56"/>
          <w:highlight w:val="none"/>
        </w:rPr>
        <w:t>竞争性磋商文件</w:t>
      </w:r>
      <w:bookmarkEnd w:id="0"/>
      <w:bookmarkEnd w:id="1"/>
      <w:bookmarkEnd w:id="2"/>
    </w:p>
    <w:p w14:paraId="37C42949">
      <w:pPr>
        <w:spacing w:line="360" w:lineRule="auto"/>
        <w:jc w:val="center"/>
        <w:outlineLvl w:val="9"/>
        <w:rPr>
          <w:rFonts w:ascii="宋体" w:hAnsi="宋体" w:cs="宋体"/>
          <w:b/>
          <w:color w:val="auto"/>
          <w:sz w:val="24"/>
          <w:szCs w:val="28"/>
          <w:highlight w:val="none"/>
        </w:rPr>
      </w:pPr>
      <w:bookmarkStart w:id="3" w:name="_Toc12438"/>
    </w:p>
    <w:p w14:paraId="3EF146CC">
      <w:pPr>
        <w:spacing w:line="360" w:lineRule="auto"/>
        <w:jc w:val="center"/>
        <w:outlineLvl w:val="9"/>
        <w:rPr>
          <w:rFonts w:ascii="宋体" w:hAnsi="宋体" w:cs="宋体"/>
          <w:b/>
          <w:color w:val="auto"/>
          <w:sz w:val="24"/>
          <w:szCs w:val="28"/>
          <w:highlight w:val="none"/>
        </w:rPr>
      </w:pPr>
      <w:r>
        <w:rPr>
          <w:position w:val="-10"/>
          <w:highlight w:val="none"/>
        </w:rPr>
        <w:drawing>
          <wp:anchor distT="0" distB="0" distL="0" distR="0" simplePos="0" relativeHeight="251662336" behindDoc="0" locked="0" layoutInCell="1" allowOverlap="1">
            <wp:simplePos x="0" y="0"/>
            <wp:positionH relativeFrom="column">
              <wp:posOffset>657225</wp:posOffset>
            </wp:positionH>
            <wp:positionV relativeFrom="paragraph">
              <wp:posOffset>222250</wp:posOffset>
            </wp:positionV>
            <wp:extent cx="4112260" cy="824865"/>
            <wp:effectExtent l="0" t="0" r="2540" b="13335"/>
            <wp:wrapSquare wrapText="bothSides"/>
            <wp:docPr id="4" name="IM 2"/>
            <wp:cNvGraphicFramePr/>
            <a:graphic xmlns:a="http://schemas.openxmlformats.org/drawingml/2006/main">
              <a:graphicData uri="http://schemas.openxmlformats.org/drawingml/2006/picture">
                <pic:pic xmlns:pic="http://schemas.openxmlformats.org/drawingml/2006/picture">
                  <pic:nvPicPr>
                    <pic:cNvPr id="4" name="IM 2"/>
                    <pic:cNvPicPr/>
                  </pic:nvPicPr>
                  <pic:blipFill>
                    <a:blip r:embed="rId14"/>
                    <a:stretch>
                      <a:fillRect/>
                    </a:stretch>
                  </pic:blipFill>
                  <pic:spPr>
                    <a:xfrm>
                      <a:off x="0" y="0"/>
                      <a:ext cx="4112260" cy="824865"/>
                    </a:xfrm>
                    <a:prstGeom prst="rect">
                      <a:avLst/>
                    </a:prstGeom>
                  </pic:spPr>
                </pic:pic>
              </a:graphicData>
            </a:graphic>
          </wp:anchor>
        </w:drawing>
      </w:r>
    </w:p>
    <w:p w14:paraId="18F2F256">
      <w:pPr>
        <w:spacing w:line="360" w:lineRule="auto"/>
        <w:jc w:val="center"/>
        <w:outlineLvl w:val="9"/>
        <w:rPr>
          <w:rFonts w:ascii="宋体" w:hAnsi="宋体" w:cs="宋体"/>
          <w:b/>
          <w:color w:val="auto"/>
          <w:sz w:val="24"/>
          <w:szCs w:val="28"/>
          <w:highlight w:val="none"/>
        </w:rPr>
      </w:pPr>
    </w:p>
    <w:p w14:paraId="7598FE7C">
      <w:pPr>
        <w:spacing w:line="360" w:lineRule="auto"/>
        <w:jc w:val="center"/>
        <w:outlineLvl w:val="9"/>
        <w:rPr>
          <w:rFonts w:ascii="宋体" w:hAnsi="宋体" w:cs="宋体"/>
          <w:b/>
          <w:color w:val="auto"/>
          <w:sz w:val="24"/>
          <w:szCs w:val="28"/>
          <w:highlight w:val="none"/>
        </w:rPr>
      </w:pPr>
    </w:p>
    <w:p w14:paraId="7F70ABB1">
      <w:pPr>
        <w:bidi w:val="0"/>
        <w:spacing w:line="360" w:lineRule="auto"/>
        <w:jc w:val="center"/>
        <w:rPr>
          <w:rFonts w:hint="eastAsia" w:ascii="宋体" w:hAnsi="宋体" w:eastAsia="宋体" w:cs="宋体"/>
          <w:b/>
          <w:bCs/>
          <w:color w:val="auto"/>
          <w:sz w:val="28"/>
          <w:szCs w:val="32"/>
          <w:highlight w:val="none"/>
        </w:rPr>
      </w:pPr>
      <w:bookmarkStart w:id="4" w:name="_Toc12587"/>
      <w:bookmarkStart w:id="5" w:name="_Toc32756"/>
    </w:p>
    <w:p w14:paraId="3D225992">
      <w:pPr>
        <w:bidi w:val="0"/>
        <w:spacing w:line="360" w:lineRule="auto"/>
        <w:jc w:val="center"/>
        <w:rPr>
          <w:rFonts w:hint="eastAsia" w:ascii="宋体" w:hAnsi="宋体" w:eastAsia="宋体" w:cs="宋体"/>
          <w:b/>
          <w:bCs/>
          <w:color w:val="auto"/>
          <w:sz w:val="28"/>
          <w:szCs w:val="32"/>
          <w:highlight w:val="none"/>
          <w:lang w:val="en-US" w:eastAsia="zh-CN"/>
        </w:rPr>
      </w:pPr>
      <w:r>
        <w:rPr>
          <w:rFonts w:hint="eastAsia" w:ascii="宋体" w:hAnsi="宋体" w:eastAsia="宋体" w:cs="宋体"/>
          <w:b/>
          <w:bCs/>
          <w:color w:val="auto"/>
          <w:sz w:val="28"/>
          <w:szCs w:val="32"/>
          <w:highlight w:val="none"/>
        </w:rPr>
        <w:t>项目编号：</w:t>
      </w:r>
      <w:bookmarkEnd w:id="3"/>
      <w:bookmarkEnd w:id="4"/>
      <w:bookmarkEnd w:id="5"/>
      <w:r>
        <w:rPr>
          <w:rFonts w:hint="eastAsia" w:ascii="宋体" w:hAnsi="宋体" w:eastAsia="宋体" w:cs="宋体"/>
          <w:b/>
          <w:bCs/>
          <w:color w:val="auto"/>
          <w:sz w:val="28"/>
          <w:szCs w:val="32"/>
          <w:highlight w:val="none"/>
          <w:lang w:eastAsia="zh-CN"/>
        </w:rPr>
        <w:t>MCGZ[2025]303-ZC238</w:t>
      </w:r>
    </w:p>
    <w:p w14:paraId="3CBEEDB8">
      <w:pPr>
        <w:bidi w:val="0"/>
        <w:spacing w:line="360" w:lineRule="auto"/>
        <w:jc w:val="center"/>
        <w:rPr>
          <w:rFonts w:hint="eastAsia" w:ascii="宋体" w:hAnsi="宋体" w:eastAsia="宋体" w:cs="宋体"/>
          <w:b/>
          <w:bCs/>
          <w:color w:val="auto"/>
          <w:sz w:val="28"/>
          <w:szCs w:val="32"/>
          <w:highlight w:val="none"/>
          <w:lang w:val="en-US" w:eastAsia="zh-CN"/>
        </w:rPr>
      </w:pPr>
      <w:r>
        <w:rPr>
          <w:rFonts w:hint="eastAsia" w:ascii="宋体" w:hAnsi="宋体" w:eastAsia="宋体" w:cs="宋体"/>
          <w:b/>
          <w:bCs/>
          <w:color w:val="auto"/>
          <w:sz w:val="28"/>
          <w:szCs w:val="32"/>
          <w:highlight w:val="none"/>
          <w:lang w:val="en-US" w:eastAsia="zh-CN"/>
        </w:rPr>
        <w:t xml:space="preserve">          </w:t>
      </w:r>
      <w:r>
        <w:rPr>
          <w:rFonts w:hint="eastAsia" w:ascii="宋体" w:hAnsi="宋体" w:eastAsia="宋体" w:cs="宋体"/>
          <w:b/>
          <w:bCs/>
          <w:color w:val="auto"/>
          <w:sz w:val="28"/>
          <w:szCs w:val="32"/>
          <w:highlight w:val="none"/>
          <w:lang w:eastAsia="zh-CN"/>
        </w:rPr>
        <w:t>渑池竞磋采购-2025-181</w:t>
      </w:r>
    </w:p>
    <w:p w14:paraId="12994167">
      <w:pPr>
        <w:jc w:val="both"/>
        <w:rPr>
          <w:color w:val="auto"/>
          <w:highlight w:val="none"/>
        </w:rPr>
      </w:pPr>
    </w:p>
    <w:p w14:paraId="4DE0103A">
      <w:pPr>
        <w:spacing w:line="600" w:lineRule="auto"/>
        <w:jc w:val="center"/>
        <w:rPr>
          <w:rFonts w:hint="eastAsia" w:ascii="宋体" w:hAnsi="宋体" w:eastAsia="宋体" w:cs="宋体"/>
          <w:color w:val="auto"/>
          <w:kern w:val="2"/>
          <w:sz w:val="22"/>
          <w:szCs w:val="22"/>
          <w:highlight w:val="none"/>
          <w:shd w:val="clear" w:color="auto" w:fill="FFFFFF"/>
          <w:lang w:eastAsia="zh-CN"/>
        </w:rPr>
      </w:pPr>
    </w:p>
    <w:p w14:paraId="2C4DFB0E">
      <w:pPr>
        <w:spacing w:line="600" w:lineRule="auto"/>
        <w:jc w:val="center"/>
        <w:rPr>
          <w:rFonts w:hint="eastAsia" w:ascii="宋体" w:hAnsi="宋体" w:eastAsia="宋体" w:cs="宋体"/>
          <w:color w:val="auto"/>
          <w:kern w:val="2"/>
          <w:sz w:val="22"/>
          <w:szCs w:val="22"/>
          <w:highlight w:val="none"/>
          <w:shd w:val="clear" w:color="auto" w:fill="FFFFFF"/>
          <w:lang w:eastAsia="zh-CN"/>
        </w:rPr>
      </w:pPr>
    </w:p>
    <w:p w14:paraId="7907711B">
      <w:pPr>
        <w:spacing w:line="600" w:lineRule="auto"/>
        <w:jc w:val="center"/>
        <w:rPr>
          <w:rFonts w:hint="eastAsia" w:ascii="宋体" w:hAnsi="宋体" w:eastAsia="宋体" w:cs="宋体"/>
          <w:color w:val="auto"/>
          <w:kern w:val="2"/>
          <w:sz w:val="22"/>
          <w:szCs w:val="22"/>
          <w:highlight w:val="none"/>
          <w:shd w:val="clear" w:color="auto" w:fill="FFFFFF"/>
          <w:lang w:eastAsia="zh-CN"/>
        </w:rPr>
      </w:pPr>
    </w:p>
    <w:p w14:paraId="50ABE815">
      <w:pPr>
        <w:spacing w:line="600" w:lineRule="auto"/>
        <w:jc w:val="center"/>
        <w:rPr>
          <w:rFonts w:hint="eastAsia" w:ascii="宋体" w:hAnsi="宋体" w:eastAsia="宋体" w:cs="宋体"/>
          <w:color w:val="auto"/>
          <w:kern w:val="2"/>
          <w:sz w:val="22"/>
          <w:szCs w:val="22"/>
          <w:highlight w:val="none"/>
          <w:shd w:val="clear" w:color="auto" w:fill="FFFFFF"/>
          <w:lang w:eastAsia="zh-CN"/>
        </w:rPr>
      </w:pPr>
    </w:p>
    <w:p w14:paraId="51BF08EF">
      <w:pPr>
        <w:pStyle w:val="15"/>
        <w:rPr>
          <w:rFonts w:hint="eastAsia"/>
          <w:color w:val="auto"/>
          <w:highlight w:val="none"/>
        </w:rPr>
      </w:pPr>
    </w:p>
    <w:p w14:paraId="6EE7653D">
      <w:pPr>
        <w:spacing w:line="600" w:lineRule="auto"/>
        <w:ind w:firstLine="1928" w:firstLineChars="600"/>
        <w:rPr>
          <w:rFonts w:hint="eastAsia" w:eastAsiaTheme="minorEastAsia"/>
          <w:b/>
          <w:color w:val="auto"/>
          <w:sz w:val="32"/>
          <w:highlight w:val="none"/>
          <w:lang w:eastAsia="zh-CN"/>
        </w:rPr>
      </w:pPr>
      <w:r>
        <w:rPr>
          <w:rFonts w:hint="eastAsia" w:cs="宋体"/>
          <w:b/>
          <w:color w:val="auto"/>
          <w:sz w:val="32"/>
          <w:highlight w:val="none"/>
          <w:lang w:bidi="ar"/>
        </w:rPr>
        <w:t>采购人：</w:t>
      </w:r>
      <w:r>
        <w:rPr>
          <w:rFonts w:hint="eastAsia" w:cs="宋体"/>
          <w:b/>
          <w:color w:val="auto"/>
          <w:sz w:val="32"/>
          <w:highlight w:val="none"/>
          <w:lang w:eastAsia="zh-CN" w:bidi="ar"/>
        </w:rPr>
        <w:t>渑池县农业农村局</w:t>
      </w:r>
    </w:p>
    <w:p w14:paraId="197EC150">
      <w:pPr>
        <w:spacing w:line="600" w:lineRule="auto"/>
        <w:ind w:firstLine="1928" w:firstLineChars="600"/>
        <w:rPr>
          <w:rFonts w:hint="eastAsia" w:eastAsiaTheme="minorEastAsia"/>
          <w:b/>
          <w:color w:val="auto"/>
          <w:sz w:val="32"/>
          <w:highlight w:val="none"/>
          <w:lang w:eastAsia="zh-CN"/>
        </w:rPr>
      </w:pPr>
      <w:r>
        <w:rPr>
          <w:rFonts w:hint="eastAsia" w:cs="宋体"/>
          <w:b/>
          <w:color w:val="auto"/>
          <w:sz w:val="32"/>
          <w:highlight w:val="none"/>
          <w:lang w:bidi="ar"/>
        </w:rPr>
        <w:t>代理机构：</w:t>
      </w:r>
      <w:r>
        <w:rPr>
          <w:rFonts w:hint="eastAsia" w:cs="宋体"/>
          <w:b/>
          <w:color w:val="auto"/>
          <w:sz w:val="32"/>
          <w:highlight w:val="none"/>
          <w:lang w:eastAsia="zh-CN" w:bidi="ar"/>
        </w:rPr>
        <w:t>河南卓恒企业管理咨询有限公司</w:t>
      </w:r>
    </w:p>
    <w:p w14:paraId="00BB6BA5">
      <w:pPr>
        <w:spacing w:line="600" w:lineRule="auto"/>
        <w:ind w:firstLine="1928" w:firstLineChars="600"/>
        <w:rPr>
          <w:b/>
          <w:color w:val="auto"/>
          <w:sz w:val="32"/>
          <w:highlight w:val="none"/>
        </w:rPr>
      </w:pPr>
      <w:r>
        <w:rPr>
          <w:rFonts w:hint="eastAsia" w:cs="宋体"/>
          <w:b/>
          <w:color w:val="auto"/>
          <w:sz w:val="32"/>
          <w:highlight w:val="none"/>
          <w:lang w:bidi="ar"/>
        </w:rPr>
        <w:t>时</w:t>
      </w:r>
      <w:r>
        <w:rPr>
          <w:rFonts w:hint="eastAsia" w:cs="宋体"/>
          <w:b/>
          <w:color w:val="auto"/>
          <w:sz w:val="32"/>
          <w:highlight w:val="none"/>
          <w:lang w:val="en-US" w:eastAsia="zh-CN" w:bidi="ar"/>
        </w:rPr>
        <w:t xml:space="preserve">   </w:t>
      </w:r>
      <w:r>
        <w:rPr>
          <w:rFonts w:hint="eastAsia" w:cs="宋体"/>
          <w:b/>
          <w:color w:val="auto"/>
          <w:sz w:val="32"/>
          <w:highlight w:val="none"/>
          <w:lang w:bidi="ar"/>
        </w:rPr>
        <w:t>间：二〇二</w:t>
      </w:r>
      <w:r>
        <w:rPr>
          <w:rFonts w:hint="eastAsia" w:cs="宋体"/>
          <w:b/>
          <w:color w:val="auto"/>
          <w:sz w:val="32"/>
          <w:highlight w:val="none"/>
          <w:lang w:val="en-US" w:eastAsia="zh-CN" w:bidi="ar"/>
        </w:rPr>
        <w:t>五</w:t>
      </w:r>
      <w:r>
        <w:rPr>
          <w:rFonts w:hint="eastAsia" w:cs="宋体"/>
          <w:b/>
          <w:color w:val="auto"/>
          <w:sz w:val="32"/>
          <w:highlight w:val="none"/>
          <w:lang w:bidi="ar"/>
        </w:rPr>
        <w:t>年</w:t>
      </w:r>
      <w:r>
        <w:rPr>
          <w:rFonts w:hint="eastAsia" w:cs="宋体"/>
          <w:b/>
          <w:color w:val="auto"/>
          <w:sz w:val="32"/>
          <w:highlight w:val="none"/>
          <w:lang w:val="en-US" w:eastAsia="zh-CN" w:bidi="ar"/>
        </w:rPr>
        <w:t>十二</w:t>
      </w:r>
      <w:r>
        <w:rPr>
          <w:rFonts w:hint="eastAsia" w:cs="宋体"/>
          <w:b/>
          <w:color w:val="auto"/>
          <w:sz w:val="32"/>
          <w:highlight w:val="none"/>
          <w:lang w:bidi="ar"/>
        </w:rPr>
        <w:t>月</w:t>
      </w:r>
    </w:p>
    <w:p w14:paraId="5FD87C03">
      <w:pPr>
        <w:spacing w:line="480" w:lineRule="auto"/>
        <w:rPr>
          <w:rFonts w:ascii="宋体"/>
          <w:color w:val="auto"/>
          <w:spacing w:val="60"/>
          <w:sz w:val="36"/>
          <w:szCs w:val="36"/>
          <w:highlight w:val="none"/>
          <w:lang w:bidi="ar"/>
        </w:rPr>
        <w:sectPr>
          <w:headerReference r:id="rId4" w:type="first"/>
          <w:headerReference r:id="rId3" w:type="default"/>
          <w:pgSz w:w="11906" w:h="16838"/>
          <w:pgMar w:top="1440" w:right="1800" w:bottom="1440" w:left="1800" w:header="851" w:footer="1191" w:gutter="0"/>
          <w:pgNumType w:start="0"/>
          <w:cols w:space="720" w:num="1"/>
          <w:docGrid w:type="lines" w:linePitch="312" w:charSpace="0"/>
        </w:sectPr>
      </w:pPr>
    </w:p>
    <w:p w14:paraId="358BEC49">
      <w:pPr>
        <w:spacing w:line="360" w:lineRule="auto"/>
        <w:ind w:firstLine="73"/>
        <w:jc w:val="center"/>
        <w:rPr>
          <w:rFonts w:hint="eastAsia" w:ascii="宋体" w:hAnsi="宋体" w:cs="宋体"/>
          <w:b/>
          <w:bCs/>
          <w:color w:val="auto"/>
          <w:sz w:val="36"/>
          <w:szCs w:val="36"/>
          <w:highlight w:val="none"/>
        </w:rPr>
      </w:pPr>
      <w:bookmarkStart w:id="6" w:name="_Toc39116049"/>
      <w:bookmarkStart w:id="7" w:name="_Toc39115684"/>
      <w:bookmarkStart w:id="8" w:name="_Toc39115111"/>
      <w:bookmarkStart w:id="9" w:name="_Toc39118413"/>
      <w:bookmarkStart w:id="10" w:name="_Toc39117063"/>
      <w:bookmarkStart w:id="11" w:name="_Toc27964760"/>
      <w:bookmarkStart w:id="12" w:name="_Toc27842"/>
      <w:bookmarkStart w:id="13" w:name="_Toc25637"/>
      <w:bookmarkStart w:id="14" w:name="_Toc498982405"/>
      <w:r>
        <w:rPr>
          <w:rFonts w:hint="eastAsia" w:ascii="宋体" w:hAnsi="宋体" w:cs="宋体"/>
          <w:b/>
          <w:bCs/>
          <w:color w:val="auto"/>
          <w:sz w:val="36"/>
          <w:szCs w:val="36"/>
          <w:highlight w:val="none"/>
        </w:rPr>
        <w:t>目  录</w:t>
      </w:r>
    </w:p>
    <w:sdt>
      <w:sdtPr>
        <w:rPr>
          <w:rFonts w:ascii="宋体" w:hAnsi="宋体" w:eastAsia="宋体" w:cstheme="minorBidi"/>
          <w:color w:val="auto"/>
          <w:kern w:val="2"/>
          <w:sz w:val="21"/>
          <w:szCs w:val="22"/>
          <w:highlight w:val="none"/>
          <w:lang w:val="en-US" w:eastAsia="zh-CN" w:bidi="ar-SA"/>
        </w:rPr>
        <w:id w:val="147464095"/>
        <w15:color w:val="DBDBDB"/>
        <w:docPartObj>
          <w:docPartGallery w:val="Table of Contents"/>
          <w:docPartUnique/>
        </w:docPartObj>
      </w:sdtPr>
      <w:sdtEndPr>
        <w:rPr>
          <w:rFonts w:hint="eastAsia" w:ascii="宋体" w:hAnsi="宋体" w:cs="宋体" w:eastAsiaTheme="minorEastAsia"/>
          <w:bCs/>
          <w:color w:val="auto"/>
          <w:kern w:val="2"/>
          <w:sz w:val="21"/>
          <w:szCs w:val="36"/>
          <w:highlight w:val="none"/>
          <w:lang w:val="en-US" w:eastAsia="zh-CN" w:bidi="ar-SA"/>
        </w:rPr>
      </w:sdtEndPr>
      <w:sdtContent>
        <w:p w14:paraId="59C1D241">
          <w:pPr>
            <w:spacing w:before="0" w:beforeLines="0" w:after="0" w:afterLines="0" w:line="240" w:lineRule="auto"/>
            <w:ind w:left="0" w:leftChars="0" w:right="0" w:rightChars="0" w:firstLine="0" w:firstLineChars="0"/>
            <w:jc w:val="center"/>
            <w:rPr>
              <w:color w:val="auto"/>
              <w:highlight w:val="none"/>
            </w:rPr>
          </w:pPr>
        </w:p>
        <w:p w14:paraId="61FE7DAD">
          <w:pPr>
            <w:pStyle w:val="10"/>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32"/>
              <w:highlight w:val="none"/>
            </w:rPr>
          </w:pPr>
          <w:r>
            <w:rPr>
              <w:rFonts w:hint="eastAsia" w:ascii="宋体" w:hAnsi="宋体" w:eastAsia="宋体" w:cs="宋体"/>
              <w:b w:val="0"/>
              <w:bCs w:val="0"/>
              <w:color w:val="auto"/>
              <w:sz w:val="28"/>
              <w:szCs w:val="28"/>
              <w:highlight w:val="none"/>
            </w:rPr>
            <w:fldChar w:fldCharType="begin"/>
          </w:r>
          <w:r>
            <w:rPr>
              <w:rFonts w:hint="eastAsia" w:ascii="宋体" w:hAnsi="宋体" w:eastAsia="宋体" w:cs="宋体"/>
              <w:b w:val="0"/>
              <w:bCs w:val="0"/>
              <w:color w:val="auto"/>
              <w:sz w:val="28"/>
              <w:szCs w:val="28"/>
              <w:highlight w:val="none"/>
            </w:rPr>
            <w:instrText xml:space="preserve">TOC \o "1-1" \h \u </w:instrText>
          </w:r>
          <w:r>
            <w:rPr>
              <w:rFonts w:hint="eastAsia" w:ascii="宋体" w:hAnsi="宋体" w:eastAsia="宋体" w:cs="宋体"/>
              <w:b w:val="0"/>
              <w:bCs w:val="0"/>
              <w:color w:val="auto"/>
              <w:sz w:val="28"/>
              <w:szCs w:val="28"/>
              <w:highlight w:val="none"/>
            </w:rPr>
            <w:fldChar w:fldCharType="separate"/>
          </w:r>
          <w:r>
            <w:rPr>
              <w:rFonts w:hint="eastAsia" w:ascii="宋体" w:hAnsi="宋体" w:eastAsia="宋体" w:cs="宋体"/>
              <w:bCs w:val="0"/>
              <w:color w:val="auto"/>
              <w:sz w:val="28"/>
              <w:szCs w:val="40"/>
              <w:highlight w:val="none"/>
            </w:rPr>
            <w:fldChar w:fldCharType="begin"/>
          </w:r>
          <w:r>
            <w:rPr>
              <w:rFonts w:hint="eastAsia" w:ascii="宋体" w:hAnsi="宋体" w:eastAsia="宋体" w:cs="宋体"/>
              <w:bCs w:val="0"/>
              <w:color w:val="auto"/>
              <w:sz w:val="28"/>
              <w:szCs w:val="40"/>
              <w:highlight w:val="none"/>
            </w:rPr>
            <w:instrText xml:space="preserve"> HYPERLINK \l _Toc14494 </w:instrText>
          </w:r>
          <w:r>
            <w:rPr>
              <w:rFonts w:hint="eastAsia" w:ascii="宋体" w:hAnsi="宋体" w:eastAsia="宋体" w:cs="宋体"/>
              <w:bCs w:val="0"/>
              <w:color w:val="auto"/>
              <w:sz w:val="28"/>
              <w:szCs w:val="40"/>
              <w:highlight w:val="none"/>
            </w:rPr>
            <w:fldChar w:fldCharType="separate"/>
          </w:r>
          <w:r>
            <w:rPr>
              <w:rFonts w:hint="eastAsia" w:ascii="宋体" w:hAnsi="宋体" w:eastAsia="宋体" w:cs="宋体"/>
              <w:color w:val="auto"/>
              <w:sz w:val="28"/>
              <w:szCs w:val="32"/>
              <w:highlight w:val="none"/>
            </w:rPr>
            <w:t>第一章  竞争性磋商公告</w:t>
          </w:r>
          <w:r>
            <w:rPr>
              <w:rFonts w:hint="eastAsia" w:ascii="宋体" w:hAnsi="宋体" w:eastAsia="宋体" w:cs="宋体"/>
              <w:color w:val="auto"/>
              <w:sz w:val="28"/>
              <w:szCs w:val="32"/>
              <w:highlight w:val="none"/>
            </w:rPr>
            <w:tab/>
          </w:r>
          <w:r>
            <w:rPr>
              <w:rFonts w:hint="eastAsia" w:ascii="宋体" w:hAnsi="宋体" w:eastAsia="宋体" w:cs="宋体"/>
              <w:color w:val="auto"/>
              <w:sz w:val="28"/>
              <w:szCs w:val="32"/>
              <w:highlight w:val="none"/>
            </w:rPr>
            <w:fldChar w:fldCharType="begin"/>
          </w:r>
          <w:r>
            <w:rPr>
              <w:rFonts w:hint="eastAsia" w:ascii="宋体" w:hAnsi="宋体" w:eastAsia="宋体" w:cs="宋体"/>
              <w:color w:val="auto"/>
              <w:sz w:val="28"/>
              <w:szCs w:val="32"/>
              <w:highlight w:val="none"/>
            </w:rPr>
            <w:instrText xml:space="preserve"> PAGEREF _Toc14494 \h </w:instrText>
          </w:r>
          <w:r>
            <w:rPr>
              <w:rFonts w:hint="eastAsia" w:ascii="宋体" w:hAnsi="宋体" w:eastAsia="宋体" w:cs="宋体"/>
              <w:color w:val="auto"/>
              <w:sz w:val="28"/>
              <w:szCs w:val="32"/>
              <w:highlight w:val="none"/>
            </w:rPr>
            <w:fldChar w:fldCharType="separate"/>
          </w:r>
          <w:r>
            <w:rPr>
              <w:rFonts w:hint="eastAsia" w:ascii="宋体" w:hAnsi="宋体" w:eastAsia="宋体" w:cs="宋体"/>
              <w:color w:val="auto"/>
              <w:sz w:val="28"/>
              <w:szCs w:val="32"/>
              <w:highlight w:val="none"/>
            </w:rPr>
            <w:t>1</w:t>
          </w:r>
          <w:r>
            <w:rPr>
              <w:rFonts w:hint="eastAsia" w:ascii="宋体" w:hAnsi="宋体" w:eastAsia="宋体" w:cs="宋体"/>
              <w:color w:val="auto"/>
              <w:sz w:val="28"/>
              <w:szCs w:val="32"/>
              <w:highlight w:val="none"/>
            </w:rPr>
            <w:fldChar w:fldCharType="end"/>
          </w:r>
          <w:r>
            <w:rPr>
              <w:rFonts w:hint="eastAsia" w:ascii="宋体" w:hAnsi="宋体" w:eastAsia="宋体" w:cs="宋体"/>
              <w:bCs w:val="0"/>
              <w:color w:val="auto"/>
              <w:sz w:val="28"/>
              <w:szCs w:val="40"/>
              <w:highlight w:val="none"/>
            </w:rPr>
            <w:fldChar w:fldCharType="end"/>
          </w:r>
        </w:p>
        <w:p w14:paraId="03B0A089">
          <w:pPr>
            <w:pStyle w:val="10"/>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32"/>
              <w:highlight w:val="none"/>
            </w:rPr>
          </w:pPr>
          <w:r>
            <w:rPr>
              <w:rFonts w:hint="eastAsia" w:ascii="宋体" w:hAnsi="宋体" w:eastAsia="宋体" w:cs="宋体"/>
              <w:bCs w:val="0"/>
              <w:color w:val="auto"/>
              <w:sz w:val="28"/>
              <w:szCs w:val="40"/>
              <w:highlight w:val="none"/>
            </w:rPr>
            <w:fldChar w:fldCharType="begin"/>
          </w:r>
          <w:r>
            <w:rPr>
              <w:rFonts w:hint="eastAsia" w:ascii="宋体" w:hAnsi="宋体" w:eastAsia="宋体" w:cs="宋体"/>
              <w:bCs w:val="0"/>
              <w:color w:val="auto"/>
              <w:sz w:val="28"/>
              <w:szCs w:val="40"/>
              <w:highlight w:val="none"/>
            </w:rPr>
            <w:instrText xml:space="preserve"> HYPERLINK \l _Toc25665 </w:instrText>
          </w:r>
          <w:r>
            <w:rPr>
              <w:rFonts w:hint="eastAsia" w:ascii="宋体" w:hAnsi="宋体" w:eastAsia="宋体" w:cs="宋体"/>
              <w:bCs w:val="0"/>
              <w:color w:val="auto"/>
              <w:sz w:val="28"/>
              <w:szCs w:val="40"/>
              <w:highlight w:val="none"/>
            </w:rPr>
            <w:fldChar w:fldCharType="separate"/>
          </w:r>
          <w:r>
            <w:rPr>
              <w:rFonts w:hint="eastAsia" w:ascii="宋体" w:hAnsi="宋体" w:eastAsia="宋体" w:cs="宋体"/>
              <w:color w:val="auto"/>
              <w:sz w:val="28"/>
              <w:szCs w:val="32"/>
              <w:highlight w:val="none"/>
            </w:rPr>
            <w:t>第二章  供应商须知</w:t>
          </w:r>
          <w:r>
            <w:rPr>
              <w:rFonts w:hint="eastAsia" w:ascii="宋体" w:hAnsi="宋体" w:eastAsia="宋体" w:cs="宋体"/>
              <w:color w:val="auto"/>
              <w:sz w:val="28"/>
              <w:szCs w:val="32"/>
              <w:highlight w:val="none"/>
            </w:rPr>
            <w:tab/>
          </w:r>
          <w:r>
            <w:rPr>
              <w:rFonts w:hint="eastAsia" w:ascii="宋体" w:hAnsi="宋体" w:eastAsia="宋体" w:cs="宋体"/>
              <w:color w:val="auto"/>
              <w:sz w:val="28"/>
              <w:szCs w:val="32"/>
              <w:highlight w:val="none"/>
            </w:rPr>
            <w:fldChar w:fldCharType="begin"/>
          </w:r>
          <w:r>
            <w:rPr>
              <w:rFonts w:hint="eastAsia" w:ascii="宋体" w:hAnsi="宋体" w:eastAsia="宋体" w:cs="宋体"/>
              <w:color w:val="auto"/>
              <w:sz w:val="28"/>
              <w:szCs w:val="32"/>
              <w:highlight w:val="none"/>
            </w:rPr>
            <w:instrText xml:space="preserve"> PAGEREF _Toc25665 \h </w:instrText>
          </w:r>
          <w:r>
            <w:rPr>
              <w:rFonts w:hint="eastAsia" w:ascii="宋体" w:hAnsi="宋体" w:eastAsia="宋体" w:cs="宋体"/>
              <w:color w:val="auto"/>
              <w:sz w:val="28"/>
              <w:szCs w:val="32"/>
              <w:highlight w:val="none"/>
            </w:rPr>
            <w:fldChar w:fldCharType="separate"/>
          </w:r>
          <w:r>
            <w:rPr>
              <w:rFonts w:hint="eastAsia" w:ascii="宋体" w:hAnsi="宋体" w:eastAsia="宋体" w:cs="宋体"/>
              <w:color w:val="auto"/>
              <w:sz w:val="28"/>
              <w:szCs w:val="32"/>
              <w:highlight w:val="none"/>
            </w:rPr>
            <w:t>5</w:t>
          </w:r>
          <w:r>
            <w:rPr>
              <w:rFonts w:hint="eastAsia" w:ascii="宋体" w:hAnsi="宋体" w:eastAsia="宋体" w:cs="宋体"/>
              <w:color w:val="auto"/>
              <w:sz w:val="28"/>
              <w:szCs w:val="32"/>
              <w:highlight w:val="none"/>
            </w:rPr>
            <w:fldChar w:fldCharType="end"/>
          </w:r>
          <w:r>
            <w:rPr>
              <w:rFonts w:hint="eastAsia" w:ascii="宋体" w:hAnsi="宋体" w:eastAsia="宋体" w:cs="宋体"/>
              <w:bCs w:val="0"/>
              <w:color w:val="auto"/>
              <w:sz w:val="28"/>
              <w:szCs w:val="40"/>
              <w:highlight w:val="none"/>
            </w:rPr>
            <w:fldChar w:fldCharType="end"/>
          </w:r>
        </w:p>
        <w:p w14:paraId="07A6CB24">
          <w:pPr>
            <w:pStyle w:val="10"/>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32"/>
              <w:highlight w:val="none"/>
            </w:rPr>
          </w:pPr>
          <w:r>
            <w:rPr>
              <w:rFonts w:hint="eastAsia" w:ascii="宋体" w:hAnsi="宋体" w:eastAsia="宋体" w:cs="宋体"/>
              <w:bCs w:val="0"/>
              <w:color w:val="auto"/>
              <w:sz w:val="28"/>
              <w:szCs w:val="40"/>
              <w:highlight w:val="none"/>
            </w:rPr>
            <w:fldChar w:fldCharType="begin"/>
          </w:r>
          <w:r>
            <w:rPr>
              <w:rFonts w:hint="eastAsia" w:ascii="宋体" w:hAnsi="宋体" w:eastAsia="宋体" w:cs="宋体"/>
              <w:bCs w:val="0"/>
              <w:color w:val="auto"/>
              <w:sz w:val="28"/>
              <w:szCs w:val="40"/>
              <w:highlight w:val="none"/>
            </w:rPr>
            <w:instrText xml:space="preserve"> HYPERLINK \l _Toc2899 </w:instrText>
          </w:r>
          <w:r>
            <w:rPr>
              <w:rFonts w:hint="eastAsia" w:ascii="宋体" w:hAnsi="宋体" w:eastAsia="宋体" w:cs="宋体"/>
              <w:bCs w:val="0"/>
              <w:color w:val="auto"/>
              <w:sz w:val="28"/>
              <w:szCs w:val="40"/>
              <w:highlight w:val="none"/>
            </w:rPr>
            <w:fldChar w:fldCharType="separate"/>
          </w:r>
          <w:r>
            <w:rPr>
              <w:rFonts w:hint="eastAsia" w:ascii="宋体" w:hAnsi="宋体" w:eastAsia="宋体" w:cs="宋体"/>
              <w:color w:val="auto"/>
              <w:sz w:val="28"/>
              <w:szCs w:val="32"/>
              <w:highlight w:val="none"/>
            </w:rPr>
            <w:t>第三章  评标办法（综合评估法）</w:t>
          </w:r>
          <w:r>
            <w:rPr>
              <w:rFonts w:hint="eastAsia" w:ascii="宋体" w:hAnsi="宋体" w:eastAsia="宋体" w:cs="宋体"/>
              <w:color w:val="auto"/>
              <w:sz w:val="28"/>
              <w:szCs w:val="32"/>
              <w:highlight w:val="none"/>
            </w:rPr>
            <w:tab/>
          </w:r>
          <w:r>
            <w:rPr>
              <w:rFonts w:hint="eastAsia" w:ascii="宋体" w:hAnsi="宋体" w:eastAsia="宋体" w:cs="宋体"/>
              <w:color w:val="auto"/>
              <w:sz w:val="28"/>
              <w:szCs w:val="32"/>
              <w:highlight w:val="none"/>
            </w:rPr>
            <w:fldChar w:fldCharType="begin"/>
          </w:r>
          <w:r>
            <w:rPr>
              <w:rFonts w:hint="eastAsia" w:ascii="宋体" w:hAnsi="宋体" w:eastAsia="宋体" w:cs="宋体"/>
              <w:color w:val="auto"/>
              <w:sz w:val="28"/>
              <w:szCs w:val="32"/>
              <w:highlight w:val="none"/>
            </w:rPr>
            <w:instrText xml:space="preserve"> PAGEREF _Toc2899 \h </w:instrText>
          </w:r>
          <w:r>
            <w:rPr>
              <w:rFonts w:hint="eastAsia" w:ascii="宋体" w:hAnsi="宋体" w:eastAsia="宋体" w:cs="宋体"/>
              <w:color w:val="auto"/>
              <w:sz w:val="28"/>
              <w:szCs w:val="32"/>
              <w:highlight w:val="none"/>
            </w:rPr>
            <w:fldChar w:fldCharType="separate"/>
          </w:r>
          <w:r>
            <w:rPr>
              <w:rFonts w:hint="eastAsia" w:ascii="宋体" w:hAnsi="宋体" w:eastAsia="宋体" w:cs="宋体"/>
              <w:color w:val="auto"/>
              <w:sz w:val="28"/>
              <w:szCs w:val="32"/>
              <w:highlight w:val="none"/>
            </w:rPr>
            <w:t>21</w:t>
          </w:r>
          <w:r>
            <w:rPr>
              <w:rFonts w:hint="eastAsia" w:ascii="宋体" w:hAnsi="宋体" w:eastAsia="宋体" w:cs="宋体"/>
              <w:color w:val="auto"/>
              <w:sz w:val="28"/>
              <w:szCs w:val="32"/>
              <w:highlight w:val="none"/>
            </w:rPr>
            <w:fldChar w:fldCharType="end"/>
          </w:r>
          <w:r>
            <w:rPr>
              <w:rFonts w:hint="eastAsia" w:ascii="宋体" w:hAnsi="宋体" w:eastAsia="宋体" w:cs="宋体"/>
              <w:bCs w:val="0"/>
              <w:color w:val="auto"/>
              <w:sz w:val="28"/>
              <w:szCs w:val="40"/>
              <w:highlight w:val="none"/>
            </w:rPr>
            <w:fldChar w:fldCharType="end"/>
          </w:r>
        </w:p>
        <w:p w14:paraId="1C6C0CED">
          <w:pPr>
            <w:pStyle w:val="10"/>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32"/>
              <w:highlight w:val="none"/>
            </w:rPr>
          </w:pPr>
          <w:r>
            <w:rPr>
              <w:rFonts w:hint="eastAsia" w:ascii="宋体" w:hAnsi="宋体" w:eastAsia="宋体" w:cs="宋体"/>
              <w:bCs w:val="0"/>
              <w:color w:val="auto"/>
              <w:sz w:val="28"/>
              <w:szCs w:val="40"/>
              <w:highlight w:val="none"/>
            </w:rPr>
            <w:fldChar w:fldCharType="begin"/>
          </w:r>
          <w:r>
            <w:rPr>
              <w:rFonts w:hint="eastAsia" w:ascii="宋体" w:hAnsi="宋体" w:eastAsia="宋体" w:cs="宋体"/>
              <w:bCs w:val="0"/>
              <w:color w:val="auto"/>
              <w:sz w:val="28"/>
              <w:szCs w:val="40"/>
              <w:highlight w:val="none"/>
            </w:rPr>
            <w:instrText xml:space="preserve"> HYPERLINK \l _Toc25684 </w:instrText>
          </w:r>
          <w:r>
            <w:rPr>
              <w:rFonts w:hint="eastAsia" w:ascii="宋体" w:hAnsi="宋体" w:eastAsia="宋体" w:cs="宋体"/>
              <w:bCs w:val="0"/>
              <w:color w:val="auto"/>
              <w:sz w:val="28"/>
              <w:szCs w:val="40"/>
              <w:highlight w:val="none"/>
            </w:rPr>
            <w:fldChar w:fldCharType="separate"/>
          </w:r>
          <w:r>
            <w:rPr>
              <w:rFonts w:hint="eastAsia" w:ascii="宋体" w:hAnsi="宋体" w:eastAsia="宋体" w:cs="宋体"/>
              <w:color w:val="auto"/>
              <w:sz w:val="28"/>
              <w:szCs w:val="32"/>
              <w:highlight w:val="none"/>
            </w:rPr>
            <w:t>第四章  合同主要条款及格式</w:t>
          </w:r>
          <w:r>
            <w:rPr>
              <w:rFonts w:hint="eastAsia" w:ascii="宋体" w:hAnsi="宋体" w:eastAsia="宋体" w:cs="宋体"/>
              <w:color w:val="auto"/>
              <w:sz w:val="28"/>
              <w:szCs w:val="32"/>
              <w:highlight w:val="none"/>
            </w:rPr>
            <w:tab/>
          </w:r>
          <w:r>
            <w:rPr>
              <w:rFonts w:hint="eastAsia" w:ascii="宋体" w:hAnsi="宋体" w:eastAsia="宋体" w:cs="宋体"/>
              <w:color w:val="auto"/>
              <w:sz w:val="28"/>
              <w:szCs w:val="32"/>
              <w:highlight w:val="none"/>
            </w:rPr>
            <w:fldChar w:fldCharType="begin"/>
          </w:r>
          <w:r>
            <w:rPr>
              <w:rFonts w:hint="eastAsia" w:ascii="宋体" w:hAnsi="宋体" w:eastAsia="宋体" w:cs="宋体"/>
              <w:color w:val="auto"/>
              <w:sz w:val="28"/>
              <w:szCs w:val="32"/>
              <w:highlight w:val="none"/>
            </w:rPr>
            <w:instrText xml:space="preserve"> PAGEREF _Toc25684 \h </w:instrText>
          </w:r>
          <w:r>
            <w:rPr>
              <w:rFonts w:hint="eastAsia" w:ascii="宋体" w:hAnsi="宋体" w:eastAsia="宋体" w:cs="宋体"/>
              <w:color w:val="auto"/>
              <w:sz w:val="28"/>
              <w:szCs w:val="32"/>
              <w:highlight w:val="none"/>
            </w:rPr>
            <w:fldChar w:fldCharType="separate"/>
          </w:r>
          <w:r>
            <w:rPr>
              <w:rFonts w:hint="eastAsia" w:ascii="宋体" w:hAnsi="宋体" w:eastAsia="宋体" w:cs="宋体"/>
              <w:color w:val="auto"/>
              <w:sz w:val="28"/>
              <w:szCs w:val="32"/>
              <w:highlight w:val="none"/>
            </w:rPr>
            <w:t>28</w:t>
          </w:r>
          <w:r>
            <w:rPr>
              <w:rFonts w:hint="eastAsia" w:ascii="宋体" w:hAnsi="宋体" w:eastAsia="宋体" w:cs="宋体"/>
              <w:color w:val="auto"/>
              <w:sz w:val="28"/>
              <w:szCs w:val="32"/>
              <w:highlight w:val="none"/>
            </w:rPr>
            <w:fldChar w:fldCharType="end"/>
          </w:r>
          <w:r>
            <w:rPr>
              <w:rFonts w:hint="eastAsia" w:ascii="宋体" w:hAnsi="宋体" w:eastAsia="宋体" w:cs="宋体"/>
              <w:bCs w:val="0"/>
              <w:color w:val="auto"/>
              <w:sz w:val="28"/>
              <w:szCs w:val="40"/>
              <w:highlight w:val="none"/>
            </w:rPr>
            <w:fldChar w:fldCharType="end"/>
          </w:r>
        </w:p>
        <w:p w14:paraId="6E1B9C41">
          <w:pPr>
            <w:pStyle w:val="10"/>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32"/>
              <w:highlight w:val="none"/>
            </w:rPr>
          </w:pPr>
          <w:r>
            <w:rPr>
              <w:rFonts w:hint="eastAsia" w:ascii="宋体" w:hAnsi="宋体" w:eastAsia="宋体" w:cs="宋体"/>
              <w:bCs w:val="0"/>
              <w:color w:val="auto"/>
              <w:sz w:val="28"/>
              <w:szCs w:val="40"/>
              <w:highlight w:val="none"/>
            </w:rPr>
            <w:fldChar w:fldCharType="begin"/>
          </w:r>
          <w:r>
            <w:rPr>
              <w:rFonts w:hint="eastAsia" w:ascii="宋体" w:hAnsi="宋体" w:eastAsia="宋体" w:cs="宋体"/>
              <w:bCs w:val="0"/>
              <w:color w:val="auto"/>
              <w:sz w:val="28"/>
              <w:szCs w:val="40"/>
              <w:highlight w:val="none"/>
            </w:rPr>
            <w:instrText xml:space="preserve"> HYPERLINK \l _Toc25875 </w:instrText>
          </w:r>
          <w:r>
            <w:rPr>
              <w:rFonts w:hint="eastAsia" w:ascii="宋体" w:hAnsi="宋体" w:eastAsia="宋体" w:cs="宋体"/>
              <w:bCs w:val="0"/>
              <w:color w:val="auto"/>
              <w:sz w:val="28"/>
              <w:szCs w:val="40"/>
              <w:highlight w:val="none"/>
            </w:rPr>
            <w:fldChar w:fldCharType="separate"/>
          </w:r>
          <w:r>
            <w:rPr>
              <w:rFonts w:hint="eastAsia" w:ascii="宋体" w:hAnsi="宋体" w:eastAsia="宋体" w:cs="宋体"/>
              <w:color w:val="auto"/>
              <w:sz w:val="28"/>
              <w:szCs w:val="32"/>
              <w:highlight w:val="none"/>
            </w:rPr>
            <w:t xml:space="preserve">第五章 </w:t>
          </w:r>
          <w:r>
            <w:rPr>
              <w:rFonts w:hint="eastAsia" w:ascii="宋体" w:hAnsi="宋体" w:eastAsia="宋体" w:cs="宋体"/>
              <w:color w:val="auto"/>
              <w:sz w:val="28"/>
              <w:szCs w:val="32"/>
              <w:highlight w:val="none"/>
              <w:lang w:val="en-US" w:eastAsia="zh-CN"/>
            </w:rPr>
            <w:t xml:space="preserve"> </w:t>
          </w:r>
          <w:r>
            <w:rPr>
              <w:rFonts w:hint="eastAsia" w:ascii="宋体" w:hAnsi="宋体" w:eastAsia="宋体" w:cs="宋体"/>
              <w:color w:val="auto"/>
              <w:sz w:val="28"/>
              <w:szCs w:val="32"/>
              <w:highlight w:val="none"/>
            </w:rPr>
            <w:t>技术参数</w:t>
          </w:r>
          <w:r>
            <w:rPr>
              <w:rFonts w:hint="eastAsia" w:ascii="宋体" w:hAnsi="宋体" w:eastAsia="宋体" w:cs="宋体"/>
              <w:color w:val="auto"/>
              <w:sz w:val="28"/>
              <w:szCs w:val="32"/>
              <w:highlight w:val="none"/>
            </w:rPr>
            <w:tab/>
          </w:r>
          <w:r>
            <w:rPr>
              <w:rFonts w:hint="eastAsia" w:ascii="宋体" w:hAnsi="宋体" w:eastAsia="宋体" w:cs="宋体"/>
              <w:color w:val="auto"/>
              <w:sz w:val="28"/>
              <w:szCs w:val="32"/>
              <w:highlight w:val="none"/>
            </w:rPr>
            <w:fldChar w:fldCharType="begin"/>
          </w:r>
          <w:r>
            <w:rPr>
              <w:rFonts w:hint="eastAsia" w:ascii="宋体" w:hAnsi="宋体" w:eastAsia="宋体" w:cs="宋体"/>
              <w:color w:val="auto"/>
              <w:sz w:val="28"/>
              <w:szCs w:val="32"/>
              <w:highlight w:val="none"/>
            </w:rPr>
            <w:instrText xml:space="preserve"> PAGEREF _Toc25875 \h </w:instrText>
          </w:r>
          <w:r>
            <w:rPr>
              <w:rFonts w:hint="eastAsia" w:ascii="宋体" w:hAnsi="宋体" w:eastAsia="宋体" w:cs="宋体"/>
              <w:color w:val="auto"/>
              <w:sz w:val="28"/>
              <w:szCs w:val="32"/>
              <w:highlight w:val="none"/>
            </w:rPr>
            <w:fldChar w:fldCharType="separate"/>
          </w:r>
          <w:r>
            <w:rPr>
              <w:rFonts w:hint="eastAsia" w:ascii="宋体" w:hAnsi="宋体" w:eastAsia="宋体" w:cs="宋体"/>
              <w:color w:val="auto"/>
              <w:sz w:val="28"/>
              <w:szCs w:val="32"/>
              <w:highlight w:val="none"/>
            </w:rPr>
            <w:t>41</w:t>
          </w:r>
          <w:r>
            <w:rPr>
              <w:rFonts w:hint="eastAsia" w:ascii="宋体" w:hAnsi="宋体" w:eastAsia="宋体" w:cs="宋体"/>
              <w:color w:val="auto"/>
              <w:sz w:val="28"/>
              <w:szCs w:val="32"/>
              <w:highlight w:val="none"/>
            </w:rPr>
            <w:fldChar w:fldCharType="end"/>
          </w:r>
          <w:r>
            <w:rPr>
              <w:rFonts w:hint="eastAsia" w:ascii="宋体" w:hAnsi="宋体" w:eastAsia="宋体" w:cs="宋体"/>
              <w:bCs w:val="0"/>
              <w:color w:val="auto"/>
              <w:sz w:val="28"/>
              <w:szCs w:val="40"/>
              <w:highlight w:val="none"/>
            </w:rPr>
            <w:fldChar w:fldCharType="end"/>
          </w:r>
        </w:p>
        <w:p w14:paraId="54AF41DA">
          <w:pPr>
            <w:pStyle w:val="10"/>
            <w:keepNext w:val="0"/>
            <w:keepLines w:val="0"/>
            <w:pageBreakBefore w:val="0"/>
            <w:widowControl w:val="0"/>
            <w:tabs>
              <w:tab w:val="right" w:leader="dot" w:pos="8306"/>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32"/>
              <w:highlight w:val="none"/>
            </w:rPr>
          </w:pPr>
          <w:r>
            <w:rPr>
              <w:rFonts w:hint="eastAsia" w:ascii="宋体" w:hAnsi="宋体" w:eastAsia="宋体" w:cs="宋体"/>
              <w:bCs w:val="0"/>
              <w:color w:val="auto"/>
              <w:sz w:val="28"/>
              <w:szCs w:val="40"/>
              <w:highlight w:val="none"/>
            </w:rPr>
            <w:fldChar w:fldCharType="begin"/>
          </w:r>
          <w:r>
            <w:rPr>
              <w:rFonts w:hint="eastAsia" w:ascii="宋体" w:hAnsi="宋体" w:eastAsia="宋体" w:cs="宋体"/>
              <w:bCs w:val="0"/>
              <w:color w:val="auto"/>
              <w:sz w:val="28"/>
              <w:szCs w:val="40"/>
              <w:highlight w:val="none"/>
            </w:rPr>
            <w:instrText xml:space="preserve"> HYPERLINK \l _Toc20992 </w:instrText>
          </w:r>
          <w:r>
            <w:rPr>
              <w:rFonts w:hint="eastAsia" w:ascii="宋体" w:hAnsi="宋体" w:eastAsia="宋体" w:cs="宋体"/>
              <w:bCs w:val="0"/>
              <w:color w:val="auto"/>
              <w:sz w:val="28"/>
              <w:szCs w:val="40"/>
              <w:highlight w:val="none"/>
            </w:rPr>
            <w:fldChar w:fldCharType="separate"/>
          </w:r>
          <w:r>
            <w:rPr>
              <w:rFonts w:hint="eastAsia" w:ascii="宋体" w:hAnsi="宋体" w:eastAsia="宋体" w:cs="宋体"/>
              <w:color w:val="auto"/>
              <w:sz w:val="28"/>
              <w:szCs w:val="32"/>
              <w:highlight w:val="none"/>
            </w:rPr>
            <w:t>第六章  响应性文件格式</w:t>
          </w:r>
          <w:r>
            <w:rPr>
              <w:rFonts w:hint="eastAsia" w:ascii="宋体" w:hAnsi="宋体" w:eastAsia="宋体" w:cs="宋体"/>
              <w:color w:val="auto"/>
              <w:sz w:val="28"/>
              <w:szCs w:val="32"/>
              <w:highlight w:val="none"/>
            </w:rPr>
            <w:tab/>
          </w:r>
          <w:r>
            <w:rPr>
              <w:rFonts w:hint="eastAsia" w:ascii="宋体" w:hAnsi="宋体" w:eastAsia="宋体" w:cs="宋体"/>
              <w:color w:val="auto"/>
              <w:sz w:val="28"/>
              <w:szCs w:val="32"/>
              <w:highlight w:val="none"/>
            </w:rPr>
            <w:fldChar w:fldCharType="begin"/>
          </w:r>
          <w:r>
            <w:rPr>
              <w:rFonts w:hint="eastAsia" w:ascii="宋体" w:hAnsi="宋体" w:eastAsia="宋体" w:cs="宋体"/>
              <w:color w:val="auto"/>
              <w:sz w:val="28"/>
              <w:szCs w:val="32"/>
              <w:highlight w:val="none"/>
            </w:rPr>
            <w:instrText xml:space="preserve"> PAGEREF _Toc20992 \h </w:instrText>
          </w:r>
          <w:r>
            <w:rPr>
              <w:rFonts w:hint="eastAsia" w:ascii="宋体" w:hAnsi="宋体" w:eastAsia="宋体" w:cs="宋体"/>
              <w:color w:val="auto"/>
              <w:sz w:val="28"/>
              <w:szCs w:val="32"/>
              <w:highlight w:val="none"/>
            </w:rPr>
            <w:fldChar w:fldCharType="separate"/>
          </w:r>
          <w:r>
            <w:rPr>
              <w:rFonts w:hint="eastAsia" w:ascii="宋体" w:hAnsi="宋体" w:eastAsia="宋体" w:cs="宋体"/>
              <w:color w:val="auto"/>
              <w:sz w:val="28"/>
              <w:szCs w:val="32"/>
              <w:highlight w:val="none"/>
            </w:rPr>
            <w:t>49</w:t>
          </w:r>
          <w:r>
            <w:rPr>
              <w:rFonts w:hint="eastAsia" w:ascii="宋体" w:hAnsi="宋体" w:eastAsia="宋体" w:cs="宋体"/>
              <w:color w:val="auto"/>
              <w:sz w:val="28"/>
              <w:szCs w:val="32"/>
              <w:highlight w:val="none"/>
            </w:rPr>
            <w:fldChar w:fldCharType="end"/>
          </w:r>
          <w:r>
            <w:rPr>
              <w:rFonts w:hint="eastAsia" w:ascii="宋体" w:hAnsi="宋体" w:eastAsia="宋体" w:cs="宋体"/>
              <w:bCs w:val="0"/>
              <w:color w:val="auto"/>
              <w:sz w:val="28"/>
              <w:szCs w:val="40"/>
              <w:highlight w:val="none"/>
            </w:rPr>
            <w:fldChar w:fldCharType="end"/>
          </w:r>
        </w:p>
        <w:p w14:paraId="2F9E8A49">
          <w:pPr>
            <w:pStyle w:val="10"/>
            <w:tabs>
              <w:tab w:val="right" w:leader="dot" w:pos="8306"/>
            </w:tabs>
            <w:rPr>
              <w:color w:val="auto"/>
              <w:highlight w:val="none"/>
            </w:rPr>
          </w:pPr>
        </w:p>
        <w:p w14:paraId="47F7E627">
          <w:pPr>
            <w:spacing w:line="480" w:lineRule="auto"/>
            <w:jc w:val="both"/>
            <w:rPr>
              <w:rFonts w:hint="eastAsia" w:ascii="宋体" w:hAnsi="宋体" w:cs="宋体"/>
              <w:b/>
              <w:bCs/>
              <w:color w:val="auto"/>
              <w:sz w:val="36"/>
              <w:szCs w:val="36"/>
              <w:highlight w:val="none"/>
            </w:rPr>
          </w:pPr>
          <w:r>
            <w:rPr>
              <w:rFonts w:hint="eastAsia" w:ascii="宋体" w:hAnsi="宋体" w:eastAsia="宋体" w:cs="宋体"/>
              <w:bCs w:val="0"/>
              <w:color w:val="auto"/>
              <w:szCs w:val="28"/>
              <w:highlight w:val="none"/>
            </w:rPr>
            <w:fldChar w:fldCharType="end"/>
          </w:r>
        </w:p>
      </w:sdtContent>
    </w:sdt>
    <w:p w14:paraId="3E316BF8">
      <w:pPr>
        <w:rPr>
          <w:color w:val="auto"/>
          <w:highlight w:val="none"/>
        </w:rPr>
      </w:pPr>
    </w:p>
    <w:p w14:paraId="57EDD6A3">
      <w:pPr>
        <w:pStyle w:val="11"/>
        <w:outlineLvl w:val="9"/>
        <w:rPr>
          <w:rFonts w:hint="eastAsia"/>
          <w:color w:val="auto"/>
          <w:highlight w:val="none"/>
        </w:rPr>
        <w:sectPr>
          <w:footerReference r:id="rId8" w:type="first"/>
          <w:headerReference r:id="rId5" w:type="default"/>
          <w:footerReference r:id="rId6" w:type="default"/>
          <w:footerReference r:id="rId7" w:type="even"/>
          <w:pgSz w:w="11906" w:h="16838"/>
          <w:pgMar w:top="1440" w:right="1800" w:bottom="1440" w:left="1800" w:header="851" w:footer="851" w:gutter="0"/>
          <w:pgNumType w:start="1"/>
          <w:cols w:space="720" w:num="1"/>
          <w:titlePg/>
          <w:docGrid w:linePitch="312" w:charSpace="0"/>
        </w:sectPr>
      </w:pPr>
      <w:bookmarkStart w:id="15" w:name="_Toc19698"/>
    </w:p>
    <w:p w14:paraId="39E19140">
      <w:pPr>
        <w:pStyle w:val="3"/>
        <w:bidi w:val="0"/>
        <w:jc w:val="center"/>
        <w:outlineLvl w:val="0"/>
        <w:rPr>
          <w:color w:val="auto"/>
          <w:highlight w:val="none"/>
        </w:rPr>
      </w:pPr>
      <w:bookmarkStart w:id="16" w:name="_Toc14494"/>
      <w:bookmarkStart w:id="17" w:name="_Toc17395"/>
      <w:r>
        <w:rPr>
          <w:rFonts w:hint="eastAsia"/>
          <w:color w:val="auto"/>
          <w:highlight w:val="none"/>
        </w:rPr>
        <w:t xml:space="preserve">第一章 </w:t>
      </w:r>
      <w:bookmarkEnd w:id="6"/>
      <w:bookmarkEnd w:id="7"/>
      <w:bookmarkEnd w:id="8"/>
      <w:bookmarkEnd w:id="9"/>
      <w:bookmarkEnd w:id="10"/>
      <w:bookmarkEnd w:id="11"/>
      <w:r>
        <w:rPr>
          <w:rFonts w:hint="eastAsia"/>
          <w:color w:val="auto"/>
          <w:highlight w:val="none"/>
        </w:rPr>
        <w:t xml:space="preserve"> </w:t>
      </w:r>
      <w:bookmarkStart w:id="18" w:name="_Hlk136547488"/>
      <w:r>
        <w:rPr>
          <w:rFonts w:hint="eastAsia"/>
          <w:color w:val="auto"/>
          <w:highlight w:val="none"/>
        </w:rPr>
        <w:t>竞争性磋商公告</w:t>
      </w:r>
      <w:bookmarkEnd w:id="12"/>
      <w:bookmarkEnd w:id="13"/>
      <w:bookmarkEnd w:id="14"/>
      <w:bookmarkEnd w:id="15"/>
      <w:bookmarkEnd w:id="16"/>
      <w:bookmarkEnd w:id="17"/>
      <w:bookmarkEnd w:id="18"/>
    </w:p>
    <w:p w14:paraId="38EF1307">
      <w:pPr>
        <w:spacing w:line="360" w:lineRule="auto"/>
        <w:ind w:firstLine="566" w:firstLineChars="236"/>
        <w:rPr>
          <w:rFonts w:hint="eastAsia" w:asciiTheme="minorEastAsia" w:hAnsiTheme="minorEastAsia" w:cstheme="minorEastAsia"/>
          <w:color w:val="auto"/>
          <w:sz w:val="24"/>
          <w:szCs w:val="24"/>
          <w:highlight w:val="none"/>
        </w:rPr>
      </w:pPr>
      <w:bookmarkStart w:id="19" w:name="_Toc22953455"/>
      <w:bookmarkStart w:id="20" w:name="_Toc22724013"/>
      <w:bookmarkStart w:id="21" w:name="_Toc22804133"/>
      <w:bookmarkStart w:id="22" w:name="_Toc22568845"/>
      <w:bookmarkStart w:id="23" w:name="_Toc498982406"/>
      <w:bookmarkStart w:id="24" w:name="_Toc22570552"/>
      <w:bookmarkStart w:id="25" w:name="_Toc15597"/>
      <w:r>
        <w:rPr>
          <w:rFonts w:hint="eastAsia" w:asciiTheme="minorEastAsia" w:hAnsiTheme="minorEastAsia" w:cstheme="minorEastAsia"/>
          <w:color w:val="auto"/>
          <w:sz w:val="24"/>
          <w:szCs w:val="24"/>
          <w:highlight w:val="none"/>
        </w:rPr>
        <w:t>项目概况</w:t>
      </w:r>
      <w:r>
        <w:rPr>
          <w:rFonts w:hint="eastAsia" w:asciiTheme="minorEastAsia" w:hAnsiTheme="minorEastAsia" w:cstheme="minorEastAsia"/>
          <w:color w:val="auto"/>
          <w:sz w:val="24"/>
          <w:szCs w:val="24"/>
          <w:highlight w:val="none"/>
          <w:lang w:eastAsia="zh-CN"/>
        </w:rPr>
        <w:t>：渑池县农业农村局农业生产抗旱项目</w:t>
      </w:r>
      <w:r>
        <w:rPr>
          <w:rFonts w:hint="eastAsia" w:asciiTheme="minorEastAsia" w:hAnsiTheme="minorEastAsia" w:cstheme="minorEastAsia"/>
          <w:color w:val="auto"/>
          <w:sz w:val="24"/>
          <w:szCs w:val="24"/>
          <w:highlight w:val="none"/>
        </w:rPr>
        <w:t>的潜在供应商应在三门峡市公共资源交易中心网上获取招标文件，并于</w:t>
      </w:r>
      <w:r>
        <w:rPr>
          <w:rFonts w:hint="eastAsia" w:asciiTheme="minorEastAsia" w:hAnsiTheme="minorEastAsia" w:cstheme="minorEastAsia"/>
          <w:color w:val="auto"/>
          <w:sz w:val="24"/>
          <w:szCs w:val="24"/>
          <w:highlight w:val="none"/>
          <w:lang w:eastAsia="zh-CN"/>
        </w:rPr>
        <w:t>2025年12月23日08时20分</w:t>
      </w:r>
      <w:r>
        <w:rPr>
          <w:rFonts w:hint="eastAsia" w:asciiTheme="minorEastAsia" w:hAnsiTheme="minorEastAsia" w:cstheme="minorEastAsia"/>
          <w:color w:val="auto"/>
          <w:sz w:val="24"/>
          <w:szCs w:val="24"/>
          <w:highlight w:val="none"/>
        </w:rPr>
        <w:t>（北京时间）前递交投标文件。</w:t>
      </w:r>
    </w:p>
    <w:p w14:paraId="18423D8E">
      <w:pPr>
        <w:spacing w:line="360" w:lineRule="auto"/>
        <w:ind w:firstLine="566" w:firstLineChars="236"/>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rPr>
        <w:t>一、项目基本情况</w:t>
      </w:r>
      <w:r>
        <w:rPr>
          <w:rFonts w:hint="eastAsia" w:asciiTheme="minorEastAsia" w:hAnsiTheme="minorEastAsia" w:cstheme="minorEastAsia"/>
          <w:color w:val="auto"/>
          <w:sz w:val="24"/>
          <w:szCs w:val="24"/>
          <w:highlight w:val="none"/>
          <w:lang w:val="en-US" w:eastAsia="zh-CN"/>
        </w:rPr>
        <w:t xml:space="preserve"> </w:t>
      </w:r>
    </w:p>
    <w:p w14:paraId="2BF8C598">
      <w:pPr>
        <w:spacing w:line="360" w:lineRule="auto"/>
        <w:ind w:firstLine="566" w:firstLineChars="236"/>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rPr>
        <w:t>1.采购项目编号</w:t>
      </w:r>
      <w:r>
        <w:rPr>
          <w:rFonts w:hint="eastAsia" w:asciiTheme="minorEastAsia" w:hAnsiTheme="minorEastAsia" w:cstheme="minorEastAsia"/>
          <w:color w:val="auto"/>
          <w:sz w:val="24"/>
          <w:szCs w:val="24"/>
          <w:highlight w:val="none"/>
          <w:lang w:eastAsia="zh-CN"/>
        </w:rPr>
        <w:t>：MCGZ[2025]303-ZC238、渑池竞磋采购-2025-181</w:t>
      </w:r>
    </w:p>
    <w:p w14:paraId="35AFBC50">
      <w:pPr>
        <w:spacing w:line="360" w:lineRule="auto"/>
        <w:ind w:firstLine="566" w:firstLineChars="236"/>
        <w:rPr>
          <w:rFonts w:hint="eastAsia" w:asciiTheme="minorEastAsia" w:hAnsiTheme="minorEastAsia" w:cstheme="minorEastAsia"/>
          <w:color w:val="auto"/>
          <w:sz w:val="24"/>
          <w:szCs w:val="24"/>
          <w:highlight w:val="none"/>
          <w:lang w:eastAsia="zh-CN"/>
        </w:rPr>
      </w:pPr>
      <w:r>
        <w:rPr>
          <w:rFonts w:hint="eastAsia" w:asciiTheme="minorEastAsia" w:hAnsiTheme="minorEastAsia" w:cstheme="minorEastAsia"/>
          <w:color w:val="auto"/>
          <w:sz w:val="24"/>
          <w:szCs w:val="24"/>
          <w:highlight w:val="none"/>
        </w:rPr>
        <w:t>2.采购项目名称：</w:t>
      </w:r>
      <w:r>
        <w:rPr>
          <w:rFonts w:hint="eastAsia" w:asciiTheme="minorEastAsia" w:hAnsiTheme="minorEastAsia" w:cstheme="minorEastAsia"/>
          <w:color w:val="auto"/>
          <w:sz w:val="24"/>
          <w:szCs w:val="24"/>
          <w:highlight w:val="none"/>
          <w:lang w:eastAsia="zh-CN"/>
        </w:rPr>
        <w:t>渑池县农业农村局农业生产抗旱项目</w:t>
      </w:r>
    </w:p>
    <w:p w14:paraId="40165998">
      <w:pPr>
        <w:spacing w:line="360" w:lineRule="auto"/>
        <w:ind w:firstLine="566" w:firstLineChars="236"/>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rPr>
        <w:t>3.采购方式：</w:t>
      </w:r>
      <w:r>
        <w:rPr>
          <w:rFonts w:hint="eastAsia" w:asciiTheme="minorEastAsia" w:hAnsiTheme="minorEastAsia" w:cstheme="minorEastAsia"/>
          <w:color w:val="auto"/>
          <w:sz w:val="24"/>
          <w:szCs w:val="24"/>
          <w:highlight w:val="none"/>
          <w:lang w:val="en-US" w:eastAsia="zh-CN"/>
        </w:rPr>
        <w:t>竞争性磋商</w:t>
      </w:r>
    </w:p>
    <w:p w14:paraId="42CDDF06">
      <w:pPr>
        <w:spacing w:line="360" w:lineRule="auto"/>
        <w:ind w:firstLine="566" w:firstLineChars="236"/>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rPr>
        <w:t>4.预算金额：</w:t>
      </w:r>
      <w:r>
        <w:rPr>
          <w:rFonts w:hint="eastAsia" w:asciiTheme="minorEastAsia" w:hAnsiTheme="minorEastAsia" w:cstheme="minorEastAsia"/>
          <w:color w:val="auto"/>
          <w:sz w:val="24"/>
          <w:szCs w:val="24"/>
          <w:highlight w:val="none"/>
          <w:lang w:val="en-US" w:eastAsia="zh-CN"/>
        </w:rPr>
        <w:t>300000.00元</w:t>
      </w:r>
    </w:p>
    <w:p w14:paraId="5C6BE117">
      <w:pPr>
        <w:spacing w:line="360" w:lineRule="auto"/>
        <w:ind w:firstLine="566" w:firstLineChars="236"/>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rPr>
        <w:t>最高限价：</w:t>
      </w:r>
      <w:r>
        <w:rPr>
          <w:rFonts w:hint="eastAsia" w:asciiTheme="minorEastAsia" w:hAnsiTheme="minorEastAsia" w:cstheme="minorEastAsia"/>
          <w:color w:val="auto"/>
          <w:sz w:val="24"/>
          <w:szCs w:val="24"/>
          <w:highlight w:val="none"/>
          <w:lang w:val="en-US" w:eastAsia="zh-CN"/>
        </w:rPr>
        <w:t>300000.00元</w:t>
      </w:r>
    </w:p>
    <w:tbl>
      <w:tblPr>
        <w:tblStyle w:val="13"/>
        <w:tblW w:w="9555"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2741"/>
        <w:gridCol w:w="2416"/>
        <w:gridCol w:w="1532"/>
        <w:gridCol w:w="2034"/>
      </w:tblGrid>
      <w:tr w14:paraId="2E9DD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vAlign w:val="center"/>
          </w:tcPr>
          <w:p w14:paraId="3BE54361">
            <w:pPr>
              <w:spacing w:line="360" w:lineRule="auto"/>
              <w:jc w:val="center"/>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序号</w:t>
            </w:r>
          </w:p>
        </w:tc>
        <w:tc>
          <w:tcPr>
            <w:tcW w:w="2741" w:type="dxa"/>
            <w:vAlign w:val="center"/>
          </w:tcPr>
          <w:p w14:paraId="5B1653E5">
            <w:pPr>
              <w:spacing w:line="360" w:lineRule="auto"/>
              <w:ind w:firstLine="566" w:firstLineChars="236"/>
              <w:jc w:val="center"/>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包号</w:t>
            </w:r>
          </w:p>
        </w:tc>
        <w:tc>
          <w:tcPr>
            <w:tcW w:w="2416" w:type="dxa"/>
            <w:vAlign w:val="center"/>
          </w:tcPr>
          <w:p w14:paraId="58C6C649">
            <w:pPr>
              <w:spacing w:line="360" w:lineRule="auto"/>
              <w:ind w:firstLine="566" w:firstLineChars="236"/>
              <w:jc w:val="center"/>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包名称</w:t>
            </w:r>
          </w:p>
        </w:tc>
        <w:tc>
          <w:tcPr>
            <w:tcW w:w="1532" w:type="dxa"/>
            <w:vAlign w:val="center"/>
          </w:tcPr>
          <w:p w14:paraId="106586C5">
            <w:pPr>
              <w:spacing w:line="360" w:lineRule="auto"/>
              <w:jc w:val="both"/>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包预算（元）</w:t>
            </w:r>
          </w:p>
        </w:tc>
        <w:tc>
          <w:tcPr>
            <w:tcW w:w="2034" w:type="dxa"/>
            <w:vAlign w:val="center"/>
          </w:tcPr>
          <w:p w14:paraId="243B2C42">
            <w:pPr>
              <w:spacing w:line="360" w:lineRule="auto"/>
              <w:jc w:val="both"/>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包最高限价（元）</w:t>
            </w:r>
          </w:p>
        </w:tc>
      </w:tr>
      <w:tr w14:paraId="609C3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vAlign w:val="center"/>
          </w:tcPr>
          <w:p w14:paraId="500530BE">
            <w:pPr>
              <w:spacing w:line="360" w:lineRule="auto"/>
              <w:jc w:val="center"/>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w:t>
            </w:r>
          </w:p>
        </w:tc>
        <w:tc>
          <w:tcPr>
            <w:tcW w:w="2741" w:type="dxa"/>
            <w:vAlign w:val="center"/>
          </w:tcPr>
          <w:p w14:paraId="058A8B28">
            <w:pPr>
              <w:spacing w:line="360" w:lineRule="auto"/>
              <w:jc w:val="both"/>
              <w:rPr>
                <w:rFonts w:hint="eastAsia" w:asciiTheme="minorEastAsia" w:hAnsiTheme="minorEastAsia" w:cstheme="minorEastAsia"/>
                <w:color w:val="auto"/>
                <w:sz w:val="24"/>
                <w:szCs w:val="24"/>
                <w:highlight w:val="none"/>
                <w:lang w:eastAsia="zh-CN"/>
              </w:rPr>
            </w:pPr>
            <w:r>
              <w:rPr>
                <w:rFonts w:hint="eastAsia" w:asciiTheme="minorEastAsia" w:hAnsiTheme="minorEastAsia" w:cstheme="minorEastAsia"/>
                <w:color w:val="auto"/>
                <w:sz w:val="24"/>
                <w:szCs w:val="24"/>
                <w:highlight w:val="none"/>
                <w:lang w:val="en-US" w:eastAsia="zh-CN"/>
              </w:rPr>
              <w:t>MCGZ[2025]192-ZC147</w:t>
            </w:r>
          </w:p>
        </w:tc>
        <w:tc>
          <w:tcPr>
            <w:tcW w:w="2416" w:type="dxa"/>
            <w:vAlign w:val="center"/>
          </w:tcPr>
          <w:p w14:paraId="227C7885">
            <w:pPr>
              <w:spacing w:line="360" w:lineRule="auto"/>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eastAsia="zh-CN"/>
              </w:rPr>
              <w:t>渑池县农业农村局农业生产抗旱项目</w:t>
            </w:r>
          </w:p>
        </w:tc>
        <w:tc>
          <w:tcPr>
            <w:tcW w:w="1532" w:type="dxa"/>
            <w:vAlign w:val="center"/>
          </w:tcPr>
          <w:p w14:paraId="3EE3614D">
            <w:pPr>
              <w:spacing w:line="360" w:lineRule="auto"/>
              <w:jc w:val="center"/>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300000.00</w:t>
            </w:r>
          </w:p>
        </w:tc>
        <w:tc>
          <w:tcPr>
            <w:tcW w:w="2034" w:type="dxa"/>
            <w:vAlign w:val="center"/>
          </w:tcPr>
          <w:p w14:paraId="4CD785FB">
            <w:pPr>
              <w:spacing w:line="360" w:lineRule="auto"/>
              <w:jc w:val="center"/>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300000.00</w:t>
            </w:r>
          </w:p>
        </w:tc>
      </w:tr>
    </w:tbl>
    <w:p w14:paraId="2498E221">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5.采购需求(包括目标、标准、数量、规格、服务要求、验收、标准等)：</w:t>
      </w:r>
    </w:p>
    <w:p w14:paraId="2667CDF1">
      <w:pPr>
        <w:spacing w:line="360" w:lineRule="auto"/>
        <w:ind w:firstLine="566" w:firstLineChars="236"/>
        <w:rPr>
          <w:rFonts w:hint="eastAsia" w:ascii="宋体" w:hAnsi="宋体" w:eastAsia="宋体" w:cs="宋体"/>
          <w:color w:val="auto"/>
          <w:sz w:val="24"/>
          <w:szCs w:val="24"/>
          <w:highlight w:val="none"/>
          <w:lang w:eastAsia="zh-CN"/>
        </w:rPr>
      </w:pPr>
      <w:r>
        <w:rPr>
          <w:rFonts w:hint="eastAsia" w:asciiTheme="minorEastAsia" w:hAnsiTheme="minorEastAsia" w:cstheme="minorEastAsia"/>
          <w:color w:val="auto"/>
          <w:sz w:val="24"/>
          <w:szCs w:val="24"/>
          <w:highlight w:val="none"/>
        </w:rPr>
        <w:t>5.1</w:t>
      </w:r>
      <w:r>
        <w:rPr>
          <w:rFonts w:hint="eastAsia" w:ascii="宋体" w:hAnsi="宋体" w:eastAsia="宋体" w:cs="宋体"/>
          <w:color w:val="auto"/>
          <w:sz w:val="24"/>
          <w:szCs w:val="24"/>
          <w:highlight w:val="none"/>
        </w:rPr>
        <w:t>采购范围：</w:t>
      </w:r>
      <w:r>
        <w:rPr>
          <w:rFonts w:hint="eastAsia" w:ascii="宋体" w:hAnsi="宋体" w:eastAsia="宋体" w:cs="宋体"/>
          <w:color w:val="auto"/>
          <w:sz w:val="24"/>
          <w:szCs w:val="24"/>
          <w:highlight w:val="none"/>
          <w:lang w:eastAsia="zh-CN"/>
        </w:rPr>
        <w:t>详见采购参数全部内容</w:t>
      </w:r>
    </w:p>
    <w:p w14:paraId="7932C25A">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Theme="minorEastAsia" w:hAnsiTheme="minorEastAsia" w:cstheme="minorEastAsia"/>
          <w:color w:val="auto"/>
          <w:sz w:val="24"/>
          <w:szCs w:val="24"/>
          <w:highlight w:val="none"/>
        </w:rPr>
        <w:t>.2预算金额：</w:t>
      </w:r>
      <w:r>
        <w:rPr>
          <w:rFonts w:hint="eastAsia" w:asciiTheme="minorEastAsia" w:hAnsiTheme="minorEastAsia" w:cstheme="minorEastAsia"/>
          <w:color w:val="auto"/>
          <w:sz w:val="24"/>
          <w:szCs w:val="24"/>
          <w:highlight w:val="none"/>
          <w:lang w:val="en-US" w:eastAsia="zh-CN"/>
        </w:rPr>
        <w:t>300000.00元</w:t>
      </w:r>
    </w:p>
    <w:p w14:paraId="3B215709">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5.3资金来源：</w:t>
      </w:r>
      <w:r>
        <w:rPr>
          <w:rFonts w:hint="eastAsia" w:asciiTheme="minorEastAsia" w:hAnsiTheme="minorEastAsia" w:cstheme="minorEastAsia"/>
          <w:color w:val="auto"/>
          <w:sz w:val="24"/>
          <w:szCs w:val="24"/>
          <w:highlight w:val="none"/>
          <w:lang w:val="en-US" w:eastAsia="zh-CN"/>
        </w:rPr>
        <w:t>财政</w:t>
      </w:r>
      <w:r>
        <w:rPr>
          <w:rFonts w:hint="eastAsia" w:asciiTheme="minorEastAsia" w:hAnsiTheme="minorEastAsia" w:cstheme="minorEastAsia"/>
          <w:color w:val="auto"/>
          <w:sz w:val="24"/>
          <w:szCs w:val="24"/>
          <w:highlight w:val="none"/>
        </w:rPr>
        <w:t>资金，已落实。</w:t>
      </w:r>
    </w:p>
    <w:p w14:paraId="03A9F7E4">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5.4质量要求：</w:t>
      </w:r>
      <w:r>
        <w:rPr>
          <w:rFonts w:hint="eastAsia" w:asciiTheme="minorEastAsia" w:hAnsiTheme="minorEastAsia" w:cstheme="minorEastAsia"/>
          <w:color w:val="auto"/>
          <w:sz w:val="24"/>
          <w:szCs w:val="24"/>
          <w:highlight w:val="none"/>
          <w:lang w:val="en-US" w:eastAsia="zh-CN"/>
        </w:rPr>
        <w:t>合格</w:t>
      </w:r>
      <w:r>
        <w:rPr>
          <w:rFonts w:hint="eastAsia" w:asciiTheme="minorEastAsia" w:hAnsiTheme="minorEastAsia" w:cstheme="minorEastAsia"/>
          <w:color w:val="auto"/>
          <w:sz w:val="24"/>
          <w:szCs w:val="24"/>
          <w:highlight w:val="none"/>
        </w:rPr>
        <w:t>。</w:t>
      </w:r>
    </w:p>
    <w:p w14:paraId="45964000">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5.5</w:t>
      </w:r>
      <w:r>
        <w:rPr>
          <w:rFonts w:hint="eastAsia" w:asciiTheme="minorEastAsia" w:hAnsiTheme="minorEastAsia" w:cstheme="minorEastAsia"/>
          <w:color w:val="auto"/>
          <w:sz w:val="24"/>
          <w:szCs w:val="24"/>
          <w:highlight w:val="none"/>
          <w:lang w:eastAsia="zh-CN"/>
        </w:rPr>
        <w:t>供货期</w:t>
      </w:r>
      <w:r>
        <w:rPr>
          <w:rFonts w:hint="eastAsia" w:asciiTheme="minorEastAsia" w:hAnsiTheme="minorEastAsia" w:cstheme="minorEastAsia"/>
          <w:color w:val="auto"/>
          <w:sz w:val="24"/>
          <w:szCs w:val="24"/>
          <w:highlight w:val="none"/>
        </w:rPr>
        <w:t>：</w:t>
      </w:r>
      <w:r>
        <w:rPr>
          <w:rFonts w:hint="eastAsia" w:asciiTheme="minorEastAsia" w:hAnsiTheme="minorEastAsia" w:cstheme="minorEastAsia"/>
          <w:color w:val="auto"/>
          <w:sz w:val="24"/>
          <w:szCs w:val="24"/>
          <w:highlight w:val="none"/>
          <w:lang w:eastAsia="zh-CN"/>
        </w:rPr>
        <w:t>自合同签订之日起</w:t>
      </w:r>
      <w:r>
        <w:rPr>
          <w:rFonts w:hint="eastAsia" w:asciiTheme="minorEastAsia" w:hAnsiTheme="minorEastAsia" w:cstheme="minorEastAsia"/>
          <w:color w:val="auto"/>
          <w:sz w:val="24"/>
          <w:szCs w:val="24"/>
          <w:highlight w:val="none"/>
          <w:lang w:val="en-US" w:eastAsia="zh-CN"/>
        </w:rPr>
        <w:t>二十日</w:t>
      </w:r>
      <w:r>
        <w:rPr>
          <w:rFonts w:hint="eastAsia" w:asciiTheme="minorEastAsia" w:hAnsiTheme="minorEastAsia" w:cstheme="minorEastAsia"/>
          <w:color w:val="auto"/>
          <w:sz w:val="24"/>
          <w:szCs w:val="24"/>
          <w:highlight w:val="none"/>
          <w:lang w:eastAsia="zh-CN"/>
        </w:rPr>
        <w:t>历天内</w:t>
      </w:r>
      <w:r>
        <w:rPr>
          <w:rFonts w:hint="eastAsia" w:asciiTheme="minorEastAsia" w:hAnsiTheme="minorEastAsia" w:cstheme="minorEastAsia"/>
          <w:color w:val="auto"/>
          <w:sz w:val="24"/>
          <w:szCs w:val="24"/>
          <w:highlight w:val="none"/>
        </w:rPr>
        <w:t>。</w:t>
      </w:r>
    </w:p>
    <w:p w14:paraId="700010FD">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5.</w:t>
      </w:r>
      <w:r>
        <w:rPr>
          <w:rFonts w:hint="eastAsia" w:asciiTheme="minorEastAsia" w:hAnsiTheme="minorEastAsia" w:cstheme="minorEastAsia"/>
          <w:color w:val="auto"/>
          <w:sz w:val="24"/>
          <w:szCs w:val="24"/>
          <w:highlight w:val="none"/>
          <w:lang w:val="en-US" w:eastAsia="zh-CN"/>
        </w:rPr>
        <w:t>6</w:t>
      </w:r>
      <w:r>
        <w:rPr>
          <w:rFonts w:hint="eastAsia" w:asciiTheme="minorEastAsia" w:hAnsiTheme="minorEastAsia" w:cstheme="minorEastAsia"/>
          <w:color w:val="auto"/>
          <w:sz w:val="24"/>
          <w:szCs w:val="24"/>
          <w:highlight w:val="none"/>
        </w:rPr>
        <w:t>交货地点：采购人指定地点。</w:t>
      </w:r>
    </w:p>
    <w:p w14:paraId="3B3AD8DA">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6.合同履行期限：</w:t>
      </w:r>
      <w:r>
        <w:rPr>
          <w:rFonts w:hint="eastAsia" w:asciiTheme="minorEastAsia" w:hAnsiTheme="minorEastAsia" w:cstheme="minorEastAsia"/>
          <w:color w:val="auto"/>
          <w:sz w:val="24"/>
          <w:szCs w:val="24"/>
          <w:highlight w:val="none"/>
          <w:lang w:eastAsia="zh-CN"/>
        </w:rPr>
        <w:t>自合同签订之日起二十日历天内</w:t>
      </w:r>
      <w:r>
        <w:rPr>
          <w:rFonts w:hint="eastAsia" w:asciiTheme="minorEastAsia" w:hAnsiTheme="minorEastAsia" w:cstheme="minorEastAsia"/>
          <w:color w:val="auto"/>
          <w:sz w:val="24"/>
          <w:szCs w:val="24"/>
          <w:highlight w:val="none"/>
        </w:rPr>
        <w:t>。</w:t>
      </w:r>
    </w:p>
    <w:p w14:paraId="1898B73F">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7.本项目是否接受联合体投标：否</w:t>
      </w:r>
    </w:p>
    <w:p w14:paraId="5AB61F04">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8.是否接受进口产品：否</w:t>
      </w:r>
    </w:p>
    <w:p w14:paraId="2785E11A">
      <w:pPr>
        <w:spacing w:line="360" w:lineRule="auto"/>
        <w:ind w:firstLine="566" w:firstLineChars="236"/>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rPr>
        <w:t>9.是否专门面向中小企业：</w:t>
      </w:r>
      <w:r>
        <w:rPr>
          <w:rFonts w:hint="eastAsia" w:asciiTheme="minorEastAsia" w:hAnsiTheme="minorEastAsia" w:cstheme="minorEastAsia"/>
          <w:color w:val="auto"/>
          <w:sz w:val="24"/>
          <w:szCs w:val="24"/>
          <w:highlight w:val="none"/>
          <w:lang w:val="en-US" w:eastAsia="zh-CN"/>
        </w:rPr>
        <w:t>否</w:t>
      </w:r>
    </w:p>
    <w:p w14:paraId="770793D1">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二、供应商资格要求</w:t>
      </w:r>
    </w:p>
    <w:p w14:paraId="18EC5CA7">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1.满足《中华人民共和国政府采购法》第二十二条规定：</w:t>
      </w:r>
    </w:p>
    <w:p w14:paraId="2AE1F0A5">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2.落实政府采购政策满足的资格要求：本项目非专门面向中小微企业采购项目，执行优先采购节能环保、环境标志性产品，促进中小企业（监狱企业、残疾人福利性企业）发展等政府采购政策。</w:t>
      </w:r>
    </w:p>
    <w:p w14:paraId="3B28858A">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3.本项目的特定资格要求：</w:t>
      </w:r>
    </w:p>
    <w:p w14:paraId="39EC5EAC">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3.</w:t>
      </w:r>
      <w:r>
        <w:rPr>
          <w:rFonts w:hint="eastAsia" w:asciiTheme="minorEastAsia" w:hAnsiTheme="minorEastAsia" w:cstheme="minorEastAsia"/>
          <w:color w:val="auto"/>
          <w:sz w:val="24"/>
          <w:szCs w:val="24"/>
          <w:highlight w:val="none"/>
        </w:rPr>
        <w:t>1供应商具有有效的营业执照；</w:t>
      </w:r>
    </w:p>
    <w:p w14:paraId="4B6167C7">
      <w:pPr>
        <w:spacing w:line="360" w:lineRule="auto"/>
        <w:ind w:firstLine="566" w:firstLineChars="236"/>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 xml:space="preserve">3.2 </w:t>
      </w:r>
      <w:r>
        <w:rPr>
          <w:rFonts w:hint="eastAsia" w:asciiTheme="minorEastAsia" w:hAnsiTheme="minorEastAsia" w:cstheme="minorEastAsia"/>
          <w:color w:val="auto"/>
          <w:sz w:val="24"/>
          <w:szCs w:val="24"/>
          <w:highlight w:val="none"/>
        </w:rPr>
        <w:t>供应商出具无行贿犯罪记录，在中国裁判文书网自行查询或自行承诺（查询对象：企业、法定代表人）；</w:t>
      </w:r>
    </w:p>
    <w:p w14:paraId="7E46EEC7">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3</w:t>
      </w:r>
      <w:r>
        <w:rPr>
          <w:rFonts w:hint="eastAsia" w:asciiTheme="minorEastAsia" w:hAnsiTheme="minorEastAsia" w:cstheme="minorEastAsia"/>
          <w:color w:val="auto"/>
          <w:sz w:val="24"/>
          <w:szCs w:val="24"/>
          <w:highlight w:val="none"/>
          <w:lang w:val="en-US" w:eastAsia="zh-CN"/>
        </w:rPr>
        <w:t>.3</w:t>
      </w:r>
      <w:r>
        <w:rPr>
          <w:rFonts w:hint="eastAsia" w:asciiTheme="minorEastAsia" w:hAnsiTheme="minorEastAsia" w:cstheme="minorEastAsia"/>
          <w:color w:val="auto"/>
          <w:sz w:val="24"/>
          <w:szCs w:val="24"/>
          <w:highlight w:val="none"/>
        </w:rPr>
        <w:t>供应商需提供无商业贿赂及无不正当竞争行为的承诺书；</w:t>
      </w:r>
    </w:p>
    <w:p w14:paraId="66E65C8B">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3.4</w:t>
      </w:r>
      <w:r>
        <w:rPr>
          <w:rFonts w:hint="eastAsia" w:asciiTheme="minorEastAsia" w:hAnsiTheme="minorEastAsia" w:cstheme="minorEastAsia"/>
          <w:color w:val="auto"/>
          <w:sz w:val="24"/>
          <w:szCs w:val="24"/>
          <w:highlight w:val="none"/>
        </w:rPr>
        <w:t>未列入“中国执行信息公开网”http://zxgk.court.gov.cn/shixin网站的“失信被执行人”名单、“信用中国”www.creditchina.gov.cn网站的“重大税收违法失信主体”及中国政府采购网”www.ccgp.gov.cn网站的“政府采购严重违法失信行为记录名单”；（提供“中国执行信息公开网”、“信用中国”和“中国政府采购网”网站的查询信息截图，加盖单位公章，截图需显示查询时间，查询时间：自公告发布之日起至投标截止时间前）；</w:t>
      </w:r>
    </w:p>
    <w:p w14:paraId="3172F5E7">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3.5</w:t>
      </w:r>
      <w:bookmarkStart w:id="26" w:name="_Hlk139301777"/>
      <w:r>
        <w:rPr>
          <w:rFonts w:hint="eastAsia" w:asciiTheme="minorEastAsia" w:hAnsiTheme="minorEastAsia" w:cstheme="minorEastAsia"/>
          <w:color w:val="auto"/>
          <w:sz w:val="24"/>
          <w:szCs w:val="24"/>
          <w:highlight w:val="none"/>
          <w:lang w:val="en-US" w:eastAsia="zh-CN"/>
        </w:rPr>
        <w:t>单位负责人为同一人或者存在直接控股、管理关系的不同投标人，不得参加同一合同项下的采购活动；（提供“国家企业信用信息公示系统”中查询打印的相关信息并加盖公章（查询信息需包含公司基本信息、股东信息及股权变更信息等相关信息，查询日期为本项目公告发布之后至开标截止时间止））</w:t>
      </w:r>
      <w:r>
        <w:rPr>
          <w:rFonts w:hint="eastAsia" w:asciiTheme="minorEastAsia" w:hAnsiTheme="minorEastAsia" w:cstheme="minorEastAsia"/>
          <w:color w:val="auto"/>
          <w:sz w:val="24"/>
          <w:szCs w:val="24"/>
          <w:highlight w:val="none"/>
        </w:rPr>
        <w:t>；</w:t>
      </w:r>
    </w:p>
    <w:p w14:paraId="3A454AEE">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lang w:val="en-US" w:eastAsia="zh-CN"/>
        </w:rPr>
        <w:t>3.6</w:t>
      </w:r>
      <w:bookmarkEnd w:id="26"/>
      <w:r>
        <w:rPr>
          <w:rFonts w:hint="eastAsia" w:asciiTheme="minorEastAsia" w:hAnsiTheme="minorEastAsia" w:cstheme="minorEastAsia"/>
          <w:color w:val="auto"/>
          <w:sz w:val="24"/>
          <w:szCs w:val="24"/>
          <w:highlight w:val="none"/>
        </w:rPr>
        <w:t>本项目不接受联合体投标</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cstheme="minorEastAsia"/>
          <w:color w:val="auto"/>
          <w:sz w:val="24"/>
          <w:szCs w:val="24"/>
          <w:highlight w:val="none"/>
        </w:rPr>
        <w:t>提供非联合体</w:t>
      </w:r>
      <w:r>
        <w:rPr>
          <w:rFonts w:hint="eastAsia" w:asciiTheme="minorEastAsia" w:hAnsiTheme="minorEastAsia" w:cstheme="minorEastAsia"/>
          <w:color w:val="auto"/>
          <w:sz w:val="24"/>
          <w:szCs w:val="24"/>
          <w:highlight w:val="none"/>
          <w:lang w:val="en-US" w:eastAsia="zh-CN"/>
        </w:rPr>
        <w:t>投标</w:t>
      </w:r>
      <w:r>
        <w:rPr>
          <w:rFonts w:hint="eastAsia" w:asciiTheme="minorEastAsia" w:hAnsiTheme="minorEastAsia" w:cstheme="minorEastAsia"/>
          <w:color w:val="auto"/>
          <w:sz w:val="24"/>
          <w:szCs w:val="24"/>
          <w:highlight w:val="none"/>
        </w:rPr>
        <w:t>承诺，格式自拟。</w:t>
      </w:r>
    </w:p>
    <w:p w14:paraId="17EEA3F9">
      <w:pPr>
        <w:widowControl/>
        <w:spacing w:line="360" w:lineRule="auto"/>
        <w:ind w:firstLine="480" w:firstLineChars="200"/>
        <w:jc w:val="left"/>
        <w:rPr>
          <w:rFonts w:ascii="宋体" w:hAnsi="宋体" w:eastAsia="宋体" w:cs="宋体"/>
          <w:b/>
          <w:color w:val="auto"/>
          <w:kern w:val="0"/>
          <w:sz w:val="24"/>
          <w:highlight w:val="none"/>
          <w:lang w:bidi="ar"/>
        </w:rPr>
      </w:pPr>
      <w:r>
        <w:rPr>
          <w:rFonts w:hint="eastAsia" w:ascii="宋体" w:hAnsi="宋体" w:eastAsia="宋体" w:cs="宋体"/>
          <w:b w:val="0"/>
          <w:bCs/>
          <w:color w:val="auto"/>
          <w:kern w:val="0"/>
          <w:sz w:val="24"/>
          <w:highlight w:val="none"/>
          <w:lang w:bidi="ar"/>
        </w:rPr>
        <w:t>注：本次磋商实行资格后审，资格评审以投标文件为准，其上传资料真实性由供应商自行承担，同时供应商要完善主体库。</w:t>
      </w:r>
      <w:r>
        <w:rPr>
          <w:rFonts w:hint="eastAsia" w:ascii="宋体" w:hAnsi="宋体" w:eastAsia="宋体"/>
          <w:b w:val="0"/>
          <w:bCs/>
          <w:color w:val="auto"/>
          <w:sz w:val="24"/>
          <w:szCs w:val="24"/>
          <w:highlight w:val="none"/>
          <w:lang w:val="en-US" w:eastAsia="zh-CN"/>
        </w:rPr>
        <w:t>其中</w:t>
      </w:r>
      <w:r>
        <w:rPr>
          <w:rFonts w:hint="eastAsia" w:ascii="宋体" w:hAnsi="宋体" w:eastAsia="宋体"/>
          <w:b w:val="0"/>
          <w:bCs/>
          <w:color w:val="auto"/>
          <w:sz w:val="24"/>
          <w:szCs w:val="24"/>
          <w:highlight w:val="none"/>
          <w:lang w:eastAsia="zh-CN"/>
        </w:rPr>
        <w:t>银</w:t>
      </w:r>
      <w:r>
        <w:rPr>
          <w:rFonts w:hint="eastAsia" w:ascii="宋体" w:hAnsi="宋体" w:eastAsia="宋体"/>
          <w:color w:val="auto"/>
          <w:sz w:val="24"/>
          <w:szCs w:val="24"/>
          <w:highlight w:val="none"/>
          <w:lang w:eastAsia="zh-CN"/>
        </w:rPr>
        <w:t>行、保险、石油石化、电力、电信等有行业特殊情况的，允许分公司投标，但同一上级公司的两个分支机构不得同时参加投标，分支机构允许使用所属法人单位的相关资料进行投标。</w:t>
      </w:r>
    </w:p>
    <w:p w14:paraId="5E68E678">
      <w:pPr>
        <w:spacing w:line="360" w:lineRule="auto"/>
        <w:ind w:firstLine="566" w:firstLineChars="236"/>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三、获取</w:t>
      </w:r>
      <w:r>
        <w:rPr>
          <w:rFonts w:hint="eastAsia" w:asciiTheme="minorEastAsia" w:hAnsiTheme="minorEastAsia" w:cstheme="minorEastAsia"/>
          <w:color w:val="auto"/>
          <w:sz w:val="24"/>
          <w:szCs w:val="24"/>
          <w:highlight w:val="none"/>
          <w:lang w:val="en-US" w:eastAsia="zh-CN"/>
        </w:rPr>
        <w:t>竞争性磋商</w:t>
      </w:r>
      <w:r>
        <w:rPr>
          <w:rFonts w:hint="eastAsia" w:asciiTheme="minorEastAsia" w:hAnsiTheme="minorEastAsia" w:cstheme="minorEastAsia"/>
          <w:color w:val="auto"/>
          <w:sz w:val="24"/>
          <w:szCs w:val="24"/>
          <w:highlight w:val="none"/>
        </w:rPr>
        <w:t>文件</w:t>
      </w:r>
    </w:p>
    <w:p w14:paraId="32E6AE4F">
      <w:pPr>
        <w:spacing w:line="360" w:lineRule="auto"/>
        <w:ind w:firstLine="566" w:firstLineChars="236"/>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1.时间：2025年12月12日至2025年12月23日，每天上午00:00至12:00，下午12:00至23:59（北京时间，法定节假日除外。）</w:t>
      </w:r>
    </w:p>
    <w:p w14:paraId="238F3DE9">
      <w:pPr>
        <w:spacing w:line="360" w:lineRule="auto"/>
        <w:ind w:firstLine="566" w:firstLineChars="236"/>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2.地点：三门峡市公共资源交易中心网</w:t>
      </w:r>
    </w:p>
    <w:p w14:paraId="4C1A25BF">
      <w:pPr>
        <w:spacing w:line="360" w:lineRule="auto"/>
        <w:ind w:firstLine="566" w:firstLineChars="236"/>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3.方式：供应商凭CA数字证书通过三门峡市公共资源交易中心网（网址：http://gzjy.smx.gov.cn/），点击交易平台选择“市场主体登录”，登陆系统后，点击采购业务-业务管理-招标文件领取菜单-点击领取按钮-领取.smxzf格式的电子招标文件。</w:t>
      </w:r>
    </w:p>
    <w:p w14:paraId="210D0AC2">
      <w:pPr>
        <w:spacing w:line="360" w:lineRule="auto"/>
        <w:ind w:left="563" w:leftChars="268"/>
        <w:jc w:val="left"/>
        <w:rPr>
          <w:rFonts w:asciiTheme="minorEastAsia" w:hAnsiTheme="minorEastAsia" w:cstheme="minorEastAsia"/>
          <w:color w:val="auto"/>
          <w:highlight w:val="none"/>
        </w:rPr>
      </w:pPr>
      <w:r>
        <w:rPr>
          <w:rFonts w:hint="eastAsia" w:asciiTheme="minorEastAsia" w:hAnsiTheme="minorEastAsia" w:cstheme="minorEastAsia"/>
          <w:color w:val="auto"/>
          <w:sz w:val="24"/>
          <w:szCs w:val="24"/>
          <w:highlight w:val="none"/>
        </w:rPr>
        <w:t>办理CA证书：http://gzjy.smx.gov.cn/bzzx/008001/20231102/4defc9b5-408e-47f2-9e9f-1f376a06ee1f.html</w:t>
      </w:r>
    </w:p>
    <w:p w14:paraId="795501A3">
      <w:pPr>
        <w:spacing w:line="360" w:lineRule="auto"/>
        <w:ind w:firstLine="566" w:firstLineChars="236"/>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4.售价：0元</w:t>
      </w:r>
    </w:p>
    <w:p w14:paraId="11DAD757">
      <w:pPr>
        <w:spacing w:line="360" w:lineRule="auto"/>
        <w:ind w:firstLine="566" w:firstLineChars="236"/>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四、投标截止时间(投标文件递交截止时间)及地点</w:t>
      </w:r>
    </w:p>
    <w:p w14:paraId="79805176">
      <w:pPr>
        <w:spacing w:line="360" w:lineRule="auto"/>
        <w:ind w:firstLine="566" w:firstLineChars="236"/>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1.时间：</w:t>
      </w:r>
      <w:r>
        <w:rPr>
          <w:rFonts w:hint="eastAsia" w:asciiTheme="minorEastAsia" w:hAnsiTheme="minorEastAsia" w:cstheme="minorEastAsia"/>
          <w:color w:val="auto"/>
          <w:sz w:val="24"/>
          <w:szCs w:val="24"/>
          <w:highlight w:val="none"/>
          <w:lang w:eastAsia="zh-CN"/>
        </w:rPr>
        <w:t>2025年12月23日08时20分</w:t>
      </w:r>
      <w:r>
        <w:rPr>
          <w:rFonts w:hint="eastAsia" w:asciiTheme="minorEastAsia" w:hAnsiTheme="minorEastAsia" w:cstheme="minorEastAsia"/>
          <w:color w:val="auto"/>
          <w:sz w:val="24"/>
          <w:szCs w:val="24"/>
          <w:highlight w:val="none"/>
        </w:rPr>
        <w:t>。</w:t>
      </w:r>
    </w:p>
    <w:p w14:paraId="5CF3C16B">
      <w:pPr>
        <w:spacing w:line="360" w:lineRule="auto"/>
        <w:ind w:firstLine="566" w:firstLineChars="236"/>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2.地点：加密电子投标文件须在投标截止时间前通过三门峡市公共资源交易中心电子交易平台加密上传。</w:t>
      </w:r>
    </w:p>
    <w:p w14:paraId="07741685">
      <w:pPr>
        <w:spacing w:line="360" w:lineRule="auto"/>
        <w:ind w:firstLine="566" w:firstLineChars="236"/>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rPr>
        <w:t>五、开标时间及地点</w:t>
      </w:r>
    </w:p>
    <w:p w14:paraId="69DE89E8">
      <w:pPr>
        <w:spacing w:line="360" w:lineRule="auto"/>
        <w:ind w:firstLine="566" w:firstLineChars="236"/>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1.时间：</w:t>
      </w:r>
      <w:r>
        <w:rPr>
          <w:rFonts w:hint="eastAsia" w:asciiTheme="minorEastAsia" w:hAnsiTheme="minorEastAsia" w:cstheme="minorEastAsia"/>
          <w:color w:val="auto"/>
          <w:sz w:val="24"/>
          <w:szCs w:val="24"/>
          <w:highlight w:val="none"/>
          <w:lang w:eastAsia="zh-CN"/>
        </w:rPr>
        <w:t>2025年12月23日08时20分</w:t>
      </w:r>
      <w:r>
        <w:rPr>
          <w:rFonts w:hint="eastAsia" w:asciiTheme="minorEastAsia" w:hAnsiTheme="minorEastAsia" w:cstheme="minorEastAsia"/>
          <w:color w:val="auto"/>
          <w:sz w:val="24"/>
          <w:szCs w:val="24"/>
          <w:highlight w:val="none"/>
        </w:rPr>
        <w:t>。</w:t>
      </w:r>
    </w:p>
    <w:p w14:paraId="359774F4">
      <w:pPr>
        <w:spacing w:line="360" w:lineRule="auto"/>
        <w:ind w:firstLine="566" w:firstLineChars="236"/>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cstheme="minorEastAsia"/>
          <w:color w:val="auto"/>
          <w:sz w:val="24"/>
          <w:szCs w:val="24"/>
          <w:highlight w:val="none"/>
        </w:rPr>
        <w:t>2.地点：</w:t>
      </w:r>
      <w:r>
        <w:rPr>
          <w:rFonts w:hint="eastAsia" w:asciiTheme="minorEastAsia" w:hAnsiTheme="minorEastAsia" w:cstheme="minorEastAsia"/>
          <w:color w:val="auto"/>
          <w:sz w:val="24"/>
          <w:szCs w:val="24"/>
          <w:highlight w:val="none"/>
          <w:lang w:val="en-US" w:eastAsia="zh-CN"/>
        </w:rPr>
        <w:t>渑池县公共资源交易中心六楼开标一室</w:t>
      </w:r>
    </w:p>
    <w:p w14:paraId="3B054D48">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六、发布公告的媒介</w:t>
      </w:r>
    </w:p>
    <w:p w14:paraId="51048352">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本次公告在</w:t>
      </w:r>
      <w:r>
        <w:rPr>
          <w:rFonts w:hint="eastAsia" w:asciiTheme="minorEastAsia" w:hAnsiTheme="minorEastAsia" w:cstheme="minorEastAsia"/>
          <w:color w:val="auto"/>
          <w:sz w:val="24"/>
          <w:szCs w:val="24"/>
          <w:highlight w:val="none"/>
          <w:lang w:val="en-US" w:eastAsia="zh-CN"/>
        </w:rPr>
        <w:t>《</w:t>
      </w:r>
      <w:r>
        <w:rPr>
          <w:rFonts w:hint="eastAsia" w:ascii="宋体" w:hAnsi="宋体" w:cs="Calibri"/>
          <w:color w:val="auto"/>
          <w:kern w:val="0"/>
          <w:sz w:val="24"/>
          <w:highlight w:val="none"/>
          <w:lang w:eastAsia="zh-CN"/>
        </w:rPr>
        <w:t>中国招标投标公共服务平台</w:t>
      </w:r>
      <w:r>
        <w:rPr>
          <w:rFonts w:hint="eastAsia" w:asciiTheme="minorEastAsia" w:hAnsiTheme="minorEastAsia" w:cstheme="minorEastAsia"/>
          <w:color w:val="auto"/>
          <w:sz w:val="24"/>
          <w:szCs w:val="24"/>
          <w:highlight w:val="none"/>
          <w:lang w:val="en-US" w:eastAsia="zh-CN"/>
        </w:rPr>
        <w:t>》</w:t>
      </w:r>
      <w:r>
        <w:rPr>
          <w:rFonts w:hint="eastAsia" w:asciiTheme="minorEastAsia" w:hAnsiTheme="minorEastAsia" w:cstheme="minorEastAsia"/>
          <w:color w:val="auto"/>
          <w:sz w:val="24"/>
          <w:szCs w:val="24"/>
          <w:highlight w:val="none"/>
        </w:rPr>
        <w:t>、</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cstheme="minorEastAsia"/>
          <w:color w:val="auto"/>
          <w:sz w:val="24"/>
          <w:szCs w:val="24"/>
          <w:highlight w:val="none"/>
          <w:lang w:val="en-US" w:eastAsia="zh-CN"/>
        </w:rPr>
        <w:t>河南省政府采购网</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cstheme="minorEastAsia"/>
          <w:color w:val="auto"/>
          <w:sz w:val="24"/>
          <w:szCs w:val="24"/>
          <w:highlight w:val="none"/>
        </w:rPr>
        <w:t>《三门峡市公共资源交易中心》上发布。</w:t>
      </w:r>
    </w:p>
    <w:p w14:paraId="6970C95B">
      <w:pPr>
        <w:spacing w:line="360" w:lineRule="auto"/>
        <w:ind w:firstLine="566" w:firstLineChars="236"/>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七、其他补充事宜</w:t>
      </w:r>
    </w:p>
    <w:p w14:paraId="4A965E3C">
      <w:pPr>
        <w:spacing w:line="360" w:lineRule="auto"/>
        <w:ind w:firstLine="484" w:firstLineChars="202"/>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1.本项目为不见面开标项目，开标当日，供应商无需到开标现场参加开标会议，供应商应当在投标截止时间前，登陆不见面开标大厅选择登陆三门峡市公共资源电子招投标系统进行登陆（网址为</w:t>
      </w:r>
      <w:r>
        <w:rPr>
          <w:rFonts w:asciiTheme="minorEastAsia" w:hAnsiTheme="minorEastAsia" w:cstheme="minorEastAsia"/>
          <w:color w:val="auto"/>
          <w:sz w:val="24"/>
          <w:szCs w:val="24"/>
          <w:highlight w:val="none"/>
        </w:rPr>
        <w:t>http://120.194.249.36:10094/BidOpening/bidopeninghallaction/hall/login</w:t>
      </w:r>
      <w:r>
        <w:rPr>
          <w:rFonts w:hint="eastAsia" w:asciiTheme="minorEastAsia" w:hAnsiTheme="minorEastAsia" w:cstheme="minorEastAsia"/>
          <w:color w:val="auto"/>
          <w:sz w:val="24"/>
          <w:szCs w:val="24"/>
          <w:highlight w:val="none"/>
        </w:rPr>
        <w:t>）,在线准时参加开标活动并进行投标文件解密等。每位供应商的解密时间为开标时间起30分钟内完成。因供应商原因未能解密、解密失败或解密超时的将被拒绝。</w:t>
      </w:r>
    </w:p>
    <w:p w14:paraId="6FA0BA42">
      <w:pPr>
        <w:spacing w:line="360" w:lineRule="auto"/>
        <w:ind w:firstLine="484" w:firstLineChars="202"/>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2.本项目为电子化、无纸化交易项目，开标时不再接受任何纸质资料，为保证您能投标成功，请需仔细阅读招标文件和三门峡市公共资源交易中心官网业务办理指南。</w:t>
      </w:r>
    </w:p>
    <w:p w14:paraId="50BC0EF8">
      <w:pPr>
        <w:spacing w:line="360" w:lineRule="auto"/>
        <w:ind w:firstLine="484" w:firstLineChars="202"/>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3.根据《河南省财政厅关于优化政府采购营商环境有关问题的通知》（豫财购【2019】4号）第6条的规定，投标保证金不再收取。</w:t>
      </w:r>
    </w:p>
    <w:p w14:paraId="3C5F8C53">
      <w:pPr>
        <w:spacing w:line="360" w:lineRule="auto"/>
        <w:ind w:firstLine="484" w:firstLineChars="202"/>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4.</w:t>
      </w:r>
      <w:r>
        <w:rPr>
          <w:rFonts w:hint="eastAsia"/>
          <w:color w:val="auto"/>
          <w:sz w:val="24"/>
          <w:szCs w:val="24"/>
          <w:highlight w:val="none"/>
        </w:rPr>
        <w:t xml:space="preserve"> </w:t>
      </w:r>
      <w:r>
        <w:rPr>
          <w:rFonts w:hint="eastAsia" w:asciiTheme="minorEastAsia" w:hAnsiTheme="minorEastAsia" w:cstheme="minorEastAsia"/>
          <w:color w:val="auto"/>
          <w:sz w:val="24"/>
          <w:szCs w:val="24"/>
          <w:highlight w:val="none"/>
        </w:rPr>
        <w:t>资格评（预）审部分：资格评（预）以投标文件为准，其上传资料真实性由</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cstheme="minorEastAsia"/>
          <w:color w:val="auto"/>
          <w:sz w:val="24"/>
          <w:szCs w:val="24"/>
          <w:highlight w:val="none"/>
        </w:rPr>
        <w:t>自行承担。同时，</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cstheme="minorEastAsia"/>
          <w:color w:val="auto"/>
          <w:sz w:val="24"/>
          <w:szCs w:val="24"/>
          <w:highlight w:val="none"/>
        </w:rPr>
        <w:t>应在开标前自行完善主体库信息。</w:t>
      </w:r>
    </w:p>
    <w:p w14:paraId="32FD8E56">
      <w:pPr>
        <w:spacing w:line="360" w:lineRule="auto"/>
        <w:ind w:firstLine="484" w:firstLineChars="202"/>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5.评标打分部分：评标打分部分仍按照100分制原则进行，涉及到资格审查、企业荣誉、企业业绩等计分部分时，以投标单位自行上传到投标文件中的相应内容为准。</w:t>
      </w:r>
    </w:p>
    <w:p w14:paraId="347F6C08">
      <w:pPr>
        <w:spacing w:line="360" w:lineRule="auto"/>
        <w:ind w:firstLine="484" w:firstLineChars="202"/>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6.在招标文件中要求供应商按照投标文件格式进行投标文件编制，在投标文件编制时，应明确将供应商企业基本情况、人员情况、财务情况、业绩情况编入投标文件，便于进行资格审查及评标打分。</w:t>
      </w:r>
    </w:p>
    <w:p w14:paraId="5DD75858">
      <w:pPr>
        <w:spacing w:line="360" w:lineRule="auto"/>
        <w:ind w:firstLine="484" w:firstLineChars="202"/>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7.我单位（采购人）严格按三财购【2021】9号文要求的时限发布中标结果公告，发出中标通知书，签订采购合同，上传采购合同。</w:t>
      </w:r>
    </w:p>
    <w:p w14:paraId="4F20F7D2">
      <w:pPr>
        <w:spacing w:line="360" w:lineRule="auto"/>
        <w:ind w:firstLine="484" w:firstLineChars="202"/>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八、凡对本次招标提出询问，请按照以下方式联系</w:t>
      </w:r>
    </w:p>
    <w:p w14:paraId="1D3B7995">
      <w:pPr>
        <w:spacing w:line="360" w:lineRule="auto"/>
        <w:ind w:firstLine="484" w:firstLineChars="202"/>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w:t>
      </w:r>
      <w:bookmarkStart w:id="27" w:name="_Hlk139302531"/>
      <w:r>
        <w:rPr>
          <w:rFonts w:hint="eastAsia" w:asciiTheme="minorEastAsia" w:hAnsiTheme="minorEastAsia" w:cstheme="minorEastAsia"/>
          <w:color w:val="auto"/>
          <w:sz w:val="24"/>
          <w:szCs w:val="24"/>
          <w:highlight w:val="none"/>
        </w:rPr>
        <w:t>监督单位：渑池县政府采购办公室</w:t>
      </w:r>
      <w:bookmarkEnd w:id="27"/>
    </w:p>
    <w:p w14:paraId="585A795D">
      <w:pPr>
        <w:spacing w:line="360" w:lineRule="auto"/>
        <w:ind w:firstLine="484" w:firstLineChars="202"/>
        <w:rPr>
          <w:rFonts w:hint="eastAsia"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联系方式：</w:t>
      </w:r>
      <w:bookmarkStart w:id="28" w:name="_Hlk139302540"/>
      <w:r>
        <w:rPr>
          <w:rFonts w:hint="eastAsia" w:asciiTheme="minorEastAsia" w:hAnsiTheme="minorEastAsia" w:cstheme="minorEastAsia"/>
          <w:color w:val="auto"/>
          <w:sz w:val="24"/>
          <w:szCs w:val="24"/>
          <w:highlight w:val="none"/>
        </w:rPr>
        <w:t>0398-4818677</w:t>
      </w:r>
      <w:bookmarkEnd w:id="28"/>
    </w:p>
    <w:p w14:paraId="0A87D077">
      <w:pPr>
        <w:spacing w:line="360" w:lineRule="auto"/>
        <w:ind w:firstLine="484" w:firstLineChars="202"/>
        <w:rPr>
          <w:rFonts w:hint="eastAsia" w:asciiTheme="minorEastAsia" w:hAnsiTheme="minorEastAsia" w:cstheme="minorEastAsia"/>
          <w:color w:val="auto"/>
          <w:sz w:val="24"/>
          <w:szCs w:val="24"/>
          <w:highlight w:val="none"/>
          <w:lang w:eastAsia="zh-CN"/>
        </w:rPr>
      </w:pPr>
      <w:bookmarkStart w:id="29" w:name="_Toc27640"/>
      <w:bookmarkStart w:id="30" w:name="_Toc8198"/>
      <w:r>
        <w:rPr>
          <w:rFonts w:hint="eastAsia" w:asciiTheme="minorEastAsia" w:hAnsiTheme="minorEastAsia" w:cstheme="minorEastAsia"/>
          <w:color w:val="auto"/>
          <w:sz w:val="24"/>
          <w:szCs w:val="24"/>
          <w:highlight w:val="none"/>
        </w:rPr>
        <w:t>2、采购人：</w:t>
      </w:r>
      <w:bookmarkEnd w:id="29"/>
      <w:bookmarkEnd w:id="30"/>
      <w:r>
        <w:rPr>
          <w:rFonts w:hint="eastAsia" w:asciiTheme="minorEastAsia" w:hAnsiTheme="minorEastAsia" w:cstheme="minorEastAsia"/>
          <w:color w:val="auto"/>
          <w:sz w:val="24"/>
          <w:szCs w:val="24"/>
          <w:highlight w:val="none"/>
          <w:lang w:eastAsia="zh-CN"/>
        </w:rPr>
        <w:t>渑池县农业农村局</w:t>
      </w:r>
    </w:p>
    <w:p w14:paraId="2D72F5CF">
      <w:pPr>
        <w:spacing w:line="360" w:lineRule="auto"/>
        <w:ind w:firstLine="484" w:firstLineChars="202"/>
        <w:rPr>
          <w:rFonts w:hint="eastAsia" w:asciiTheme="minorEastAsia" w:hAnsiTheme="minorEastAsia" w:cstheme="minorEastAsia"/>
          <w:color w:val="auto"/>
          <w:sz w:val="24"/>
          <w:szCs w:val="24"/>
          <w:highlight w:val="none"/>
          <w:lang w:val="en-US" w:eastAsia="zh-CN"/>
        </w:rPr>
      </w:pPr>
      <w:bookmarkStart w:id="31" w:name="_Toc6612"/>
      <w:r>
        <w:rPr>
          <w:rFonts w:hint="eastAsia" w:asciiTheme="minorEastAsia" w:hAnsiTheme="minorEastAsia" w:cstheme="minorEastAsia"/>
          <w:color w:val="auto"/>
          <w:sz w:val="24"/>
          <w:szCs w:val="24"/>
          <w:highlight w:val="none"/>
        </w:rPr>
        <w:t>地址：</w:t>
      </w:r>
      <w:r>
        <w:rPr>
          <w:rFonts w:hint="eastAsia" w:asciiTheme="minorEastAsia" w:hAnsiTheme="minorEastAsia" w:cstheme="minorEastAsia"/>
          <w:color w:val="auto"/>
          <w:sz w:val="24"/>
          <w:szCs w:val="24"/>
          <w:highlight w:val="none"/>
          <w:lang w:val="en-US" w:eastAsia="zh-CN"/>
        </w:rPr>
        <w:t>渑池县会盟路西段</w:t>
      </w:r>
    </w:p>
    <w:p w14:paraId="0122C0CC">
      <w:pPr>
        <w:spacing w:line="360" w:lineRule="auto"/>
        <w:ind w:firstLine="484" w:firstLineChars="202"/>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rPr>
        <w:t>联系人：</w:t>
      </w:r>
      <w:r>
        <w:rPr>
          <w:rFonts w:hint="eastAsia" w:asciiTheme="minorEastAsia" w:hAnsiTheme="minorEastAsia" w:cstheme="minorEastAsia"/>
          <w:color w:val="auto"/>
          <w:sz w:val="24"/>
          <w:szCs w:val="24"/>
          <w:highlight w:val="none"/>
          <w:lang w:eastAsia="zh-CN"/>
        </w:rPr>
        <w:t>刘超</w:t>
      </w:r>
    </w:p>
    <w:p w14:paraId="5F620F74">
      <w:pPr>
        <w:spacing w:line="360" w:lineRule="auto"/>
        <w:ind w:firstLine="484" w:firstLineChars="202"/>
        <w:rPr>
          <w:rFonts w:hint="default"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rPr>
        <w:t>联系电话：</w:t>
      </w:r>
      <w:r>
        <w:rPr>
          <w:rFonts w:hint="eastAsia" w:asciiTheme="minorEastAsia" w:hAnsiTheme="minorEastAsia" w:cstheme="minorEastAsia"/>
          <w:color w:val="auto"/>
          <w:sz w:val="24"/>
          <w:szCs w:val="24"/>
          <w:highlight w:val="none"/>
          <w:lang w:val="en-US" w:eastAsia="zh-CN"/>
        </w:rPr>
        <w:t>13525216780</w:t>
      </w:r>
    </w:p>
    <w:p w14:paraId="1A203069">
      <w:pPr>
        <w:spacing w:line="360" w:lineRule="auto"/>
        <w:ind w:firstLine="484" w:firstLineChars="202"/>
        <w:rPr>
          <w:rFonts w:hint="eastAsia" w:asciiTheme="minorEastAsia" w:hAnsiTheme="minorEastAsia" w:cstheme="minorEastAsia"/>
          <w:color w:val="auto"/>
          <w:sz w:val="24"/>
          <w:szCs w:val="24"/>
          <w:highlight w:val="none"/>
          <w:lang w:eastAsia="zh-CN"/>
        </w:rPr>
      </w:pPr>
      <w:r>
        <w:rPr>
          <w:rFonts w:hint="eastAsia" w:asciiTheme="minorEastAsia" w:hAnsiTheme="minorEastAsia" w:cstheme="minorEastAsia"/>
          <w:color w:val="auto"/>
          <w:sz w:val="24"/>
          <w:szCs w:val="24"/>
          <w:highlight w:val="none"/>
        </w:rPr>
        <w:t>3、</w:t>
      </w:r>
      <w:bookmarkEnd w:id="31"/>
      <w:r>
        <w:rPr>
          <w:rFonts w:hint="eastAsia" w:asciiTheme="minorEastAsia" w:hAnsiTheme="minorEastAsia" w:cstheme="minorEastAsia"/>
          <w:color w:val="auto"/>
          <w:sz w:val="24"/>
          <w:szCs w:val="24"/>
          <w:highlight w:val="none"/>
          <w:lang w:eastAsia="zh-CN"/>
        </w:rPr>
        <w:t>代理机构：中恒晟（北京)工程管理有限公司</w:t>
      </w:r>
    </w:p>
    <w:p w14:paraId="48B1B492">
      <w:pPr>
        <w:spacing w:line="360" w:lineRule="auto"/>
        <w:ind w:firstLine="484" w:firstLineChars="202"/>
        <w:rPr>
          <w:rFonts w:hint="eastAsia" w:asciiTheme="minorEastAsia" w:hAnsiTheme="minorEastAsia" w:cstheme="minorEastAsia"/>
          <w:color w:val="auto"/>
          <w:sz w:val="24"/>
          <w:szCs w:val="24"/>
          <w:highlight w:val="none"/>
          <w:lang w:eastAsia="zh-CN"/>
        </w:rPr>
      </w:pPr>
      <w:r>
        <w:rPr>
          <w:rFonts w:hint="eastAsia" w:asciiTheme="minorEastAsia" w:hAnsiTheme="minorEastAsia" w:cstheme="minorEastAsia"/>
          <w:color w:val="auto"/>
          <w:sz w:val="24"/>
          <w:szCs w:val="24"/>
          <w:highlight w:val="none"/>
          <w:lang w:eastAsia="zh-CN"/>
        </w:rPr>
        <w:t>联系地址：三门峡市陕州区中心大道与甘山路交叉口鸿庆国际1710</w:t>
      </w:r>
    </w:p>
    <w:p w14:paraId="415A656B">
      <w:pPr>
        <w:spacing w:line="360" w:lineRule="auto"/>
        <w:ind w:firstLine="484" w:firstLineChars="202"/>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 xml:space="preserve">联 系 人：王女士    </w:t>
      </w:r>
    </w:p>
    <w:p w14:paraId="78DF7D43">
      <w:pPr>
        <w:spacing w:line="360" w:lineRule="auto"/>
        <w:ind w:firstLine="484" w:firstLineChars="202"/>
        <w:rPr>
          <w:rFonts w:hint="eastAsia" w:asciiTheme="minorEastAsia" w:hAnsi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联系方式： 15729039636</w:t>
      </w:r>
    </w:p>
    <w:p w14:paraId="509C9ECA">
      <w:pPr>
        <w:spacing w:line="360" w:lineRule="auto"/>
        <w:ind w:firstLine="484" w:firstLineChars="202"/>
        <w:rPr>
          <w:rFonts w:hint="eastAsia" w:asciiTheme="minorEastAsia" w:hAnsiTheme="minorEastAsia" w:cstheme="minorEastAsia"/>
          <w:color w:val="auto"/>
          <w:sz w:val="24"/>
          <w:szCs w:val="24"/>
          <w:highlight w:val="none"/>
        </w:rPr>
      </w:pPr>
    </w:p>
    <w:p w14:paraId="12172855">
      <w:pPr>
        <w:widowControl/>
        <w:jc w:val="left"/>
        <w:rPr>
          <w:rFonts w:ascii="宋体" w:hAnsi="宋体" w:cs="宋体"/>
          <w:color w:val="auto"/>
          <w:sz w:val="24"/>
          <w:highlight w:val="none"/>
        </w:rPr>
      </w:pPr>
      <w:r>
        <w:rPr>
          <w:rFonts w:hint="eastAsia" w:ascii="宋体" w:hAnsi="宋体" w:cs="宋体"/>
          <w:color w:val="auto"/>
          <w:sz w:val="24"/>
          <w:highlight w:val="none"/>
        </w:rPr>
        <w:br w:type="page"/>
      </w:r>
    </w:p>
    <w:p w14:paraId="08A4740C">
      <w:pPr>
        <w:pStyle w:val="3"/>
        <w:bidi w:val="0"/>
        <w:jc w:val="center"/>
        <w:outlineLvl w:val="0"/>
        <w:rPr>
          <w:color w:val="auto"/>
          <w:highlight w:val="none"/>
        </w:rPr>
      </w:pPr>
      <w:bookmarkStart w:id="32" w:name="_Toc18788"/>
      <w:bookmarkStart w:id="33" w:name="_Toc32032"/>
      <w:bookmarkStart w:id="34" w:name="_Toc25665"/>
      <w:bookmarkStart w:id="35" w:name="_Toc10227"/>
      <w:bookmarkStart w:id="36" w:name="_Toc31308"/>
      <w:bookmarkStart w:id="37" w:name="_Toc43302780"/>
      <w:r>
        <w:rPr>
          <w:rFonts w:hint="eastAsia"/>
          <w:color w:val="auto"/>
          <w:highlight w:val="none"/>
        </w:rPr>
        <w:t>第二章</w:t>
      </w:r>
      <w:bookmarkEnd w:id="32"/>
      <w:r>
        <w:rPr>
          <w:rFonts w:hint="eastAsia"/>
          <w:color w:val="auto"/>
          <w:highlight w:val="none"/>
        </w:rPr>
        <w:t xml:space="preserve">  供应商须知</w:t>
      </w:r>
      <w:bookmarkEnd w:id="33"/>
      <w:bookmarkEnd w:id="34"/>
      <w:bookmarkEnd w:id="35"/>
      <w:bookmarkEnd w:id="36"/>
      <w:bookmarkEnd w:id="37"/>
    </w:p>
    <w:p w14:paraId="59DA11A2">
      <w:pPr>
        <w:widowControl/>
        <w:jc w:val="center"/>
        <w:rPr>
          <w:color w:val="auto"/>
          <w:sz w:val="24"/>
          <w:highlight w:val="none"/>
        </w:rPr>
      </w:pPr>
      <w:bookmarkStart w:id="38" w:name="_Toc44996337"/>
      <w:bookmarkEnd w:id="38"/>
      <w:r>
        <w:rPr>
          <w:rFonts w:hint="eastAsia"/>
          <w:color w:val="auto"/>
          <w:sz w:val="24"/>
          <w:highlight w:val="none"/>
        </w:rPr>
        <w:t>供应商须知前附表</w:t>
      </w:r>
    </w:p>
    <w:tbl>
      <w:tblPr>
        <w:tblStyle w:val="13"/>
        <w:tblW w:w="9120" w:type="dxa"/>
        <w:jc w:val="center"/>
        <w:tblLayout w:type="fixed"/>
        <w:tblCellMar>
          <w:top w:w="0" w:type="dxa"/>
          <w:left w:w="108" w:type="dxa"/>
          <w:bottom w:w="0" w:type="dxa"/>
          <w:right w:w="108" w:type="dxa"/>
        </w:tblCellMar>
      </w:tblPr>
      <w:tblGrid>
        <w:gridCol w:w="697"/>
        <w:gridCol w:w="2070"/>
        <w:gridCol w:w="6353"/>
      </w:tblGrid>
      <w:tr w14:paraId="2F734ADE">
        <w:tblPrEx>
          <w:tblCellMar>
            <w:top w:w="0" w:type="dxa"/>
            <w:left w:w="108" w:type="dxa"/>
            <w:bottom w:w="0" w:type="dxa"/>
            <w:right w:w="108" w:type="dxa"/>
          </w:tblCellMar>
        </w:tblPrEx>
        <w:trPr>
          <w:trHeight w:val="411"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42321CFC">
            <w:pPr>
              <w:widowControl/>
              <w:jc w:val="center"/>
              <w:rPr>
                <w:rFonts w:ascii="宋体" w:hAnsi="宋体" w:cs="Calibri"/>
                <w:color w:val="auto"/>
                <w:sz w:val="24"/>
                <w:highlight w:val="none"/>
              </w:rPr>
            </w:pPr>
            <w:r>
              <w:rPr>
                <w:rFonts w:hint="eastAsia" w:ascii="宋体" w:hAnsi="宋体" w:cs="Calibri"/>
                <w:color w:val="auto"/>
                <w:kern w:val="0"/>
                <w:sz w:val="24"/>
                <w:highlight w:val="none"/>
              </w:rPr>
              <w:t>序号</w:t>
            </w:r>
          </w:p>
        </w:tc>
        <w:tc>
          <w:tcPr>
            <w:tcW w:w="2070" w:type="dxa"/>
            <w:tcBorders>
              <w:top w:val="single" w:color="auto" w:sz="4" w:space="0"/>
              <w:left w:val="nil"/>
              <w:bottom w:val="single" w:color="auto" w:sz="4" w:space="0"/>
              <w:right w:val="single" w:color="auto" w:sz="4" w:space="0"/>
            </w:tcBorders>
            <w:vAlign w:val="center"/>
          </w:tcPr>
          <w:p w14:paraId="3F029300">
            <w:pPr>
              <w:widowControl/>
              <w:ind w:firstLine="240" w:firstLineChars="100"/>
              <w:jc w:val="center"/>
              <w:rPr>
                <w:rFonts w:ascii="宋体" w:hAnsi="宋体" w:cs="Calibri"/>
                <w:color w:val="auto"/>
                <w:sz w:val="24"/>
                <w:highlight w:val="none"/>
              </w:rPr>
            </w:pPr>
            <w:r>
              <w:rPr>
                <w:rFonts w:hint="eastAsia" w:ascii="宋体" w:hAnsi="宋体" w:cs="Calibri"/>
                <w:color w:val="auto"/>
                <w:kern w:val="0"/>
                <w:sz w:val="24"/>
                <w:highlight w:val="none"/>
              </w:rPr>
              <w:t>条款名称</w:t>
            </w:r>
          </w:p>
        </w:tc>
        <w:tc>
          <w:tcPr>
            <w:tcW w:w="6353" w:type="dxa"/>
            <w:tcBorders>
              <w:top w:val="single" w:color="auto" w:sz="4" w:space="0"/>
              <w:left w:val="nil"/>
              <w:bottom w:val="single" w:color="auto" w:sz="4" w:space="0"/>
              <w:right w:val="single" w:color="auto" w:sz="4" w:space="0"/>
            </w:tcBorders>
            <w:vAlign w:val="center"/>
          </w:tcPr>
          <w:p w14:paraId="0B26A3C2">
            <w:pPr>
              <w:widowControl/>
              <w:ind w:left="-48" w:leftChars="-23"/>
              <w:jc w:val="center"/>
              <w:rPr>
                <w:rFonts w:ascii="宋体" w:hAnsi="宋体" w:cs="Calibri"/>
                <w:color w:val="auto"/>
                <w:sz w:val="24"/>
                <w:highlight w:val="none"/>
              </w:rPr>
            </w:pPr>
            <w:r>
              <w:rPr>
                <w:rFonts w:hint="eastAsia" w:ascii="宋体" w:hAnsi="宋体" w:cs="Calibri"/>
                <w:color w:val="auto"/>
                <w:kern w:val="0"/>
                <w:sz w:val="24"/>
                <w:highlight w:val="none"/>
              </w:rPr>
              <w:t>编列内容</w:t>
            </w:r>
          </w:p>
        </w:tc>
      </w:tr>
      <w:tr w14:paraId="22560930">
        <w:tblPrEx>
          <w:tblCellMar>
            <w:top w:w="0" w:type="dxa"/>
            <w:left w:w="108" w:type="dxa"/>
            <w:bottom w:w="0" w:type="dxa"/>
            <w:right w:w="108" w:type="dxa"/>
          </w:tblCellMar>
        </w:tblPrEx>
        <w:trPr>
          <w:trHeight w:val="2016"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571E772">
            <w:pPr>
              <w:widowControl/>
              <w:jc w:val="center"/>
              <w:rPr>
                <w:rFonts w:ascii="宋体" w:hAnsi="宋体" w:cs="Calibri"/>
                <w:color w:val="auto"/>
                <w:sz w:val="24"/>
                <w:highlight w:val="none"/>
              </w:rPr>
            </w:pPr>
            <w:r>
              <w:rPr>
                <w:rFonts w:hint="eastAsia" w:ascii="宋体" w:hAnsi="宋体" w:cs="Calibri"/>
                <w:color w:val="auto"/>
                <w:kern w:val="0"/>
                <w:sz w:val="24"/>
                <w:highlight w:val="none"/>
              </w:rPr>
              <w:t>1</w:t>
            </w:r>
          </w:p>
        </w:tc>
        <w:tc>
          <w:tcPr>
            <w:tcW w:w="2070" w:type="dxa"/>
            <w:tcBorders>
              <w:top w:val="single" w:color="auto" w:sz="4" w:space="0"/>
              <w:left w:val="nil"/>
              <w:bottom w:val="single" w:color="auto" w:sz="4" w:space="0"/>
              <w:right w:val="single" w:color="auto" w:sz="4" w:space="0"/>
            </w:tcBorders>
            <w:vAlign w:val="center"/>
          </w:tcPr>
          <w:p w14:paraId="6B26CC74">
            <w:pPr>
              <w:widowControl/>
              <w:jc w:val="center"/>
              <w:rPr>
                <w:rFonts w:ascii="宋体" w:hAnsi="宋体" w:cs="Calibri"/>
                <w:color w:val="auto"/>
                <w:sz w:val="24"/>
                <w:highlight w:val="none"/>
              </w:rPr>
            </w:pPr>
            <w:r>
              <w:rPr>
                <w:rFonts w:hint="eastAsia" w:ascii="宋体" w:hAnsi="宋体" w:cs="Calibri"/>
                <w:color w:val="auto"/>
                <w:sz w:val="24"/>
                <w:highlight w:val="none"/>
              </w:rPr>
              <w:t>采购人</w:t>
            </w:r>
          </w:p>
        </w:tc>
        <w:tc>
          <w:tcPr>
            <w:tcW w:w="6353" w:type="dxa"/>
            <w:tcBorders>
              <w:top w:val="single" w:color="auto" w:sz="4" w:space="0"/>
              <w:left w:val="nil"/>
              <w:bottom w:val="single" w:color="auto" w:sz="4" w:space="0"/>
              <w:right w:val="single" w:color="auto" w:sz="4" w:space="0"/>
            </w:tcBorders>
            <w:vAlign w:val="center"/>
          </w:tcPr>
          <w:p w14:paraId="6A851DB1">
            <w:pPr>
              <w:spacing w:line="480" w:lineRule="exact"/>
              <w:jc w:val="left"/>
              <w:outlineLvl w:val="0"/>
              <w:rPr>
                <w:rFonts w:hint="default" w:ascii="宋体" w:hAnsi="宋体" w:cs="宋体" w:eastAsiaTheme="minorEastAsia"/>
                <w:color w:val="auto"/>
                <w:sz w:val="24"/>
                <w:highlight w:val="none"/>
                <w:lang w:val="en-US" w:eastAsia="zh-CN"/>
              </w:rPr>
            </w:pPr>
            <w:bookmarkStart w:id="39" w:name="_Toc9538"/>
            <w:r>
              <w:rPr>
                <w:rFonts w:hint="default" w:ascii="宋体" w:hAnsi="宋体" w:cs="宋体" w:eastAsiaTheme="minorEastAsia"/>
                <w:color w:val="auto"/>
                <w:sz w:val="24"/>
                <w:highlight w:val="none"/>
                <w:lang w:val="en-US" w:eastAsia="zh-CN"/>
              </w:rPr>
              <w:t>采购人：</w:t>
            </w:r>
            <w:bookmarkEnd w:id="39"/>
            <w:r>
              <w:rPr>
                <w:rFonts w:hint="eastAsia" w:ascii="宋体" w:hAnsi="宋体" w:cs="宋体"/>
                <w:color w:val="auto"/>
                <w:sz w:val="24"/>
                <w:highlight w:val="none"/>
                <w:lang w:val="en-US" w:eastAsia="zh-CN"/>
              </w:rPr>
              <w:t>渑池县农业农村局</w:t>
            </w:r>
          </w:p>
          <w:p w14:paraId="419AE0AC">
            <w:pPr>
              <w:spacing w:line="480" w:lineRule="exact"/>
              <w:jc w:val="left"/>
              <w:outlineLvl w:val="0"/>
              <w:rPr>
                <w:rFonts w:hint="default" w:ascii="宋体" w:hAnsi="宋体" w:cs="宋体" w:eastAsiaTheme="minorEastAsia"/>
                <w:color w:val="auto"/>
                <w:sz w:val="24"/>
                <w:highlight w:val="none"/>
                <w:lang w:val="en-US" w:eastAsia="zh-CN"/>
              </w:rPr>
            </w:pPr>
            <w:r>
              <w:rPr>
                <w:rFonts w:hint="default" w:ascii="宋体" w:hAnsi="宋体" w:cs="宋体" w:eastAsiaTheme="minorEastAsia"/>
                <w:color w:val="auto"/>
                <w:sz w:val="24"/>
                <w:highlight w:val="none"/>
                <w:lang w:val="en-US" w:eastAsia="zh-CN"/>
              </w:rPr>
              <w:t>地址：渑池县会盟路</w:t>
            </w:r>
            <w:r>
              <w:rPr>
                <w:rFonts w:hint="eastAsia" w:ascii="宋体" w:hAnsi="宋体" w:cs="宋体"/>
                <w:color w:val="auto"/>
                <w:sz w:val="24"/>
                <w:highlight w:val="none"/>
                <w:lang w:val="en-US" w:eastAsia="zh-CN"/>
              </w:rPr>
              <w:t>西段</w:t>
            </w:r>
          </w:p>
          <w:p w14:paraId="5349A5FC">
            <w:pPr>
              <w:spacing w:line="480" w:lineRule="exact"/>
              <w:jc w:val="left"/>
              <w:outlineLvl w:val="0"/>
              <w:rPr>
                <w:rFonts w:hint="default" w:ascii="宋体" w:hAnsi="宋体" w:cs="宋体" w:eastAsiaTheme="minorEastAsia"/>
                <w:color w:val="auto"/>
                <w:sz w:val="24"/>
                <w:highlight w:val="none"/>
                <w:lang w:val="en-US" w:eastAsia="zh-CN"/>
              </w:rPr>
            </w:pPr>
            <w:r>
              <w:rPr>
                <w:rFonts w:hint="default" w:ascii="宋体" w:hAnsi="宋体" w:cs="宋体" w:eastAsiaTheme="minorEastAsia"/>
                <w:color w:val="auto"/>
                <w:sz w:val="24"/>
                <w:highlight w:val="none"/>
                <w:lang w:val="en-US" w:eastAsia="zh-CN"/>
              </w:rPr>
              <w:t>联系人：</w:t>
            </w:r>
            <w:r>
              <w:rPr>
                <w:rFonts w:hint="eastAsia" w:ascii="宋体" w:hAnsi="宋体" w:cs="宋体"/>
                <w:color w:val="auto"/>
                <w:sz w:val="24"/>
                <w:highlight w:val="none"/>
                <w:lang w:val="en-US" w:eastAsia="zh-CN"/>
              </w:rPr>
              <w:t>刘超</w:t>
            </w:r>
          </w:p>
          <w:p w14:paraId="21E0A53D">
            <w:pPr>
              <w:spacing w:line="480" w:lineRule="exact"/>
              <w:jc w:val="left"/>
              <w:outlineLvl w:val="0"/>
              <w:rPr>
                <w:rFonts w:hint="default" w:ascii="宋体" w:hAnsi="宋体" w:cs="宋体" w:eastAsiaTheme="minorEastAsia"/>
                <w:color w:val="auto"/>
                <w:sz w:val="24"/>
                <w:highlight w:val="none"/>
                <w:lang w:val="en-US" w:eastAsia="zh-CN"/>
              </w:rPr>
            </w:pPr>
            <w:r>
              <w:rPr>
                <w:rFonts w:hint="default" w:ascii="宋体" w:hAnsi="宋体" w:cs="宋体" w:eastAsiaTheme="minorEastAsia"/>
                <w:color w:val="auto"/>
                <w:sz w:val="24"/>
                <w:highlight w:val="none"/>
                <w:lang w:val="en-US" w:eastAsia="zh-CN"/>
              </w:rPr>
              <w:t>联系电话：</w:t>
            </w:r>
            <w:r>
              <w:rPr>
                <w:rFonts w:hint="eastAsia" w:ascii="宋体" w:hAnsi="宋体" w:cs="宋体"/>
                <w:color w:val="auto"/>
                <w:sz w:val="24"/>
                <w:highlight w:val="none"/>
                <w:lang w:val="en-US" w:eastAsia="zh-CN"/>
              </w:rPr>
              <w:t>13525216780</w:t>
            </w:r>
          </w:p>
        </w:tc>
      </w:tr>
      <w:tr w14:paraId="0BFDF5CF">
        <w:tblPrEx>
          <w:tblCellMar>
            <w:top w:w="0" w:type="dxa"/>
            <w:left w:w="108" w:type="dxa"/>
            <w:bottom w:w="0" w:type="dxa"/>
            <w:right w:w="108" w:type="dxa"/>
          </w:tblCellMar>
        </w:tblPrEx>
        <w:trPr>
          <w:trHeight w:val="1996"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493C11AE">
            <w:pPr>
              <w:widowControl/>
              <w:jc w:val="center"/>
              <w:rPr>
                <w:rFonts w:ascii="宋体" w:hAnsi="宋体" w:cs="Calibri"/>
                <w:color w:val="auto"/>
                <w:sz w:val="24"/>
                <w:highlight w:val="none"/>
              </w:rPr>
            </w:pPr>
            <w:r>
              <w:rPr>
                <w:rFonts w:hint="eastAsia" w:ascii="宋体" w:hAnsi="宋体" w:cs="Calibri"/>
                <w:color w:val="auto"/>
                <w:kern w:val="0"/>
                <w:sz w:val="24"/>
                <w:highlight w:val="none"/>
              </w:rPr>
              <w:t>2</w:t>
            </w:r>
          </w:p>
        </w:tc>
        <w:tc>
          <w:tcPr>
            <w:tcW w:w="2070" w:type="dxa"/>
            <w:tcBorders>
              <w:top w:val="single" w:color="auto" w:sz="4" w:space="0"/>
              <w:left w:val="nil"/>
              <w:bottom w:val="single" w:color="auto" w:sz="4" w:space="0"/>
              <w:right w:val="single" w:color="auto" w:sz="4" w:space="0"/>
            </w:tcBorders>
            <w:vAlign w:val="center"/>
          </w:tcPr>
          <w:p w14:paraId="4536884E">
            <w:pPr>
              <w:widowControl/>
              <w:jc w:val="center"/>
              <w:rPr>
                <w:rFonts w:ascii="宋体" w:hAnsi="宋体" w:cs="Calibri"/>
                <w:color w:val="auto"/>
                <w:sz w:val="24"/>
                <w:highlight w:val="none"/>
              </w:rPr>
            </w:pPr>
            <w:r>
              <w:rPr>
                <w:rFonts w:hint="eastAsia" w:ascii="宋体" w:hAnsi="宋体" w:cs="Calibri"/>
                <w:color w:val="auto"/>
                <w:kern w:val="0"/>
                <w:sz w:val="24"/>
                <w:highlight w:val="none"/>
              </w:rPr>
              <w:t>采购代理机构</w:t>
            </w:r>
          </w:p>
        </w:tc>
        <w:tc>
          <w:tcPr>
            <w:tcW w:w="6353" w:type="dxa"/>
            <w:tcBorders>
              <w:top w:val="single" w:color="auto" w:sz="4" w:space="0"/>
              <w:left w:val="nil"/>
              <w:bottom w:val="single" w:color="auto" w:sz="4" w:space="0"/>
              <w:right w:val="single" w:color="auto" w:sz="4" w:space="0"/>
            </w:tcBorders>
            <w:vAlign w:val="center"/>
          </w:tcPr>
          <w:p w14:paraId="6D450D2E">
            <w:pPr>
              <w:spacing w:line="480" w:lineRule="exact"/>
              <w:jc w:val="left"/>
              <w:outlineLvl w:val="0"/>
              <w:rPr>
                <w:rFonts w:hint="default" w:ascii="宋体" w:hAnsi="宋体" w:cs="宋体" w:eastAsiaTheme="minorEastAsia"/>
                <w:color w:val="auto"/>
                <w:sz w:val="24"/>
                <w:highlight w:val="none"/>
                <w:lang w:val="en-US" w:eastAsia="zh-CN"/>
              </w:rPr>
            </w:pPr>
            <w:r>
              <w:rPr>
                <w:rFonts w:hint="default" w:ascii="宋体" w:hAnsi="宋体" w:cs="宋体" w:eastAsiaTheme="minorEastAsia"/>
                <w:color w:val="auto"/>
                <w:sz w:val="24"/>
                <w:highlight w:val="none"/>
                <w:lang w:val="en-US" w:eastAsia="zh-CN"/>
              </w:rPr>
              <w:t>代理机构：中恒晟（北京)工程管理有限公司</w:t>
            </w:r>
          </w:p>
          <w:p w14:paraId="0DDDF210">
            <w:pPr>
              <w:spacing w:line="480" w:lineRule="exact"/>
              <w:jc w:val="left"/>
              <w:outlineLvl w:val="0"/>
              <w:rPr>
                <w:rFonts w:hint="default" w:ascii="宋体" w:hAnsi="宋体" w:cs="宋体" w:eastAsiaTheme="minorEastAsia"/>
                <w:color w:val="auto"/>
                <w:sz w:val="24"/>
                <w:highlight w:val="none"/>
                <w:lang w:val="en-US" w:eastAsia="zh-CN"/>
              </w:rPr>
            </w:pPr>
            <w:r>
              <w:rPr>
                <w:rFonts w:hint="default" w:ascii="宋体" w:hAnsi="宋体" w:cs="宋体" w:eastAsiaTheme="minorEastAsia"/>
                <w:color w:val="auto"/>
                <w:sz w:val="24"/>
                <w:highlight w:val="none"/>
                <w:lang w:val="en-US" w:eastAsia="zh-CN"/>
              </w:rPr>
              <w:t>联系地址：三门峡市陕州区中心大道与甘山路交叉口鸿庆国际1710</w:t>
            </w:r>
          </w:p>
          <w:p w14:paraId="78BB1FB1">
            <w:pPr>
              <w:spacing w:line="480" w:lineRule="exact"/>
              <w:jc w:val="left"/>
              <w:outlineLvl w:val="0"/>
              <w:rPr>
                <w:rFonts w:hint="default" w:ascii="宋体" w:hAnsi="宋体" w:cs="宋体" w:eastAsiaTheme="minorEastAsia"/>
                <w:color w:val="auto"/>
                <w:sz w:val="24"/>
                <w:highlight w:val="none"/>
                <w:lang w:val="en-US" w:eastAsia="zh-CN"/>
              </w:rPr>
            </w:pPr>
            <w:r>
              <w:rPr>
                <w:rFonts w:hint="default" w:ascii="宋体" w:hAnsi="宋体" w:cs="宋体" w:eastAsiaTheme="minorEastAsia"/>
                <w:color w:val="auto"/>
                <w:sz w:val="24"/>
                <w:highlight w:val="none"/>
                <w:lang w:val="en-US" w:eastAsia="zh-CN"/>
              </w:rPr>
              <w:t xml:space="preserve">联 系 人：王女士    </w:t>
            </w:r>
          </w:p>
          <w:p w14:paraId="6C51F571">
            <w:pPr>
              <w:spacing w:line="480" w:lineRule="exact"/>
              <w:jc w:val="left"/>
              <w:outlineLvl w:val="0"/>
              <w:rPr>
                <w:rFonts w:hint="default" w:ascii="宋体" w:hAnsi="宋体" w:cs="宋体" w:eastAsiaTheme="minorEastAsia"/>
                <w:color w:val="auto"/>
                <w:sz w:val="24"/>
                <w:highlight w:val="none"/>
                <w:lang w:val="en-US" w:eastAsia="zh-CN"/>
              </w:rPr>
            </w:pPr>
            <w:r>
              <w:rPr>
                <w:rFonts w:hint="default" w:ascii="宋体" w:hAnsi="宋体" w:cs="宋体" w:eastAsiaTheme="minorEastAsia"/>
                <w:color w:val="auto"/>
                <w:sz w:val="24"/>
                <w:highlight w:val="none"/>
                <w:lang w:val="en-US" w:eastAsia="zh-CN"/>
              </w:rPr>
              <w:t>联系方式： 15729039636</w:t>
            </w:r>
          </w:p>
        </w:tc>
      </w:tr>
      <w:tr w14:paraId="09181953">
        <w:tblPrEx>
          <w:tblCellMar>
            <w:top w:w="0" w:type="dxa"/>
            <w:left w:w="108" w:type="dxa"/>
            <w:bottom w:w="0" w:type="dxa"/>
            <w:right w:w="108" w:type="dxa"/>
          </w:tblCellMar>
        </w:tblPrEx>
        <w:trPr>
          <w:trHeight w:val="52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58714037">
            <w:pPr>
              <w:widowControl/>
              <w:jc w:val="center"/>
              <w:rPr>
                <w:rFonts w:ascii="宋体" w:hAnsi="宋体" w:cs="Calibri"/>
                <w:color w:val="auto"/>
                <w:sz w:val="24"/>
                <w:highlight w:val="none"/>
              </w:rPr>
            </w:pPr>
            <w:r>
              <w:rPr>
                <w:rFonts w:hint="eastAsia" w:ascii="宋体" w:hAnsi="宋体" w:cs="Calibri"/>
                <w:color w:val="auto"/>
                <w:kern w:val="0"/>
                <w:sz w:val="24"/>
                <w:highlight w:val="none"/>
              </w:rPr>
              <w:t>3</w:t>
            </w:r>
          </w:p>
        </w:tc>
        <w:tc>
          <w:tcPr>
            <w:tcW w:w="2070" w:type="dxa"/>
            <w:tcBorders>
              <w:top w:val="single" w:color="auto" w:sz="4" w:space="0"/>
              <w:left w:val="nil"/>
              <w:bottom w:val="single" w:color="auto" w:sz="4" w:space="0"/>
              <w:right w:val="single" w:color="auto" w:sz="4" w:space="0"/>
            </w:tcBorders>
            <w:vAlign w:val="center"/>
          </w:tcPr>
          <w:p w14:paraId="7A599CA0">
            <w:pPr>
              <w:widowControl/>
              <w:jc w:val="center"/>
              <w:rPr>
                <w:rFonts w:ascii="宋体" w:hAnsi="宋体" w:cs="Calibri"/>
                <w:color w:val="auto"/>
                <w:sz w:val="24"/>
                <w:szCs w:val="24"/>
                <w:highlight w:val="none"/>
              </w:rPr>
            </w:pPr>
            <w:r>
              <w:rPr>
                <w:rFonts w:hint="eastAsia" w:ascii="宋体" w:hAnsi="宋体" w:cs="Calibri"/>
                <w:color w:val="auto"/>
                <w:kern w:val="0"/>
                <w:sz w:val="24"/>
                <w:szCs w:val="24"/>
                <w:highlight w:val="none"/>
              </w:rPr>
              <w:t>项目名称</w:t>
            </w:r>
          </w:p>
        </w:tc>
        <w:tc>
          <w:tcPr>
            <w:tcW w:w="6353" w:type="dxa"/>
            <w:tcBorders>
              <w:top w:val="single" w:color="auto" w:sz="4" w:space="0"/>
              <w:left w:val="nil"/>
              <w:bottom w:val="single" w:color="auto" w:sz="4" w:space="0"/>
              <w:right w:val="single" w:color="auto" w:sz="4" w:space="0"/>
            </w:tcBorders>
            <w:vAlign w:val="center"/>
          </w:tcPr>
          <w:p w14:paraId="45562B1D">
            <w:pPr>
              <w:spacing w:line="360" w:lineRule="auto"/>
              <w:rPr>
                <w:rFonts w:ascii="宋体" w:hAnsi="宋体" w:cs="Calibri"/>
                <w:color w:val="auto"/>
                <w:sz w:val="24"/>
                <w:szCs w:val="24"/>
                <w:highlight w:val="none"/>
              </w:rPr>
            </w:pPr>
            <w:r>
              <w:rPr>
                <w:rFonts w:hint="eastAsia" w:asciiTheme="minorEastAsia" w:hAnsiTheme="minorEastAsia" w:cstheme="minorEastAsia"/>
                <w:color w:val="auto"/>
                <w:sz w:val="24"/>
                <w:szCs w:val="24"/>
                <w:highlight w:val="none"/>
                <w:lang w:eastAsia="zh-CN"/>
              </w:rPr>
              <w:t>渑池县农业农村局农业生产抗旱项目</w:t>
            </w:r>
          </w:p>
        </w:tc>
      </w:tr>
      <w:tr w14:paraId="51229969">
        <w:tblPrEx>
          <w:tblCellMar>
            <w:top w:w="0" w:type="dxa"/>
            <w:left w:w="108" w:type="dxa"/>
            <w:bottom w:w="0" w:type="dxa"/>
            <w:right w:w="108" w:type="dxa"/>
          </w:tblCellMar>
        </w:tblPrEx>
        <w:trPr>
          <w:trHeight w:val="57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20933B6B">
            <w:pPr>
              <w:widowControl/>
              <w:jc w:val="center"/>
              <w:rPr>
                <w:rFonts w:ascii="宋体" w:hAnsi="宋体" w:cs="Calibri"/>
                <w:color w:val="auto"/>
                <w:sz w:val="24"/>
                <w:highlight w:val="none"/>
              </w:rPr>
            </w:pPr>
            <w:r>
              <w:rPr>
                <w:rFonts w:hint="eastAsia" w:ascii="宋体" w:hAnsi="宋体" w:cs="Calibri"/>
                <w:color w:val="auto"/>
                <w:kern w:val="0"/>
                <w:sz w:val="24"/>
                <w:highlight w:val="none"/>
              </w:rPr>
              <w:t>4</w:t>
            </w:r>
          </w:p>
        </w:tc>
        <w:tc>
          <w:tcPr>
            <w:tcW w:w="2070" w:type="dxa"/>
            <w:tcBorders>
              <w:top w:val="single" w:color="auto" w:sz="4" w:space="0"/>
              <w:left w:val="nil"/>
              <w:bottom w:val="single" w:color="auto" w:sz="4" w:space="0"/>
              <w:right w:val="single" w:color="auto" w:sz="4" w:space="0"/>
            </w:tcBorders>
            <w:vAlign w:val="center"/>
          </w:tcPr>
          <w:p w14:paraId="0AA41D70">
            <w:pPr>
              <w:widowControl/>
              <w:jc w:val="center"/>
              <w:rPr>
                <w:rFonts w:ascii="宋体" w:hAnsi="宋体" w:cs="Calibri"/>
                <w:color w:val="auto"/>
                <w:kern w:val="0"/>
                <w:sz w:val="24"/>
                <w:szCs w:val="24"/>
                <w:highlight w:val="none"/>
              </w:rPr>
            </w:pPr>
            <w:r>
              <w:rPr>
                <w:rFonts w:hint="eastAsia" w:ascii="宋体" w:hAnsi="宋体" w:cs="Calibri"/>
                <w:color w:val="auto"/>
                <w:kern w:val="0"/>
                <w:sz w:val="24"/>
                <w:szCs w:val="24"/>
                <w:highlight w:val="none"/>
              </w:rPr>
              <w:t>资金来源</w:t>
            </w:r>
          </w:p>
        </w:tc>
        <w:tc>
          <w:tcPr>
            <w:tcW w:w="6353" w:type="dxa"/>
            <w:tcBorders>
              <w:top w:val="single" w:color="auto" w:sz="4" w:space="0"/>
              <w:left w:val="nil"/>
              <w:bottom w:val="single" w:color="auto" w:sz="4" w:space="0"/>
              <w:right w:val="single" w:color="auto" w:sz="4" w:space="0"/>
            </w:tcBorders>
            <w:vAlign w:val="center"/>
          </w:tcPr>
          <w:p w14:paraId="30810908">
            <w:pPr>
              <w:widowControl/>
              <w:rPr>
                <w:rFonts w:ascii="宋体" w:hAnsi="宋体" w:cs="Calibri"/>
                <w:color w:val="auto"/>
                <w:kern w:val="0"/>
                <w:sz w:val="24"/>
                <w:szCs w:val="24"/>
                <w:highlight w:val="none"/>
              </w:rPr>
            </w:pPr>
            <w:r>
              <w:rPr>
                <w:rFonts w:hint="eastAsia" w:ascii="宋体" w:hAnsi="宋体" w:cs="Calibri"/>
                <w:color w:val="auto"/>
                <w:kern w:val="0"/>
                <w:sz w:val="24"/>
                <w:szCs w:val="24"/>
                <w:highlight w:val="none"/>
                <w:shd w:val="clear" w:color="auto" w:fill="FFFFFF"/>
                <w:lang w:val="en-US" w:eastAsia="zh-CN"/>
              </w:rPr>
              <w:t>财政资金</w:t>
            </w:r>
          </w:p>
        </w:tc>
      </w:tr>
      <w:tr w14:paraId="709700A9">
        <w:tblPrEx>
          <w:tblCellMar>
            <w:top w:w="0" w:type="dxa"/>
            <w:left w:w="108" w:type="dxa"/>
            <w:bottom w:w="0" w:type="dxa"/>
            <w:right w:w="108" w:type="dxa"/>
          </w:tblCellMar>
        </w:tblPrEx>
        <w:trPr>
          <w:trHeight w:val="555"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6692BC67">
            <w:pPr>
              <w:widowControl/>
              <w:jc w:val="center"/>
              <w:rPr>
                <w:rFonts w:ascii="宋体" w:hAnsi="宋体" w:cs="Calibri"/>
                <w:color w:val="auto"/>
                <w:sz w:val="24"/>
                <w:highlight w:val="none"/>
              </w:rPr>
            </w:pPr>
            <w:r>
              <w:rPr>
                <w:rFonts w:hint="eastAsia" w:ascii="宋体" w:hAnsi="宋体" w:cs="Calibri"/>
                <w:color w:val="auto"/>
                <w:kern w:val="0"/>
                <w:sz w:val="24"/>
                <w:highlight w:val="none"/>
              </w:rPr>
              <w:t>5</w:t>
            </w:r>
          </w:p>
        </w:tc>
        <w:tc>
          <w:tcPr>
            <w:tcW w:w="2070" w:type="dxa"/>
            <w:tcBorders>
              <w:top w:val="single" w:color="auto" w:sz="4" w:space="0"/>
              <w:left w:val="nil"/>
              <w:bottom w:val="single" w:color="auto" w:sz="4" w:space="0"/>
              <w:right w:val="single" w:color="auto" w:sz="4" w:space="0"/>
            </w:tcBorders>
            <w:vAlign w:val="center"/>
          </w:tcPr>
          <w:p w14:paraId="0068F858">
            <w:pPr>
              <w:widowControl/>
              <w:jc w:val="center"/>
              <w:rPr>
                <w:rFonts w:ascii="宋体" w:hAnsi="宋体" w:cs="Calibri"/>
                <w:color w:val="auto"/>
                <w:sz w:val="24"/>
                <w:szCs w:val="24"/>
                <w:highlight w:val="none"/>
              </w:rPr>
            </w:pPr>
            <w:r>
              <w:rPr>
                <w:rFonts w:hint="eastAsia" w:ascii="宋体" w:hAnsi="宋体" w:cs="Calibri"/>
                <w:color w:val="auto"/>
                <w:kern w:val="0"/>
                <w:sz w:val="24"/>
                <w:szCs w:val="24"/>
                <w:highlight w:val="none"/>
              </w:rPr>
              <w:t>项目编号</w:t>
            </w:r>
          </w:p>
        </w:tc>
        <w:tc>
          <w:tcPr>
            <w:tcW w:w="6353" w:type="dxa"/>
            <w:tcBorders>
              <w:top w:val="single" w:color="auto" w:sz="4" w:space="0"/>
              <w:left w:val="nil"/>
              <w:bottom w:val="single" w:color="auto" w:sz="4" w:space="0"/>
              <w:right w:val="single" w:color="auto" w:sz="4" w:space="0"/>
            </w:tcBorders>
            <w:vAlign w:val="center"/>
          </w:tcPr>
          <w:p w14:paraId="0284A616">
            <w:pPr>
              <w:widowControl/>
              <w:rPr>
                <w:rFonts w:hint="eastAsia" w:ascii="宋体" w:hAnsi="宋体" w:cs="Calibri" w:eastAsiaTheme="minorEastAsia"/>
                <w:color w:val="auto"/>
                <w:sz w:val="24"/>
                <w:szCs w:val="24"/>
                <w:highlight w:val="none"/>
                <w:shd w:val="clear" w:color="auto" w:fill="FFFFFF"/>
                <w:lang w:val="en-US" w:eastAsia="zh-CN"/>
              </w:rPr>
            </w:pPr>
            <w:r>
              <w:rPr>
                <w:rFonts w:hint="eastAsia" w:ascii="宋体" w:hAnsi="宋体" w:cs="宋体"/>
                <w:color w:val="auto"/>
                <w:sz w:val="24"/>
                <w:szCs w:val="24"/>
                <w:highlight w:val="none"/>
                <w:lang w:val="en-US" w:eastAsia="zh-CN"/>
              </w:rPr>
              <w:t xml:space="preserve">MCGZ[2025]303-ZC238    </w:t>
            </w:r>
            <w:r>
              <w:rPr>
                <w:rFonts w:hint="eastAsia" w:ascii="宋体" w:hAnsi="宋体" w:cs="宋体"/>
                <w:color w:val="auto"/>
                <w:sz w:val="24"/>
                <w:szCs w:val="24"/>
                <w:highlight w:val="none"/>
                <w:lang w:eastAsia="zh-CN"/>
              </w:rPr>
              <w:t>渑池竞磋采购-2025-181</w:t>
            </w:r>
          </w:p>
        </w:tc>
      </w:tr>
      <w:tr w14:paraId="2A080B7E">
        <w:tblPrEx>
          <w:tblCellMar>
            <w:top w:w="0" w:type="dxa"/>
            <w:left w:w="108" w:type="dxa"/>
            <w:bottom w:w="0" w:type="dxa"/>
            <w:right w:w="108" w:type="dxa"/>
          </w:tblCellMar>
        </w:tblPrEx>
        <w:trPr>
          <w:trHeight w:val="628"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041AC571">
            <w:pPr>
              <w:widowControl/>
              <w:jc w:val="center"/>
              <w:rPr>
                <w:rFonts w:ascii="宋体" w:hAnsi="宋体" w:cs="Calibri"/>
                <w:color w:val="auto"/>
                <w:sz w:val="24"/>
                <w:highlight w:val="none"/>
              </w:rPr>
            </w:pPr>
            <w:r>
              <w:rPr>
                <w:rFonts w:hint="eastAsia" w:ascii="宋体" w:hAnsi="宋体" w:cs="Calibri"/>
                <w:color w:val="auto"/>
                <w:kern w:val="0"/>
                <w:sz w:val="24"/>
                <w:highlight w:val="none"/>
              </w:rPr>
              <w:t>6</w:t>
            </w:r>
          </w:p>
        </w:tc>
        <w:tc>
          <w:tcPr>
            <w:tcW w:w="2070" w:type="dxa"/>
            <w:tcBorders>
              <w:top w:val="single" w:color="auto" w:sz="4" w:space="0"/>
              <w:left w:val="nil"/>
              <w:bottom w:val="single" w:color="auto" w:sz="4" w:space="0"/>
              <w:right w:val="single" w:color="auto" w:sz="4" w:space="0"/>
            </w:tcBorders>
            <w:vAlign w:val="center"/>
          </w:tcPr>
          <w:p w14:paraId="26242CC7">
            <w:pPr>
              <w:widowControl/>
              <w:jc w:val="center"/>
              <w:rPr>
                <w:rFonts w:ascii="宋体" w:hAnsi="宋体" w:cs="Calibri"/>
                <w:color w:val="auto"/>
                <w:kern w:val="0"/>
                <w:sz w:val="24"/>
                <w:highlight w:val="none"/>
              </w:rPr>
            </w:pPr>
            <w:r>
              <w:rPr>
                <w:rFonts w:hint="eastAsia" w:ascii="宋体" w:hAnsi="宋体" w:cs="Calibri"/>
                <w:color w:val="auto"/>
                <w:kern w:val="0"/>
                <w:sz w:val="24"/>
                <w:highlight w:val="none"/>
              </w:rPr>
              <w:t>质量要求</w:t>
            </w:r>
          </w:p>
        </w:tc>
        <w:tc>
          <w:tcPr>
            <w:tcW w:w="6353" w:type="dxa"/>
            <w:tcBorders>
              <w:top w:val="single" w:color="auto" w:sz="4" w:space="0"/>
              <w:left w:val="nil"/>
              <w:bottom w:val="single" w:color="auto" w:sz="4" w:space="0"/>
              <w:right w:val="single" w:color="auto" w:sz="4" w:space="0"/>
            </w:tcBorders>
            <w:vAlign w:val="center"/>
          </w:tcPr>
          <w:p w14:paraId="5CEC6706">
            <w:pPr>
              <w:widowControl/>
              <w:rPr>
                <w:rFonts w:hint="eastAsia" w:ascii="宋体" w:hAnsi="宋体" w:cs="Calibri" w:eastAsiaTheme="minorEastAsia"/>
                <w:color w:val="auto"/>
                <w:kern w:val="0"/>
                <w:sz w:val="24"/>
                <w:highlight w:val="none"/>
                <w:lang w:eastAsia="zh-CN"/>
              </w:rPr>
            </w:pPr>
            <w:r>
              <w:rPr>
                <w:rFonts w:hint="eastAsia" w:ascii="宋体" w:hAnsi="宋体" w:cs="宋体"/>
                <w:color w:val="auto"/>
                <w:sz w:val="24"/>
                <w:highlight w:val="none"/>
                <w:lang w:eastAsia="zh-CN"/>
              </w:rPr>
              <w:t>合格</w:t>
            </w:r>
          </w:p>
        </w:tc>
      </w:tr>
      <w:tr w14:paraId="2CB0BA51">
        <w:tblPrEx>
          <w:tblCellMar>
            <w:top w:w="0" w:type="dxa"/>
            <w:left w:w="108" w:type="dxa"/>
            <w:bottom w:w="0" w:type="dxa"/>
            <w:right w:w="108" w:type="dxa"/>
          </w:tblCellMar>
        </w:tblPrEx>
        <w:trPr>
          <w:trHeight w:val="628"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32CDAE21">
            <w:pPr>
              <w:widowControl/>
              <w:jc w:val="center"/>
              <w:rPr>
                <w:rFonts w:ascii="宋体" w:hAnsi="宋体" w:cs="Calibri"/>
                <w:color w:val="auto"/>
                <w:kern w:val="0"/>
                <w:sz w:val="24"/>
                <w:highlight w:val="none"/>
              </w:rPr>
            </w:pPr>
            <w:r>
              <w:rPr>
                <w:rFonts w:hint="eastAsia" w:ascii="宋体" w:hAnsi="宋体" w:cs="Calibri"/>
                <w:color w:val="auto"/>
                <w:kern w:val="0"/>
                <w:sz w:val="24"/>
                <w:highlight w:val="none"/>
              </w:rPr>
              <w:t>7</w:t>
            </w:r>
          </w:p>
        </w:tc>
        <w:tc>
          <w:tcPr>
            <w:tcW w:w="2070" w:type="dxa"/>
            <w:tcBorders>
              <w:top w:val="single" w:color="auto" w:sz="4" w:space="0"/>
              <w:left w:val="nil"/>
              <w:bottom w:val="single" w:color="auto" w:sz="4" w:space="0"/>
              <w:right w:val="single" w:color="auto" w:sz="4" w:space="0"/>
            </w:tcBorders>
            <w:vAlign w:val="center"/>
          </w:tcPr>
          <w:p w14:paraId="0273EEFA">
            <w:pPr>
              <w:widowControl/>
              <w:jc w:val="center"/>
              <w:rPr>
                <w:rFonts w:ascii="宋体" w:hAnsi="宋体" w:cs="Calibri"/>
                <w:color w:val="auto"/>
                <w:kern w:val="0"/>
                <w:sz w:val="24"/>
                <w:highlight w:val="none"/>
              </w:rPr>
            </w:pPr>
            <w:r>
              <w:rPr>
                <w:rFonts w:hint="eastAsia" w:ascii="宋体" w:hAnsi="宋体" w:cs="Calibri"/>
                <w:color w:val="auto"/>
                <w:kern w:val="0"/>
                <w:sz w:val="24"/>
                <w:highlight w:val="none"/>
              </w:rPr>
              <w:t>质保期</w:t>
            </w:r>
          </w:p>
        </w:tc>
        <w:tc>
          <w:tcPr>
            <w:tcW w:w="6353" w:type="dxa"/>
            <w:tcBorders>
              <w:top w:val="single" w:color="auto" w:sz="4" w:space="0"/>
              <w:left w:val="nil"/>
              <w:bottom w:val="single" w:color="auto" w:sz="4" w:space="0"/>
              <w:right w:val="single" w:color="auto" w:sz="4" w:space="0"/>
            </w:tcBorders>
            <w:vAlign w:val="center"/>
          </w:tcPr>
          <w:p w14:paraId="48C2003B">
            <w:pPr>
              <w:widowControl/>
              <w:rPr>
                <w:rFonts w:ascii="宋体" w:hAnsi="宋体" w:cs="Calibri"/>
                <w:color w:val="auto"/>
                <w:sz w:val="24"/>
                <w:highlight w:val="none"/>
              </w:rPr>
            </w:pPr>
            <w:r>
              <w:rPr>
                <w:rFonts w:hint="eastAsia" w:ascii="宋体" w:hAnsi="宋体" w:cs="Calibri"/>
                <w:color w:val="auto"/>
                <w:sz w:val="24"/>
                <w:highlight w:val="none"/>
              </w:rPr>
              <w:t>一年</w:t>
            </w:r>
          </w:p>
        </w:tc>
      </w:tr>
      <w:tr w14:paraId="6AD25A71">
        <w:tblPrEx>
          <w:tblCellMar>
            <w:top w:w="0" w:type="dxa"/>
            <w:left w:w="108" w:type="dxa"/>
            <w:bottom w:w="0" w:type="dxa"/>
            <w:right w:w="108" w:type="dxa"/>
          </w:tblCellMar>
        </w:tblPrEx>
        <w:trPr>
          <w:trHeight w:val="498"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0BAF0371">
            <w:pPr>
              <w:widowControl/>
              <w:jc w:val="center"/>
              <w:rPr>
                <w:rFonts w:ascii="宋体" w:hAnsi="宋体" w:cs="Calibri"/>
                <w:color w:val="auto"/>
                <w:kern w:val="0"/>
                <w:sz w:val="24"/>
                <w:highlight w:val="none"/>
              </w:rPr>
            </w:pPr>
            <w:r>
              <w:rPr>
                <w:rFonts w:hint="eastAsia" w:ascii="宋体" w:hAnsi="宋体" w:cs="Calibri"/>
                <w:color w:val="auto"/>
                <w:kern w:val="0"/>
                <w:sz w:val="24"/>
                <w:highlight w:val="none"/>
              </w:rPr>
              <w:t>8</w:t>
            </w:r>
          </w:p>
        </w:tc>
        <w:tc>
          <w:tcPr>
            <w:tcW w:w="2070" w:type="dxa"/>
            <w:tcBorders>
              <w:top w:val="single" w:color="auto" w:sz="4" w:space="0"/>
              <w:left w:val="nil"/>
              <w:bottom w:val="single" w:color="auto" w:sz="4" w:space="0"/>
              <w:right w:val="single" w:color="auto" w:sz="4" w:space="0"/>
            </w:tcBorders>
            <w:vAlign w:val="center"/>
          </w:tcPr>
          <w:p w14:paraId="372E7D74">
            <w:pPr>
              <w:widowControl/>
              <w:jc w:val="center"/>
              <w:rPr>
                <w:rFonts w:ascii="宋体" w:hAnsi="宋体" w:cs="Calibri"/>
                <w:color w:val="auto"/>
                <w:kern w:val="0"/>
                <w:sz w:val="24"/>
                <w:highlight w:val="none"/>
              </w:rPr>
            </w:pPr>
            <w:r>
              <w:rPr>
                <w:rFonts w:hint="eastAsia" w:ascii="宋体" w:hAnsi="宋体" w:cs="Calibri"/>
                <w:color w:val="auto"/>
                <w:kern w:val="0"/>
                <w:sz w:val="24"/>
                <w:highlight w:val="none"/>
              </w:rPr>
              <w:t>供货期</w:t>
            </w:r>
          </w:p>
        </w:tc>
        <w:tc>
          <w:tcPr>
            <w:tcW w:w="6353" w:type="dxa"/>
            <w:tcBorders>
              <w:top w:val="single" w:color="auto" w:sz="4" w:space="0"/>
              <w:left w:val="nil"/>
              <w:bottom w:val="single" w:color="auto" w:sz="4" w:space="0"/>
              <w:right w:val="single" w:color="auto" w:sz="4" w:space="0"/>
            </w:tcBorders>
            <w:vAlign w:val="center"/>
          </w:tcPr>
          <w:p w14:paraId="05D4A058">
            <w:pPr>
              <w:widowControl/>
              <w:rPr>
                <w:rFonts w:hint="eastAsia" w:ascii="宋体" w:hAnsi="宋体" w:cs="Calibri" w:eastAsiaTheme="minorEastAsia"/>
                <w:color w:val="auto"/>
                <w:sz w:val="24"/>
                <w:highlight w:val="none"/>
                <w:lang w:eastAsia="zh-CN"/>
              </w:rPr>
            </w:pPr>
            <w:r>
              <w:rPr>
                <w:rFonts w:hint="eastAsia" w:ascii="宋体" w:hAnsi="宋体" w:cs="宋体"/>
                <w:color w:val="auto"/>
                <w:sz w:val="24"/>
                <w:highlight w:val="none"/>
                <w:lang w:eastAsia="zh-CN"/>
              </w:rPr>
              <w:t>自合同签订之日起5日历天内</w:t>
            </w:r>
          </w:p>
        </w:tc>
      </w:tr>
      <w:tr w14:paraId="3C8F81F5">
        <w:tblPrEx>
          <w:tblCellMar>
            <w:top w:w="0" w:type="dxa"/>
            <w:left w:w="108" w:type="dxa"/>
            <w:bottom w:w="0" w:type="dxa"/>
            <w:right w:w="108" w:type="dxa"/>
          </w:tblCellMar>
        </w:tblPrEx>
        <w:trPr>
          <w:trHeight w:val="52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01B95E11">
            <w:pPr>
              <w:widowControl/>
              <w:jc w:val="center"/>
              <w:rPr>
                <w:rFonts w:ascii="宋体" w:hAnsi="宋体" w:cs="Calibri"/>
                <w:color w:val="auto"/>
                <w:sz w:val="24"/>
                <w:highlight w:val="none"/>
              </w:rPr>
            </w:pPr>
            <w:r>
              <w:rPr>
                <w:rFonts w:hint="eastAsia" w:ascii="宋体" w:hAnsi="宋体" w:cs="Calibri"/>
                <w:color w:val="auto"/>
                <w:kern w:val="0"/>
                <w:sz w:val="24"/>
                <w:highlight w:val="none"/>
              </w:rPr>
              <w:t>9</w:t>
            </w:r>
          </w:p>
        </w:tc>
        <w:tc>
          <w:tcPr>
            <w:tcW w:w="2070" w:type="dxa"/>
            <w:tcBorders>
              <w:top w:val="single" w:color="auto" w:sz="4" w:space="0"/>
              <w:left w:val="nil"/>
              <w:bottom w:val="single" w:color="auto" w:sz="4" w:space="0"/>
              <w:right w:val="single" w:color="auto" w:sz="4" w:space="0"/>
            </w:tcBorders>
            <w:vAlign w:val="center"/>
          </w:tcPr>
          <w:p w14:paraId="489C4670">
            <w:pPr>
              <w:widowControl/>
              <w:jc w:val="center"/>
              <w:rPr>
                <w:rFonts w:ascii="宋体" w:hAnsi="宋体" w:cs="Calibri"/>
                <w:color w:val="auto"/>
                <w:sz w:val="24"/>
                <w:highlight w:val="none"/>
              </w:rPr>
            </w:pPr>
            <w:r>
              <w:rPr>
                <w:rFonts w:hint="eastAsia" w:ascii="宋体" w:hAnsi="宋体" w:cs="Calibri"/>
                <w:color w:val="auto"/>
                <w:kern w:val="0"/>
                <w:sz w:val="24"/>
                <w:highlight w:val="none"/>
              </w:rPr>
              <w:t>资格要求</w:t>
            </w:r>
          </w:p>
        </w:tc>
        <w:tc>
          <w:tcPr>
            <w:tcW w:w="6353" w:type="dxa"/>
            <w:tcBorders>
              <w:top w:val="single" w:color="auto" w:sz="4" w:space="0"/>
              <w:left w:val="nil"/>
              <w:bottom w:val="single" w:color="auto" w:sz="4" w:space="0"/>
              <w:right w:val="single" w:color="auto" w:sz="4" w:space="0"/>
            </w:tcBorders>
            <w:vAlign w:val="center"/>
          </w:tcPr>
          <w:p w14:paraId="5B6ECF6E">
            <w:pPr>
              <w:widowControl/>
              <w:spacing w:line="360" w:lineRule="auto"/>
              <w:ind w:firstLine="480" w:firstLineChars="200"/>
              <w:jc w:val="left"/>
              <w:rPr>
                <w:rFonts w:hint="eastAsia" w:ascii="宋体" w:hAnsi="宋体" w:eastAsia="宋体" w:cs="宋体"/>
                <w:b w:val="0"/>
                <w:bCs/>
                <w:color w:val="auto"/>
                <w:kern w:val="0"/>
                <w:sz w:val="24"/>
                <w:highlight w:val="none"/>
                <w:lang w:bidi="ar"/>
              </w:rPr>
            </w:pPr>
            <w:r>
              <w:rPr>
                <w:rFonts w:hint="eastAsia" w:ascii="宋体" w:hAnsi="宋体" w:eastAsia="宋体" w:cs="宋体"/>
                <w:b w:val="0"/>
                <w:bCs/>
                <w:color w:val="auto"/>
                <w:kern w:val="0"/>
                <w:sz w:val="24"/>
                <w:highlight w:val="none"/>
                <w:lang w:bidi="ar"/>
              </w:rPr>
              <w:t>1.满足《中华人民共和国政府采购法》第二十二条规定：</w:t>
            </w:r>
          </w:p>
          <w:p w14:paraId="7976606A">
            <w:pPr>
              <w:widowControl/>
              <w:spacing w:line="360" w:lineRule="auto"/>
              <w:ind w:firstLine="480" w:firstLineChars="200"/>
              <w:jc w:val="left"/>
              <w:rPr>
                <w:rFonts w:hint="eastAsia" w:ascii="宋体" w:hAnsi="宋体" w:eastAsia="宋体" w:cs="宋体"/>
                <w:b w:val="0"/>
                <w:bCs/>
                <w:color w:val="auto"/>
                <w:kern w:val="0"/>
                <w:sz w:val="24"/>
                <w:highlight w:val="none"/>
                <w:lang w:bidi="ar"/>
              </w:rPr>
            </w:pPr>
            <w:r>
              <w:rPr>
                <w:rFonts w:hint="eastAsia" w:ascii="宋体" w:hAnsi="宋体" w:eastAsia="宋体" w:cs="宋体"/>
                <w:b w:val="0"/>
                <w:bCs/>
                <w:color w:val="auto"/>
                <w:kern w:val="0"/>
                <w:sz w:val="24"/>
                <w:highlight w:val="none"/>
                <w:lang w:bidi="ar"/>
              </w:rPr>
              <w:t>2.落实政府采购政策满足的资格要求：本项目非专门面向中小微企业采购项目</w:t>
            </w:r>
            <w:bookmarkStart w:id="271" w:name="_GoBack"/>
            <w:bookmarkEnd w:id="271"/>
            <w:r>
              <w:rPr>
                <w:rFonts w:hint="eastAsia" w:ascii="宋体" w:hAnsi="宋体" w:eastAsia="宋体" w:cs="宋体"/>
                <w:b w:val="0"/>
                <w:bCs/>
                <w:color w:val="auto"/>
                <w:kern w:val="0"/>
                <w:sz w:val="24"/>
                <w:highlight w:val="none"/>
                <w:lang w:bidi="ar"/>
              </w:rPr>
              <w:t>，执行优先采购节能环保、环境标志性产品，促进中小企业（监狱企业、残疾人福利性企业）发展等政府采购政策。</w:t>
            </w:r>
          </w:p>
          <w:p w14:paraId="4333BF4B">
            <w:pPr>
              <w:widowControl/>
              <w:spacing w:line="360" w:lineRule="auto"/>
              <w:ind w:firstLine="480" w:firstLineChars="200"/>
              <w:jc w:val="left"/>
              <w:rPr>
                <w:rFonts w:hint="eastAsia" w:ascii="宋体" w:hAnsi="宋体" w:eastAsia="宋体" w:cs="宋体"/>
                <w:b w:val="0"/>
                <w:bCs/>
                <w:color w:val="auto"/>
                <w:kern w:val="0"/>
                <w:sz w:val="24"/>
                <w:highlight w:val="none"/>
                <w:lang w:bidi="ar"/>
              </w:rPr>
            </w:pPr>
            <w:r>
              <w:rPr>
                <w:rFonts w:hint="eastAsia" w:ascii="宋体" w:hAnsi="宋体" w:eastAsia="宋体" w:cs="宋体"/>
                <w:b w:val="0"/>
                <w:bCs/>
                <w:color w:val="auto"/>
                <w:kern w:val="0"/>
                <w:sz w:val="24"/>
                <w:highlight w:val="none"/>
                <w:lang w:bidi="ar"/>
              </w:rPr>
              <w:t>3.本项目的特定资格要求：</w:t>
            </w:r>
          </w:p>
          <w:p w14:paraId="4C403261">
            <w:pPr>
              <w:widowControl/>
              <w:spacing w:line="360" w:lineRule="auto"/>
              <w:ind w:firstLine="480" w:firstLineChars="200"/>
              <w:jc w:val="left"/>
              <w:rPr>
                <w:rFonts w:hint="eastAsia" w:ascii="宋体" w:hAnsi="宋体" w:eastAsia="宋体" w:cs="宋体"/>
                <w:b w:val="0"/>
                <w:bCs/>
                <w:color w:val="auto"/>
                <w:kern w:val="0"/>
                <w:sz w:val="24"/>
                <w:highlight w:val="none"/>
                <w:lang w:bidi="ar"/>
              </w:rPr>
            </w:pPr>
            <w:r>
              <w:rPr>
                <w:rFonts w:hint="eastAsia" w:ascii="宋体" w:hAnsi="宋体" w:eastAsia="宋体" w:cs="宋体"/>
                <w:b w:val="0"/>
                <w:bCs/>
                <w:color w:val="auto"/>
                <w:kern w:val="0"/>
                <w:sz w:val="24"/>
                <w:highlight w:val="none"/>
                <w:lang w:val="en-US" w:eastAsia="zh-CN" w:bidi="ar"/>
              </w:rPr>
              <w:t>3.</w:t>
            </w:r>
            <w:r>
              <w:rPr>
                <w:rFonts w:hint="eastAsia" w:ascii="宋体" w:hAnsi="宋体" w:eastAsia="宋体" w:cs="宋体"/>
                <w:b w:val="0"/>
                <w:bCs/>
                <w:color w:val="auto"/>
                <w:kern w:val="0"/>
                <w:sz w:val="24"/>
                <w:highlight w:val="none"/>
                <w:lang w:bidi="ar"/>
              </w:rPr>
              <w:t>1供应商具有有效的营业执照；</w:t>
            </w:r>
          </w:p>
          <w:p w14:paraId="671BF546">
            <w:pPr>
              <w:widowControl/>
              <w:spacing w:line="360" w:lineRule="auto"/>
              <w:ind w:firstLine="480" w:firstLineChars="200"/>
              <w:jc w:val="left"/>
              <w:rPr>
                <w:rFonts w:hint="eastAsia" w:ascii="宋体" w:hAnsi="宋体" w:eastAsia="宋体" w:cs="宋体"/>
                <w:b w:val="0"/>
                <w:bCs/>
                <w:color w:val="auto"/>
                <w:kern w:val="0"/>
                <w:sz w:val="24"/>
                <w:highlight w:val="none"/>
                <w:lang w:val="en-US" w:eastAsia="zh-CN" w:bidi="ar"/>
              </w:rPr>
            </w:pPr>
            <w:r>
              <w:rPr>
                <w:rFonts w:hint="eastAsia" w:ascii="宋体" w:hAnsi="宋体" w:eastAsia="宋体" w:cs="宋体"/>
                <w:b w:val="0"/>
                <w:bCs/>
                <w:color w:val="auto"/>
                <w:kern w:val="0"/>
                <w:sz w:val="24"/>
                <w:highlight w:val="none"/>
                <w:lang w:val="en-US" w:eastAsia="zh-CN" w:bidi="ar"/>
              </w:rPr>
              <w:t xml:space="preserve">3.2 </w:t>
            </w:r>
            <w:r>
              <w:rPr>
                <w:rFonts w:hint="eastAsia" w:ascii="宋体" w:hAnsi="宋体" w:eastAsia="宋体" w:cs="宋体"/>
                <w:b w:val="0"/>
                <w:bCs/>
                <w:color w:val="auto"/>
                <w:kern w:val="0"/>
                <w:sz w:val="24"/>
                <w:highlight w:val="none"/>
                <w:lang w:bidi="ar"/>
              </w:rPr>
              <w:t>供应商出具无行贿犯罪记录，在中国裁判文书网自行查询或自行承诺（查询对象：企业、法定代表人）；</w:t>
            </w:r>
          </w:p>
          <w:p w14:paraId="1A98902C">
            <w:pPr>
              <w:widowControl/>
              <w:spacing w:line="360" w:lineRule="auto"/>
              <w:ind w:firstLine="480" w:firstLineChars="200"/>
              <w:jc w:val="left"/>
              <w:rPr>
                <w:rFonts w:hint="eastAsia" w:ascii="宋体" w:hAnsi="宋体" w:eastAsia="宋体" w:cs="宋体"/>
                <w:b w:val="0"/>
                <w:bCs/>
                <w:color w:val="auto"/>
                <w:kern w:val="0"/>
                <w:sz w:val="24"/>
                <w:highlight w:val="none"/>
                <w:lang w:bidi="ar"/>
              </w:rPr>
            </w:pPr>
            <w:r>
              <w:rPr>
                <w:rFonts w:hint="eastAsia" w:ascii="宋体" w:hAnsi="宋体" w:eastAsia="宋体" w:cs="宋体"/>
                <w:b w:val="0"/>
                <w:bCs/>
                <w:color w:val="auto"/>
                <w:kern w:val="0"/>
                <w:sz w:val="24"/>
                <w:highlight w:val="none"/>
                <w:lang w:bidi="ar"/>
              </w:rPr>
              <w:t>3</w:t>
            </w:r>
            <w:r>
              <w:rPr>
                <w:rFonts w:hint="eastAsia" w:ascii="宋体" w:hAnsi="宋体" w:eastAsia="宋体" w:cs="宋体"/>
                <w:b w:val="0"/>
                <w:bCs/>
                <w:color w:val="auto"/>
                <w:kern w:val="0"/>
                <w:sz w:val="24"/>
                <w:highlight w:val="none"/>
                <w:lang w:val="en-US" w:eastAsia="zh-CN" w:bidi="ar"/>
              </w:rPr>
              <w:t>.3</w:t>
            </w:r>
            <w:r>
              <w:rPr>
                <w:rFonts w:hint="eastAsia" w:ascii="宋体" w:hAnsi="宋体" w:eastAsia="宋体" w:cs="宋体"/>
                <w:b w:val="0"/>
                <w:bCs/>
                <w:color w:val="auto"/>
                <w:kern w:val="0"/>
                <w:sz w:val="24"/>
                <w:highlight w:val="none"/>
                <w:lang w:bidi="ar"/>
              </w:rPr>
              <w:t>供应商需提供无商业贿赂及无不正当竞争行为的承诺书；</w:t>
            </w:r>
          </w:p>
          <w:p w14:paraId="43051A6F">
            <w:pPr>
              <w:widowControl/>
              <w:spacing w:line="360" w:lineRule="auto"/>
              <w:ind w:firstLine="480" w:firstLineChars="200"/>
              <w:jc w:val="left"/>
              <w:rPr>
                <w:rFonts w:hint="eastAsia" w:ascii="宋体" w:hAnsi="宋体" w:eastAsia="宋体" w:cs="宋体"/>
                <w:b w:val="0"/>
                <w:bCs/>
                <w:color w:val="auto"/>
                <w:kern w:val="0"/>
                <w:sz w:val="24"/>
                <w:highlight w:val="none"/>
                <w:lang w:bidi="ar"/>
              </w:rPr>
            </w:pPr>
            <w:r>
              <w:rPr>
                <w:rFonts w:hint="eastAsia" w:ascii="宋体" w:hAnsi="宋体" w:eastAsia="宋体" w:cs="宋体"/>
                <w:b w:val="0"/>
                <w:bCs/>
                <w:color w:val="auto"/>
                <w:kern w:val="0"/>
                <w:sz w:val="24"/>
                <w:highlight w:val="none"/>
                <w:lang w:val="en-US" w:eastAsia="zh-CN" w:bidi="ar"/>
              </w:rPr>
              <w:t>3.4</w:t>
            </w:r>
            <w:r>
              <w:rPr>
                <w:rFonts w:hint="eastAsia" w:ascii="宋体" w:hAnsi="宋体" w:eastAsia="宋体" w:cs="宋体"/>
                <w:b w:val="0"/>
                <w:bCs/>
                <w:color w:val="auto"/>
                <w:kern w:val="0"/>
                <w:sz w:val="24"/>
                <w:highlight w:val="none"/>
                <w:lang w:bidi="ar"/>
              </w:rPr>
              <w:t>未列入“中国执行信息公开网”http://zxgk.court.gov.cn/shixin网站的“失信被执行人”名单、“信用中国”www.creditchina.gov.cn网站的“重大税收违法失信主体”及中国政府采购网”www.ccgp.gov.cn网站的“政府采购严重违法失信行为记录名单”；（提供“中国执行信息公开网”、“信用中国”和“中国政府采购网”网站的查询信息截图，加盖单位公章，截图需显示查询时间，查询时间：自公告发布之日起至投标截止时间前）；</w:t>
            </w:r>
          </w:p>
          <w:p w14:paraId="2C2AA862">
            <w:pPr>
              <w:widowControl/>
              <w:spacing w:line="360" w:lineRule="auto"/>
              <w:ind w:firstLine="480" w:firstLineChars="200"/>
              <w:jc w:val="left"/>
              <w:rPr>
                <w:rFonts w:hint="eastAsia" w:ascii="宋体" w:hAnsi="宋体" w:eastAsia="宋体" w:cs="宋体"/>
                <w:b w:val="0"/>
                <w:bCs/>
                <w:color w:val="auto"/>
                <w:kern w:val="0"/>
                <w:sz w:val="24"/>
                <w:highlight w:val="none"/>
                <w:lang w:bidi="ar"/>
              </w:rPr>
            </w:pPr>
            <w:r>
              <w:rPr>
                <w:rFonts w:hint="eastAsia" w:ascii="宋体" w:hAnsi="宋体" w:eastAsia="宋体" w:cs="宋体"/>
                <w:b w:val="0"/>
                <w:bCs/>
                <w:color w:val="auto"/>
                <w:kern w:val="0"/>
                <w:sz w:val="24"/>
                <w:highlight w:val="none"/>
                <w:lang w:val="en-US" w:eastAsia="zh-CN" w:bidi="ar"/>
              </w:rPr>
              <w:t>3.5单位负责人为同一人或者存在直接控股、管理关系的不同投标人，不得参加同一合同项下的采购活动；（提供“国家企业信用信息公示系统”中查询打印的相关信息并加盖公章（查询信息需包含公司基本信息、股东信息及股权变更信息等相关信息，查询日期为本项目公告发布之后至开标截止时间止））</w:t>
            </w:r>
            <w:r>
              <w:rPr>
                <w:rFonts w:hint="eastAsia" w:ascii="宋体" w:hAnsi="宋体" w:eastAsia="宋体" w:cs="宋体"/>
                <w:b w:val="0"/>
                <w:bCs/>
                <w:color w:val="auto"/>
                <w:kern w:val="0"/>
                <w:sz w:val="24"/>
                <w:highlight w:val="none"/>
                <w:lang w:bidi="ar"/>
              </w:rPr>
              <w:t>；</w:t>
            </w:r>
          </w:p>
          <w:p w14:paraId="6A3FA9B3">
            <w:pPr>
              <w:widowControl/>
              <w:spacing w:line="360" w:lineRule="auto"/>
              <w:ind w:firstLine="480" w:firstLineChars="200"/>
              <w:jc w:val="left"/>
              <w:rPr>
                <w:rFonts w:hint="eastAsia" w:ascii="宋体" w:hAnsi="宋体" w:eastAsia="宋体" w:cs="宋体"/>
                <w:b w:val="0"/>
                <w:bCs/>
                <w:color w:val="auto"/>
                <w:kern w:val="0"/>
                <w:sz w:val="24"/>
                <w:highlight w:val="none"/>
                <w:lang w:bidi="ar"/>
              </w:rPr>
            </w:pPr>
            <w:r>
              <w:rPr>
                <w:rFonts w:hint="eastAsia" w:ascii="宋体" w:hAnsi="宋体" w:eastAsia="宋体" w:cs="宋体"/>
                <w:b w:val="0"/>
                <w:bCs/>
                <w:color w:val="auto"/>
                <w:kern w:val="0"/>
                <w:sz w:val="24"/>
                <w:highlight w:val="none"/>
                <w:lang w:val="en-US" w:eastAsia="zh-CN" w:bidi="ar"/>
              </w:rPr>
              <w:t>3.6</w:t>
            </w:r>
            <w:r>
              <w:rPr>
                <w:rFonts w:hint="eastAsia" w:ascii="宋体" w:hAnsi="宋体" w:eastAsia="宋体" w:cs="宋体"/>
                <w:b w:val="0"/>
                <w:bCs/>
                <w:color w:val="auto"/>
                <w:kern w:val="0"/>
                <w:sz w:val="24"/>
                <w:highlight w:val="none"/>
                <w:lang w:bidi="ar"/>
              </w:rPr>
              <w:t>本项目不接受联合体投标</w:t>
            </w:r>
            <w:r>
              <w:rPr>
                <w:rFonts w:hint="eastAsia" w:ascii="宋体" w:hAnsi="宋体" w:eastAsia="宋体" w:cs="宋体"/>
                <w:b w:val="0"/>
                <w:bCs/>
                <w:color w:val="auto"/>
                <w:kern w:val="0"/>
                <w:sz w:val="24"/>
                <w:highlight w:val="none"/>
                <w:lang w:eastAsia="zh-CN" w:bidi="ar"/>
              </w:rPr>
              <w:t>，</w:t>
            </w:r>
            <w:r>
              <w:rPr>
                <w:rFonts w:hint="eastAsia" w:ascii="宋体" w:hAnsi="宋体" w:eastAsia="宋体" w:cs="宋体"/>
                <w:b w:val="0"/>
                <w:bCs/>
                <w:color w:val="auto"/>
                <w:kern w:val="0"/>
                <w:sz w:val="24"/>
                <w:highlight w:val="none"/>
                <w:lang w:bidi="ar"/>
              </w:rPr>
              <w:t>提供非联合体</w:t>
            </w:r>
            <w:r>
              <w:rPr>
                <w:rFonts w:hint="eastAsia" w:ascii="宋体" w:hAnsi="宋体" w:eastAsia="宋体" w:cs="宋体"/>
                <w:b w:val="0"/>
                <w:bCs/>
                <w:color w:val="auto"/>
                <w:kern w:val="0"/>
                <w:sz w:val="24"/>
                <w:highlight w:val="none"/>
                <w:lang w:val="en-US" w:eastAsia="zh-CN" w:bidi="ar"/>
              </w:rPr>
              <w:t>投标</w:t>
            </w:r>
            <w:r>
              <w:rPr>
                <w:rFonts w:hint="eastAsia" w:ascii="宋体" w:hAnsi="宋体" w:eastAsia="宋体" w:cs="宋体"/>
                <w:b w:val="0"/>
                <w:bCs/>
                <w:color w:val="auto"/>
                <w:kern w:val="0"/>
                <w:sz w:val="24"/>
                <w:highlight w:val="none"/>
                <w:lang w:bidi="ar"/>
              </w:rPr>
              <w:t>承诺，格式自拟。</w:t>
            </w:r>
          </w:p>
          <w:p w14:paraId="402877CB">
            <w:pPr>
              <w:widowControl/>
              <w:spacing w:line="360" w:lineRule="auto"/>
              <w:ind w:firstLine="480" w:firstLineChars="200"/>
              <w:jc w:val="left"/>
              <w:rPr>
                <w:rFonts w:ascii="宋体" w:hAnsi="宋体" w:eastAsia="宋体" w:cs="宋体"/>
                <w:b/>
                <w:color w:val="auto"/>
                <w:kern w:val="0"/>
                <w:sz w:val="24"/>
                <w:highlight w:val="none"/>
                <w:lang w:bidi="ar"/>
              </w:rPr>
            </w:pPr>
            <w:r>
              <w:rPr>
                <w:rFonts w:hint="eastAsia" w:ascii="宋体" w:hAnsi="宋体" w:eastAsia="宋体" w:cs="宋体"/>
                <w:b w:val="0"/>
                <w:bCs/>
                <w:color w:val="auto"/>
                <w:kern w:val="0"/>
                <w:sz w:val="24"/>
                <w:highlight w:val="none"/>
                <w:lang w:bidi="ar"/>
              </w:rPr>
              <w:t>注：本次磋商实行资格后审，资格评审以投标文件为准，其上传资料真实性由供应商自行承担，同时供应商要完善主体库。</w:t>
            </w:r>
            <w:r>
              <w:rPr>
                <w:rFonts w:hint="eastAsia" w:ascii="宋体" w:hAnsi="宋体" w:eastAsia="宋体"/>
                <w:b w:val="0"/>
                <w:bCs/>
                <w:color w:val="auto"/>
                <w:sz w:val="24"/>
                <w:szCs w:val="24"/>
                <w:highlight w:val="none"/>
                <w:lang w:val="en-US" w:eastAsia="zh-CN"/>
              </w:rPr>
              <w:t>其中</w:t>
            </w:r>
            <w:r>
              <w:rPr>
                <w:rFonts w:hint="eastAsia" w:ascii="宋体" w:hAnsi="宋体" w:eastAsia="宋体"/>
                <w:b w:val="0"/>
                <w:bCs/>
                <w:color w:val="auto"/>
                <w:sz w:val="24"/>
                <w:szCs w:val="24"/>
                <w:highlight w:val="none"/>
                <w:lang w:eastAsia="zh-CN"/>
              </w:rPr>
              <w:t>银</w:t>
            </w:r>
            <w:r>
              <w:rPr>
                <w:rFonts w:hint="eastAsia" w:ascii="宋体" w:hAnsi="宋体" w:eastAsia="宋体"/>
                <w:color w:val="auto"/>
                <w:sz w:val="24"/>
                <w:szCs w:val="24"/>
                <w:highlight w:val="none"/>
                <w:lang w:eastAsia="zh-CN"/>
              </w:rPr>
              <w:t>行、保险、石油石化、电力、电信等有行业特殊情况的，允许分公司投标，但同一上级公司的两个分支机构不得同时参加投标，分支机构允许使用所属法人单位的相关资料进行投标。</w:t>
            </w:r>
          </w:p>
        </w:tc>
      </w:tr>
      <w:tr w14:paraId="54D7A310">
        <w:tblPrEx>
          <w:tblCellMar>
            <w:top w:w="0" w:type="dxa"/>
            <w:left w:w="108" w:type="dxa"/>
            <w:bottom w:w="0" w:type="dxa"/>
            <w:right w:w="108" w:type="dxa"/>
          </w:tblCellMar>
        </w:tblPrEx>
        <w:trPr>
          <w:trHeight w:val="57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EE06C1C">
            <w:pPr>
              <w:widowControl/>
              <w:spacing w:line="360" w:lineRule="auto"/>
              <w:jc w:val="center"/>
              <w:rPr>
                <w:rFonts w:ascii="宋体" w:hAnsi="宋体" w:cs="Calibri"/>
                <w:color w:val="auto"/>
                <w:sz w:val="24"/>
                <w:highlight w:val="none"/>
              </w:rPr>
            </w:pPr>
            <w:r>
              <w:rPr>
                <w:rFonts w:hint="eastAsia" w:ascii="宋体" w:hAnsi="宋体" w:cs="Calibri"/>
                <w:color w:val="auto"/>
                <w:kern w:val="0"/>
                <w:sz w:val="24"/>
                <w:highlight w:val="none"/>
              </w:rPr>
              <w:t>10</w:t>
            </w:r>
          </w:p>
        </w:tc>
        <w:tc>
          <w:tcPr>
            <w:tcW w:w="2070" w:type="dxa"/>
            <w:tcBorders>
              <w:top w:val="single" w:color="auto" w:sz="4" w:space="0"/>
              <w:left w:val="nil"/>
              <w:bottom w:val="single" w:color="auto" w:sz="4" w:space="0"/>
              <w:right w:val="single" w:color="auto" w:sz="4" w:space="0"/>
            </w:tcBorders>
            <w:vAlign w:val="center"/>
          </w:tcPr>
          <w:p w14:paraId="5C464CC4">
            <w:pPr>
              <w:widowControl/>
              <w:spacing w:line="360" w:lineRule="auto"/>
              <w:jc w:val="center"/>
              <w:rPr>
                <w:rFonts w:ascii="宋体" w:hAnsi="宋体" w:cs="Calibri"/>
                <w:color w:val="auto"/>
                <w:sz w:val="24"/>
                <w:highlight w:val="none"/>
              </w:rPr>
            </w:pPr>
            <w:r>
              <w:rPr>
                <w:rFonts w:hint="eastAsia" w:ascii="宋体" w:hAnsi="宋体" w:cs="Calibri"/>
                <w:color w:val="auto"/>
                <w:kern w:val="0"/>
                <w:sz w:val="24"/>
                <w:highlight w:val="none"/>
              </w:rPr>
              <w:t>投标保证金</w:t>
            </w:r>
          </w:p>
        </w:tc>
        <w:tc>
          <w:tcPr>
            <w:tcW w:w="6353" w:type="dxa"/>
            <w:tcBorders>
              <w:top w:val="single" w:color="auto" w:sz="4" w:space="0"/>
              <w:left w:val="nil"/>
              <w:bottom w:val="single" w:color="auto" w:sz="4" w:space="0"/>
              <w:right w:val="single" w:color="auto" w:sz="4" w:space="0"/>
            </w:tcBorders>
            <w:vAlign w:val="center"/>
          </w:tcPr>
          <w:p w14:paraId="213B673B">
            <w:pPr>
              <w:widowControl/>
              <w:spacing w:line="360" w:lineRule="auto"/>
              <w:rPr>
                <w:rFonts w:ascii="宋体" w:hAnsi="宋体" w:cs="Calibri"/>
                <w:color w:val="auto"/>
                <w:sz w:val="24"/>
                <w:highlight w:val="none"/>
              </w:rPr>
            </w:pPr>
            <w:r>
              <w:rPr>
                <w:rFonts w:hint="eastAsia" w:ascii="宋体" w:hAnsi="宋体"/>
                <w:color w:val="auto"/>
                <w:sz w:val="24"/>
                <w:highlight w:val="none"/>
              </w:rPr>
              <w:t>根据《河南省财政厅关于优化政府采购营商环境有关问题的通知》（豫财购【2019】4号）第6条的规定，投标保证金不再收取。</w:t>
            </w:r>
          </w:p>
        </w:tc>
      </w:tr>
      <w:tr w14:paraId="0C51A969">
        <w:tblPrEx>
          <w:tblCellMar>
            <w:top w:w="0" w:type="dxa"/>
            <w:left w:w="108" w:type="dxa"/>
            <w:bottom w:w="0" w:type="dxa"/>
            <w:right w:w="108" w:type="dxa"/>
          </w:tblCellMar>
        </w:tblPrEx>
        <w:trPr>
          <w:trHeight w:val="954"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6A8EB222">
            <w:pPr>
              <w:widowControl/>
              <w:spacing w:line="360" w:lineRule="auto"/>
              <w:jc w:val="center"/>
              <w:rPr>
                <w:rFonts w:ascii="宋体" w:hAnsi="宋体" w:cs="Calibri"/>
                <w:color w:val="auto"/>
                <w:sz w:val="24"/>
                <w:highlight w:val="none"/>
              </w:rPr>
            </w:pPr>
            <w:r>
              <w:rPr>
                <w:rFonts w:hint="eastAsia" w:ascii="宋体" w:hAnsi="宋体" w:cs="Calibri"/>
                <w:color w:val="auto"/>
                <w:kern w:val="0"/>
                <w:sz w:val="24"/>
                <w:highlight w:val="none"/>
              </w:rPr>
              <w:t>11</w:t>
            </w:r>
          </w:p>
        </w:tc>
        <w:tc>
          <w:tcPr>
            <w:tcW w:w="2070" w:type="dxa"/>
            <w:tcBorders>
              <w:top w:val="single" w:color="auto" w:sz="4" w:space="0"/>
              <w:left w:val="nil"/>
              <w:bottom w:val="single" w:color="auto" w:sz="4" w:space="0"/>
              <w:right w:val="single" w:color="auto" w:sz="4" w:space="0"/>
            </w:tcBorders>
            <w:vAlign w:val="center"/>
          </w:tcPr>
          <w:p w14:paraId="454E996A">
            <w:pPr>
              <w:widowControl/>
              <w:spacing w:line="360" w:lineRule="auto"/>
              <w:jc w:val="center"/>
              <w:rPr>
                <w:rFonts w:ascii="宋体" w:hAnsi="宋体" w:cs="Calibri"/>
                <w:color w:val="auto"/>
                <w:sz w:val="24"/>
                <w:highlight w:val="none"/>
              </w:rPr>
            </w:pPr>
            <w:r>
              <w:rPr>
                <w:rFonts w:hint="eastAsia" w:ascii="宋体" w:hAnsi="宋体" w:cs="Calibri"/>
                <w:color w:val="auto"/>
                <w:kern w:val="0"/>
                <w:sz w:val="24"/>
                <w:highlight w:val="none"/>
              </w:rPr>
              <w:t>响应性文件递交截止时间及地点</w:t>
            </w:r>
          </w:p>
        </w:tc>
        <w:tc>
          <w:tcPr>
            <w:tcW w:w="6353" w:type="dxa"/>
            <w:tcBorders>
              <w:top w:val="single" w:color="auto" w:sz="4" w:space="0"/>
              <w:left w:val="nil"/>
              <w:bottom w:val="single" w:color="auto" w:sz="4" w:space="0"/>
              <w:right w:val="single" w:color="auto" w:sz="4" w:space="0"/>
            </w:tcBorders>
            <w:vAlign w:val="center"/>
          </w:tcPr>
          <w:p w14:paraId="23398456">
            <w:pPr>
              <w:widowControl/>
              <w:spacing w:line="360" w:lineRule="auto"/>
              <w:jc w:val="left"/>
              <w:rPr>
                <w:rFonts w:ascii="宋体" w:hAnsi="宋体" w:cs="Calibri"/>
                <w:b/>
                <w:bCs/>
                <w:color w:val="auto"/>
                <w:kern w:val="0"/>
                <w:sz w:val="24"/>
                <w:highlight w:val="none"/>
              </w:rPr>
            </w:pPr>
            <w:r>
              <w:rPr>
                <w:rFonts w:hint="eastAsia" w:ascii="宋体" w:hAnsi="宋体" w:cs="Calibri"/>
                <w:b/>
                <w:bCs/>
                <w:color w:val="auto"/>
                <w:kern w:val="0"/>
                <w:sz w:val="24"/>
                <w:highlight w:val="none"/>
                <w:lang w:eastAsia="zh-CN"/>
              </w:rPr>
              <w:t>2025年12月23日08时20分</w:t>
            </w:r>
            <w:r>
              <w:rPr>
                <w:rFonts w:hint="eastAsia" w:ascii="宋体" w:hAnsi="宋体" w:cs="Calibri"/>
                <w:b/>
                <w:bCs/>
                <w:color w:val="auto"/>
                <w:kern w:val="0"/>
                <w:sz w:val="24"/>
                <w:highlight w:val="none"/>
              </w:rPr>
              <w:t>（北京时间）</w:t>
            </w:r>
          </w:p>
          <w:p w14:paraId="69CB7B04">
            <w:pPr>
              <w:widowControl/>
              <w:spacing w:line="360" w:lineRule="auto"/>
              <w:jc w:val="left"/>
              <w:rPr>
                <w:rFonts w:ascii="宋体" w:hAnsi="宋体" w:cs="Calibri"/>
                <w:b/>
                <w:bCs/>
                <w:color w:val="auto"/>
                <w:kern w:val="0"/>
                <w:sz w:val="24"/>
                <w:highlight w:val="none"/>
              </w:rPr>
            </w:pPr>
            <w:r>
              <w:rPr>
                <w:rFonts w:hint="eastAsia" w:ascii="宋体" w:hAnsi="宋体" w:cs="宋体"/>
                <w:color w:val="auto"/>
                <w:sz w:val="24"/>
                <w:highlight w:val="none"/>
              </w:rPr>
              <w:t>上传至三门峡市公共资源交易中心系统</w:t>
            </w:r>
          </w:p>
        </w:tc>
      </w:tr>
      <w:tr w14:paraId="6E3D26A1">
        <w:tblPrEx>
          <w:tblCellMar>
            <w:top w:w="0" w:type="dxa"/>
            <w:left w:w="108" w:type="dxa"/>
            <w:bottom w:w="0" w:type="dxa"/>
            <w:right w:w="108" w:type="dxa"/>
          </w:tblCellMar>
        </w:tblPrEx>
        <w:trPr>
          <w:trHeight w:val="467"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28676834">
            <w:pPr>
              <w:widowControl/>
              <w:spacing w:line="360" w:lineRule="auto"/>
              <w:jc w:val="center"/>
              <w:rPr>
                <w:rFonts w:ascii="宋体" w:hAnsi="宋体" w:cs="Calibri"/>
                <w:color w:val="auto"/>
                <w:sz w:val="24"/>
                <w:highlight w:val="none"/>
              </w:rPr>
            </w:pPr>
            <w:r>
              <w:rPr>
                <w:rFonts w:hint="eastAsia" w:ascii="宋体" w:hAnsi="宋体" w:cs="Calibri"/>
                <w:color w:val="auto"/>
                <w:kern w:val="0"/>
                <w:sz w:val="24"/>
                <w:highlight w:val="none"/>
              </w:rPr>
              <w:t>12</w:t>
            </w:r>
          </w:p>
        </w:tc>
        <w:tc>
          <w:tcPr>
            <w:tcW w:w="2070" w:type="dxa"/>
            <w:tcBorders>
              <w:top w:val="single" w:color="auto" w:sz="4" w:space="0"/>
              <w:left w:val="nil"/>
              <w:bottom w:val="single" w:color="auto" w:sz="4" w:space="0"/>
              <w:right w:val="single" w:color="auto" w:sz="4" w:space="0"/>
            </w:tcBorders>
            <w:vAlign w:val="center"/>
          </w:tcPr>
          <w:p w14:paraId="3180BBD5">
            <w:pPr>
              <w:widowControl/>
              <w:spacing w:line="360" w:lineRule="auto"/>
              <w:jc w:val="center"/>
              <w:rPr>
                <w:rFonts w:ascii="宋体" w:hAnsi="宋体" w:cs="Calibri"/>
                <w:color w:val="auto"/>
                <w:sz w:val="24"/>
                <w:highlight w:val="none"/>
              </w:rPr>
            </w:pPr>
            <w:r>
              <w:rPr>
                <w:rFonts w:hint="eastAsia" w:ascii="宋体" w:hAnsi="宋体" w:cs="Calibri"/>
                <w:color w:val="auto"/>
                <w:kern w:val="0"/>
                <w:sz w:val="24"/>
                <w:highlight w:val="none"/>
              </w:rPr>
              <w:t>开标时间及地点</w:t>
            </w:r>
          </w:p>
        </w:tc>
        <w:tc>
          <w:tcPr>
            <w:tcW w:w="6353" w:type="dxa"/>
            <w:tcBorders>
              <w:top w:val="single" w:color="auto" w:sz="4" w:space="0"/>
              <w:left w:val="nil"/>
              <w:bottom w:val="single" w:color="auto" w:sz="4" w:space="0"/>
              <w:right w:val="single" w:color="auto" w:sz="4" w:space="0"/>
            </w:tcBorders>
            <w:vAlign w:val="center"/>
          </w:tcPr>
          <w:p w14:paraId="5164572D">
            <w:pPr>
              <w:widowControl/>
              <w:spacing w:line="360" w:lineRule="auto"/>
              <w:jc w:val="left"/>
              <w:rPr>
                <w:rFonts w:ascii="宋体" w:hAnsi="宋体" w:cs="Calibri"/>
                <w:b/>
                <w:bCs/>
                <w:color w:val="auto"/>
                <w:kern w:val="0"/>
                <w:sz w:val="24"/>
                <w:highlight w:val="none"/>
              </w:rPr>
            </w:pPr>
            <w:r>
              <w:rPr>
                <w:rFonts w:hint="eastAsia" w:ascii="宋体" w:hAnsi="宋体" w:cs="Calibri"/>
                <w:b/>
                <w:bCs/>
                <w:color w:val="auto"/>
                <w:kern w:val="0"/>
                <w:sz w:val="24"/>
                <w:highlight w:val="none"/>
                <w:lang w:eastAsia="zh-CN"/>
              </w:rPr>
              <w:t>2025年12月23日08时20分</w:t>
            </w:r>
            <w:r>
              <w:rPr>
                <w:rFonts w:hint="eastAsia" w:ascii="宋体" w:hAnsi="宋体" w:cs="Calibri"/>
                <w:b/>
                <w:bCs/>
                <w:color w:val="auto"/>
                <w:kern w:val="0"/>
                <w:sz w:val="24"/>
                <w:highlight w:val="none"/>
              </w:rPr>
              <w:t>（北京时间）</w:t>
            </w:r>
          </w:p>
          <w:p w14:paraId="3F005479">
            <w:pPr>
              <w:widowControl/>
              <w:spacing w:line="360" w:lineRule="auto"/>
              <w:jc w:val="left"/>
              <w:rPr>
                <w:rFonts w:hint="eastAsia" w:ascii="宋体" w:hAnsi="宋体" w:cs="Calibri" w:eastAsiaTheme="minorEastAsia"/>
                <w:b/>
                <w:bCs/>
                <w:color w:val="auto"/>
                <w:kern w:val="0"/>
                <w:sz w:val="24"/>
                <w:highlight w:val="none"/>
                <w:lang w:eastAsia="zh-CN"/>
              </w:rPr>
            </w:pPr>
            <w:r>
              <w:rPr>
                <w:rFonts w:hint="eastAsia" w:ascii="宋体" w:hAnsi="宋体" w:cs="宋体"/>
                <w:color w:val="auto"/>
                <w:sz w:val="24"/>
                <w:highlight w:val="none"/>
                <w:lang w:eastAsia="zh-CN"/>
              </w:rPr>
              <w:t>渑池县公共资源交易中心六楼开标一室</w:t>
            </w:r>
          </w:p>
        </w:tc>
      </w:tr>
      <w:tr w14:paraId="68677260">
        <w:tblPrEx>
          <w:tblCellMar>
            <w:top w:w="0" w:type="dxa"/>
            <w:left w:w="108" w:type="dxa"/>
            <w:bottom w:w="0" w:type="dxa"/>
            <w:right w:w="108" w:type="dxa"/>
          </w:tblCellMar>
        </w:tblPrEx>
        <w:trPr>
          <w:trHeight w:val="518"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6BA04ACF">
            <w:pPr>
              <w:widowControl/>
              <w:spacing w:line="360" w:lineRule="auto"/>
              <w:jc w:val="center"/>
              <w:rPr>
                <w:rFonts w:ascii="宋体" w:hAnsi="宋体" w:cs="Calibri"/>
                <w:color w:val="auto"/>
                <w:sz w:val="24"/>
                <w:highlight w:val="none"/>
              </w:rPr>
            </w:pPr>
            <w:r>
              <w:rPr>
                <w:rFonts w:hint="eastAsia" w:ascii="宋体" w:hAnsi="宋体" w:cs="Calibri"/>
                <w:color w:val="auto"/>
                <w:kern w:val="0"/>
                <w:sz w:val="24"/>
                <w:highlight w:val="none"/>
              </w:rPr>
              <w:t>13</w:t>
            </w:r>
          </w:p>
        </w:tc>
        <w:tc>
          <w:tcPr>
            <w:tcW w:w="2070" w:type="dxa"/>
            <w:tcBorders>
              <w:top w:val="single" w:color="auto" w:sz="4" w:space="0"/>
              <w:left w:val="nil"/>
              <w:bottom w:val="single" w:color="auto" w:sz="4" w:space="0"/>
              <w:right w:val="single" w:color="auto" w:sz="4" w:space="0"/>
            </w:tcBorders>
            <w:vAlign w:val="center"/>
          </w:tcPr>
          <w:p w14:paraId="6A26348F">
            <w:pPr>
              <w:widowControl/>
              <w:spacing w:line="360" w:lineRule="auto"/>
              <w:jc w:val="center"/>
              <w:rPr>
                <w:rFonts w:ascii="宋体" w:hAnsi="宋体" w:cs="Calibri"/>
                <w:b/>
                <w:bCs/>
                <w:color w:val="auto"/>
                <w:sz w:val="24"/>
                <w:highlight w:val="none"/>
              </w:rPr>
            </w:pPr>
            <w:r>
              <w:rPr>
                <w:rFonts w:hint="eastAsia" w:ascii="宋体" w:hAnsi="宋体" w:cs="Calibri"/>
                <w:color w:val="auto"/>
                <w:sz w:val="24"/>
                <w:highlight w:val="none"/>
              </w:rPr>
              <w:t>招标控制价</w:t>
            </w:r>
          </w:p>
        </w:tc>
        <w:tc>
          <w:tcPr>
            <w:tcW w:w="6353" w:type="dxa"/>
            <w:tcBorders>
              <w:top w:val="single" w:color="auto" w:sz="4" w:space="0"/>
              <w:left w:val="nil"/>
              <w:bottom w:val="single" w:color="auto" w:sz="4" w:space="0"/>
              <w:right w:val="single" w:color="auto" w:sz="4" w:space="0"/>
            </w:tcBorders>
            <w:vAlign w:val="center"/>
          </w:tcPr>
          <w:p w14:paraId="1E9D4288">
            <w:pPr>
              <w:widowControl/>
              <w:spacing w:line="360" w:lineRule="auto"/>
              <w:jc w:val="left"/>
              <w:rPr>
                <w:rFonts w:hint="eastAsia" w:ascii="宋体" w:hAnsi="宋体" w:cs="Calibri" w:eastAsiaTheme="minorEastAsia"/>
                <w:b/>
                <w:bCs/>
                <w:color w:val="auto"/>
                <w:sz w:val="24"/>
                <w:highlight w:val="none"/>
                <w:lang w:eastAsia="zh-CN"/>
              </w:rPr>
            </w:pPr>
            <w:r>
              <w:rPr>
                <w:rFonts w:hint="eastAsia" w:ascii="宋体" w:hAnsi="宋体" w:cs="Calibri"/>
                <w:b/>
                <w:bCs/>
                <w:color w:val="auto"/>
                <w:sz w:val="24"/>
                <w:highlight w:val="none"/>
                <w:lang w:val="en-US" w:eastAsia="zh-CN"/>
              </w:rPr>
              <w:t>300000.00元</w:t>
            </w:r>
          </w:p>
          <w:p w14:paraId="5842228E">
            <w:pPr>
              <w:widowControl/>
              <w:spacing w:line="360" w:lineRule="auto"/>
              <w:jc w:val="left"/>
              <w:rPr>
                <w:rFonts w:ascii="宋体" w:hAnsi="宋体" w:cs="Calibri"/>
                <w:b/>
                <w:bCs/>
                <w:color w:val="auto"/>
                <w:sz w:val="24"/>
                <w:highlight w:val="none"/>
              </w:rPr>
            </w:pPr>
            <w:r>
              <w:rPr>
                <w:rFonts w:hint="eastAsia" w:ascii="宋体" w:hAnsi="宋体" w:cs="Calibri"/>
                <w:b/>
                <w:bCs/>
                <w:color w:val="auto"/>
                <w:sz w:val="24"/>
                <w:highlight w:val="none"/>
              </w:rPr>
              <w:t>供应商的投标报价不得超过最高投标限价，否则视为无效报价。</w:t>
            </w:r>
          </w:p>
        </w:tc>
      </w:tr>
      <w:tr w14:paraId="54407811">
        <w:tblPrEx>
          <w:tblCellMar>
            <w:top w:w="0" w:type="dxa"/>
            <w:left w:w="108" w:type="dxa"/>
            <w:bottom w:w="0" w:type="dxa"/>
            <w:right w:w="108" w:type="dxa"/>
          </w:tblCellMar>
        </w:tblPrEx>
        <w:trPr>
          <w:trHeight w:val="2022"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3993CD5">
            <w:pPr>
              <w:widowControl/>
              <w:spacing w:line="360" w:lineRule="auto"/>
              <w:jc w:val="center"/>
              <w:rPr>
                <w:rFonts w:ascii="宋体" w:hAnsi="宋体" w:cs="Calibri"/>
                <w:color w:val="auto"/>
                <w:sz w:val="24"/>
                <w:highlight w:val="none"/>
              </w:rPr>
            </w:pPr>
            <w:r>
              <w:rPr>
                <w:rFonts w:hint="eastAsia" w:ascii="宋体" w:hAnsi="宋体" w:cs="Calibri"/>
                <w:color w:val="auto"/>
                <w:kern w:val="0"/>
                <w:sz w:val="24"/>
                <w:highlight w:val="none"/>
              </w:rPr>
              <w:t>14</w:t>
            </w:r>
          </w:p>
        </w:tc>
        <w:tc>
          <w:tcPr>
            <w:tcW w:w="2070" w:type="dxa"/>
            <w:tcBorders>
              <w:top w:val="single" w:color="auto" w:sz="4" w:space="0"/>
              <w:left w:val="nil"/>
              <w:bottom w:val="single" w:color="auto" w:sz="4" w:space="0"/>
              <w:right w:val="single" w:color="auto" w:sz="4" w:space="0"/>
            </w:tcBorders>
            <w:vAlign w:val="center"/>
          </w:tcPr>
          <w:p w14:paraId="6189287E">
            <w:pPr>
              <w:widowControl/>
              <w:spacing w:line="360" w:lineRule="auto"/>
              <w:jc w:val="center"/>
              <w:rPr>
                <w:rFonts w:ascii="宋体" w:hAnsi="宋体" w:cs="Calibri"/>
                <w:color w:val="auto"/>
                <w:kern w:val="0"/>
                <w:sz w:val="24"/>
                <w:highlight w:val="none"/>
              </w:rPr>
            </w:pPr>
            <w:r>
              <w:rPr>
                <w:rFonts w:hint="eastAsia" w:ascii="宋体" w:hAnsi="宋体" w:cs="Calibri"/>
                <w:color w:val="auto"/>
                <w:kern w:val="0"/>
                <w:sz w:val="24"/>
                <w:highlight w:val="none"/>
              </w:rPr>
              <w:t>磋商小组的</w:t>
            </w:r>
          </w:p>
          <w:p w14:paraId="36BD040B">
            <w:pPr>
              <w:widowControl/>
              <w:spacing w:line="360" w:lineRule="auto"/>
              <w:jc w:val="center"/>
              <w:rPr>
                <w:rFonts w:ascii="宋体" w:hAnsi="宋体" w:cs="Calibri"/>
                <w:color w:val="auto"/>
                <w:sz w:val="24"/>
                <w:highlight w:val="none"/>
              </w:rPr>
            </w:pPr>
            <w:r>
              <w:rPr>
                <w:rFonts w:hint="eastAsia" w:ascii="宋体" w:hAnsi="宋体" w:cs="Calibri"/>
                <w:color w:val="auto"/>
                <w:kern w:val="0"/>
                <w:sz w:val="24"/>
                <w:highlight w:val="none"/>
              </w:rPr>
              <w:t>组建</w:t>
            </w:r>
          </w:p>
        </w:tc>
        <w:tc>
          <w:tcPr>
            <w:tcW w:w="6353" w:type="dxa"/>
            <w:tcBorders>
              <w:top w:val="single" w:color="auto" w:sz="4" w:space="0"/>
              <w:left w:val="nil"/>
              <w:bottom w:val="single" w:color="auto" w:sz="4" w:space="0"/>
              <w:right w:val="single" w:color="auto" w:sz="4" w:space="0"/>
            </w:tcBorders>
            <w:vAlign w:val="center"/>
          </w:tcPr>
          <w:p w14:paraId="52B313B9">
            <w:pPr>
              <w:widowControl/>
              <w:spacing w:line="360" w:lineRule="auto"/>
              <w:jc w:val="left"/>
              <w:rPr>
                <w:rFonts w:ascii="宋体" w:hAnsi="宋体" w:cs="Calibri"/>
                <w:color w:val="auto"/>
                <w:sz w:val="24"/>
                <w:highlight w:val="none"/>
              </w:rPr>
            </w:pPr>
            <w:r>
              <w:rPr>
                <w:rFonts w:hint="eastAsia" w:ascii="宋体" w:hAnsi="宋体" w:cs="Calibri"/>
                <w:color w:val="auto"/>
                <w:sz w:val="24"/>
                <w:highlight w:val="none"/>
              </w:rPr>
              <w:t>磋商小组构成：3人；</w:t>
            </w:r>
          </w:p>
          <w:p w14:paraId="52D038A3">
            <w:pPr>
              <w:widowControl/>
              <w:spacing w:line="360" w:lineRule="auto"/>
              <w:jc w:val="left"/>
              <w:rPr>
                <w:rFonts w:ascii="宋体" w:hAnsi="宋体" w:cs="Calibri"/>
                <w:color w:val="auto"/>
                <w:sz w:val="24"/>
                <w:highlight w:val="none"/>
              </w:rPr>
            </w:pPr>
            <w:r>
              <w:rPr>
                <w:rFonts w:hint="eastAsia" w:ascii="宋体" w:hAnsi="宋体" w:cs="Calibri"/>
                <w:color w:val="auto"/>
                <w:sz w:val="24"/>
                <w:highlight w:val="none"/>
              </w:rPr>
              <w:t>其中招标人代表1人，经济、技术类专家2人；</w:t>
            </w:r>
          </w:p>
          <w:p w14:paraId="7B7A75CF">
            <w:pPr>
              <w:widowControl/>
              <w:spacing w:line="360" w:lineRule="auto"/>
              <w:jc w:val="left"/>
              <w:rPr>
                <w:rFonts w:ascii="宋体" w:hAnsi="宋体" w:cs="Calibri"/>
                <w:color w:val="auto"/>
                <w:sz w:val="24"/>
                <w:highlight w:val="none"/>
              </w:rPr>
            </w:pPr>
            <w:r>
              <w:rPr>
                <w:rFonts w:hint="eastAsia" w:ascii="宋体" w:hAnsi="宋体" w:cs="Calibri"/>
                <w:color w:val="auto"/>
                <w:sz w:val="24"/>
                <w:highlight w:val="none"/>
              </w:rPr>
              <w:t>评标专家确定方式：</w:t>
            </w:r>
            <w:r>
              <w:rPr>
                <w:rFonts w:hint="eastAsia" w:ascii="宋体" w:hAnsi="宋体" w:eastAsia="宋体" w:cs="宋体"/>
                <w:color w:val="auto"/>
                <w:kern w:val="0"/>
                <w:sz w:val="24"/>
                <w:szCs w:val="24"/>
                <w:highlight w:val="none"/>
              </w:rPr>
              <w:t>开标当天从河南省政府采购网专家库</w:t>
            </w:r>
            <w:r>
              <w:rPr>
                <w:rFonts w:hint="eastAsia" w:ascii="宋体" w:hAnsi="宋体" w:eastAsia="宋体" w:cs="宋体"/>
                <w:color w:val="auto"/>
                <w:kern w:val="0"/>
                <w:sz w:val="24"/>
                <w:szCs w:val="24"/>
                <w:highlight w:val="none"/>
                <w:lang w:val="en-US" w:eastAsia="zh-CN"/>
              </w:rPr>
              <w:t>随机</w:t>
            </w:r>
            <w:r>
              <w:rPr>
                <w:rFonts w:hint="eastAsia" w:ascii="宋体" w:hAnsi="宋体" w:eastAsia="宋体" w:cs="宋体"/>
                <w:color w:val="auto"/>
                <w:kern w:val="0"/>
                <w:sz w:val="24"/>
                <w:szCs w:val="24"/>
                <w:highlight w:val="none"/>
              </w:rPr>
              <w:t>抽取。</w:t>
            </w:r>
          </w:p>
        </w:tc>
      </w:tr>
      <w:tr w14:paraId="0B070CB1">
        <w:tblPrEx>
          <w:tblCellMar>
            <w:top w:w="0" w:type="dxa"/>
            <w:left w:w="108" w:type="dxa"/>
            <w:bottom w:w="0" w:type="dxa"/>
            <w:right w:w="108" w:type="dxa"/>
          </w:tblCellMar>
        </w:tblPrEx>
        <w:trPr>
          <w:trHeight w:val="9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58AF7D5F">
            <w:pPr>
              <w:widowControl/>
              <w:spacing w:line="360" w:lineRule="auto"/>
              <w:jc w:val="center"/>
              <w:rPr>
                <w:rFonts w:ascii="宋体" w:hAnsi="宋体" w:cs="Calibri"/>
                <w:color w:val="auto"/>
                <w:sz w:val="24"/>
                <w:highlight w:val="none"/>
              </w:rPr>
            </w:pPr>
            <w:r>
              <w:rPr>
                <w:rFonts w:hint="eastAsia" w:ascii="宋体" w:hAnsi="宋体" w:cs="Calibri"/>
                <w:color w:val="auto"/>
                <w:kern w:val="0"/>
                <w:sz w:val="24"/>
                <w:highlight w:val="none"/>
              </w:rPr>
              <w:t>15</w:t>
            </w:r>
          </w:p>
        </w:tc>
        <w:tc>
          <w:tcPr>
            <w:tcW w:w="2070" w:type="dxa"/>
            <w:tcBorders>
              <w:top w:val="single" w:color="auto" w:sz="4" w:space="0"/>
              <w:left w:val="nil"/>
              <w:bottom w:val="single" w:color="auto" w:sz="4" w:space="0"/>
              <w:right w:val="single" w:color="auto" w:sz="4" w:space="0"/>
            </w:tcBorders>
            <w:vAlign w:val="center"/>
          </w:tcPr>
          <w:p w14:paraId="05DBEB6C">
            <w:pPr>
              <w:widowControl/>
              <w:spacing w:line="360" w:lineRule="auto"/>
              <w:jc w:val="center"/>
              <w:rPr>
                <w:rFonts w:ascii="宋体" w:hAnsi="宋体" w:cs="Calibri"/>
                <w:color w:val="auto"/>
                <w:kern w:val="0"/>
                <w:sz w:val="24"/>
                <w:highlight w:val="none"/>
              </w:rPr>
            </w:pPr>
            <w:r>
              <w:rPr>
                <w:rFonts w:hint="eastAsia" w:ascii="宋体" w:hAnsi="宋体" w:cs="Calibri"/>
                <w:color w:val="auto"/>
                <w:kern w:val="0"/>
                <w:sz w:val="24"/>
                <w:highlight w:val="none"/>
              </w:rPr>
              <w:t>授权评委小组推荐中标候选人</w:t>
            </w:r>
          </w:p>
        </w:tc>
        <w:tc>
          <w:tcPr>
            <w:tcW w:w="6353" w:type="dxa"/>
            <w:tcBorders>
              <w:top w:val="single" w:color="auto" w:sz="4" w:space="0"/>
              <w:left w:val="nil"/>
              <w:bottom w:val="single" w:color="auto" w:sz="4" w:space="0"/>
              <w:right w:val="single" w:color="auto" w:sz="4" w:space="0"/>
            </w:tcBorders>
            <w:vAlign w:val="center"/>
          </w:tcPr>
          <w:p w14:paraId="3E39233A">
            <w:pPr>
              <w:widowControl/>
              <w:spacing w:line="360" w:lineRule="auto"/>
              <w:jc w:val="left"/>
              <w:rPr>
                <w:rFonts w:ascii="宋体" w:hAnsi="宋体" w:cs="Calibri"/>
                <w:color w:val="auto"/>
                <w:kern w:val="0"/>
                <w:sz w:val="24"/>
                <w:highlight w:val="none"/>
              </w:rPr>
            </w:pPr>
            <w:r>
              <w:rPr>
                <w:rFonts w:hint="eastAsia" w:ascii="宋体" w:hAnsi="宋体" w:cs="Calibri"/>
                <w:color w:val="auto"/>
                <w:kern w:val="0"/>
                <w:sz w:val="24"/>
                <w:highlight w:val="none"/>
              </w:rPr>
              <w:t>是，推荐的中标候选人数：3个</w:t>
            </w:r>
          </w:p>
        </w:tc>
      </w:tr>
      <w:tr w14:paraId="7F0D0871">
        <w:tblPrEx>
          <w:tblCellMar>
            <w:top w:w="0" w:type="dxa"/>
            <w:left w:w="108" w:type="dxa"/>
            <w:bottom w:w="0" w:type="dxa"/>
            <w:right w:w="108" w:type="dxa"/>
          </w:tblCellMar>
        </w:tblPrEx>
        <w:trPr>
          <w:trHeight w:val="9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3CAE8EC6">
            <w:pPr>
              <w:widowControl/>
              <w:spacing w:line="360" w:lineRule="auto"/>
              <w:jc w:val="center"/>
              <w:rPr>
                <w:rFonts w:ascii="宋体" w:hAnsi="宋体" w:cs="Calibri"/>
                <w:color w:val="auto"/>
                <w:kern w:val="0"/>
                <w:sz w:val="24"/>
                <w:highlight w:val="none"/>
              </w:rPr>
            </w:pPr>
            <w:r>
              <w:rPr>
                <w:rFonts w:hint="eastAsia" w:ascii="宋体" w:hAnsi="宋体" w:cs="Calibri"/>
                <w:color w:val="auto"/>
                <w:kern w:val="0"/>
                <w:sz w:val="24"/>
                <w:highlight w:val="none"/>
              </w:rPr>
              <w:t>16</w:t>
            </w:r>
          </w:p>
        </w:tc>
        <w:tc>
          <w:tcPr>
            <w:tcW w:w="2070" w:type="dxa"/>
            <w:tcBorders>
              <w:top w:val="single" w:color="auto" w:sz="4" w:space="0"/>
              <w:left w:val="nil"/>
              <w:bottom w:val="single" w:color="auto" w:sz="4" w:space="0"/>
              <w:right w:val="single" w:color="auto" w:sz="4" w:space="0"/>
            </w:tcBorders>
            <w:vAlign w:val="center"/>
          </w:tcPr>
          <w:p w14:paraId="6522D49F">
            <w:pPr>
              <w:widowControl/>
              <w:spacing w:line="360" w:lineRule="auto"/>
              <w:jc w:val="center"/>
              <w:rPr>
                <w:rFonts w:ascii="宋体" w:hAnsi="宋体" w:cs="Calibri"/>
                <w:color w:val="auto"/>
                <w:kern w:val="0"/>
                <w:sz w:val="24"/>
                <w:highlight w:val="none"/>
              </w:rPr>
            </w:pPr>
            <w:r>
              <w:rPr>
                <w:rFonts w:hint="eastAsia" w:ascii="宋体" w:hAnsi="宋体" w:cs="Calibri"/>
                <w:color w:val="auto"/>
                <w:kern w:val="0"/>
                <w:sz w:val="24"/>
                <w:highlight w:val="none"/>
              </w:rPr>
              <w:t>结果公示</w:t>
            </w:r>
          </w:p>
        </w:tc>
        <w:tc>
          <w:tcPr>
            <w:tcW w:w="6353" w:type="dxa"/>
            <w:tcBorders>
              <w:top w:val="single" w:color="auto" w:sz="4" w:space="0"/>
              <w:left w:val="nil"/>
              <w:bottom w:val="single" w:color="auto" w:sz="4" w:space="0"/>
              <w:right w:val="single" w:color="auto" w:sz="4" w:space="0"/>
            </w:tcBorders>
            <w:vAlign w:val="center"/>
          </w:tcPr>
          <w:p w14:paraId="64EB88D3">
            <w:pPr>
              <w:widowControl/>
              <w:spacing w:line="360" w:lineRule="auto"/>
              <w:jc w:val="left"/>
              <w:rPr>
                <w:rFonts w:ascii="宋体" w:hAnsi="宋体" w:cs="Calibri"/>
                <w:color w:val="auto"/>
                <w:kern w:val="0"/>
                <w:sz w:val="24"/>
                <w:highlight w:val="none"/>
              </w:rPr>
            </w:pPr>
            <w:r>
              <w:rPr>
                <w:rFonts w:hint="eastAsia" w:ascii="宋体" w:hAnsi="宋体" w:cs="Calibri"/>
                <w:color w:val="auto"/>
                <w:kern w:val="0"/>
                <w:sz w:val="24"/>
                <w:highlight w:val="none"/>
              </w:rPr>
              <w:t>在《</w:t>
            </w:r>
            <w:r>
              <w:rPr>
                <w:rFonts w:hint="eastAsia" w:ascii="宋体" w:hAnsi="宋体" w:cs="Calibri"/>
                <w:color w:val="auto"/>
                <w:kern w:val="0"/>
                <w:sz w:val="24"/>
                <w:highlight w:val="none"/>
                <w:lang w:eastAsia="zh-CN"/>
              </w:rPr>
              <w:t>中国招标投标公共服务平台</w:t>
            </w:r>
            <w:r>
              <w:rPr>
                <w:rFonts w:hint="eastAsia" w:ascii="宋体" w:hAnsi="宋体" w:cs="Calibri"/>
                <w:color w:val="auto"/>
                <w:kern w:val="0"/>
                <w:sz w:val="24"/>
                <w:highlight w:val="none"/>
              </w:rPr>
              <w:t>》、《河南省政府采购网》和《三门峡市公共资源交易中心网》三个网站同步中标结果公告。</w:t>
            </w:r>
          </w:p>
          <w:p w14:paraId="468B3B3F">
            <w:pPr>
              <w:widowControl/>
              <w:spacing w:line="360" w:lineRule="auto"/>
              <w:jc w:val="left"/>
              <w:rPr>
                <w:rFonts w:ascii="宋体" w:hAnsi="宋体" w:cs="Calibri"/>
                <w:color w:val="auto"/>
                <w:kern w:val="0"/>
                <w:sz w:val="24"/>
                <w:highlight w:val="none"/>
              </w:rPr>
            </w:pPr>
            <w:r>
              <w:rPr>
                <w:rFonts w:hint="eastAsia" w:ascii="宋体" w:hAnsi="宋体" w:cs="Calibri"/>
                <w:color w:val="auto"/>
                <w:kern w:val="0"/>
                <w:sz w:val="24"/>
                <w:highlight w:val="none"/>
              </w:rPr>
              <w:t>招标人以书面形式向中标人发出中标通知书，同时向未中标企业以书面或电子形式告知未中标原因。</w:t>
            </w:r>
          </w:p>
        </w:tc>
      </w:tr>
      <w:tr w14:paraId="10A42C4F">
        <w:tblPrEx>
          <w:tblCellMar>
            <w:top w:w="0" w:type="dxa"/>
            <w:left w:w="108" w:type="dxa"/>
            <w:bottom w:w="0" w:type="dxa"/>
            <w:right w:w="108" w:type="dxa"/>
          </w:tblCellMar>
        </w:tblPrEx>
        <w:trPr>
          <w:trHeight w:val="514"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35D2092A">
            <w:pPr>
              <w:widowControl/>
              <w:spacing w:line="360" w:lineRule="auto"/>
              <w:jc w:val="center"/>
              <w:rPr>
                <w:rFonts w:ascii="宋体" w:hAnsi="宋体" w:cs="Calibri"/>
                <w:color w:val="auto"/>
                <w:sz w:val="24"/>
                <w:highlight w:val="none"/>
              </w:rPr>
            </w:pPr>
            <w:r>
              <w:rPr>
                <w:rFonts w:hint="eastAsia" w:ascii="宋体" w:hAnsi="宋体" w:cs="Calibri"/>
                <w:color w:val="auto"/>
                <w:kern w:val="0"/>
                <w:sz w:val="24"/>
                <w:highlight w:val="none"/>
              </w:rPr>
              <w:t>17</w:t>
            </w:r>
          </w:p>
        </w:tc>
        <w:tc>
          <w:tcPr>
            <w:tcW w:w="2070" w:type="dxa"/>
            <w:tcBorders>
              <w:top w:val="single" w:color="auto" w:sz="4" w:space="0"/>
              <w:left w:val="nil"/>
              <w:bottom w:val="single" w:color="auto" w:sz="4" w:space="0"/>
              <w:right w:val="single" w:color="auto" w:sz="4" w:space="0"/>
            </w:tcBorders>
            <w:vAlign w:val="center"/>
          </w:tcPr>
          <w:p w14:paraId="064E0AF0">
            <w:pPr>
              <w:widowControl/>
              <w:spacing w:line="360" w:lineRule="auto"/>
              <w:jc w:val="center"/>
              <w:rPr>
                <w:rFonts w:ascii="宋体" w:hAnsi="宋体" w:cs="Calibri"/>
                <w:color w:val="auto"/>
                <w:kern w:val="0"/>
                <w:sz w:val="24"/>
                <w:highlight w:val="none"/>
              </w:rPr>
            </w:pPr>
            <w:r>
              <w:rPr>
                <w:rFonts w:hint="eastAsia" w:ascii="宋体" w:hAnsi="宋体" w:cs="Calibri"/>
                <w:color w:val="auto"/>
                <w:kern w:val="0"/>
                <w:sz w:val="24"/>
                <w:highlight w:val="none"/>
              </w:rPr>
              <w:t>签订合同时间</w:t>
            </w:r>
          </w:p>
        </w:tc>
        <w:tc>
          <w:tcPr>
            <w:tcW w:w="6353" w:type="dxa"/>
            <w:tcBorders>
              <w:top w:val="single" w:color="auto" w:sz="4" w:space="0"/>
              <w:left w:val="nil"/>
              <w:bottom w:val="single" w:color="auto" w:sz="4" w:space="0"/>
              <w:right w:val="single" w:color="auto" w:sz="4" w:space="0"/>
            </w:tcBorders>
            <w:vAlign w:val="center"/>
          </w:tcPr>
          <w:p w14:paraId="68DB1E56">
            <w:pPr>
              <w:widowControl/>
              <w:spacing w:line="360" w:lineRule="auto"/>
              <w:jc w:val="left"/>
              <w:rPr>
                <w:rFonts w:ascii="宋体" w:hAnsi="宋体" w:cs="Calibri"/>
                <w:color w:val="auto"/>
                <w:kern w:val="0"/>
                <w:sz w:val="24"/>
                <w:highlight w:val="none"/>
              </w:rPr>
            </w:pPr>
            <w:r>
              <w:rPr>
                <w:rFonts w:hint="eastAsia" w:ascii="宋体" w:hAnsi="宋体" w:cs="Calibri"/>
                <w:color w:val="auto"/>
                <w:kern w:val="0"/>
                <w:sz w:val="24"/>
                <w:highlight w:val="none"/>
              </w:rPr>
              <w:t>中标通知书发出后30日内</w:t>
            </w:r>
          </w:p>
        </w:tc>
      </w:tr>
      <w:tr w14:paraId="7C8029AE">
        <w:tblPrEx>
          <w:tblCellMar>
            <w:top w:w="0" w:type="dxa"/>
            <w:left w:w="108" w:type="dxa"/>
            <w:bottom w:w="0" w:type="dxa"/>
            <w:right w:w="108" w:type="dxa"/>
          </w:tblCellMar>
        </w:tblPrEx>
        <w:trPr>
          <w:trHeight w:val="9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0A6F2F13">
            <w:pPr>
              <w:widowControl/>
              <w:spacing w:line="360" w:lineRule="auto"/>
              <w:jc w:val="center"/>
              <w:rPr>
                <w:rFonts w:ascii="宋体" w:hAnsi="宋体" w:cs="Calibri"/>
                <w:color w:val="auto"/>
                <w:sz w:val="24"/>
                <w:highlight w:val="none"/>
              </w:rPr>
            </w:pPr>
            <w:r>
              <w:rPr>
                <w:rFonts w:hint="eastAsia" w:ascii="宋体" w:hAnsi="宋体" w:cs="Calibri"/>
                <w:color w:val="auto"/>
                <w:kern w:val="0"/>
                <w:sz w:val="24"/>
                <w:highlight w:val="none"/>
              </w:rPr>
              <w:t>18</w:t>
            </w:r>
          </w:p>
        </w:tc>
        <w:tc>
          <w:tcPr>
            <w:tcW w:w="2070" w:type="dxa"/>
            <w:tcBorders>
              <w:top w:val="single" w:color="auto" w:sz="4" w:space="0"/>
              <w:left w:val="nil"/>
              <w:bottom w:val="single" w:color="auto" w:sz="4" w:space="0"/>
              <w:right w:val="single" w:color="auto" w:sz="4" w:space="0"/>
            </w:tcBorders>
            <w:vAlign w:val="center"/>
          </w:tcPr>
          <w:p w14:paraId="73994765">
            <w:pPr>
              <w:widowControl/>
              <w:spacing w:line="360" w:lineRule="auto"/>
              <w:jc w:val="center"/>
              <w:rPr>
                <w:rFonts w:ascii="宋体" w:hAnsi="宋体" w:cs="Calibri"/>
                <w:color w:val="auto"/>
                <w:kern w:val="0"/>
                <w:sz w:val="24"/>
                <w:highlight w:val="none"/>
              </w:rPr>
            </w:pPr>
            <w:r>
              <w:rPr>
                <w:rFonts w:hint="eastAsia" w:ascii="宋体" w:hAnsi="宋体" w:cs="Calibri"/>
                <w:color w:val="auto"/>
                <w:kern w:val="0"/>
                <w:sz w:val="24"/>
                <w:highlight w:val="none"/>
              </w:rPr>
              <w:t>投标有效期</w:t>
            </w:r>
          </w:p>
        </w:tc>
        <w:tc>
          <w:tcPr>
            <w:tcW w:w="6353" w:type="dxa"/>
            <w:tcBorders>
              <w:top w:val="single" w:color="auto" w:sz="4" w:space="0"/>
              <w:left w:val="nil"/>
              <w:bottom w:val="single" w:color="auto" w:sz="4" w:space="0"/>
              <w:right w:val="single" w:color="auto" w:sz="4" w:space="0"/>
            </w:tcBorders>
            <w:vAlign w:val="center"/>
          </w:tcPr>
          <w:p w14:paraId="73436E89">
            <w:pPr>
              <w:widowControl/>
              <w:spacing w:line="360" w:lineRule="auto"/>
              <w:jc w:val="left"/>
              <w:rPr>
                <w:rFonts w:ascii="宋体" w:hAnsi="宋体" w:cs="Calibri"/>
                <w:color w:val="auto"/>
                <w:kern w:val="0"/>
                <w:sz w:val="24"/>
                <w:highlight w:val="none"/>
              </w:rPr>
            </w:pPr>
            <w:r>
              <w:rPr>
                <w:rFonts w:hint="eastAsia" w:ascii="宋体" w:hAnsi="宋体" w:cs="Calibri"/>
                <w:color w:val="auto"/>
                <w:kern w:val="0"/>
                <w:sz w:val="24"/>
                <w:highlight w:val="none"/>
              </w:rPr>
              <w:t>投标截止之日起60日历天</w:t>
            </w:r>
          </w:p>
        </w:tc>
      </w:tr>
      <w:tr w14:paraId="1EFDC272">
        <w:tblPrEx>
          <w:tblCellMar>
            <w:top w:w="0" w:type="dxa"/>
            <w:left w:w="108" w:type="dxa"/>
            <w:bottom w:w="0" w:type="dxa"/>
            <w:right w:w="108" w:type="dxa"/>
          </w:tblCellMar>
        </w:tblPrEx>
        <w:trPr>
          <w:trHeight w:val="9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E57AEDE">
            <w:pPr>
              <w:widowControl/>
              <w:spacing w:line="360" w:lineRule="auto"/>
              <w:jc w:val="center"/>
              <w:rPr>
                <w:rFonts w:ascii="宋体" w:hAnsi="宋体" w:cs="Calibri"/>
                <w:color w:val="auto"/>
                <w:kern w:val="0"/>
                <w:sz w:val="24"/>
                <w:highlight w:val="none"/>
              </w:rPr>
            </w:pPr>
            <w:r>
              <w:rPr>
                <w:rFonts w:hint="eastAsia" w:ascii="宋体" w:hAnsi="宋体" w:cs="Calibri"/>
                <w:color w:val="auto"/>
                <w:kern w:val="0"/>
                <w:sz w:val="24"/>
                <w:highlight w:val="none"/>
              </w:rPr>
              <w:t>19</w:t>
            </w:r>
          </w:p>
        </w:tc>
        <w:tc>
          <w:tcPr>
            <w:tcW w:w="2070" w:type="dxa"/>
            <w:tcBorders>
              <w:top w:val="single" w:color="auto" w:sz="4" w:space="0"/>
              <w:left w:val="nil"/>
              <w:bottom w:val="single" w:color="auto" w:sz="4" w:space="0"/>
              <w:right w:val="single" w:color="auto" w:sz="4" w:space="0"/>
            </w:tcBorders>
            <w:vAlign w:val="center"/>
          </w:tcPr>
          <w:p w14:paraId="6B8BE53F">
            <w:pPr>
              <w:widowControl/>
              <w:spacing w:line="360" w:lineRule="auto"/>
              <w:jc w:val="center"/>
              <w:rPr>
                <w:rFonts w:ascii="宋体" w:hAnsi="宋体" w:cs="Calibri"/>
                <w:color w:val="auto"/>
                <w:kern w:val="0"/>
                <w:sz w:val="24"/>
                <w:highlight w:val="none"/>
              </w:rPr>
            </w:pPr>
            <w:r>
              <w:rPr>
                <w:rFonts w:hint="eastAsia" w:ascii="宋体" w:hAnsi="宋体" w:cs="Calibri"/>
                <w:color w:val="auto"/>
                <w:kern w:val="0"/>
                <w:sz w:val="24"/>
                <w:highlight w:val="none"/>
              </w:rPr>
              <w:t>履约保证金</w:t>
            </w:r>
          </w:p>
        </w:tc>
        <w:tc>
          <w:tcPr>
            <w:tcW w:w="6353" w:type="dxa"/>
            <w:tcBorders>
              <w:top w:val="single" w:color="auto" w:sz="4" w:space="0"/>
              <w:left w:val="nil"/>
              <w:bottom w:val="single" w:color="auto" w:sz="4" w:space="0"/>
              <w:right w:val="single" w:color="auto" w:sz="4" w:space="0"/>
            </w:tcBorders>
            <w:vAlign w:val="center"/>
          </w:tcPr>
          <w:p w14:paraId="2B1CFF20">
            <w:pPr>
              <w:widowControl/>
              <w:spacing w:line="360" w:lineRule="auto"/>
              <w:jc w:val="left"/>
              <w:rPr>
                <w:rFonts w:ascii="宋体" w:hAnsi="宋体" w:cs="Calibri"/>
                <w:color w:val="auto"/>
                <w:kern w:val="0"/>
                <w:sz w:val="24"/>
                <w:highlight w:val="none"/>
              </w:rPr>
            </w:pPr>
            <w:r>
              <w:rPr>
                <w:rFonts w:hint="eastAsia" w:ascii="宋体" w:hAnsi="宋体" w:cs="Calibri"/>
                <w:color w:val="auto"/>
                <w:kern w:val="0"/>
                <w:sz w:val="24"/>
                <w:highlight w:val="none"/>
              </w:rPr>
              <w:t>本项目不收取履约保证金</w:t>
            </w:r>
          </w:p>
        </w:tc>
      </w:tr>
      <w:tr w14:paraId="1A0F213F">
        <w:tblPrEx>
          <w:tblCellMar>
            <w:top w:w="0" w:type="dxa"/>
            <w:left w:w="108" w:type="dxa"/>
            <w:bottom w:w="0" w:type="dxa"/>
            <w:right w:w="108" w:type="dxa"/>
          </w:tblCellMar>
        </w:tblPrEx>
        <w:trPr>
          <w:trHeight w:val="9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5A4FD803">
            <w:pPr>
              <w:widowControl/>
              <w:spacing w:line="360" w:lineRule="auto"/>
              <w:jc w:val="center"/>
              <w:rPr>
                <w:rFonts w:ascii="宋体" w:hAnsi="宋体" w:cs="Calibri"/>
                <w:color w:val="auto"/>
                <w:kern w:val="0"/>
                <w:sz w:val="24"/>
                <w:highlight w:val="none"/>
              </w:rPr>
            </w:pPr>
            <w:r>
              <w:rPr>
                <w:rFonts w:hint="eastAsia" w:ascii="宋体" w:hAnsi="宋体" w:cs="Calibri"/>
                <w:color w:val="auto"/>
                <w:kern w:val="0"/>
                <w:sz w:val="24"/>
                <w:highlight w:val="none"/>
              </w:rPr>
              <w:t>20</w:t>
            </w:r>
          </w:p>
        </w:tc>
        <w:tc>
          <w:tcPr>
            <w:tcW w:w="2070" w:type="dxa"/>
            <w:tcBorders>
              <w:top w:val="single" w:color="auto" w:sz="4" w:space="0"/>
              <w:left w:val="nil"/>
              <w:bottom w:val="single" w:color="auto" w:sz="4" w:space="0"/>
              <w:right w:val="single" w:color="auto" w:sz="4" w:space="0"/>
            </w:tcBorders>
            <w:vAlign w:val="center"/>
          </w:tcPr>
          <w:p w14:paraId="198052E9">
            <w:pPr>
              <w:spacing w:line="560" w:lineRule="exact"/>
              <w:jc w:val="center"/>
              <w:rPr>
                <w:rFonts w:asciiTheme="minorEastAsia" w:hAnsiTheme="minorEastAsia" w:cstheme="minorEastAsia"/>
                <w:color w:val="auto"/>
                <w:sz w:val="24"/>
                <w:szCs w:val="28"/>
                <w:highlight w:val="none"/>
              </w:rPr>
            </w:pPr>
            <w:r>
              <w:rPr>
                <w:rFonts w:hint="eastAsia" w:ascii="宋体" w:hAnsi="宋体" w:cs="Calibri"/>
                <w:color w:val="auto"/>
                <w:sz w:val="24"/>
                <w:highlight w:val="none"/>
              </w:rPr>
              <w:t>报价及费用</w:t>
            </w:r>
          </w:p>
        </w:tc>
        <w:tc>
          <w:tcPr>
            <w:tcW w:w="6353" w:type="dxa"/>
            <w:tcBorders>
              <w:top w:val="single" w:color="auto" w:sz="4" w:space="0"/>
              <w:left w:val="nil"/>
              <w:bottom w:val="single" w:color="auto" w:sz="4" w:space="0"/>
              <w:right w:val="single" w:color="auto" w:sz="4" w:space="0"/>
            </w:tcBorders>
            <w:vAlign w:val="center"/>
          </w:tcPr>
          <w:p w14:paraId="51E4A68A">
            <w:pPr>
              <w:spacing w:line="420" w:lineRule="exact"/>
              <w:rPr>
                <w:rFonts w:ascii="宋体" w:hAnsi="宋体" w:cs="Calibri"/>
                <w:color w:val="auto"/>
                <w:sz w:val="24"/>
                <w:highlight w:val="none"/>
              </w:rPr>
            </w:pPr>
            <w:r>
              <w:rPr>
                <w:rFonts w:hint="eastAsia" w:ascii="宋体" w:hAnsi="宋体" w:cs="Calibri"/>
                <w:color w:val="auto"/>
                <w:sz w:val="24"/>
                <w:highlight w:val="none"/>
              </w:rPr>
              <w:t>1．本项目应以人民币报价，供应商应就该项目完整投标（报价、服务、税费、售后服务等综合费用），招标人不另外支付其他任何费用；</w:t>
            </w:r>
          </w:p>
          <w:p w14:paraId="5720BB26">
            <w:pPr>
              <w:spacing w:line="420" w:lineRule="exact"/>
              <w:rPr>
                <w:rFonts w:ascii="宋体" w:hAnsi="宋体" w:cs="Calibri"/>
                <w:color w:val="auto"/>
                <w:sz w:val="24"/>
                <w:highlight w:val="none"/>
              </w:rPr>
            </w:pPr>
            <w:r>
              <w:rPr>
                <w:rFonts w:hint="eastAsia" w:ascii="宋体" w:hAnsi="宋体" w:cs="Calibri"/>
                <w:color w:val="auto"/>
                <w:sz w:val="24"/>
                <w:highlight w:val="none"/>
              </w:rPr>
              <w:t>2. 招标代理服务费按《河南省招标代理服务收费指导意见》豫招标（2023）002号向中标人收取。供应商的投标报价应当包含该代理费用。</w:t>
            </w:r>
          </w:p>
        </w:tc>
      </w:tr>
      <w:tr w14:paraId="0D218D03">
        <w:tblPrEx>
          <w:tblCellMar>
            <w:top w:w="0" w:type="dxa"/>
            <w:left w:w="108" w:type="dxa"/>
            <w:bottom w:w="0" w:type="dxa"/>
            <w:right w:w="108" w:type="dxa"/>
          </w:tblCellMar>
        </w:tblPrEx>
        <w:trPr>
          <w:trHeight w:val="357"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22B463CE">
            <w:pPr>
              <w:widowControl/>
              <w:spacing w:line="360" w:lineRule="auto"/>
              <w:jc w:val="center"/>
              <w:rPr>
                <w:rFonts w:hint="default" w:ascii="宋体" w:hAnsi="宋体" w:cs="Calibri" w:eastAsiaTheme="minorEastAsia"/>
                <w:color w:val="auto"/>
                <w:kern w:val="0"/>
                <w:sz w:val="24"/>
                <w:highlight w:val="none"/>
                <w:lang w:val="en-US" w:eastAsia="zh-CN"/>
              </w:rPr>
            </w:pPr>
            <w:r>
              <w:rPr>
                <w:rFonts w:hint="eastAsia" w:ascii="宋体" w:hAnsi="宋体" w:cs="Calibri"/>
                <w:color w:val="auto"/>
                <w:kern w:val="0"/>
                <w:sz w:val="24"/>
                <w:highlight w:val="none"/>
                <w:lang w:val="en-US" w:eastAsia="zh-CN"/>
              </w:rPr>
              <w:t>21</w:t>
            </w:r>
          </w:p>
        </w:tc>
        <w:tc>
          <w:tcPr>
            <w:tcW w:w="2070" w:type="dxa"/>
            <w:tcBorders>
              <w:top w:val="single" w:color="auto" w:sz="4" w:space="0"/>
              <w:left w:val="nil"/>
              <w:bottom w:val="single" w:color="auto" w:sz="4" w:space="0"/>
              <w:right w:val="single" w:color="auto" w:sz="4" w:space="0"/>
            </w:tcBorders>
            <w:vAlign w:val="center"/>
          </w:tcPr>
          <w:p w14:paraId="388E78B3">
            <w:pPr>
              <w:spacing w:line="360" w:lineRule="auto"/>
              <w:jc w:val="center"/>
              <w:rPr>
                <w:rFonts w:hint="default" w:ascii="宋体" w:hAnsi="宋体" w:cs="Calibri" w:eastAsiaTheme="minorEastAsia"/>
                <w:color w:val="auto"/>
                <w:sz w:val="24"/>
                <w:highlight w:val="none"/>
                <w:lang w:val="en-US" w:eastAsia="zh-CN"/>
              </w:rPr>
            </w:pPr>
            <w:r>
              <w:rPr>
                <w:rFonts w:hint="eastAsia" w:ascii="宋体" w:hAnsi="宋体" w:cs="Calibri"/>
                <w:color w:val="auto"/>
                <w:sz w:val="24"/>
                <w:highlight w:val="none"/>
                <w:lang w:val="en-US" w:eastAsia="zh-CN"/>
              </w:rPr>
              <w:t>付款方式</w:t>
            </w:r>
          </w:p>
        </w:tc>
        <w:tc>
          <w:tcPr>
            <w:tcW w:w="6353" w:type="dxa"/>
            <w:tcBorders>
              <w:top w:val="single" w:color="auto" w:sz="4" w:space="0"/>
              <w:left w:val="nil"/>
              <w:bottom w:val="single" w:color="auto" w:sz="4" w:space="0"/>
              <w:right w:val="single" w:color="auto" w:sz="4" w:space="0"/>
            </w:tcBorders>
            <w:vAlign w:val="center"/>
          </w:tcPr>
          <w:p w14:paraId="4A999465">
            <w:pPr>
              <w:spacing w:line="360" w:lineRule="auto"/>
              <w:jc w:val="left"/>
              <w:rPr>
                <w:rFonts w:hint="default" w:ascii="宋体" w:hAnsi="宋体" w:cs="Calibri" w:eastAsiaTheme="minorEastAsia"/>
                <w:color w:val="auto"/>
                <w:sz w:val="24"/>
                <w:highlight w:val="none"/>
                <w:lang w:val="en-US" w:eastAsia="zh-CN"/>
              </w:rPr>
            </w:pPr>
            <w:r>
              <w:rPr>
                <w:rFonts w:hint="eastAsia" w:ascii="宋体" w:hAnsi="宋体" w:cs="Calibri"/>
                <w:color w:val="auto"/>
                <w:sz w:val="24"/>
                <w:highlight w:val="none"/>
                <w:lang w:val="en-US" w:eastAsia="zh-CN"/>
              </w:rPr>
              <w:t>签订合同时双方协商</w:t>
            </w:r>
          </w:p>
        </w:tc>
      </w:tr>
      <w:tr w14:paraId="0825D12C">
        <w:tblPrEx>
          <w:tblCellMar>
            <w:top w:w="0" w:type="dxa"/>
            <w:left w:w="108" w:type="dxa"/>
            <w:bottom w:w="0" w:type="dxa"/>
            <w:right w:w="108" w:type="dxa"/>
          </w:tblCellMar>
        </w:tblPrEx>
        <w:trPr>
          <w:trHeight w:val="442"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3692EA01">
            <w:pPr>
              <w:widowControl/>
              <w:spacing w:line="360" w:lineRule="auto"/>
              <w:jc w:val="center"/>
              <w:rPr>
                <w:rFonts w:hint="eastAsia" w:ascii="宋体" w:hAnsi="宋体" w:cs="Calibri" w:eastAsiaTheme="minorEastAsia"/>
                <w:color w:val="auto"/>
                <w:sz w:val="24"/>
                <w:highlight w:val="none"/>
                <w:lang w:eastAsia="zh-CN"/>
              </w:rPr>
            </w:pPr>
            <w:r>
              <w:rPr>
                <w:rFonts w:hint="eastAsia" w:ascii="宋体" w:hAnsi="宋体" w:cs="Calibri"/>
                <w:color w:val="auto"/>
                <w:kern w:val="0"/>
                <w:sz w:val="24"/>
                <w:highlight w:val="none"/>
              </w:rPr>
              <w:t>2</w:t>
            </w:r>
            <w:r>
              <w:rPr>
                <w:rFonts w:hint="eastAsia" w:ascii="宋体" w:hAnsi="宋体" w:cs="Calibri"/>
                <w:color w:val="auto"/>
                <w:kern w:val="0"/>
                <w:sz w:val="24"/>
                <w:highlight w:val="none"/>
                <w:lang w:val="en-US" w:eastAsia="zh-CN"/>
              </w:rPr>
              <w:t>2</w:t>
            </w:r>
          </w:p>
        </w:tc>
        <w:tc>
          <w:tcPr>
            <w:tcW w:w="2070" w:type="dxa"/>
            <w:tcBorders>
              <w:top w:val="single" w:color="auto" w:sz="4" w:space="0"/>
              <w:left w:val="nil"/>
              <w:bottom w:val="single" w:color="auto" w:sz="4" w:space="0"/>
              <w:right w:val="single" w:color="auto" w:sz="4" w:space="0"/>
            </w:tcBorders>
            <w:vAlign w:val="center"/>
          </w:tcPr>
          <w:p w14:paraId="35B77CC9">
            <w:pPr>
              <w:widowControl/>
              <w:spacing w:line="360" w:lineRule="auto"/>
              <w:jc w:val="center"/>
              <w:rPr>
                <w:rFonts w:ascii="宋体" w:hAnsi="宋体" w:cs="Calibri"/>
                <w:color w:val="auto"/>
                <w:kern w:val="0"/>
                <w:sz w:val="24"/>
                <w:highlight w:val="none"/>
              </w:rPr>
            </w:pPr>
            <w:r>
              <w:rPr>
                <w:rFonts w:hint="eastAsia" w:ascii="宋体" w:hAnsi="宋体" w:cs="Calibri"/>
                <w:color w:val="auto"/>
                <w:kern w:val="0"/>
                <w:sz w:val="24"/>
                <w:highlight w:val="none"/>
              </w:rPr>
              <w:t>解释</w:t>
            </w:r>
          </w:p>
        </w:tc>
        <w:tc>
          <w:tcPr>
            <w:tcW w:w="6353" w:type="dxa"/>
            <w:tcBorders>
              <w:top w:val="single" w:color="auto" w:sz="4" w:space="0"/>
              <w:left w:val="nil"/>
              <w:bottom w:val="single" w:color="auto" w:sz="4" w:space="0"/>
              <w:right w:val="single" w:color="auto" w:sz="4" w:space="0"/>
            </w:tcBorders>
            <w:vAlign w:val="center"/>
          </w:tcPr>
          <w:p w14:paraId="699DA197">
            <w:pPr>
              <w:widowControl/>
              <w:spacing w:line="360" w:lineRule="auto"/>
              <w:jc w:val="left"/>
              <w:rPr>
                <w:rFonts w:ascii="宋体" w:hAnsi="宋体" w:cs="Calibri"/>
                <w:color w:val="auto"/>
                <w:kern w:val="0"/>
                <w:sz w:val="24"/>
                <w:highlight w:val="none"/>
              </w:rPr>
            </w:pPr>
            <w:r>
              <w:rPr>
                <w:rFonts w:hint="eastAsia" w:ascii="宋体" w:hAnsi="宋体" w:cs="Calibri"/>
                <w:color w:val="auto"/>
                <w:kern w:val="0"/>
                <w:sz w:val="24"/>
                <w:highlight w:val="none"/>
              </w:rPr>
              <w:t>本竞争性磋商文件的解释权属于采购人。</w:t>
            </w:r>
          </w:p>
        </w:tc>
      </w:tr>
      <w:tr w14:paraId="600C1527">
        <w:tblPrEx>
          <w:tblCellMar>
            <w:top w:w="0" w:type="dxa"/>
            <w:left w:w="108" w:type="dxa"/>
            <w:bottom w:w="0" w:type="dxa"/>
            <w:right w:w="108" w:type="dxa"/>
          </w:tblCellMar>
        </w:tblPrEx>
        <w:trPr>
          <w:trHeight w:val="683"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54DF3506">
            <w:pPr>
              <w:widowControl/>
              <w:spacing w:line="360" w:lineRule="auto"/>
              <w:jc w:val="center"/>
              <w:rPr>
                <w:rFonts w:hint="eastAsia" w:ascii="宋体" w:hAnsi="宋体" w:cs="Calibri" w:eastAsiaTheme="minorEastAsia"/>
                <w:color w:val="auto"/>
                <w:sz w:val="24"/>
                <w:highlight w:val="none"/>
                <w:lang w:eastAsia="zh-CN"/>
              </w:rPr>
            </w:pPr>
            <w:r>
              <w:rPr>
                <w:rFonts w:hint="eastAsia" w:ascii="宋体" w:hAnsi="宋体" w:cs="Calibri"/>
                <w:color w:val="auto"/>
                <w:kern w:val="0"/>
                <w:sz w:val="24"/>
                <w:highlight w:val="none"/>
              </w:rPr>
              <w:t>2</w:t>
            </w:r>
            <w:r>
              <w:rPr>
                <w:rFonts w:hint="eastAsia" w:ascii="宋体" w:hAnsi="宋体" w:cs="Calibri"/>
                <w:color w:val="auto"/>
                <w:kern w:val="0"/>
                <w:sz w:val="24"/>
                <w:highlight w:val="none"/>
                <w:lang w:val="en-US" w:eastAsia="zh-CN"/>
              </w:rPr>
              <w:t>3</w:t>
            </w:r>
          </w:p>
        </w:tc>
        <w:tc>
          <w:tcPr>
            <w:tcW w:w="2070" w:type="dxa"/>
            <w:tcBorders>
              <w:top w:val="single" w:color="auto" w:sz="4" w:space="0"/>
              <w:left w:val="nil"/>
              <w:bottom w:val="single" w:color="auto" w:sz="4" w:space="0"/>
              <w:right w:val="single" w:color="auto" w:sz="4" w:space="0"/>
            </w:tcBorders>
            <w:vAlign w:val="center"/>
          </w:tcPr>
          <w:p w14:paraId="6243B33F">
            <w:pPr>
              <w:widowControl/>
              <w:spacing w:line="360" w:lineRule="auto"/>
              <w:jc w:val="center"/>
              <w:rPr>
                <w:rFonts w:ascii="宋体" w:hAnsi="宋体" w:cs="Calibri"/>
                <w:color w:val="auto"/>
                <w:sz w:val="24"/>
                <w:highlight w:val="none"/>
              </w:rPr>
            </w:pPr>
            <w:r>
              <w:rPr>
                <w:rFonts w:hint="eastAsia" w:ascii="宋体" w:hAnsi="宋体" w:cs="Calibri"/>
                <w:b/>
                <w:bCs/>
                <w:color w:val="auto"/>
                <w:kern w:val="0"/>
                <w:sz w:val="24"/>
                <w:highlight w:val="none"/>
              </w:rPr>
              <w:t>电子化交易注意事项</w:t>
            </w:r>
          </w:p>
        </w:tc>
        <w:tc>
          <w:tcPr>
            <w:tcW w:w="6353" w:type="dxa"/>
            <w:tcBorders>
              <w:top w:val="single" w:color="auto" w:sz="4" w:space="0"/>
              <w:left w:val="nil"/>
              <w:bottom w:val="single" w:color="auto" w:sz="4" w:space="0"/>
              <w:right w:val="single" w:color="auto" w:sz="4" w:space="0"/>
            </w:tcBorders>
            <w:vAlign w:val="center"/>
          </w:tcPr>
          <w:p w14:paraId="5DDCE08B">
            <w:pPr>
              <w:spacing w:line="400" w:lineRule="exact"/>
              <w:rPr>
                <w:rFonts w:ascii="宋体" w:hAnsi="宋体"/>
                <w:color w:val="auto"/>
                <w:sz w:val="24"/>
                <w:highlight w:val="none"/>
              </w:rPr>
            </w:pPr>
            <w:r>
              <w:rPr>
                <w:rFonts w:hint="eastAsia" w:ascii="宋体" w:hAnsi="宋体"/>
                <w:color w:val="auto"/>
                <w:sz w:val="24"/>
                <w:highlight w:val="none"/>
              </w:rPr>
              <w:t>本项目为电子化交易项目，投标文件是供应商、投标人（以下简称“供应商”）通过中心投标文件制作系统制作，并经过电子签章和加密后生成的电子版投标文件。供应商投标时，不须提交纸质文件资料。</w:t>
            </w:r>
          </w:p>
          <w:p w14:paraId="74477385">
            <w:pPr>
              <w:spacing w:line="400" w:lineRule="exact"/>
              <w:rPr>
                <w:rFonts w:ascii="宋体" w:hAnsi="宋体"/>
                <w:color w:val="auto"/>
                <w:sz w:val="24"/>
                <w:highlight w:val="none"/>
              </w:rPr>
            </w:pPr>
            <w:r>
              <w:rPr>
                <w:rFonts w:hint="eastAsia" w:ascii="宋体" w:hAnsi="宋体"/>
                <w:color w:val="auto"/>
                <w:sz w:val="24"/>
                <w:highlight w:val="none"/>
              </w:rPr>
              <w:t>电子化投标文件具体制作教材请供应商通过CA证书登录三门峡市公共资源电子化交易系统在 “交易智库”中下载操作流程</w:t>
            </w:r>
          </w:p>
          <w:p w14:paraId="098D017C">
            <w:pPr>
              <w:spacing w:line="400" w:lineRule="exact"/>
              <w:rPr>
                <w:rFonts w:ascii="宋体" w:hAnsi="宋体"/>
                <w:color w:val="auto"/>
                <w:sz w:val="24"/>
                <w:highlight w:val="none"/>
              </w:rPr>
            </w:pPr>
            <w:r>
              <w:rPr>
                <w:rFonts w:hint="eastAsia" w:ascii="宋体" w:hAnsi="宋体"/>
                <w:color w:val="auto"/>
                <w:sz w:val="24"/>
                <w:highlight w:val="none"/>
              </w:rPr>
              <w:t>温馨提示：本项目为电子化、无纸化交易项目，供应商时不接受任何纸质资料，为保证您能投标成功，请需仔细阅读以下条款。</w:t>
            </w:r>
          </w:p>
          <w:p w14:paraId="5309F45A">
            <w:pPr>
              <w:spacing w:line="400" w:lineRule="exact"/>
              <w:rPr>
                <w:rFonts w:ascii="宋体" w:hAnsi="宋体"/>
                <w:color w:val="auto"/>
                <w:sz w:val="24"/>
                <w:highlight w:val="none"/>
              </w:rPr>
            </w:pPr>
            <w:r>
              <w:rPr>
                <w:rFonts w:hint="eastAsia" w:ascii="宋体" w:hAnsi="宋体"/>
                <w:color w:val="auto"/>
                <w:sz w:val="24"/>
                <w:highlight w:val="none"/>
              </w:rPr>
              <w:t>一、电子化投标</w:t>
            </w:r>
          </w:p>
          <w:p w14:paraId="3DD6F228">
            <w:pPr>
              <w:spacing w:line="400" w:lineRule="exact"/>
              <w:rPr>
                <w:rFonts w:ascii="宋体" w:hAnsi="宋体"/>
                <w:color w:val="auto"/>
                <w:sz w:val="24"/>
                <w:highlight w:val="none"/>
              </w:rPr>
            </w:pPr>
            <w:r>
              <w:rPr>
                <w:rFonts w:hint="eastAsia" w:ascii="宋体" w:hAnsi="宋体"/>
                <w:color w:val="auto"/>
                <w:sz w:val="24"/>
                <w:highlight w:val="none"/>
              </w:rPr>
              <w:t>（一）电子化投标文件的签章</w:t>
            </w:r>
          </w:p>
          <w:p w14:paraId="1B718246">
            <w:pPr>
              <w:spacing w:line="400" w:lineRule="exact"/>
              <w:rPr>
                <w:rFonts w:ascii="宋体" w:hAnsi="宋体"/>
                <w:color w:val="auto"/>
                <w:sz w:val="24"/>
                <w:highlight w:val="none"/>
              </w:rPr>
            </w:pPr>
            <w:r>
              <w:rPr>
                <w:rFonts w:hint="eastAsia" w:ascii="宋体" w:hAnsi="宋体"/>
                <w:color w:val="auto"/>
                <w:sz w:val="24"/>
                <w:highlight w:val="none"/>
              </w:rPr>
              <w:t>1、供应商在生成电子化投标文件后，应对电子化投标文件进行签章，未进行签章的视为无效投标。</w:t>
            </w:r>
          </w:p>
          <w:p w14:paraId="1557DC97">
            <w:pPr>
              <w:spacing w:line="400" w:lineRule="exact"/>
              <w:jc w:val="left"/>
              <w:rPr>
                <w:rFonts w:ascii="宋体" w:hAnsi="宋体"/>
                <w:color w:val="auto"/>
                <w:sz w:val="24"/>
                <w:highlight w:val="none"/>
              </w:rPr>
            </w:pPr>
            <w:r>
              <w:rPr>
                <w:rFonts w:hint="eastAsia" w:ascii="宋体" w:hAnsi="宋体"/>
                <w:color w:val="auto"/>
                <w:sz w:val="24"/>
                <w:highlight w:val="none"/>
              </w:rPr>
              <w:t>2、投标文件中要求法定代表人或授权委托人签字或盖章的，供应商在进行电子化投标文件签章时，以签盖法定代表人签章为准。电子化投标文件具体制作教材请供应商通过CA证书登录三门峡市公共资源电子化交易系统在右上角“交易智库”中查看。电子化投标文件工具请点击</w:t>
            </w:r>
            <w:r>
              <w:rPr>
                <w:rFonts w:ascii="宋体" w:hAnsi="宋体"/>
                <w:color w:val="auto"/>
                <w:sz w:val="24"/>
                <w:highlight w:val="none"/>
              </w:rPr>
              <w:t>https://download.bqpoint.com/download/downloadlist.html?SoftTypeCode=03</w:t>
            </w:r>
            <w:r>
              <w:rPr>
                <w:rFonts w:hint="eastAsia" w:ascii="宋体" w:hAnsi="宋体"/>
                <w:color w:val="auto"/>
                <w:sz w:val="24"/>
                <w:highlight w:val="none"/>
              </w:rPr>
              <w:t>进行下载。</w:t>
            </w:r>
          </w:p>
          <w:p w14:paraId="3EFCFD67">
            <w:pPr>
              <w:spacing w:line="400" w:lineRule="exact"/>
              <w:rPr>
                <w:rFonts w:ascii="宋体" w:hAnsi="宋体"/>
                <w:color w:val="auto"/>
                <w:sz w:val="24"/>
                <w:highlight w:val="none"/>
              </w:rPr>
            </w:pPr>
            <w:r>
              <w:rPr>
                <w:rFonts w:hint="eastAsia" w:ascii="宋体" w:hAnsi="宋体"/>
                <w:color w:val="auto"/>
                <w:sz w:val="24"/>
                <w:highlight w:val="none"/>
              </w:rPr>
              <w:t>（二）电子化投标文件的格式及上传投标</w:t>
            </w:r>
          </w:p>
          <w:p w14:paraId="4D9B44D5">
            <w:pPr>
              <w:spacing w:line="400" w:lineRule="exact"/>
              <w:jc w:val="left"/>
              <w:rPr>
                <w:rFonts w:ascii="宋体" w:hAnsi="宋体"/>
                <w:color w:val="auto"/>
                <w:sz w:val="24"/>
                <w:highlight w:val="none"/>
              </w:rPr>
            </w:pPr>
            <w:r>
              <w:rPr>
                <w:rFonts w:hint="eastAsia" w:ascii="宋体" w:hAnsi="宋体"/>
                <w:color w:val="auto"/>
                <w:sz w:val="24"/>
                <w:highlight w:val="none"/>
              </w:rPr>
              <w:t>1、供应商所上传的电子化投标文件，应是通过中心投标文件制作系统制作的（投标文件制作工具下载地址：</w:t>
            </w:r>
            <w:r>
              <w:rPr>
                <w:rFonts w:ascii="宋体" w:hAnsi="宋体"/>
                <w:color w:val="auto"/>
                <w:sz w:val="24"/>
                <w:highlight w:val="none"/>
              </w:rPr>
              <w:t>https://download.bqpoint.com/download/downloadlist.html?SoftTypeCode=03</w:t>
            </w:r>
            <w:r>
              <w:rPr>
                <w:rFonts w:hint="eastAsia" w:ascii="宋体" w:hAnsi="宋体"/>
                <w:color w:val="auto"/>
                <w:sz w:val="24"/>
                <w:highlight w:val="none"/>
              </w:rPr>
              <w:t>），经过签章和加密后生成的电子版投标文件。其中包含用于投标文件上传的主文件（后缀为.smxtf）和用于应急补救的投标文件备份文件（后缀为.nsmxtf）。备份文件主要用于电子化开标出现技术问题后的补救，请供应商随身携带。</w:t>
            </w:r>
          </w:p>
          <w:p w14:paraId="0CB15357">
            <w:pPr>
              <w:spacing w:line="400" w:lineRule="exact"/>
              <w:rPr>
                <w:rFonts w:ascii="宋体" w:hAnsi="宋体"/>
                <w:color w:val="auto"/>
                <w:sz w:val="24"/>
                <w:highlight w:val="none"/>
              </w:rPr>
            </w:pPr>
            <w:r>
              <w:rPr>
                <w:rFonts w:hint="eastAsia" w:ascii="宋体" w:hAnsi="宋体"/>
                <w:color w:val="auto"/>
                <w:sz w:val="24"/>
                <w:highlight w:val="none"/>
              </w:rPr>
              <w:t>注：供应商投报多个标段的，需要每个标段单独制作电子投标文件。</w:t>
            </w:r>
          </w:p>
          <w:p w14:paraId="1B5497E5">
            <w:pPr>
              <w:spacing w:line="400" w:lineRule="exact"/>
              <w:rPr>
                <w:rFonts w:ascii="宋体" w:hAnsi="宋体"/>
                <w:color w:val="auto"/>
                <w:sz w:val="24"/>
                <w:highlight w:val="none"/>
              </w:rPr>
            </w:pPr>
            <w:r>
              <w:rPr>
                <w:rFonts w:hint="eastAsia" w:ascii="宋体" w:hAnsi="宋体"/>
                <w:color w:val="auto"/>
                <w:sz w:val="24"/>
                <w:highlight w:val="none"/>
              </w:rPr>
              <w:t>2、电子化投标文件应在投标截止时间前成功上传至三门峡市公共资源电子化交易系统。至投标截止时间止，仍未上传成功的电子化投标文件将不予接收。</w:t>
            </w:r>
          </w:p>
          <w:p w14:paraId="60C697F3">
            <w:pPr>
              <w:spacing w:line="400" w:lineRule="exact"/>
              <w:rPr>
                <w:rFonts w:ascii="宋体" w:hAnsi="宋体"/>
                <w:color w:val="auto"/>
                <w:sz w:val="24"/>
                <w:highlight w:val="none"/>
              </w:rPr>
            </w:pPr>
            <w:r>
              <w:rPr>
                <w:rFonts w:hint="eastAsia" w:ascii="宋体" w:hAnsi="宋体"/>
                <w:color w:val="auto"/>
                <w:sz w:val="24"/>
                <w:highlight w:val="none"/>
              </w:rPr>
              <w:t>注：如按照电子化投标操作教材制作完成的电子化投标文件无法上传的，供应商应在投标截止时间前尽早的联系中心技术人员，以便有充分的时间进行处理。供应商应充分考虑到处理技术问题和上传数据等工作所需的时间问题，投标文件未在投标截止时间前成功上传的，其投标文件不予接收。</w:t>
            </w:r>
          </w:p>
          <w:p w14:paraId="68A53A80">
            <w:pPr>
              <w:spacing w:line="400" w:lineRule="exact"/>
              <w:rPr>
                <w:rFonts w:ascii="宋体" w:hAnsi="宋体"/>
                <w:color w:val="auto"/>
                <w:sz w:val="24"/>
                <w:highlight w:val="none"/>
              </w:rPr>
            </w:pPr>
            <w:r>
              <w:rPr>
                <w:rFonts w:hint="eastAsia" w:ascii="宋体" w:hAnsi="宋体"/>
                <w:color w:val="auto"/>
                <w:sz w:val="24"/>
                <w:highlight w:val="none"/>
              </w:rPr>
              <w:t>技术联系电话：400-998-0000</w:t>
            </w:r>
          </w:p>
          <w:p w14:paraId="34CC391D">
            <w:pPr>
              <w:spacing w:line="400" w:lineRule="exact"/>
              <w:rPr>
                <w:rFonts w:ascii="宋体" w:hAnsi="宋体"/>
                <w:color w:val="auto"/>
                <w:sz w:val="24"/>
                <w:highlight w:val="none"/>
              </w:rPr>
            </w:pPr>
            <w:r>
              <w:rPr>
                <w:rFonts w:hint="eastAsia" w:ascii="宋体" w:hAnsi="宋体"/>
                <w:color w:val="auto"/>
                <w:sz w:val="24"/>
                <w:highlight w:val="none"/>
              </w:rPr>
              <w:t>主体库咨询电话:0398-3117815</w:t>
            </w:r>
          </w:p>
          <w:p w14:paraId="6FC1CE7C">
            <w:pPr>
              <w:spacing w:line="400" w:lineRule="exact"/>
              <w:rPr>
                <w:rFonts w:ascii="宋体" w:hAnsi="宋体"/>
                <w:color w:val="auto"/>
                <w:sz w:val="24"/>
                <w:highlight w:val="none"/>
              </w:rPr>
            </w:pPr>
            <w:r>
              <w:rPr>
                <w:rFonts w:hint="eastAsia" w:ascii="宋体" w:hAnsi="宋体"/>
                <w:color w:val="auto"/>
                <w:sz w:val="24"/>
                <w:highlight w:val="none"/>
              </w:rPr>
              <w:t>CA证书制发:0398-2181635</w:t>
            </w:r>
          </w:p>
          <w:p w14:paraId="7DCCF85C">
            <w:pPr>
              <w:spacing w:line="400" w:lineRule="exact"/>
              <w:rPr>
                <w:rFonts w:ascii="宋体" w:hAnsi="宋体"/>
                <w:color w:val="auto"/>
                <w:sz w:val="24"/>
                <w:highlight w:val="none"/>
              </w:rPr>
            </w:pPr>
            <w:r>
              <w:rPr>
                <w:rFonts w:hint="eastAsia" w:ascii="宋体" w:hAnsi="宋体"/>
                <w:color w:val="auto"/>
                <w:sz w:val="24"/>
                <w:highlight w:val="none"/>
              </w:rPr>
              <w:t>科技信息科:0398-3117095</w:t>
            </w:r>
          </w:p>
          <w:p w14:paraId="07806418">
            <w:pPr>
              <w:spacing w:line="400" w:lineRule="exact"/>
              <w:rPr>
                <w:rFonts w:ascii="宋体" w:hAnsi="宋体"/>
                <w:color w:val="auto"/>
                <w:sz w:val="24"/>
                <w:highlight w:val="none"/>
              </w:rPr>
            </w:pPr>
            <w:r>
              <w:rPr>
                <w:rFonts w:hint="eastAsia" w:ascii="宋体" w:hAnsi="宋体"/>
                <w:color w:val="auto"/>
                <w:sz w:val="24"/>
                <w:highlight w:val="none"/>
              </w:rPr>
              <w:t>（三）电子化项目开标、解密、唱标、评标</w:t>
            </w:r>
          </w:p>
          <w:p w14:paraId="3DD04D73">
            <w:pPr>
              <w:wordWrap w:val="0"/>
              <w:spacing w:line="400" w:lineRule="exact"/>
              <w:ind w:firstLine="357"/>
              <w:rPr>
                <w:rFonts w:ascii="宋体" w:hAnsi="宋体"/>
                <w:color w:val="auto"/>
                <w:sz w:val="24"/>
                <w:highlight w:val="none"/>
              </w:rPr>
            </w:pPr>
            <w:r>
              <w:rPr>
                <w:rFonts w:hint="eastAsia" w:ascii="宋体" w:hAnsi="宋体"/>
                <w:color w:val="auto"/>
                <w:sz w:val="24"/>
                <w:highlight w:val="none"/>
              </w:rPr>
              <w:t>1、本项目采用电子化、无纸化进行招标，开标当日，供应商无需到开标现场参加开标会议，供应商应当在投标截止时间前，登陆不见面开标大厅选择登陆三门峡市公共资源电子招投标系统进行登陆（</w:t>
            </w:r>
            <w:r>
              <w:rPr>
                <w:rFonts w:hint="eastAsia" w:ascii="宋体" w:hAnsi="宋体" w:cs="宋体"/>
                <w:color w:val="auto"/>
                <w:sz w:val="24"/>
                <w:szCs w:val="24"/>
                <w:highlight w:val="none"/>
              </w:rPr>
              <w:t>网址为</w:t>
            </w:r>
            <w:r>
              <w:rPr>
                <w:rFonts w:ascii="宋体" w:hAnsi="宋体" w:cs="宋体"/>
                <w:color w:val="auto"/>
                <w:sz w:val="24"/>
                <w:szCs w:val="24"/>
                <w:highlight w:val="none"/>
              </w:rPr>
              <w:t>http://120.194.249.36:10094/BidOpening/bidopeninghallaction/hall/login</w:t>
            </w:r>
            <w:r>
              <w:rPr>
                <w:rFonts w:hint="eastAsia" w:ascii="宋体" w:hAnsi="宋体"/>
                <w:color w:val="auto"/>
                <w:sz w:val="24"/>
                <w:highlight w:val="none"/>
              </w:rPr>
              <w:t>）,在线准时参加开标活动并进行投标文件解密等。</w:t>
            </w:r>
          </w:p>
          <w:p w14:paraId="0AF20127">
            <w:pPr>
              <w:spacing w:line="400" w:lineRule="exact"/>
              <w:rPr>
                <w:rFonts w:ascii="宋体" w:hAnsi="宋体"/>
                <w:color w:val="auto"/>
                <w:sz w:val="24"/>
                <w:highlight w:val="none"/>
              </w:rPr>
            </w:pPr>
            <w:r>
              <w:rPr>
                <w:rFonts w:hint="eastAsia" w:ascii="宋体" w:hAnsi="宋体"/>
                <w:color w:val="auto"/>
                <w:sz w:val="24"/>
                <w:highlight w:val="none"/>
              </w:rPr>
              <w:t>2、电子化投标文件采用一次加密方式。开标时，由供应商使用CA 证书，在规定时间内对其电子化投标文件进行解密。每位供应商的解密时间为开标时间起30 分钟内，如在规定时间内未完成解密的，其投标文件不予开标、唱标。</w:t>
            </w:r>
          </w:p>
          <w:p w14:paraId="43C6EFF5">
            <w:pPr>
              <w:spacing w:line="400" w:lineRule="exact"/>
              <w:rPr>
                <w:rFonts w:ascii="宋体" w:hAnsi="宋体"/>
                <w:color w:val="auto"/>
                <w:sz w:val="24"/>
                <w:highlight w:val="none"/>
              </w:rPr>
            </w:pPr>
            <w:r>
              <w:rPr>
                <w:rFonts w:hint="eastAsia" w:ascii="宋体" w:hAnsi="宋体"/>
                <w:color w:val="auto"/>
                <w:sz w:val="24"/>
                <w:highlight w:val="none"/>
              </w:rPr>
              <w:t>3、电子化投标文件解密异常的处理</w:t>
            </w:r>
          </w:p>
          <w:p w14:paraId="77341D97">
            <w:pPr>
              <w:spacing w:line="400" w:lineRule="exact"/>
              <w:rPr>
                <w:rFonts w:ascii="宋体" w:hAnsi="宋体"/>
                <w:color w:val="auto"/>
                <w:sz w:val="24"/>
                <w:highlight w:val="none"/>
              </w:rPr>
            </w:pPr>
            <w:r>
              <w:rPr>
                <w:rFonts w:hint="eastAsia" w:ascii="宋体" w:hAnsi="宋体"/>
                <w:color w:val="auto"/>
                <w:sz w:val="24"/>
                <w:highlight w:val="none"/>
              </w:rPr>
              <w:t>如出现供应商的电子投标文件无法解密等异常情况，供应商应及时致电中介服务机构说明。投标文件异常，按以下步骤进行处理：</w:t>
            </w:r>
          </w:p>
          <w:p w14:paraId="6580D942">
            <w:pPr>
              <w:spacing w:line="400" w:lineRule="exact"/>
              <w:rPr>
                <w:rFonts w:ascii="宋体" w:hAnsi="宋体"/>
                <w:color w:val="auto"/>
                <w:sz w:val="24"/>
                <w:highlight w:val="none"/>
              </w:rPr>
            </w:pPr>
            <w:r>
              <w:rPr>
                <w:rFonts w:hint="eastAsia" w:ascii="宋体" w:hAnsi="宋体"/>
                <w:color w:val="auto"/>
                <w:sz w:val="24"/>
                <w:highlight w:val="none"/>
              </w:rPr>
              <w:t>（1）首先由技术人员进行问题排查。</w:t>
            </w:r>
          </w:p>
          <w:p w14:paraId="79B1E1A7">
            <w:pPr>
              <w:spacing w:line="400" w:lineRule="exact"/>
              <w:rPr>
                <w:rFonts w:ascii="宋体" w:hAnsi="宋体"/>
                <w:color w:val="auto"/>
                <w:sz w:val="24"/>
                <w:highlight w:val="none"/>
              </w:rPr>
            </w:pPr>
            <w:r>
              <w:rPr>
                <w:rFonts w:hint="eastAsia" w:ascii="宋体" w:hAnsi="宋体"/>
                <w:color w:val="auto"/>
                <w:sz w:val="24"/>
                <w:highlight w:val="none"/>
              </w:rPr>
              <w:t>（2）经技术人员排查后，是供应商文件自身问题导致投标文件无法解密的，该投标文件将不予接收、解密和唱标。开标会议继续进行。</w:t>
            </w:r>
          </w:p>
          <w:p w14:paraId="0F7351FE">
            <w:pPr>
              <w:spacing w:line="400" w:lineRule="exact"/>
              <w:rPr>
                <w:rFonts w:ascii="宋体" w:hAnsi="宋体"/>
                <w:color w:val="auto"/>
                <w:sz w:val="24"/>
                <w:highlight w:val="none"/>
              </w:rPr>
            </w:pPr>
            <w:r>
              <w:rPr>
                <w:rFonts w:hint="eastAsia" w:ascii="宋体" w:hAnsi="宋体"/>
                <w:color w:val="auto"/>
                <w:sz w:val="24"/>
                <w:highlight w:val="none"/>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05AD3B3F">
            <w:pPr>
              <w:spacing w:line="400" w:lineRule="exact"/>
              <w:rPr>
                <w:rFonts w:ascii="宋体" w:hAnsi="宋体"/>
                <w:color w:val="auto"/>
                <w:sz w:val="24"/>
                <w:highlight w:val="none"/>
              </w:rPr>
            </w:pPr>
            <w:r>
              <w:rPr>
                <w:rFonts w:hint="eastAsia" w:ascii="宋体" w:hAnsi="宋体"/>
                <w:color w:val="auto"/>
                <w:sz w:val="24"/>
                <w:highlight w:val="none"/>
              </w:rPr>
              <w:t>4、待所有供应商投标文件解密完成后，由中介服务机构操作，对所有已解密投标文件进行唱标。</w:t>
            </w:r>
          </w:p>
          <w:p w14:paraId="1F9E813D">
            <w:pPr>
              <w:spacing w:line="400" w:lineRule="exact"/>
              <w:rPr>
                <w:rFonts w:ascii="宋体" w:hAnsi="宋体"/>
                <w:color w:val="auto"/>
                <w:sz w:val="24"/>
                <w:highlight w:val="none"/>
              </w:rPr>
            </w:pPr>
            <w:r>
              <w:rPr>
                <w:rFonts w:hint="eastAsia" w:ascii="宋体" w:hAnsi="宋体"/>
                <w:color w:val="auto"/>
                <w:sz w:val="24"/>
                <w:highlight w:val="none"/>
              </w:rPr>
              <w:t>供应商应保证在开标期间电话、电脑、网络能够正常工作，供应商因停电、电脑病毒、网络堵塞等原因，未在规定的解密时间内对投标文件进行解密的，其投标文件不予接收、唱标。</w:t>
            </w:r>
          </w:p>
          <w:p w14:paraId="3846CC7F">
            <w:pPr>
              <w:spacing w:line="400" w:lineRule="exact"/>
              <w:rPr>
                <w:rFonts w:ascii="宋体" w:hAnsi="宋体"/>
                <w:color w:val="auto"/>
                <w:sz w:val="24"/>
                <w:highlight w:val="none"/>
              </w:rPr>
            </w:pPr>
            <w:r>
              <w:rPr>
                <w:rFonts w:hint="eastAsia" w:ascii="宋体" w:hAnsi="宋体"/>
                <w:color w:val="auto"/>
                <w:sz w:val="24"/>
                <w:highlight w:val="none"/>
              </w:rPr>
              <w:t>5、开标时供应商可登录到交易系统中在开标解密栏中点击报价一览表查看自己的投标报价。如对自己的唱标内容有异议的，应在供应商解密成功后10分钟内向中介服务机构电话质疑。中介服务机构应在监督人员的监督下进行免提通话接受供应商的质疑并做好书面记录。供应商未在规定时间内提出质疑的，视为认可唱标内容。</w:t>
            </w:r>
          </w:p>
          <w:p w14:paraId="7BBF86E4">
            <w:pPr>
              <w:spacing w:line="400" w:lineRule="exact"/>
              <w:rPr>
                <w:rFonts w:ascii="宋体" w:hAnsi="宋体"/>
                <w:color w:val="auto"/>
                <w:sz w:val="24"/>
                <w:highlight w:val="none"/>
              </w:rPr>
            </w:pPr>
            <w:r>
              <w:rPr>
                <w:rFonts w:hint="eastAsia" w:ascii="宋体" w:hAnsi="宋体"/>
                <w:color w:val="auto"/>
                <w:sz w:val="24"/>
                <w:highlight w:val="none"/>
              </w:rPr>
              <w:t>6、评标时，磋商小组对电子化投标文件有质疑的，将通过电子化交易系统对供应商发起质疑，并在监督人员的监督下，用免提模式致电需要答复的供应商对质疑进行回复。供应商的回复文件必须以经过供应商和其法定代表人签章的PDF格式文件为准，并通过电子化交易系统提交至磋商小组。</w:t>
            </w:r>
          </w:p>
          <w:p w14:paraId="40AFA97C">
            <w:pPr>
              <w:spacing w:line="400" w:lineRule="exact"/>
              <w:rPr>
                <w:rFonts w:ascii="宋体" w:hAnsi="宋体"/>
                <w:color w:val="auto"/>
                <w:sz w:val="24"/>
                <w:highlight w:val="none"/>
              </w:rPr>
            </w:pPr>
            <w:r>
              <w:rPr>
                <w:rFonts w:hint="eastAsia" w:ascii="宋体" w:hAnsi="宋体"/>
                <w:color w:val="auto"/>
                <w:sz w:val="24"/>
                <w:highlight w:val="none"/>
              </w:rPr>
              <w:t>7、如磋商小组对需要回复的供应商连续三次致电未接通的，视为供应商放弃回复，磋商小组将自行对需要回复的内容进行认定。</w:t>
            </w:r>
          </w:p>
          <w:p w14:paraId="71F81658">
            <w:pPr>
              <w:spacing w:line="400" w:lineRule="exact"/>
              <w:rPr>
                <w:rFonts w:ascii="宋体" w:hAnsi="宋体"/>
                <w:color w:val="auto"/>
                <w:sz w:val="24"/>
                <w:highlight w:val="none"/>
              </w:rPr>
            </w:pPr>
            <w:r>
              <w:rPr>
                <w:rFonts w:hint="eastAsia" w:ascii="宋体" w:hAnsi="宋体"/>
                <w:color w:val="auto"/>
                <w:sz w:val="24"/>
                <w:highlight w:val="none"/>
              </w:rPr>
              <w:t>二、相关证书原件的提交</w:t>
            </w:r>
          </w:p>
          <w:p w14:paraId="6BFBE524">
            <w:pPr>
              <w:spacing w:line="400" w:lineRule="exact"/>
              <w:rPr>
                <w:rFonts w:ascii="宋体" w:hAnsi="宋体"/>
                <w:color w:val="auto"/>
                <w:sz w:val="24"/>
                <w:highlight w:val="none"/>
              </w:rPr>
            </w:pPr>
            <w:r>
              <w:rPr>
                <w:rFonts w:hint="eastAsia" w:ascii="宋体" w:hAnsi="宋体"/>
                <w:color w:val="auto"/>
                <w:sz w:val="24"/>
                <w:highlight w:val="none"/>
              </w:rPr>
              <w:t>本项目实行资格后审，资格评审以投标文件为准，其上传资料真实性由供应商自行承担，同时，供应商要完善主体库。</w:t>
            </w:r>
          </w:p>
          <w:p w14:paraId="4136B9A3">
            <w:pPr>
              <w:spacing w:line="400" w:lineRule="exact"/>
              <w:rPr>
                <w:rFonts w:ascii="宋体" w:hAnsi="宋体"/>
                <w:color w:val="auto"/>
                <w:sz w:val="24"/>
                <w:highlight w:val="none"/>
              </w:rPr>
            </w:pPr>
            <w:r>
              <w:rPr>
                <w:rFonts w:hint="eastAsia" w:ascii="宋体" w:hAnsi="宋体"/>
                <w:color w:val="auto"/>
                <w:sz w:val="24"/>
                <w:highlight w:val="none"/>
              </w:rPr>
              <w:t>提示：本项目为电子化、无纸化交易项目，开标时不再接受任何纸质资料，为保证您能投标成功，请需仔细阅读以上条款。</w:t>
            </w:r>
          </w:p>
        </w:tc>
      </w:tr>
    </w:tbl>
    <w:p w14:paraId="6BDFE90B">
      <w:pPr>
        <w:pStyle w:val="12"/>
        <w:spacing w:line="460" w:lineRule="exact"/>
        <w:jc w:val="center"/>
        <w:outlineLvl w:val="1"/>
        <w:rPr>
          <w:rFonts w:ascii="宋体" w:hAnsi="宋体" w:eastAsia="宋体" w:cs="宋体"/>
          <w:b/>
          <w:color w:val="auto"/>
          <w:kern w:val="0"/>
          <w:highlight w:val="none"/>
        </w:rPr>
      </w:pPr>
      <w:r>
        <w:rPr>
          <w:rFonts w:hint="eastAsia" w:ascii="宋体" w:hAnsi="宋体"/>
          <w:b/>
          <w:bCs/>
          <w:color w:val="auto"/>
          <w:kern w:val="0"/>
          <w:highlight w:val="none"/>
        </w:rPr>
        <w:br w:type="page"/>
      </w:r>
      <w:bookmarkStart w:id="40" w:name="_Toc513029203"/>
      <w:bookmarkEnd w:id="40"/>
      <w:bookmarkStart w:id="41" w:name="_Toc16770549"/>
      <w:bookmarkEnd w:id="41"/>
      <w:bookmarkStart w:id="42" w:name="_Toc120614214"/>
      <w:bookmarkEnd w:id="42"/>
      <w:bookmarkStart w:id="43" w:name="_Toc16938519"/>
      <w:bookmarkEnd w:id="43"/>
      <w:bookmarkStart w:id="44" w:name="_Toc20823275"/>
      <w:bookmarkEnd w:id="44"/>
      <w:bookmarkStart w:id="45" w:name="_Toc517178993"/>
      <w:bookmarkEnd w:id="45"/>
      <w:bookmarkStart w:id="46" w:name="_Toc32643"/>
      <w:bookmarkStart w:id="47" w:name="_Toc2341_WPSOffice_Level1"/>
      <w:bookmarkStart w:id="48" w:name="_Toc4714_WPSOffice_Level1"/>
      <w:bookmarkStart w:id="49" w:name="_Toc3111_WPSOffice_Level1"/>
      <w:bookmarkStart w:id="50" w:name="_Toc27375_WPSOffice_Level1"/>
      <w:r>
        <w:rPr>
          <w:rFonts w:hint="eastAsia" w:ascii="宋体" w:hAnsi="宋体" w:eastAsia="宋体" w:cs="宋体"/>
          <w:b/>
          <w:color w:val="auto"/>
          <w:highlight w:val="none"/>
        </w:rPr>
        <w:t>1.总则</w:t>
      </w:r>
    </w:p>
    <w:p w14:paraId="5331C97A">
      <w:pPr>
        <w:wordWrap w:val="0"/>
        <w:spacing w:line="460" w:lineRule="exact"/>
        <w:ind w:firstLine="480" w:firstLineChars="200"/>
        <w:jc w:val="left"/>
        <w:outlineLvl w:val="2"/>
        <w:rPr>
          <w:rFonts w:ascii="宋体" w:hAnsi="宋体" w:eastAsia="宋体" w:cs="宋体"/>
          <w:color w:val="auto"/>
          <w:sz w:val="24"/>
          <w:szCs w:val="24"/>
          <w:highlight w:val="none"/>
        </w:rPr>
      </w:pPr>
      <w:bookmarkStart w:id="51" w:name="_Toc16938520"/>
      <w:bookmarkEnd w:id="51"/>
      <w:bookmarkStart w:id="52" w:name="_Toc513029204"/>
      <w:bookmarkEnd w:id="52"/>
      <w:bookmarkStart w:id="53" w:name="_Toc20823276"/>
      <w:bookmarkEnd w:id="53"/>
      <w:bookmarkStart w:id="54" w:name="_Toc528078009"/>
      <w:r>
        <w:rPr>
          <w:rFonts w:hint="eastAsia" w:ascii="宋体" w:hAnsi="宋体" w:eastAsia="宋体" w:cs="宋体"/>
          <w:color w:val="auto"/>
          <w:sz w:val="24"/>
          <w:szCs w:val="24"/>
          <w:highlight w:val="none"/>
        </w:rPr>
        <w:t>1.1.1</w:t>
      </w:r>
      <w:bookmarkEnd w:id="54"/>
      <w:r>
        <w:rPr>
          <w:rFonts w:hint="eastAsia" w:ascii="宋体" w:hAnsi="宋体" w:eastAsia="宋体" w:cs="宋体"/>
          <w:color w:val="auto"/>
          <w:sz w:val="24"/>
          <w:szCs w:val="24"/>
          <w:highlight w:val="none"/>
        </w:rPr>
        <w:t>采购方式及定义</w:t>
      </w:r>
    </w:p>
    <w:p w14:paraId="2DBD358C">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本次采购采用竞争性磋商方式（以下简称磋商），本竞争性磋商文件仅适用于竞争性磋商公告中所述项目。</w:t>
      </w:r>
    </w:p>
    <w:p w14:paraId="074B9EF8">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合格的供应商</w:t>
      </w:r>
    </w:p>
    <w:p w14:paraId="4732B4C4">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1.满足竞争性磋商公告中供应商的资格条件的规定。</w:t>
      </w:r>
    </w:p>
    <w:p w14:paraId="310F71DD">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2.满足本文件实质性条款的规定。</w:t>
      </w:r>
    </w:p>
    <w:p w14:paraId="5745D306">
      <w:pPr>
        <w:wordWrap w:val="0"/>
        <w:spacing w:line="460" w:lineRule="exact"/>
        <w:ind w:firstLine="480" w:firstLineChars="200"/>
        <w:jc w:val="left"/>
        <w:outlineLvl w:val="2"/>
        <w:rPr>
          <w:rFonts w:ascii="宋体" w:hAnsi="宋体" w:eastAsia="宋体" w:cs="宋体"/>
          <w:color w:val="auto"/>
          <w:sz w:val="24"/>
          <w:szCs w:val="24"/>
          <w:highlight w:val="none"/>
        </w:rPr>
      </w:pPr>
      <w:bookmarkStart w:id="55" w:name="_Toc16938522"/>
      <w:bookmarkEnd w:id="55"/>
      <w:bookmarkStart w:id="56" w:name="_Toc513029206"/>
      <w:bookmarkEnd w:id="56"/>
      <w:bookmarkStart w:id="57" w:name="_Toc20823278"/>
      <w:bookmarkEnd w:id="57"/>
      <w:bookmarkStart w:id="58" w:name="_Toc528078010"/>
      <w:r>
        <w:rPr>
          <w:rFonts w:hint="eastAsia" w:ascii="宋体" w:hAnsi="宋体" w:eastAsia="宋体" w:cs="宋体"/>
          <w:color w:val="auto"/>
          <w:sz w:val="24"/>
          <w:szCs w:val="24"/>
          <w:highlight w:val="none"/>
        </w:rPr>
        <w:t>1.1.2</w:t>
      </w:r>
      <w:bookmarkEnd w:id="58"/>
      <w:r>
        <w:rPr>
          <w:rFonts w:hint="eastAsia" w:ascii="宋体" w:hAnsi="宋体" w:eastAsia="宋体" w:cs="宋体"/>
          <w:color w:val="auto"/>
          <w:sz w:val="24"/>
          <w:szCs w:val="24"/>
          <w:highlight w:val="none"/>
        </w:rPr>
        <w:t>适用法律</w:t>
      </w:r>
    </w:p>
    <w:p w14:paraId="01C89E16">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本次竞争性磋商及由此产生的合同受中华人民共和国有关的法律法规制约和保护。</w:t>
      </w:r>
    </w:p>
    <w:p w14:paraId="43D066EF">
      <w:pPr>
        <w:wordWrap w:val="0"/>
        <w:spacing w:line="460" w:lineRule="exact"/>
        <w:ind w:firstLine="480" w:firstLineChars="200"/>
        <w:jc w:val="left"/>
        <w:outlineLvl w:val="2"/>
        <w:rPr>
          <w:rFonts w:ascii="宋体" w:hAnsi="宋体" w:eastAsia="宋体" w:cs="宋体"/>
          <w:color w:val="auto"/>
          <w:sz w:val="24"/>
          <w:szCs w:val="24"/>
          <w:highlight w:val="none"/>
        </w:rPr>
      </w:pPr>
      <w:bookmarkStart w:id="59" w:name="_Toc20823279"/>
      <w:bookmarkEnd w:id="59"/>
      <w:bookmarkStart w:id="60" w:name="_Toc16938523"/>
      <w:bookmarkEnd w:id="60"/>
      <w:bookmarkStart w:id="61" w:name="_Toc513029207"/>
      <w:bookmarkEnd w:id="61"/>
      <w:bookmarkStart w:id="62" w:name="_Toc462564067"/>
      <w:bookmarkEnd w:id="62"/>
      <w:bookmarkStart w:id="63" w:name="_Toc528078011"/>
      <w:r>
        <w:rPr>
          <w:rFonts w:hint="eastAsia" w:ascii="宋体" w:hAnsi="宋体" w:eastAsia="宋体" w:cs="宋体"/>
          <w:color w:val="auto"/>
          <w:sz w:val="24"/>
          <w:szCs w:val="24"/>
          <w:highlight w:val="none"/>
        </w:rPr>
        <w:t>1.1.3</w:t>
      </w:r>
      <w:bookmarkEnd w:id="63"/>
      <w:r>
        <w:rPr>
          <w:rFonts w:hint="eastAsia" w:ascii="宋体" w:hAnsi="宋体" w:eastAsia="宋体" w:cs="宋体"/>
          <w:color w:val="auto"/>
          <w:sz w:val="24"/>
          <w:szCs w:val="24"/>
          <w:highlight w:val="none"/>
        </w:rPr>
        <w:t>磋商费用</w:t>
      </w:r>
    </w:p>
    <w:p w14:paraId="6CFCFE26">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次竞争性磋商磋商服务费：招标代理服务费参照《河南省招标代理服务收费指导意见》豫招协（2023）002号文件中，河南省招标代理服务收费计算标准计取。领取中标通知书前由中标人支付。供应商的投标报价应当包含该代理费用。</w:t>
      </w:r>
    </w:p>
    <w:p w14:paraId="67D9019D">
      <w:pPr>
        <w:wordWrap w:val="0"/>
        <w:spacing w:line="460" w:lineRule="exact"/>
        <w:ind w:left="566" w:leftChars="218" w:hanging="108" w:hangingChars="45"/>
        <w:jc w:val="left"/>
        <w:outlineLvl w:val="1"/>
        <w:rPr>
          <w:rFonts w:ascii="宋体" w:hAnsi="宋体" w:eastAsia="宋体" w:cs="宋体"/>
          <w:color w:val="auto"/>
          <w:kern w:val="0"/>
          <w:sz w:val="24"/>
          <w:szCs w:val="24"/>
          <w:highlight w:val="none"/>
        </w:rPr>
      </w:pPr>
      <w:bookmarkStart w:id="64" w:name="_Toc517178994"/>
      <w:bookmarkEnd w:id="64"/>
      <w:bookmarkStart w:id="65" w:name="_Toc505350554"/>
      <w:bookmarkEnd w:id="65"/>
      <w:bookmarkStart w:id="66" w:name="_Toc20823281"/>
      <w:bookmarkEnd w:id="66"/>
      <w:bookmarkStart w:id="67" w:name="_Toc120614215"/>
      <w:bookmarkEnd w:id="67"/>
      <w:bookmarkStart w:id="68" w:name="_Toc513029209"/>
      <w:bookmarkEnd w:id="68"/>
      <w:bookmarkStart w:id="69" w:name="_Toc403987206"/>
      <w:bookmarkEnd w:id="69"/>
      <w:bookmarkStart w:id="70" w:name="_Toc504491968"/>
      <w:bookmarkEnd w:id="70"/>
      <w:bookmarkStart w:id="71" w:name="_Toc16938525"/>
      <w:bookmarkEnd w:id="71"/>
      <w:bookmarkStart w:id="72" w:name="_Toc528078012"/>
      <w:r>
        <w:rPr>
          <w:rFonts w:hint="eastAsia" w:ascii="宋体" w:hAnsi="宋体" w:eastAsia="宋体" w:cs="宋体"/>
          <w:color w:val="auto"/>
          <w:sz w:val="24"/>
          <w:szCs w:val="24"/>
          <w:highlight w:val="none"/>
        </w:rPr>
        <w:t>2.</w:t>
      </w:r>
      <w:bookmarkEnd w:id="72"/>
      <w:r>
        <w:rPr>
          <w:rFonts w:hint="eastAsia" w:ascii="宋体" w:hAnsi="宋体" w:eastAsia="宋体" w:cs="宋体"/>
          <w:color w:val="auto"/>
          <w:sz w:val="24"/>
          <w:szCs w:val="24"/>
          <w:highlight w:val="none"/>
        </w:rPr>
        <w:t>竞争性磋商文件</w:t>
      </w:r>
    </w:p>
    <w:p w14:paraId="4A9DD59E">
      <w:pPr>
        <w:wordWrap w:val="0"/>
        <w:spacing w:line="460" w:lineRule="exact"/>
        <w:ind w:firstLine="480" w:firstLineChars="200"/>
        <w:jc w:val="left"/>
        <w:outlineLvl w:val="2"/>
        <w:rPr>
          <w:rFonts w:ascii="宋体" w:hAnsi="宋体" w:eastAsia="宋体" w:cs="宋体"/>
          <w:color w:val="auto"/>
          <w:sz w:val="24"/>
          <w:szCs w:val="24"/>
          <w:highlight w:val="none"/>
        </w:rPr>
      </w:pPr>
      <w:bookmarkStart w:id="73" w:name="_Toc20823282"/>
      <w:bookmarkEnd w:id="73"/>
      <w:bookmarkStart w:id="74" w:name="_Toc16938526"/>
      <w:bookmarkEnd w:id="74"/>
      <w:bookmarkStart w:id="75" w:name="_Toc513029210"/>
      <w:bookmarkEnd w:id="75"/>
      <w:bookmarkStart w:id="76" w:name="_Toc528078013"/>
      <w:r>
        <w:rPr>
          <w:rFonts w:hint="eastAsia" w:ascii="宋体" w:hAnsi="宋体" w:eastAsia="宋体" w:cs="宋体"/>
          <w:color w:val="auto"/>
          <w:sz w:val="24"/>
          <w:szCs w:val="24"/>
          <w:highlight w:val="none"/>
        </w:rPr>
        <w:t>2.1</w:t>
      </w:r>
      <w:bookmarkEnd w:id="76"/>
      <w:r>
        <w:rPr>
          <w:rFonts w:hint="eastAsia" w:ascii="宋体" w:hAnsi="宋体" w:eastAsia="宋体" w:cs="宋体"/>
          <w:color w:val="auto"/>
          <w:sz w:val="24"/>
          <w:szCs w:val="24"/>
          <w:highlight w:val="none"/>
        </w:rPr>
        <w:t>竞争性磋商文件构成</w:t>
      </w:r>
    </w:p>
    <w:p w14:paraId="231B1C7B">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2.1.1竞争性磋商公告</w:t>
      </w:r>
    </w:p>
    <w:p w14:paraId="6CECD58E">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2.1.2供应商须知</w:t>
      </w:r>
    </w:p>
    <w:p w14:paraId="02E428DB">
      <w:pPr>
        <w:wordWrap w:val="0"/>
        <w:spacing w:line="460" w:lineRule="exact"/>
        <w:ind w:firstLine="480" w:firstLineChars="200"/>
        <w:jc w:val="left"/>
        <w:outlineLvl w:val="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2.1.3评标办法（综合评估法）</w:t>
      </w:r>
    </w:p>
    <w:p w14:paraId="6D005663">
      <w:pPr>
        <w:wordWrap w:val="0"/>
        <w:spacing w:line="460" w:lineRule="exact"/>
        <w:ind w:firstLine="480" w:firstLineChars="200"/>
        <w:jc w:val="left"/>
        <w:outlineLvl w:val="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2.1.4合同主要条款及格式</w:t>
      </w:r>
    </w:p>
    <w:p w14:paraId="55E2FBB0">
      <w:pPr>
        <w:wordWrap w:val="0"/>
        <w:spacing w:line="460" w:lineRule="exact"/>
        <w:ind w:firstLine="480" w:firstLineChars="200"/>
        <w:jc w:val="left"/>
        <w:outlineLvl w:val="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2.1.5采购清单及技术参数</w:t>
      </w:r>
    </w:p>
    <w:p w14:paraId="1D23B0D8">
      <w:pPr>
        <w:wordWrap w:val="0"/>
        <w:spacing w:line="460" w:lineRule="exact"/>
        <w:ind w:firstLine="480" w:firstLineChars="200"/>
        <w:jc w:val="left"/>
        <w:outlineLvl w:val="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2.1.6投标文件格式</w:t>
      </w:r>
    </w:p>
    <w:p w14:paraId="1B320FBD">
      <w:pPr>
        <w:wordWrap w:val="0"/>
        <w:spacing w:line="460" w:lineRule="exact"/>
        <w:ind w:firstLine="480" w:firstLineChars="200"/>
        <w:jc w:val="left"/>
        <w:outlineLvl w:val="2"/>
        <w:rPr>
          <w:rFonts w:ascii="宋体" w:hAnsi="宋体" w:eastAsia="宋体" w:cs="宋体"/>
          <w:color w:val="auto"/>
          <w:sz w:val="24"/>
          <w:szCs w:val="24"/>
          <w:highlight w:val="none"/>
        </w:rPr>
      </w:pPr>
      <w:bookmarkStart w:id="77" w:name="_Toc462564070"/>
      <w:bookmarkEnd w:id="77"/>
      <w:bookmarkStart w:id="78" w:name="_Toc20823283"/>
      <w:bookmarkEnd w:id="78"/>
      <w:bookmarkStart w:id="79" w:name="_Toc16938527"/>
      <w:bookmarkEnd w:id="79"/>
      <w:bookmarkStart w:id="80" w:name="_Toc513029211"/>
      <w:bookmarkEnd w:id="80"/>
      <w:bookmarkStart w:id="81" w:name="_Toc528078014"/>
      <w:r>
        <w:rPr>
          <w:rFonts w:hint="eastAsia" w:ascii="宋体" w:hAnsi="宋体" w:eastAsia="宋体" w:cs="宋体"/>
          <w:color w:val="auto"/>
          <w:sz w:val="24"/>
          <w:szCs w:val="24"/>
          <w:highlight w:val="none"/>
        </w:rPr>
        <w:t>2.2</w:t>
      </w:r>
      <w:bookmarkEnd w:id="81"/>
      <w:r>
        <w:rPr>
          <w:rFonts w:hint="eastAsia" w:ascii="宋体" w:hAnsi="宋体" w:eastAsia="宋体" w:cs="宋体"/>
          <w:color w:val="auto"/>
          <w:sz w:val="24"/>
          <w:szCs w:val="24"/>
          <w:highlight w:val="none"/>
        </w:rPr>
        <w:t>竞争性磋商文件的澄清及修改</w:t>
      </w:r>
    </w:p>
    <w:p w14:paraId="2E19A366">
      <w:pPr>
        <w:wordWrap w:val="0"/>
        <w:spacing w:line="46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2.2.1供应商应仔细阅读和检查磋商文件的全部内容。如发现电子文件缺页或附件不全，应及时向采购人提出，以便补齐。如有疑问，应在投标截止日期5日前在三门峡市公共资源交易系统中提出咨询并打电话至采购代理机构，要求采购人对磋商文件予以澄清。</w:t>
      </w:r>
    </w:p>
    <w:p w14:paraId="61128818">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2.2.2磋商文件的澄清以澄清回复的方式在三门峡市公共资源交易系统中回复所有报名完成供应商或发布澄清公告，但不指明澄清问题的来源。澄清磋商文件实质性内容且影响响应文件编制的，应当顺延提交首次响应文件截止时间。</w:t>
      </w:r>
      <w:r>
        <w:rPr>
          <w:rFonts w:ascii="宋体" w:hAnsi="宋体" w:eastAsia="宋体" w:cs="宋体"/>
          <w:color w:val="auto"/>
          <w:sz w:val="24"/>
          <w:szCs w:val="24"/>
          <w:highlight w:val="none"/>
        </w:rPr>
        <w:t xml:space="preserve">    </w:t>
      </w:r>
    </w:p>
    <w:p w14:paraId="3ACBD467">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2.2.3提交首次响应文件截止之日前，采购人、采购代理公司可以对已发出的磋商文件进行必要的澄清或者修改，澄清或者修改的内容作为磋商文件的组成部分。澄清或者修改的内容可能影响响应文件编制的，采购人、采购代理公司将在提交首次响应文件截止时间至少5日前，在相关网上发布变更公告形式通知所有获取磋商文件的供应商。不足5日的，应当顺延提交首次响应文件截止时间。</w:t>
      </w:r>
    </w:p>
    <w:p w14:paraId="45B33E17">
      <w:pPr>
        <w:wordWrap w:val="0"/>
        <w:spacing w:line="460" w:lineRule="exact"/>
        <w:ind w:firstLine="480" w:firstLineChars="200"/>
        <w:jc w:val="left"/>
        <w:outlineLvl w:val="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2.2.4供应商应自行查看澄清或变更信息。</w:t>
      </w:r>
    </w:p>
    <w:p w14:paraId="63153E22">
      <w:pPr>
        <w:wordWrap w:val="0"/>
        <w:spacing w:line="460" w:lineRule="exact"/>
        <w:ind w:firstLine="480" w:firstLineChars="200"/>
        <w:jc w:val="left"/>
        <w:outlineLvl w:val="1"/>
        <w:rPr>
          <w:rFonts w:ascii="宋体" w:hAnsi="宋体" w:eastAsia="宋体" w:cs="宋体"/>
          <w:color w:val="auto"/>
          <w:kern w:val="0"/>
          <w:sz w:val="24"/>
          <w:szCs w:val="24"/>
          <w:highlight w:val="none"/>
        </w:rPr>
      </w:pPr>
      <w:bookmarkStart w:id="82" w:name="_Toc120614216"/>
      <w:bookmarkEnd w:id="82"/>
      <w:bookmarkStart w:id="83" w:name="_Toc403987207"/>
      <w:bookmarkEnd w:id="83"/>
      <w:bookmarkStart w:id="84" w:name="_Toc16938529"/>
      <w:bookmarkEnd w:id="84"/>
      <w:bookmarkStart w:id="85" w:name="_Toc462564072"/>
      <w:bookmarkEnd w:id="85"/>
      <w:bookmarkStart w:id="86" w:name="_Toc20823285"/>
      <w:bookmarkEnd w:id="86"/>
      <w:bookmarkStart w:id="87" w:name="_Toc513029213"/>
      <w:r>
        <w:rPr>
          <w:rFonts w:hint="eastAsia" w:ascii="宋体" w:hAnsi="宋体" w:eastAsia="宋体" w:cs="宋体"/>
          <w:color w:val="auto"/>
          <w:sz w:val="24"/>
          <w:szCs w:val="24"/>
          <w:highlight w:val="none"/>
        </w:rPr>
        <w:t xml:space="preserve"> </w:t>
      </w:r>
      <w:bookmarkEnd w:id="87"/>
      <w:bookmarkStart w:id="88" w:name="_Toc504491969"/>
      <w:bookmarkEnd w:id="88"/>
      <w:bookmarkStart w:id="89" w:name="_Toc528078015"/>
      <w:bookmarkEnd w:id="89"/>
      <w:bookmarkStart w:id="90" w:name="_Toc517178995"/>
      <w:bookmarkEnd w:id="90"/>
      <w:bookmarkStart w:id="91" w:name="_Toc505350555"/>
      <w:bookmarkEnd w:id="91"/>
      <w:r>
        <w:rPr>
          <w:rFonts w:hint="eastAsia" w:ascii="宋体" w:hAnsi="宋体" w:eastAsia="宋体" w:cs="宋体"/>
          <w:color w:val="auto"/>
          <w:sz w:val="24"/>
          <w:szCs w:val="24"/>
          <w:highlight w:val="none"/>
        </w:rPr>
        <w:t>3.磋商响应文件的编制及递交</w:t>
      </w:r>
    </w:p>
    <w:p w14:paraId="6EC25D43">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子化交易项目竞争性磋商响应文件（以下简称“响应文件”）是投标人、供应商（以下简称“供应商”）通过中心响应文件制作系统制作，并经过签章和加密后生成的电子版响应文件。供应商投标时，将不再接受任何纸质文件资料。</w:t>
      </w:r>
    </w:p>
    <w:p w14:paraId="3CB1D289">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电子化响应文件具体制作教材请供应商通过CA证书登录三门峡市公共资源电子化交易系统在“组建下载”中查看。</w:t>
      </w:r>
    </w:p>
    <w:p w14:paraId="3F5C51F6">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温馨提示：本项目为电子化、无纸化交易项目，开标时不接受任何纸质资料，为保证您能投标成功，请需仔细阅读以下条款。</w:t>
      </w:r>
    </w:p>
    <w:p w14:paraId="4260BDAD">
      <w:pPr>
        <w:wordWrap w:val="0"/>
        <w:spacing w:line="460" w:lineRule="exact"/>
        <w:ind w:firstLine="480" w:firstLineChars="200"/>
        <w:jc w:val="left"/>
        <w:outlineLvl w:val="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一、电子化投标</w:t>
      </w:r>
    </w:p>
    <w:p w14:paraId="55A7D477">
      <w:pPr>
        <w:wordWrap w:val="0"/>
        <w:spacing w:line="460" w:lineRule="exact"/>
        <w:ind w:firstLine="480" w:firstLineChars="200"/>
        <w:jc w:val="left"/>
        <w:outlineLvl w:val="3"/>
        <w:rPr>
          <w:rFonts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（一）电子化响应文件的签章</w:t>
      </w:r>
    </w:p>
    <w:p w14:paraId="65529520">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1、供应商在生成电子化响应文件后，应对电子化响应文件进行签章，未进行签章的视为无效投标。</w:t>
      </w:r>
    </w:p>
    <w:p w14:paraId="500815D5">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磋商文件中要求法定代表人或授权委托人签字或盖章的，供应商在进行电子化响应文件签章时，以签盖法定代表人签章为准。电子化响应文件具体制作教材请供应商通过CA证书登录三门峡市公共资源电子化交易系统在右上角“组建下载”中查看。</w:t>
      </w:r>
    </w:p>
    <w:p w14:paraId="0EBF76EE">
      <w:pPr>
        <w:wordWrap w:val="0"/>
        <w:spacing w:line="460" w:lineRule="exact"/>
        <w:ind w:firstLine="480" w:firstLineChars="200"/>
        <w:jc w:val="left"/>
        <w:outlineLvl w:val="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（二）电子化响应文件的格式及上传投标</w:t>
      </w:r>
    </w:p>
    <w:p w14:paraId="703718DF">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1、供应商所上传的电子化响应文件，应是通过中心响应文件制作系统制作的，经过签章和加密后生成的电子版响应文件。</w:t>
      </w:r>
    </w:p>
    <w:p w14:paraId="4D8320D0">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2、电子化响应文件应在投标截止时间前成功上传至三门峡市公共资源电子化交易系统。至投标截止时间止，仍未上传成功的电子化响应文件将不予接收。</w:t>
      </w:r>
    </w:p>
    <w:p w14:paraId="7B0BEB87">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如按照电子化投标操作教材制作完成的电子化响应文件无法上传的，供应商应在投标截止时间前尽早的联系中心技术人员，以便有充分的时间进行处理。供应商应充分考虑到处理技术问题和上传数据等工作所需的时间问题，响应文件未在投标截止时间前成功上传的，其响应文件不予接收。</w:t>
      </w:r>
    </w:p>
    <w:p w14:paraId="2FD8336A">
      <w:pPr>
        <w:wordWrap w:val="0"/>
        <w:spacing w:line="460" w:lineRule="exact"/>
        <w:ind w:firstLine="480" w:firstLineChars="200"/>
        <w:jc w:val="left"/>
        <w:outlineLvl w:val="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（三）电子化项目开标、解密、唱标、磋商</w:t>
      </w:r>
    </w:p>
    <w:p w14:paraId="1A92D519">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1、本项目采用电子化、无纸化进行招标，供应商可以通过网络登录交易平台进入项目开标大厅远程在线参加开标会议。</w:t>
      </w:r>
    </w:p>
    <w:p w14:paraId="1B12D51C">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电子化响应文件采用双重加密方式。开标时，请供应商使用CA证书登录交易平台，进入本项目开标大厅点击解密来完成响应文件的解密工作。每位供应商的解密时间为开标时间起30分钟内完成。待所有供应商全部解密完成后，再由中介服务机构使用CA证书对响应文件进行再次解密。</w:t>
      </w:r>
    </w:p>
    <w:p w14:paraId="1F3F0F69">
      <w:pPr>
        <w:wordWrap w:val="0"/>
        <w:spacing w:line="46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3、电子化响应文件解密异常的处理</w:t>
      </w:r>
    </w:p>
    <w:p w14:paraId="4BA77CEE">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如出现供应商的电子响应文件无法解密等异常情况，供应商应及时致电中介服务机构说明。响应文件异常，按以下步骤进行处理：</w:t>
      </w:r>
    </w:p>
    <w:p w14:paraId="194A5E42">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（1）首先由技术人员进行问题排查。</w:t>
      </w:r>
    </w:p>
    <w:p w14:paraId="6EDCDA3F">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（2）经技术人员排查后，是供应商文件自身问题导致响应文件无法解密的，该响应文件将不予接收、解密和唱标。开标会议继续进行。</w:t>
      </w:r>
    </w:p>
    <w:p w14:paraId="6D58C8F9">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6A862F9D">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4、供应商应保证在开标期间电话、电脑、网络能够正常工作，供应商因停电、电脑病毒、网络堵塞等原因，未在规定的解密时间内对响应文件进行解密的，其响应文件不予接收、唱标。</w:t>
      </w:r>
    </w:p>
    <w:p w14:paraId="27589837">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磋商小组对电子化响应文件有质疑的，将通过电子化交易系统对供应商发起质疑，并在监督人员的监督下，用免提模式致电需要答复的供应商对质疑进行回复。供应商的回复文件必须以经过供应商和其法定代表人签章的PDF格式文件为准，并通过电子化交易系统提交至磋商小组。</w:t>
      </w:r>
    </w:p>
    <w:p w14:paraId="576FEF95">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6、如磋商小组对需要回复的供应商连续三次致电未接通的，视为供应商放弃回复，磋商小组将自行对需要回复的内容进行认定。</w:t>
      </w:r>
    </w:p>
    <w:p w14:paraId="1DC0E28F">
      <w:pPr>
        <w:wordWrap w:val="0"/>
        <w:spacing w:line="460" w:lineRule="exact"/>
        <w:ind w:firstLine="480" w:firstLineChars="200"/>
        <w:jc w:val="left"/>
        <w:outlineLvl w:val="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二、相关证书原件的提交</w:t>
      </w:r>
    </w:p>
    <w:p w14:paraId="3BF978E7">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本项目实行资格后审，竞争性磋商文件中要求供应商提交营业执照、业绩、荣誉及单位人员等相关资料，供应商需将原件扫描件制作到电子响应文件中</w:t>
      </w:r>
    </w:p>
    <w:p w14:paraId="4F777783">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供应商需应仔细阅读操作手册，保证上传内容齐全，真实有效，原件扫描件清晰可辨。因供应商上传原因导致应得分项而未得分或资格审查不合格等情况的，由供应商自行承担责任。</w:t>
      </w:r>
    </w:p>
    <w:p w14:paraId="7A57060E">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提示：本项目为电子化、无纸化交易项目，开标时不再接受任何纸质资料，为保证您能投标成功，请需仔细阅读以上条款。</w:t>
      </w:r>
    </w:p>
    <w:p w14:paraId="71628E47">
      <w:pPr>
        <w:wordWrap w:val="0"/>
        <w:spacing w:line="460" w:lineRule="exact"/>
        <w:ind w:firstLine="480" w:firstLineChars="200"/>
        <w:jc w:val="left"/>
        <w:outlineLvl w:val="1"/>
        <w:rPr>
          <w:rFonts w:ascii="宋体" w:hAnsi="宋体" w:eastAsia="宋体" w:cs="宋体"/>
          <w:color w:val="auto"/>
          <w:sz w:val="24"/>
          <w:szCs w:val="24"/>
          <w:highlight w:val="none"/>
        </w:rPr>
      </w:pPr>
      <w:bookmarkStart w:id="92" w:name="_Toc528078016"/>
      <w:bookmarkEnd w:id="92"/>
      <w:r>
        <w:rPr>
          <w:rFonts w:hint="eastAsia" w:ascii="宋体" w:hAnsi="宋体" w:eastAsia="宋体" w:cs="宋体"/>
          <w:color w:val="auto"/>
          <w:sz w:val="24"/>
          <w:szCs w:val="24"/>
          <w:highlight w:val="none"/>
        </w:rPr>
        <w:t>3.初次报价表</w:t>
      </w:r>
    </w:p>
    <w:p w14:paraId="3272E104">
      <w:pPr>
        <w:wordWrap w:val="0"/>
        <w:spacing w:line="460" w:lineRule="exact"/>
        <w:ind w:firstLine="480" w:firstLineChars="200"/>
        <w:jc w:val="left"/>
        <w:outlineLvl w:val="2"/>
        <w:rPr>
          <w:rFonts w:ascii="宋体" w:hAnsi="宋体" w:eastAsia="宋体" w:cs="宋体"/>
          <w:color w:val="auto"/>
          <w:sz w:val="24"/>
          <w:szCs w:val="24"/>
          <w:highlight w:val="none"/>
        </w:rPr>
      </w:pPr>
      <w:bookmarkStart w:id="93" w:name="_Toc528078017"/>
      <w:bookmarkEnd w:id="93"/>
      <w:r>
        <w:rPr>
          <w:rFonts w:hint="eastAsia" w:ascii="宋体" w:hAnsi="宋体" w:eastAsia="宋体" w:cs="宋体"/>
          <w:color w:val="auto"/>
          <w:sz w:val="24"/>
          <w:szCs w:val="24"/>
          <w:highlight w:val="none"/>
        </w:rPr>
        <w:t>3.1供应商应按照竞争性磋商文件规定格式填报</w:t>
      </w:r>
      <w:bookmarkStart w:id="94" w:name="_Hlt26670399"/>
      <w:bookmarkEnd w:id="94"/>
      <w:r>
        <w:rPr>
          <w:rFonts w:hint="eastAsia" w:ascii="宋体" w:hAnsi="宋体" w:eastAsia="宋体" w:cs="宋体"/>
          <w:color w:val="auto"/>
          <w:sz w:val="24"/>
          <w:szCs w:val="24"/>
          <w:highlight w:val="none"/>
        </w:rPr>
        <w:t>初次报价表。每项费用允许有一个报价，任何有选择的报价将不予接受。</w:t>
      </w:r>
    </w:p>
    <w:p w14:paraId="7978F3FA">
      <w:pPr>
        <w:wordWrap w:val="0"/>
        <w:spacing w:line="460" w:lineRule="exact"/>
        <w:ind w:firstLine="480" w:firstLineChars="200"/>
        <w:jc w:val="left"/>
        <w:outlineLvl w:val="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3.2有关费用处理</w:t>
      </w:r>
    </w:p>
    <w:p w14:paraId="6AA5A6C6">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本项目应以人民币报价，供应商应就该项目完整投标（报价、服务、税费、售后服务等综合费用），采购人不另外支付其他任何费用；</w:t>
      </w:r>
    </w:p>
    <w:p w14:paraId="6F44E16F">
      <w:pPr>
        <w:wordWrap w:val="0"/>
        <w:spacing w:line="460" w:lineRule="exact"/>
        <w:ind w:firstLine="480" w:firstLineChars="200"/>
        <w:jc w:val="left"/>
        <w:outlineLvl w:val="2"/>
        <w:rPr>
          <w:rFonts w:ascii="宋体" w:hAnsi="宋体" w:eastAsia="宋体" w:cs="宋体"/>
          <w:color w:val="auto"/>
          <w:sz w:val="24"/>
          <w:szCs w:val="24"/>
          <w:highlight w:val="none"/>
        </w:rPr>
      </w:pPr>
      <w:bookmarkStart w:id="95" w:name="_Toc528078018"/>
      <w:bookmarkEnd w:id="95"/>
      <w:r>
        <w:rPr>
          <w:rFonts w:hint="eastAsia" w:ascii="宋体" w:hAnsi="宋体" w:eastAsia="宋体" w:cs="宋体"/>
          <w:color w:val="auto"/>
          <w:sz w:val="24"/>
          <w:szCs w:val="24"/>
          <w:highlight w:val="none"/>
        </w:rPr>
        <w:t>3.3其它费用处理</w:t>
      </w:r>
    </w:p>
    <w:p w14:paraId="6A4DF3D9">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竞争性磋商文件未列明，而供应商认为必需的费用也需列入报价。</w:t>
      </w:r>
    </w:p>
    <w:p w14:paraId="4EB44476">
      <w:pPr>
        <w:wordWrap w:val="0"/>
        <w:spacing w:line="460" w:lineRule="exact"/>
        <w:ind w:firstLine="480" w:firstLineChars="200"/>
        <w:jc w:val="left"/>
        <w:outlineLvl w:val="2"/>
        <w:rPr>
          <w:rFonts w:ascii="宋体" w:hAnsi="宋体" w:eastAsia="宋体" w:cs="宋体"/>
          <w:color w:val="auto"/>
          <w:sz w:val="24"/>
          <w:szCs w:val="24"/>
          <w:highlight w:val="none"/>
        </w:rPr>
      </w:pPr>
      <w:bookmarkStart w:id="96" w:name="_Toc528078019"/>
      <w:bookmarkEnd w:id="96"/>
      <w:r>
        <w:rPr>
          <w:rFonts w:hint="eastAsia" w:ascii="宋体" w:hAnsi="宋体" w:eastAsia="宋体" w:cs="宋体"/>
          <w:color w:val="auto"/>
          <w:sz w:val="24"/>
          <w:szCs w:val="24"/>
          <w:highlight w:val="none"/>
        </w:rPr>
        <w:t>3.4响应文件货币</w:t>
      </w:r>
    </w:p>
    <w:p w14:paraId="61CAA2C9">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响应文件中的货物单价和总价无特殊规定的采用人民币报价，以元为单位标注。竞争性磋商文件中另有规定的按规定执行。</w:t>
      </w:r>
    </w:p>
    <w:p w14:paraId="581842D6">
      <w:pPr>
        <w:wordWrap w:val="0"/>
        <w:spacing w:line="460" w:lineRule="exact"/>
        <w:ind w:firstLine="480" w:firstLineChars="200"/>
        <w:jc w:val="left"/>
        <w:outlineLvl w:val="2"/>
        <w:rPr>
          <w:rFonts w:ascii="宋体" w:hAnsi="宋体" w:eastAsia="宋体" w:cs="宋体"/>
          <w:color w:val="auto"/>
          <w:sz w:val="24"/>
          <w:szCs w:val="24"/>
          <w:highlight w:val="none"/>
        </w:rPr>
      </w:pPr>
      <w:bookmarkStart w:id="97" w:name="_Toc528078020"/>
      <w:bookmarkEnd w:id="97"/>
      <w:r>
        <w:rPr>
          <w:rFonts w:hint="eastAsia" w:ascii="宋体" w:hAnsi="宋体" w:eastAsia="宋体" w:cs="宋体"/>
          <w:color w:val="auto"/>
          <w:sz w:val="24"/>
          <w:szCs w:val="24"/>
          <w:highlight w:val="none"/>
        </w:rPr>
        <w:t>3.5初次报价表上的价格应按下列方式填写：</w:t>
      </w:r>
    </w:p>
    <w:p w14:paraId="687F9CC2">
      <w:pPr>
        <w:wordWrap w:val="0"/>
        <w:spacing w:line="460" w:lineRule="exact"/>
        <w:ind w:firstLine="480" w:firstLineChars="200"/>
        <w:jc w:val="left"/>
        <w:rPr>
          <w:rFonts w:ascii="宋体" w:hAnsi="宋体" w:eastAsia="宋体" w:cs="宋体"/>
          <w:color w:val="auto"/>
          <w:sz w:val="24"/>
          <w:szCs w:val="24"/>
          <w:highlight w:val="none"/>
        </w:rPr>
      </w:pPr>
      <w:bookmarkStart w:id="98" w:name="_Hlt26954842"/>
      <w:bookmarkEnd w:id="98"/>
      <w:bookmarkStart w:id="99" w:name="_Hlt26954844"/>
      <w:bookmarkEnd w:id="99"/>
      <w:bookmarkStart w:id="100" w:name="_Hlt26668983"/>
      <w:bookmarkEnd w:id="100"/>
      <w:bookmarkStart w:id="101" w:name="_Hlt26670425"/>
      <w:bookmarkEnd w:id="101"/>
      <w:bookmarkStart w:id="102" w:name="_Hlt26670403"/>
      <w:bookmarkEnd w:id="102"/>
      <w:r>
        <w:rPr>
          <w:rFonts w:hint="eastAsia" w:ascii="宋体" w:hAnsi="宋体" w:eastAsia="宋体" w:cs="宋体"/>
          <w:color w:val="auto"/>
          <w:sz w:val="24"/>
          <w:szCs w:val="24"/>
          <w:highlight w:val="none"/>
        </w:rPr>
        <w:t>3.5.1项目总价：包括买方服务需求所涉及的所有费用。</w:t>
      </w:r>
    </w:p>
    <w:p w14:paraId="3C59FA7F">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3.5.2各项报价的总和等于总价</w:t>
      </w:r>
    </w:p>
    <w:p w14:paraId="13901B5C">
      <w:pPr>
        <w:wordWrap w:val="0"/>
        <w:spacing w:line="460" w:lineRule="exact"/>
        <w:ind w:firstLine="480" w:firstLineChars="200"/>
        <w:jc w:val="left"/>
        <w:outlineLvl w:val="1"/>
        <w:rPr>
          <w:rFonts w:ascii="宋体" w:hAnsi="宋体" w:eastAsia="宋体" w:cs="宋体"/>
          <w:color w:val="auto"/>
          <w:kern w:val="0"/>
          <w:sz w:val="24"/>
          <w:szCs w:val="24"/>
          <w:highlight w:val="none"/>
        </w:rPr>
      </w:pPr>
      <w:bookmarkStart w:id="103" w:name="_Hlt26670486"/>
      <w:bookmarkEnd w:id="103"/>
      <w:bookmarkStart w:id="104" w:name="_Hlt26954846"/>
      <w:bookmarkEnd w:id="104"/>
      <w:bookmarkStart w:id="105" w:name="_Hlt26954731"/>
      <w:bookmarkEnd w:id="105"/>
      <w:bookmarkStart w:id="106" w:name="_Hlt26670482"/>
      <w:bookmarkEnd w:id="106"/>
      <w:bookmarkStart w:id="107" w:name="_Toc505350556"/>
      <w:bookmarkEnd w:id="107"/>
      <w:bookmarkStart w:id="108" w:name="_Hlt26954848"/>
      <w:bookmarkEnd w:id="108"/>
      <w:bookmarkStart w:id="109" w:name="_Toc517178996"/>
      <w:bookmarkEnd w:id="109"/>
      <w:bookmarkStart w:id="110" w:name="_Toc528078025"/>
      <w:r>
        <w:rPr>
          <w:rFonts w:hint="eastAsia" w:ascii="宋体" w:hAnsi="宋体" w:eastAsia="宋体" w:cs="宋体"/>
          <w:color w:val="auto"/>
          <w:sz w:val="24"/>
          <w:szCs w:val="24"/>
          <w:highlight w:val="none"/>
        </w:rPr>
        <w:t>4.磋商与评审</w:t>
      </w:r>
      <w:bookmarkEnd w:id="110"/>
      <w:bookmarkStart w:id="111" w:name="_Toc528078026"/>
      <w:bookmarkEnd w:id="111"/>
    </w:p>
    <w:p w14:paraId="1E5CE099">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采购代理机构根据采购项目的特点依法组建磋商小组。磋商小组由采购人代表和有关技术、经济等方面的专家组成，成员为3人。其中：技术、经济等方面的专家不能少于磋商小组成员的2/3。采购人代表不得担任磋商小组组长。2名磋商小组成员确定方式：</w:t>
      </w:r>
      <w:r>
        <w:rPr>
          <w:rFonts w:hint="eastAsia" w:ascii="宋体" w:hAnsi="宋体" w:eastAsia="宋体" w:cs="宋体"/>
          <w:color w:val="auto"/>
          <w:kern w:val="0"/>
          <w:sz w:val="24"/>
          <w:szCs w:val="24"/>
          <w:highlight w:val="none"/>
        </w:rPr>
        <w:t>开标当天从河南省政府采购网专家库</w:t>
      </w:r>
      <w:r>
        <w:rPr>
          <w:rFonts w:hint="eastAsia" w:ascii="宋体" w:hAnsi="宋体" w:eastAsia="宋体" w:cs="宋体"/>
          <w:color w:val="auto"/>
          <w:kern w:val="0"/>
          <w:sz w:val="24"/>
          <w:szCs w:val="24"/>
          <w:highlight w:val="none"/>
          <w:lang w:val="en-US" w:eastAsia="zh-CN"/>
        </w:rPr>
        <w:t>随机</w:t>
      </w:r>
      <w:r>
        <w:rPr>
          <w:rFonts w:hint="eastAsia" w:ascii="宋体" w:hAnsi="宋体" w:eastAsia="宋体" w:cs="宋体"/>
          <w:color w:val="auto"/>
          <w:kern w:val="0"/>
          <w:sz w:val="24"/>
          <w:szCs w:val="24"/>
          <w:highlight w:val="none"/>
        </w:rPr>
        <w:t>抽取。</w:t>
      </w:r>
      <w:bookmarkStart w:id="112" w:name="_Toc528078027"/>
      <w:bookmarkEnd w:id="112"/>
    </w:p>
    <w:p w14:paraId="547C24CC">
      <w:pPr>
        <w:wordWrap w:val="0"/>
        <w:spacing w:line="460" w:lineRule="exact"/>
        <w:ind w:firstLine="480" w:firstLineChars="200"/>
        <w:jc w:val="left"/>
        <w:outlineLvl w:val="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5、磋商小组工作原则</w:t>
      </w:r>
    </w:p>
    <w:p w14:paraId="4ED45D59">
      <w:pPr>
        <w:wordWrap w:val="0"/>
        <w:spacing w:line="460" w:lineRule="exact"/>
        <w:ind w:firstLine="480" w:firstLineChars="200"/>
        <w:jc w:val="left"/>
        <w:outlineLvl w:val="2"/>
        <w:rPr>
          <w:rFonts w:ascii="宋体" w:hAnsi="宋体" w:eastAsia="宋体" w:cs="宋体"/>
          <w:color w:val="auto"/>
          <w:sz w:val="24"/>
          <w:szCs w:val="24"/>
          <w:highlight w:val="none"/>
        </w:rPr>
      </w:pPr>
      <w:bookmarkStart w:id="113" w:name="_Toc528078029"/>
      <w:bookmarkEnd w:id="113"/>
      <w:r>
        <w:rPr>
          <w:rFonts w:hint="eastAsia" w:ascii="宋体" w:hAnsi="宋体" w:eastAsia="宋体" w:cs="宋体"/>
          <w:color w:val="auto"/>
          <w:sz w:val="24"/>
          <w:szCs w:val="24"/>
          <w:highlight w:val="none"/>
        </w:rPr>
        <w:t>磋商小组成员应当按照客观、公正、审慎的原则，根据磋商文件规定的评审程序、评审方法和评审标准进行独立评审。未实质性响应磋商文件的响应文件按无效响应处理，磋商小组应当告知提交响应文件的供应商。磋商文件内容违反国家有关强制性规定的，磋商小组应当停止评审并向采购人或者采购代理机构说明情况。</w:t>
      </w:r>
    </w:p>
    <w:p w14:paraId="4251CF44">
      <w:pPr>
        <w:wordWrap w:val="0"/>
        <w:spacing w:line="460" w:lineRule="exact"/>
        <w:ind w:firstLine="480" w:firstLineChars="200"/>
        <w:jc w:val="left"/>
        <w:outlineLvl w:val="1"/>
        <w:rPr>
          <w:rFonts w:ascii="宋体" w:hAnsi="宋体" w:eastAsia="宋体" w:cs="宋体"/>
          <w:color w:val="auto"/>
          <w:sz w:val="24"/>
          <w:szCs w:val="24"/>
          <w:highlight w:val="none"/>
        </w:rPr>
      </w:pPr>
      <w:bookmarkStart w:id="114" w:name="_Toc528078030"/>
      <w:bookmarkEnd w:id="114"/>
      <w:r>
        <w:rPr>
          <w:rFonts w:hint="eastAsia" w:ascii="宋体" w:hAnsi="宋体" w:eastAsia="宋体" w:cs="宋体"/>
          <w:color w:val="auto"/>
          <w:sz w:val="24"/>
          <w:szCs w:val="24"/>
          <w:highlight w:val="none"/>
        </w:rPr>
        <w:t>6、响应文件审查</w:t>
      </w:r>
    </w:p>
    <w:p w14:paraId="75BF35A4">
      <w:pPr>
        <w:wordWrap w:val="0"/>
        <w:spacing w:line="460" w:lineRule="exact"/>
        <w:ind w:firstLine="480" w:firstLineChars="200"/>
        <w:jc w:val="left"/>
        <w:outlineLvl w:val="2"/>
        <w:rPr>
          <w:rFonts w:ascii="宋体" w:hAnsi="宋体" w:eastAsia="宋体" w:cs="宋体"/>
          <w:color w:val="auto"/>
          <w:sz w:val="24"/>
          <w:szCs w:val="24"/>
          <w:highlight w:val="none"/>
        </w:rPr>
      </w:pPr>
      <w:bookmarkStart w:id="115" w:name="_Toc528078031"/>
      <w:bookmarkEnd w:id="115"/>
      <w:r>
        <w:rPr>
          <w:rFonts w:hint="eastAsia" w:ascii="宋体" w:hAnsi="宋体" w:eastAsia="宋体" w:cs="宋体"/>
          <w:color w:val="auto"/>
          <w:sz w:val="24"/>
          <w:szCs w:val="24"/>
          <w:highlight w:val="none"/>
        </w:rPr>
        <w:t>磋商小组在对响应文件的有效性、完整性和响应程度进行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14:paraId="0E8BADE8">
      <w:pPr>
        <w:wordWrap w:val="0"/>
        <w:spacing w:line="460" w:lineRule="exact"/>
        <w:ind w:firstLine="480" w:firstLineChars="200"/>
        <w:jc w:val="left"/>
        <w:outlineLvl w:val="1"/>
        <w:rPr>
          <w:rFonts w:ascii="宋体" w:hAnsi="宋体" w:eastAsia="宋体" w:cs="宋体"/>
          <w:color w:val="auto"/>
          <w:sz w:val="24"/>
          <w:szCs w:val="24"/>
          <w:highlight w:val="none"/>
        </w:rPr>
      </w:pPr>
      <w:bookmarkStart w:id="116" w:name="_Toc20823304"/>
      <w:bookmarkEnd w:id="116"/>
      <w:bookmarkStart w:id="117" w:name="_Toc16938548"/>
      <w:bookmarkEnd w:id="117"/>
      <w:bookmarkStart w:id="118" w:name="_Toc513029232"/>
      <w:bookmarkEnd w:id="118"/>
      <w:r>
        <w:rPr>
          <w:rFonts w:hint="eastAsia" w:ascii="宋体" w:hAnsi="宋体" w:eastAsia="宋体" w:cs="宋体"/>
          <w:color w:val="auto"/>
          <w:sz w:val="24"/>
          <w:szCs w:val="24"/>
          <w:highlight w:val="none"/>
        </w:rPr>
        <w:t>7、磋商程序、最后报价、综合评分</w:t>
      </w:r>
    </w:p>
    <w:p w14:paraId="7107459D">
      <w:pPr>
        <w:wordWrap w:val="0"/>
        <w:spacing w:line="460" w:lineRule="exact"/>
        <w:ind w:firstLine="480" w:firstLineChars="200"/>
        <w:jc w:val="left"/>
        <w:outlineLvl w:val="2"/>
        <w:rPr>
          <w:rFonts w:ascii="宋体" w:hAnsi="宋体" w:eastAsia="宋体" w:cs="宋体"/>
          <w:color w:val="auto"/>
          <w:sz w:val="24"/>
          <w:szCs w:val="24"/>
          <w:highlight w:val="none"/>
        </w:rPr>
      </w:pPr>
      <w:bookmarkStart w:id="119" w:name="_Toc528078034"/>
      <w:bookmarkEnd w:id="119"/>
      <w:r>
        <w:rPr>
          <w:rFonts w:hint="eastAsia" w:ascii="宋体" w:hAnsi="宋体" w:eastAsia="宋体" w:cs="宋体"/>
          <w:color w:val="auto"/>
          <w:sz w:val="24"/>
          <w:szCs w:val="24"/>
          <w:highlight w:val="none"/>
        </w:rPr>
        <w:t>7.1磋商小组所有成员应当集中与供应商分别进行磋商，并给予所有参加磋商的供应商平等的磋商机会。</w:t>
      </w:r>
    </w:p>
    <w:p w14:paraId="172EB40F">
      <w:pPr>
        <w:wordWrap w:val="0"/>
        <w:spacing w:line="460" w:lineRule="exact"/>
        <w:ind w:firstLine="480" w:firstLineChars="200"/>
        <w:jc w:val="left"/>
        <w:outlineLvl w:val="2"/>
        <w:rPr>
          <w:rFonts w:ascii="宋体" w:hAnsi="宋体" w:eastAsia="宋体" w:cs="宋体"/>
          <w:color w:val="auto"/>
          <w:sz w:val="24"/>
          <w:szCs w:val="24"/>
          <w:highlight w:val="none"/>
        </w:rPr>
      </w:pPr>
      <w:bookmarkStart w:id="120" w:name="_Toc528078035"/>
      <w:bookmarkEnd w:id="120"/>
      <w:r>
        <w:rPr>
          <w:rFonts w:hint="eastAsia" w:ascii="宋体" w:hAnsi="宋体" w:eastAsia="宋体" w:cs="宋体"/>
          <w:color w:val="auto"/>
          <w:sz w:val="24"/>
          <w:szCs w:val="24"/>
          <w:highlight w:val="none"/>
        </w:rPr>
        <w:t>7.2在磋商过程中，磋商小组可以根据磋商文件和磋商情况实质性变动采购需求中的技术、服务要求以及合同草案条款，但不得变动磋商文件中的其他内容。对磋商文件做出的实质性变动是磋商文件的有效组成部分，磋商小组应当及时以书面形式同时通知所有参加磋商的供应商。供应商应当按照磋商文件的变动情况和磋商小组的要求重新提交响应文件，并由其法定代表人或授权代表签字或者加盖公章。</w:t>
      </w:r>
    </w:p>
    <w:p w14:paraId="7540194E">
      <w:pPr>
        <w:wordWrap w:val="0"/>
        <w:spacing w:line="460" w:lineRule="exact"/>
        <w:ind w:firstLine="480" w:firstLineChars="200"/>
        <w:jc w:val="left"/>
        <w:outlineLvl w:val="2"/>
        <w:rPr>
          <w:rFonts w:ascii="宋体" w:hAnsi="宋体" w:eastAsia="宋体" w:cs="宋体"/>
          <w:color w:val="auto"/>
          <w:sz w:val="24"/>
          <w:szCs w:val="24"/>
          <w:highlight w:val="none"/>
        </w:rPr>
      </w:pPr>
      <w:bookmarkStart w:id="121" w:name="_Toc528078036"/>
      <w:bookmarkEnd w:id="121"/>
      <w:r>
        <w:rPr>
          <w:rFonts w:hint="eastAsia" w:ascii="宋体" w:hAnsi="宋体" w:eastAsia="宋体" w:cs="宋体"/>
          <w:color w:val="auto"/>
          <w:sz w:val="24"/>
          <w:szCs w:val="24"/>
          <w:highlight w:val="none"/>
        </w:rPr>
        <w:t>7.3磋商文件能够详细列明采购标的的技术、服务要求的，磋商结束后，磋商小组将要求所有实质性响应的供应商在规定时间内提交最后报价。最后报价是供应商响应文件的有效组成部分。</w:t>
      </w:r>
    </w:p>
    <w:p w14:paraId="3EA19CAD">
      <w:pPr>
        <w:wordWrap w:val="0"/>
        <w:spacing w:line="460" w:lineRule="exact"/>
        <w:ind w:firstLine="480" w:firstLineChars="200"/>
        <w:jc w:val="left"/>
        <w:outlineLvl w:val="2"/>
        <w:rPr>
          <w:rFonts w:ascii="宋体" w:hAnsi="宋体" w:eastAsia="宋体" w:cs="宋体"/>
          <w:color w:val="auto"/>
          <w:sz w:val="24"/>
          <w:szCs w:val="24"/>
          <w:highlight w:val="none"/>
        </w:rPr>
      </w:pPr>
      <w:bookmarkStart w:id="122" w:name="_Toc528078037"/>
      <w:bookmarkEnd w:id="122"/>
      <w:r>
        <w:rPr>
          <w:rFonts w:hint="eastAsia" w:ascii="宋体" w:hAnsi="宋体" w:eastAsia="宋体" w:cs="宋体"/>
          <w:color w:val="auto"/>
          <w:sz w:val="24"/>
          <w:szCs w:val="24"/>
          <w:highlight w:val="none"/>
        </w:rPr>
        <w:t>7.4已提交响应文件的供应商，在提交最后报价之前，可以根据磋商情况退出磋商。</w:t>
      </w:r>
    </w:p>
    <w:p w14:paraId="484CEA5D">
      <w:pPr>
        <w:wordWrap w:val="0"/>
        <w:spacing w:line="460" w:lineRule="exact"/>
        <w:ind w:firstLine="480" w:firstLineChars="200"/>
        <w:jc w:val="left"/>
        <w:outlineLvl w:val="2"/>
        <w:rPr>
          <w:rFonts w:ascii="宋体" w:hAnsi="宋体" w:eastAsia="宋体" w:cs="宋体"/>
          <w:color w:val="auto"/>
          <w:sz w:val="24"/>
          <w:szCs w:val="24"/>
          <w:highlight w:val="none"/>
        </w:rPr>
      </w:pPr>
      <w:bookmarkStart w:id="123" w:name="_Toc528078038"/>
      <w:bookmarkEnd w:id="123"/>
      <w:r>
        <w:rPr>
          <w:rFonts w:hint="eastAsia" w:ascii="宋体" w:hAnsi="宋体" w:eastAsia="宋体" w:cs="宋体"/>
          <w:color w:val="auto"/>
          <w:sz w:val="24"/>
          <w:szCs w:val="24"/>
          <w:highlight w:val="none"/>
        </w:rPr>
        <w:t>7.5经磋商确定最终采购需求和提交最后报价的供应商后，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p>
    <w:p w14:paraId="60BC75A8">
      <w:pPr>
        <w:wordWrap w:val="0"/>
        <w:spacing w:line="460" w:lineRule="exact"/>
        <w:ind w:firstLine="480" w:firstLineChars="200"/>
        <w:jc w:val="left"/>
        <w:outlineLvl w:val="2"/>
        <w:rPr>
          <w:rFonts w:hint="eastAsia" w:ascii="宋体" w:hAnsi="宋体" w:eastAsia="宋体" w:cs="宋体"/>
          <w:color w:val="auto"/>
          <w:sz w:val="24"/>
          <w:szCs w:val="24"/>
          <w:highlight w:val="none"/>
        </w:rPr>
      </w:pPr>
      <w:bookmarkStart w:id="124" w:name="_Toc528078039"/>
      <w:bookmarkEnd w:id="124"/>
      <w:r>
        <w:rPr>
          <w:rFonts w:hint="eastAsia" w:ascii="宋体" w:hAnsi="宋体" w:eastAsia="宋体" w:cs="宋体"/>
          <w:color w:val="auto"/>
          <w:sz w:val="24"/>
          <w:szCs w:val="24"/>
          <w:highlight w:val="none"/>
        </w:rPr>
        <w:t>7.6评审时，磋商小组各成员独立对每个有效响应的文件进行评价、打分，然后汇总每个供应商每项评分因素的得分。</w:t>
      </w:r>
    </w:p>
    <w:p w14:paraId="140FC469">
      <w:pPr>
        <w:wordWrap w:val="0"/>
        <w:spacing w:line="460" w:lineRule="exact"/>
        <w:ind w:firstLine="480" w:firstLineChars="200"/>
        <w:jc w:val="left"/>
        <w:outlineLvl w:val="2"/>
        <w:rPr>
          <w:rFonts w:ascii="宋体" w:hAnsi="宋体" w:eastAsia="宋体" w:cs="宋体"/>
          <w:color w:val="auto"/>
          <w:sz w:val="24"/>
          <w:szCs w:val="24"/>
          <w:highlight w:val="none"/>
        </w:rPr>
      </w:pPr>
      <w:bookmarkStart w:id="125" w:name="_Toc528078040"/>
      <w:bookmarkEnd w:id="125"/>
      <w:r>
        <w:rPr>
          <w:rFonts w:hint="eastAsia" w:ascii="宋体" w:hAnsi="宋体" w:eastAsia="宋体" w:cs="宋体"/>
          <w:color w:val="auto"/>
          <w:sz w:val="24"/>
          <w:szCs w:val="24"/>
          <w:highlight w:val="none"/>
        </w:rPr>
        <w:t>磋商小组应当根据综合评分情况，按照评审得分由高到低顺序推荐1-3名成交候选供应商，并编写评审报告。评审得</w:t>
      </w:r>
      <w:r>
        <w:rPr>
          <w:rFonts w:hint="eastAsia" w:ascii="Times New Roman" w:hAnsi="Times New Roman" w:eastAsia="宋体" w:cs="Times New Roman"/>
          <w:color w:val="auto"/>
          <w:sz w:val="24"/>
          <w:szCs w:val="24"/>
          <w:highlight w:val="none"/>
        </w:rPr>
        <w:t>分相同的，按照最后报价由低到高的顺序推荐。评审得分且最后报价相同的，按照技术指标优劣顺序推荐。</w:t>
      </w:r>
    </w:p>
    <w:p w14:paraId="72DA63B0">
      <w:pPr>
        <w:wordWrap w:val="0"/>
        <w:spacing w:line="460" w:lineRule="exact"/>
        <w:ind w:firstLine="480" w:firstLineChars="200"/>
        <w:jc w:val="left"/>
        <w:outlineLvl w:val="2"/>
        <w:rPr>
          <w:rFonts w:ascii="宋体" w:hAnsi="宋体" w:eastAsia="宋体" w:cs="宋体"/>
          <w:color w:val="auto"/>
          <w:sz w:val="24"/>
          <w:szCs w:val="24"/>
          <w:highlight w:val="none"/>
        </w:rPr>
      </w:pPr>
      <w:bookmarkStart w:id="126" w:name="_Toc528078041"/>
      <w:bookmarkEnd w:id="126"/>
      <w:r>
        <w:rPr>
          <w:rFonts w:hint="eastAsia" w:ascii="宋体" w:hAnsi="宋体" w:eastAsia="宋体" w:cs="宋体"/>
          <w:color w:val="auto"/>
          <w:sz w:val="24"/>
          <w:szCs w:val="24"/>
          <w:highlight w:val="none"/>
        </w:rPr>
        <w:t>7.7响应无效和终止磋商活动条款</w:t>
      </w:r>
    </w:p>
    <w:p w14:paraId="384F15CE">
      <w:pPr>
        <w:wordWrap w:val="0"/>
        <w:spacing w:line="460" w:lineRule="exact"/>
        <w:ind w:firstLine="480" w:firstLineChars="200"/>
        <w:jc w:val="left"/>
        <w:rPr>
          <w:rFonts w:ascii="宋体" w:hAnsi="宋体" w:eastAsia="宋体" w:cs="宋体"/>
          <w:color w:val="auto"/>
          <w:sz w:val="24"/>
          <w:szCs w:val="24"/>
          <w:highlight w:val="none"/>
        </w:rPr>
      </w:pPr>
      <w:bookmarkStart w:id="127" w:name="_Toc16938551"/>
      <w:bookmarkEnd w:id="127"/>
      <w:bookmarkStart w:id="128" w:name="_Toc513029235"/>
      <w:bookmarkEnd w:id="128"/>
      <w:r>
        <w:rPr>
          <w:rFonts w:hint="eastAsia" w:ascii="宋体" w:hAnsi="宋体" w:eastAsia="宋体" w:cs="宋体"/>
          <w:color w:val="auto"/>
          <w:sz w:val="24"/>
          <w:szCs w:val="24"/>
          <w:highlight w:val="none"/>
        </w:rPr>
        <w:t>1）未按照竞争性磋商文件规定要求签署、盖章的；</w:t>
      </w:r>
    </w:p>
    <w:p w14:paraId="60C8ECF2">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2）供应商不具备竞争性磋商文件中规定资格条件的；</w:t>
      </w:r>
    </w:p>
    <w:p w14:paraId="68CFFEB0">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3）不符合法律、法规和竞争性磋商文件中规定的其他实质性要求的；</w:t>
      </w:r>
    </w:p>
    <w:p w14:paraId="1ABFECAB">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4）其他法律、法规及本竞争性磋商文件规定的属响应无效的情形。</w:t>
      </w:r>
    </w:p>
    <w:p w14:paraId="0A2A4194">
      <w:pPr>
        <w:wordWrap w:val="0"/>
        <w:spacing w:line="460" w:lineRule="exact"/>
        <w:ind w:firstLine="480" w:firstLineChars="200"/>
        <w:jc w:val="left"/>
        <w:outlineLvl w:val="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7.8终止竞争性磋商采购活动的条款</w:t>
      </w:r>
    </w:p>
    <w:p w14:paraId="339DA6DC">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出现下列情形之一的，采购人将终止竞争性磋商采购活动，发布项目终止公告并说明原因，重新开展采购活动：</w:t>
      </w:r>
    </w:p>
    <w:p w14:paraId="252B34D1">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1）因情况变化，不再符合规定的竞争性磋商采购方式适用情形的；</w:t>
      </w:r>
    </w:p>
    <w:p w14:paraId="506B55AD">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2）出现影响采购公正的违法、违规行为的；</w:t>
      </w:r>
    </w:p>
    <w:p w14:paraId="79FD5E22">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3)在采购过程中符合要求的供应商的供应商不足2家的。</w:t>
      </w:r>
    </w:p>
    <w:p w14:paraId="2FC1C333">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7.9根据财库（2015）124号文，竞争性磋商只有2家响应人仍可继续进行。</w:t>
      </w:r>
    </w:p>
    <w:p w14:paraId="2C1E224D">
      <w:pPr>
        <w:wordWrap w:val="0"/>
        <w:spacing w:line="460" w:lineRule="exact"/>
        <w:ind w:firstLine="480" w:firstLineChars="200"/>
        <w:jc w:val="left"/>
        <w:outlineLvl w:val="1"/>
        <w:rPr>
          <w:rFonts w:ascii="宋体" w:hAnsi="宋体" w:eastAsia="宋体" w:cs="宋体"/>
          <w:color w:val="auto"/>
          <w:kern w:val="0"/>
          <w:sz w:val="24"/>
          <w:szCs w:val="24"/>
          <w:highlight w:val="none"/>
        </w:rPr>
      </w:pPr>
      <w:bookmarkStart w:id="129" w:name="_Toc517178997"/>
      <w:bookmarkEnd w:id="129"/>
      <w:bookmarkStart w:id="130" w:name="_Toc504491971"/>
      <w:bookmarkEnd w:id="130"/>
      <w:bookmarkStart w:id="131" w:name="_Toc505350557"/>
      <w:bookmarkEnd w:id="131"/>
      <w:bookmarkStart w:id="132" w:name="_Toc528078042"/>
      <w:r>
        <w:rPr>
          <w:rFonts w:hint="eastAsia" w:ascii="宋体" w:hAnsi="宋体" w:eastAsia="宋体" w:cs="宋体"/>
          <w:color w:val="auto"/>
          <w:sz w:val="24"/>
          <w:szCs w:val="24"/>
          <w:highlight w:val="none"/>
        </w:rPr>
        <w:t>8.确定成交、询问及质疑</w:t>
      </w:r>
      <w:bookmarkEnd w:id="132"/>
    </w:p>
    <w:p w14:paraId="609134CD">
      <w:pPr>
        <w:wordWrap w:val="0"/>
        <w:spacing w:line="460" w:lineRule="exact"/>
        <w:ind w:firstLine="480" w:firstLineChars="200"/>
        <w:jc w:val="left"/>
        <w:outlineLvl w:val="2"/>
        <w:rPr>
          <w:rFonts w:ascii="宋体" w:hAnsi="宋体" w:eastAsia="宋体" w:cs="宋体"/>
          <w:color w:val="auto"/>
          <w:sz w:val="24"/>
          <w:szCs w:val="24"/>
          <w:highlight w:val="none"/>
        </w:rPr>
      </w:pPr>
      <w:bookmarkStart w:id="133" w:name="_Toc20823310"/>
      <w:bookmarkEnd w:id="133"/>
      <w:bookmarkStart w:id="134" w:name="_Toc16938554"/>
      <w:bookmarkEnd w:id="134"/>
      <w:bookmarkStart w:id="135" w:name="_Toc528078043"/>
      <w:r>
        <w:rPr>
          <w:rFonts w:hint="eastAsia" w:ascii="宋体" w:hAnsi="宋体" w:eastAsia="宋体" w:cs="宋体"/>
          <w:color w:val="auto"/>
          <w:sz w:val="24"/>
          <w:szCs w:val="24"/>
          <w:highlight w:val="none"/>
        </w:rPr>
        <w:t>8.1</w:t>
      </w:r>
      <w:bookmarkEnd w:id="135"/>
      <w:r>
        <w:rPr>
          <w:rFonts w:hint="eastAsia" w:ascii="宋体" w:hAnsi="宋体" w:eastAsia="宋体" w:cs="宋体"/>
          <w:color w:val="auto"/>
          <w:sz w:val="24"/>
          <w:szCs w:val="24"/>
          <w:highlight w:val="none"/>
        </w:rPr>
        <w:t>确定成交供应商</w:t>
      </w:r>
    </w:p>
    <w:p w14:paraId="3FEED271">
      <w:pPr>
        <w:wordWrap w:val="0"/>
        <w:spacing w:line="46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8.1.1采购代理机构应当在评标结束后2个工作日内将评标报告送采购人。</w:t>
      </w:r>
    </w:p>
    <w:p w14:paraId="12211FAC">
      <w:pPr>
        <w:wordWrap w:val="0"/>
        <w:spacing w:line="46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应当自收到评标报告之日起5个工作日内，在评标报告确定的中标候选人名单中按顺序确定中标人。中标候选人并列的，由采购人或者采购人委托磋商小组按照竞争性磋商文件规定的方式确定中标人；竞争性磋商文件未规定的，采取随机抽取的方式确定。</w:t>
      </w:r>
    </w:p>
    <w:p w14:paraId="74215421">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8.1.2成交供应商确定后2个工作日内在“《</w:t>
      </w:r>
      <w:r>
        <w:rPr>
          <w:rFonts w:hint="eastAsia" w:ascii="宋体" w:hAnsi="宋体" w:eastAsia="宋体" w:cs="宋体"/>
          <w:color w:val="auto"/>
          <w:sz w:val="24"/>
          <w:szCs w:val="24"/>
          <w:highlight w:val="none"/>
          <w:lang w:eastAsia="zh-CN"/>
        </w:rPr>
        <w:t>中国招标投标公共服务平台</w:t>
      </w:r>
      <w:r>
        <w:rPr>
          <w:rFonts w:hint="eastAsia" w:ascii="宋体" w:hAnsi="宋体" w:eastAsia="宋体" w:cs="宋体"/>
          <w:color w:val="auto"/>
          <w:sz w:val="24"/>
          <w:szCs w:val="24"/>
          <w:highlight w:val="none"/>
        </w:rPr>
        <w:t>》、《河南省政府采购网》和《三门峡市公共资源交易中心网》”公告成交结果。</w:t>
      </w:r>
    </w:p>
    <w:p w14:paraId="7805DA6F">
      <w:pPr>
        <w:wordWrap w:val="0"/>
        <w:spacing w:line="460" w:lineRule="exact"/>
        <w:ind w:firstLine="480" w:firstLineChars="200"/>
        <w:jc w:val="left"/>
        <w:outlineLvl w:val="2"/>
        <w:rPr>
          <w:rFonts w:ascii="宋体" w:hAnsi="宋体" w:eastAsia="宋体" w:cs="宋体"/>
          <w:color w:val="auto"/>
          <w:sz w:val="24"/>
          <w:szCs w:val="24"/>
          <w:highlight w:val="none"/>
        </w:rPr>
      </w:pPr>
      <w:bookmarkStart w:id="136" w:name="_Toc200451960"/>
      <w:bookmarkEnd w:id="136"/>
      <w:bookmarkStart w:id="137" w:name="_Toc528078044"/>
      <w:r>
        <w:rPr>
          <w:rFonts w:hint="eastAsia" w:ascii="宋体" w:hAnsi="宋体" w:eastAsia="宋体" w:cs="宋体"/>
          <w:color w:val="auto"/>
          <w:sz w:val="24"/>
          <w:szCs w:val="24"/>
          <w:highlight w:val="none"/>
        </w:rPr>
        <w:t>8.2询问及质疑</w:t>
      </w:r>
      <w:bookmarkEnd w:id="137"/>
    </w:p>
    <w:p w14:paraId="019C4BC6">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8.2.1询问及质疑依据《中华人民共和国政府采购法》、《中华人民共和国政府采购法实施条例》及相关法律法规处理。</w:t>
      </w:r>
    </w:p>
    <w:p w14:paraId="1B522834">
      <w:pPr>
        <w:wordWrap w:val="0"/>
        <w:spacing w:line="460" w:lineRule="exact"/>
        <w:ind w:firstLine="480" w:firstLineChars="200"/>
        <w:jc w:val="left"/>
        <w:outlineLvl w:val="1"/>
        <w:rPr>
          <w:rFonts w:ascii="宋体" w:hAnsi="宋体" w:eastAsia="宋体" w:cs="宋体"/>
          <w:color w:val="auto"/>
          <w:kern w:val="0"/>
          <w:sz w:val="24"/>
          <w:szCs w:val="24"/>
          <w:highlight w:val="none"/>
        </w:rPr>
      </w:pPr>
      <w:bookmarkStart w:id="138" w:name="_Toc517178998"/>
      <w:bookmarkEnd w:id="138"/>
      <w:bookmarkStart w:id="139" w:name="_Toc20823308"/>
      <w:bookmarkEnd w:id="139"/>
      <w:bookmarkStart w:id="140" w:name="_Toc16938552"/>
      <w:bookmarkEnd w:id="140"/>
      <w:bookmarkStart w:id="141" w:name="_Toc403987211"/>
      <w:bookmarkEnd w:id="141"/>
      <w:bookmarkStart w:id="142" w:name="_Toc513029236"/>
      <w:bookmarkEnd w:id="142"/>
      <w:bookmarkStart w:id="143" w:name="_Toc505350558"/>
      <w:bookmarkEnd w:id="143"/>
      <w:bookmarkStart w:id="144" w:name="_Toc504491972"/>
      <w:bookmarkEnd w:id="144"/>
      <w:bookmarkStart w:id="145" w:name="_Toc120614220"/>
      <w:bookmarkEnd w:id="145"/>
      <w:bookmarkStart w:id="146" w:name="_Toc528078045"/>
      <w:r>
        <w:rPr>
          <w:rFonts w:hint="eastAsia" w:ascii="宋体" w:hAnsi="宋体" w:eastAsia="宋体" w:cs="宋体"/>
          <w:color w:val="auto"/>
          <w:sz w:val="24"/>
          <w:szCs w:val="24"/>
          <w:highlight w:val="none"/>
        </w:rPr>
        <w:t>9.</w:t>
      </w:r>
      <w:bookmarkEnd w:id="146"/>
      <w:r>
        <w:rPr>
          <w:rFonts w:hint="eastAsia" w:ascii="宋体" w:hAnsi="宋体" w:eastAsia="宋体" w:cs="宋体"/>
          <w:color w:val="auto"/>
          <w:sz w:val="24"/>
          <w:szCs w:val="24"/>
          <w:highlight w:val="none"/>
        </w:rPr>
        <w:t>授予合同</w:t>
      </w:r>
    </w:p>
    <w:p w14:paraId="2A91D5A4">
      <w:pPr>
        <w:wordWrap w:val="0"/>
        <w:spacing w:line="460" w:lineRule="exact"/>
        <w:ind w:firstLine="480" w:firstLineChars="200"/>
        <w:jc w:val="left"/>
        <w:outlineLvl w:val="2"/>
        <w:rPr>
          <w:rFonts w:ascii="宋体" w:hAnsi="宋体" w:eastAsia="宋体" w:cs="宋体"/>
          <w:color w:val="auto"/>
          <w:sz w:val="24"/>
          <w:szCs w:val="24"/>
          <w:highlight w:val="none"/>
        </w:rPr>
      </w:pPr>
      <w:bookmarkStart w:id="147" w:name="_Toc20823309"/>
      <w:bookmarkEnd w:id="147"/>
      <w:bookmarkStart w:id="148" w:name="_Toc16938553"/>
      <w:bookmarkEnd w:id="148"/>
      <w:bookmarkStart w:id="149" w:name="_Toc513029237"/>
      <w:bookmarkEnd w:id="149"/>
      <w:bookmarkStart w:id="150" w:name="_Toc528078046"/>
      <w:r>
        <w:rPr>
          <w:rFonts w:hint="eastAsia" w:ascii="宋体" w:hAnsi="宋体" w:eastAsia="宋体" w:cs="宋体"/>
          <w:color w:val="auto"/>
          <w:sz w:val="24"/>
          <w:szCs w:val="24"/>
          <w:highlight w:val="none"/>
        </w:rPr>
        <w:t>9.1签订合同</w:t>
      </w:r>
      <w:bookmarkEnd w:id="150"/>
    </w:p>
    <w:p w14:paraId="0A6083A2">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9.1.1采购人、成交供应商在成交通知书发出之日起30日内（不超过30日），根据竞争性磋商文件确定的事项和成交供应商响应性文件签订合同。双方所签订的合同不得对竞争性磋商文件和成交供应商响应性文件作实质性修改。成交供应商逾期未签订合同，视为成交后无正当理由不与采购人签订合同，按照有关法律规定承担相应的法律责任。采购人逾期不与成交供应商签订合同的，按政府采购的有关规定处理。</w:t>
      </w:r>
    </w:p>
    <w:p w14:paraId="6A98F3F1">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9.1.2竞争性磋商文件、竞争性磋商文件的修改文件、成交供应商的响应性文件、补充或修改的文件及澄清或承诺文件等，均为双方签订合同的组成部分，并与合同一并作为本竞争性磋商文件所列采购项目的互补性法律文件，与合同具有同等法律效力。</w:t>
      </w:r>
    </w:p>
    <w:p w14:paraId="242F5A97">
      <w:pPr>
        <w:wordWrap w:val="0"/>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9.1.3成交供应商放弃成交、因不可抗力不能履行合同、或者被查实存在影响成交结果的违法行为等情形，不符合成交条件的，采购人可以按照磋商小组提出的成交候选供应商名单排序依次确定其他成交候选供应商为成交供应商，也可以重新组织采购</w:t>
      </w:r>
      <w:bookmarkStart w:id="151" w:name="_Toc528078047"/>
      <w:bookmarkEnd w:id="151"/>
      <w:bookmarkStart w:id="152" w:name="_Toc479757211"/>
      <w:bookmarkEnd w:id="152"/>
      <w:bookmarkStart w:id="153" w:name="_Hlt16619475"/>
      <w:bookmarkEnd w:id="153"/>
      <w:bookmarkStart w:id="154" w:name="_Toc20823314"/>
      <w:bookmarkEnd w:id="154"/>
      <w:bookmarkStart w:id="155" w:name="_Toc479757207"/>
      <w:bookmarkEnd w:id="155"/>
      <w:bookmarkStart w:id="156" w:name="_Toc513029242"/>
      <w:bookmarkEnd w:id="156"/>
      <w:bookmarkStart w:id="157" w:name="_Toc120614221"/>
      <w:bookmarkEnd w:id="157"/>
      <w:bookmarkStart w:id="158" w:name="_Toc16938558"/>
      <w:bookmarkEnd w:id="158"/>
      <w:bookmarkStart w:id="159" w:name="_Toc517178999"/>
      <w:bookmarkEnd w:id="159"/>
      <w:bookmarkStart w:id="160" w:name="_Toc528078062"/>
      <w:r>
        <w:rPr>
          <w:rFonts w:hint="eastAsia" w:ascii="宋体" w:hAnsi="宋体" w:eastAsia="宋体" w:cs="宋体"/>
          <w:color w:val="auto"/>
          <w:sz w:val="24"/>
          <w:szCs w:val="24"/>
          <w:highlight w:val="none"/>
        </w:rPr>
        <w:t>。</w:t>
      </w:r>
      <w:bookmarkEnd w:id="160"/>
    </w:p>
    <w:p w14:paraId="0B1977AA">
      <w:pPr>
        <w:widowControl/>
        <w:spacing w:line="480" w:lineRule="exact"/>
        <w:ind w:firstLine="482" w:firstLineChars="200"/>
        <w:outlineLvl w:val="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9.</w:t>
      </w:r>
      <w:r>
        <w:rPr>
          <w:rFonts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rPr>
        <w:t>投诉</w:t>
      </w:r>
    </w:p>
    <w:p w14:paraId="595DA38E">
      <w:pPr>
        <w:spacing w:line="500" w:lineRule="exact"/>
        <w:ind w:firstLine="480" w:firstLineChars="200"/>
        <w:rPr>
          <w:rFonts w:ascii="宋体" w:hAnsi="宋体" w:eastAsia="宋体" w:cs="Times New Roman"/>
          <w:color w:val="auto"/>
          <w:sz w:val="24"/>
          <w:szCs w:val="24"/>
          <w:highlight w:val="none"/>
        </w:rPr>
      </w:pPr>
      <w:bookmarkStart w:id="161" w:name="_Toc466566702"/>
      <w:r>
        <w:rPr>
          <w:rFonts w:ascii="宋体" w:hAnsi="宋体" w:eastAsia="宋体" w:cs="Times New Roman"/>
          <w:color w:val="auto"/>
          <w:sz w:val="24"/>
          <w:szCs w:val="24"/>
          <w:highlight w:val="none"/>
        </w:rPr>
        <w:t>9</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.1 供应商或有关当事人对磋商过程、成交结果有异议的，可以向采购人或者采购代理机构提出询问。</w:t>
      </w:r>
    </w:p>
    <w:p w14:paraId="6A51FD18">
      <w:pPr>
        <w:spacing w:line="500" w:lineRule="exact"/>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9</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.2 采购人或者采购代理机构应当在三个工作日内对供应商依法提出的询问作出答复。</w:t>
      </w:r>
    </w:p>
    <w:p w14:paraId="79A5084A">
      <w:pPr>
        <w:spacing w:line="500" w:lineRule="exact"/>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9</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.3 供应商认为竞争性磋商文件、采购过程使自己的权益受到损害的，可以在知道或者应知其权益受到损害之日起七个工作日内，以书面形式向采购人提出质疑。</w:t>
      </w:r>
    </w:p>
    <w:p w14:paraId="146C5FC5">
      <w:pPr>
        <w:spacing w:line="500" w:lineRule="exact"/>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9</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.4 供应商认为成交结果使自己的权益受到损害的，可以在成交结果公告期限届满之日起七个工作日内，以书面形式向采购人提出质疑，接收质疑函联系部门、电话及地址详见竞争性磋商公告。在法定质疑期内供应商针对同一采购程序环节的质疑应当一次性提出。</w:t>
      </w:r>
    </w:p>
    <w:p w14:paraId="20E4DD27">
      <w:pPr>
        <w:spacing w:line="500" w:lineRule="exact"/>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9</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.5 采购人或者采购代理机构应当在收到供应商的书面质疑后七个工作日内作出答复，并以书面形式通知质疑供应商和其他有关供应商，但答复的内容不得涉及商业秘密。</w:t>
      </w:r>
    </w:p>
    <w:p w14:paraId="4CC41F9A">
      <w:pPr>
        <w:spacing w:line="500" w:lineRule="exact"/>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9</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.6 质疑单位对采购人、采购代理机构的答复不满意或者采购人、采购代理机构未在规定的时间内作出答复的，可以在答复期满后十五个工作日内向同级政府采购监督管理部门投诉。</w:t>
      </w:r>
    </w:p>
    <w:p w14:paraId="6991EADD">
      <w:pPr>
        <w:spacing w:line="500" w:lineRule="exact"/>
        <w:ind w:firstLine="480" w:firstLineChars="200"/>
        <w:rPr>
          <w:rFonts w:ascii="Calibri" w:hAnsi="Calibri" w:eastAsia="宋体" w:cs="Times New Roman"/>
          <w:color w:val="auto"/>
          <w:kern w:val="0"/>
          <w:sz w:val="24"/>
          <w:szCs w:val="24"/>
          <w:highlight w:val="none"/>
        </w:rPr>
      </w:pPr>
      <w:r>
        <w:rPr>
          <w:rFonts w:ascii="宋体" w:hAnsi="宋体" w:eastAsia="宋体" w:cs="Times New Roman"/>
          <w:color w:val="auto"/>
          <w:sz w:val="24"/>
          <w:szCs w:val="24"/>
          <w:highlight w:val="none"/>
        </w:rPr>
        <w:t>9</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.7 供应商质疑、投诉应当有明确的请求和必要的证明材料。供应商投诉的事项不得超出已质疑事项的范围。</w:t>
      </w:r>
      <w:r>
        <w:rPr>
          <w:rFonts w:hint="eastAsia" w:ascii="Calibri" w:hAnsi="Calibri" w:eastAsia="宋体" w:cs="Times New Roman"/>
          <w:color w:val="auto"/>
          <w:kern w:val="0"/>
          <w:sz w:val="24"/>
          <w:szCs w:val="24"/>
          <w:highlight w:val="none"/>
        </w:rPr>
        <w:t>质疑函应当包括下列内容：</w:t>
      </w:r>
    </w:p>
    <w:p w14:paraId="2A8979DA">
      <w:pPr>
        <w:spacing w:line="48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1、供应商的姓名或者名称、地址、邮编、联系人及联系电话；</w:t>
      </w:r>
    </w:p>
    <w:p w14:paraId="4409615A">
      <w:pPr>
        <w:spacing w:line="48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2、质疑项目的名称、编号；</w:t>
      </w:r>
    </w:p>
    <w:p w14:paraId="6E20A19E">
      <w:pPr>
        <w:spacing w:line="48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3、具体、明确的质疑事项和与质疑事项相关的请求；</w:t>
      </w:r>
    </w:p>
    <w:p w14:paraId="32457123">
      <w:pPr>
        <w:spacing w:line="48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4、事实依据；</w:t>
      </w:r>
    </w:p>
    <w:p w14:paraId="002A4A81">
      <w:pPr>
        <w:spacing w:line="48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5、必要的法律依据；</w:t>
      </w:r>
    </w:p>
    <w:p w14:paraId="62831435">
      <w:pPr>
        <w:spacing w:line="48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6、提出质疑的日期。</w:t>
      </w:r>
    </w:p>
    <w:p w14:paraId="0B1EE3AF">
      <w:pPr>
        <w:spacing w:line="48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按照有关法律、法规和规章规定及招标文件要求属于保密或者处于保密阶段的事项，供应商必须提供正常的信息来源或有效证据，供应商不能提供或者拒绝提供合法的信息来源或有效证据的，其质疑将被拒绝；</w:t>
      </w:r>
    </w:p>
    <w:p w14:paraId="2A6B5D79">
      <w:pPr>
        <w:spacing w:line="48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质疑函应提供充足有效的相关证明材料；如果涉及到产品功能或技术指标的，应出具相关制造商的证明文件；</w:t>
      </w:r>
    </w:p>
    <w:p w14:paraId="7B73F0E2">
      <w:pPr>
        <w:spacing w:line="48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质疑材料中有外文资料的，应一并附上中文译本，并以中文译本为准。</w:t>
      </w:r>
    </w:p>
    <w:p w14:paraId="2A9C5840">
      <w:pPr>
        <w:spacing w:line="48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供应商质疑实行实名制并须在质疑书上署名。供应商不得进行虚假、恶意质疑，不得以质疑为手段获取不当得利、实现非法目的。</w:t>
      </w:r>
    </w:p>
    <w:p w14:paraId="42210693">
      <w:pPr>
        <w:spacing w:line="48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供应商可以委托代理人进行质疑和投诉。其授权委托书应当载明代理人的姓名或者名称、代理事项、具体权限、期限和相关事项。供应商为自然人的，应当由本人签</w:t>
      </w:r>
      <w:bookmarkStart w:id="162" w:name="第四部分_合同条款"/>
      <w:bookmarkEnd w:id="162"/>
      <w:r>
        <w:rPr>
          <w:rFonts w:hint="eastAsia" w:ascii="宋体" w:hAnsi="宋体" w:eastAsia="宋体" w:cs="宋体"/>
          <w:color w:val="auto"/>
          <w:sz w:val="24"/>
          <w:szCs w:val="24"/>
          <w:highlight w:val="none"/>
        </w:rPr>
        <w:t>字；供应商为法人或者其他组织的，应当由法定代表人、主要负责人签字或者盖章，并加盖公章。代理人提出质疑和投诉，应当提交供应商签署的授权委托书。授权委托书应载明委托代理的具体权限和事项。授权委托书应当由委托人签字并加盖单位公章。</w:t>
      </w:r>
    </w:p>
    <w:p w14:paraId="3FC5D501">
      <w:pPr>
        <w:spacing w:line="48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质疑书提交方式。供应商或者其委托代理人应当当面提交质疑书及相关证明材料。提交质疑书时，供应商应同时提交本人身份证，委托他人代理质疑事宜的，还应提交被委托人的身份证。</w:t>
      </w:r>
    </w:p>
    <w:p w14:paraId="1501B809">
      <w:pPr>
        <w:spacing w:line="48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不得虚假质疑和恶意质疑，并对质疑内容的真实性承担责任。供应商或者其他利害关系人通过捏造事实、伪造证明材料等方式提出异议或投诉，阻碍招投标活动正常进行的，属于严重不良行为，监督部门将其列入不良行为记录名单，并依法予以处罚。</w:t>
      </w:r>
    </w:p>
    <w:p w14:paraId="1C9E6E4B">
      <w:pPr>
        <w:spacing w:line="48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采购人或招标代理机构将在收到符合上述条件的书面质疑后7个工作日内审查质疑事项，采购人做出答复或相关处理决定，并以书面形式通知质疑供应商和其他有关供应商。</w:t>
      </w:r>
    </w:p>
    <w:p w14:paraId="045E55D2">
      <w:pPr>
        <w:spacing w:line="48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依法提出质疑的供应商对采购人或招标代理机构的答复不满意、以及采购人或招标代理机构未在规定的时间内做出答复的，可以在答复期满后15个工作日内向监督部门投诉。</w:t>
      </w:r>
    </w:p>
    <w:p w14:paraId="5D636F96">
      <w:pPr>
        <w:spacing w:line="500" w:lineRule="exact"/>
        <w:ind w:firstLine="480" w:firstLineChars="200"/>
        <w:outlineLvl w:val="3"/>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质疑函格式详见附件1</w:t>
      </w:r>
    </w:p>
    <w:p w14:paraId="6124DECB">
      <w:pPr>
        <w:spacing w:line="48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r>
        <w:rPr>
          <w:rFonts w:ascii="宋体" w:hAnsi="宋体" w:eastAsia="宋体" w:cs="宋体"/>
          <w:color w:val="auto"/>
          <w:sz w:val="24"/>
          <w:szCs w:val="24"/>
          <w:highlight w:val="none"/>
        </w:rPr>
        <w:t>.2.8</w:t>
      </w:r>
      <w:r>
        <w:rPr>
          <w:rFonts w:hint="eastAsia" w:ascii="宋体" w:hAnsi="宋体" w:eastAsia="宋体" w:cs="宋体"/>
          <w:color w:val="auto"/>
          <w:sz w:val="24"/>
          <w:szCs w:val="24"/>
          <w:highlight w:val="none"/>
        </w:rPr>
        <w:t>投诉人在全国范围12个月内三次以上投诉查无实据的，由财政部门列入不良行为记录名单，投诉人有下列行为之一的，属于虚假、恶意投诉，由财政部门列入不良行为记录名单，禁止其1至3年内参加政府采购活动：</w:t>
      </w:r>
    </w:p>
    <w:p w14:paraId="701CC587">
      <w:pPr>
        <w:spacing w:line="48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1、捏造事实；</w:t>
      </w:r>
    </w:p>
    <w:p w14:paraId="662364EA">
      <w:pPr>
        <w:spacing w:line="48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2、提供虚假材料；</w:t>
      </w:r>
    </w:p>
    <w:p w14:paraId="2285E0C0">
      <w:pPr>
        <w:spacing w:line="48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3、以非法手段取得证明材料。证据来源的合法性存在明显疑问，投诉人无法证明其取得方式合法的，视为以非法手段取得证明材料。</w:t>
      </w:r>
    </w:p>
    <w:bookmarkEnd w:id="161"/>
    <w:p w14:paraId="65BCAF6F">
      <w:pPr>
        <w:widowControl/>
        <w:jc w:val="left"/>
        <w:rPr>
          <w:rFonts w:ascii="宋体" w:hAnsi="宋体" w:eastAsia="宋体" w:cs="宋体"/>
          <w:b/>
          <w:color w:val="auto"/>
          <w:sz w:val="24"/>
          <w:szCs w:val="24"/>
          <w:highlight w:val="none"/>
        </w:rPr>
      </w:pPr>
      <w:r>
        <w:rPr>
          <w:rFonts w:ascii="宋体" w:hAnsi="宋体" w:eastAsia="宋体" w:cs="宋体"/>
          <w:b/>
          <w:color w:val="auto"/>
          <w:sz w:val="24"/>
          <w:szCs w:val="24"/>
          <w:highlight w:val="none"/>
        </w:rPr>
        <w:br w:type="page"/>
      </w:r>
    </w:p>
    <w:p w14:paraId="7866CD0B">
      <w:pPr>
        <w:spacing w:line="480" w:lineRule="exact"/>
        <w:ind w:firstLine="405" w:firstLineChars="168"/>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附件1：质疑函范本</w:t>
      </w:r>
    </w:p>
    <w:p w14:paraId="4F1B76F0">
      <w:pPr>
        <w:spacing w:line="480" w:lineRule="exact"/>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质疑函范本</w:t>
      </w:r>
    </w:p>
    <w:p w14:paraId="0E7F2BD9">
      <w:pPr>
        <w:spacing w:line="480" w:lineRule="exact"/>
        <w:ind w:firstLine="480" w:firstLineChars="200"/>
        <w:outlineLvl w:val="3"/>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一、质疑供应商基本信息</w:t>
      </w:r>
    </w:p>
    <w:p w14:paraId="7F6DD1E1">
      <w:pPr>
        <w:spacing w:line="480" w:lineRule="exact"/>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质疑供应商：                                        </w:t>
      </w:r>
    </w:p>
    <w:p w14:paraId="2200B114">
      <w:pPr>
        <w:spacing w:line="480" w:lineRule="exact"/>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地址：                          邮编：                                 </w:t>
      </w:r>
    </w:p>
    <w:p w14:paraId="619CDA47">
      <w:pPr>
        <w:spacing w:line="480" w:lineRule="exact"/>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联系人：                      联系电话：                              </w:t>
      </w:r>
    </w:p>
    <w:p w14:paraId="02B38CDE">
      <w:pPr>
        <w:spacing w:line="480" w:lineRule="exact"/>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授权代表：                                          </w:t>
      </w:r>
    </w:p>
    <w:p w14:paraId="458D0D4D">
      <w:pPr>
        <w:spacing w:line="480" w:lineRule="exact"/>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联系电话：                                            </w:t>
      </w:r>
    </w:p>
    <w:p w14:paraId="739E3BBE">
      <w:pPr>
        <w:spacing w:line="480" w:lineRule="exact"/>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地址：                         邮编：                                       </w:t>
      </w:r>
    </w:p>
    <w:p w14:paraId="2CE142B2">
      <w:pPr>
        <w:spacing w:line="480" w:lineRule="exact"/>
        <w:ind w:firstLine="480" w:firstLineChars="200"/>
        <w:outlineLvl w:val="3"/>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二、质疑项目基本情况</w:t>
      </w:r>
    </w:p>
    <w:p w14:paraId="513FB687">
      <w:pPr>
        <w:spacing w:line="480" w:lineRule="exact"/>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质疑项目的名称：                                      </w:t>
      </w:r>
    </w:p>
    <w:p w14:paraId="2F08590C">
      <w:pPr>
        <w:spacing w:line="480" w:lineRule="exact"/>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质疑项目的编号：               包号：                 </w:t>
      </w:r>
    </w:p>
    <w:p w14:paraId="3A342F74">
      <w:pPr>
        <w:spacing w:line="480" w:lineRule="exact"/>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招标人名称：                                         </w:t>
      </w:r>
    </w:p>
    <w:p w14:paraId="2EAA8664">
      <w:pPr>
        <w:spacing w:line="480" w:lineRule="exact"/>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招标文件获取日期：                                           </w:t>
      </w:r>
    </w:p>
    <w:p w14:paraId="06F024BC">
      <w:pPr>
        <w:spacing w:line="480" w:lineRule="exact"/>
        <w:ind w:firstLine="480" w:firstLineChars="200"/>
        <w:outlineLvl w:val="3"/>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三、质疑事项具体内容</w:t>
      </w:r>
    </w:p>
    <w:p w14:paraId="34910CF7">
      <w:pPr>
        <w:spacing w:line="480" w:lineRule="exact"/>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质疑事项1：                                         </w:t>
      </w:r>
    </w:p>
    <w:p w14:paraId="097021B5">
      <w:pPr>
        <w:spacing w:line="480" w:lineRule="exact"/>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事实依据：                                          </w:t>
      </w:r>
    </w:p>
    <w:p w14:paraId="4E73A05E">
      <w:pPr>
        <w:spacing w:line="480" w:lineRule="exact"/>
        <w:ind w:firstLine="480" w:firstLineChars="200"/>
        <w:rPr>
          <w:rFonts w:ascii="宋体" w:hAnsi="宋体" w:eastAsia="宋体" w:cs="宋体"/>
          <w:color w:val="auto"/>
          <w:kern w:val="0"/>
          <w:sz w:val="24"/>
          <w:szCs w:val="24"/>
          <w:highlight w:val="none"/>
        </w:rPr>
      </w:pPr>
    </w:p>
    <w:p w14:paraId="1D092714">
      <w:pPr>
        <w:spacing w:line="480" w:lineRule="exact"/>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法律依据：                                          </w:t>
      </w:r>
    </w:p>
    <w:p w14:paraId="3A563438">
      <w:pPr>
        <w:spacing w:line="480" w:lineRule="exact"/>
        <w:ind w:firstLine="480" w:firstLineChars="200"/>
        <w:rPr>
          <w:rFonts w:ascii="宋体" w:hAnsi="宋体" w:eastAsia="宋体" w:cs="宋体"/>
          <w:color w:val="auto"/>
          <w:kern w:val="0"/>
          <w:sz w:val="24"/>
          <w:szCs w:val="24"/>
          <w:highlight w:val="none"/>
        </w:rPr>
      </w:pPr>
    </w:p>
    <w:p w14:paraId="55EAA75D">
      <w:pPr>
        <w:spacing w:line="480" w:lineRule="exact"/>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质疑事项2</w:t>
      </w:r>
    </w:p>
    <w:p w14:paraId="38A0206B">
      <w:pPr>
        <w:spacing w:line="480" w:lineRule="exact"/>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p>
    <w:p w14:paraId="51C6CF8C">
      <w:pPr>
        <w:spacing w:line="480" w:lineRule="exact"/>
        <w:ind w:firstLine="480" w:firstLineChars="200"/>
        <w:outlineLvl w:val="3"/>
        <w:rPr>
          <w:rFonts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四、与质疑事项相关的质疑请求</w:t>
      </w:r>
    </w:p>
    <w:p w14:paraId="3A547E8B">
      <w:pPr>
        <w:spacing w:line="480" w:lineRule="exact"/>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请求：                                               </w:t>
      </w:r>
    </w:p>
    <w:p w14:paraId="09823427">
      <w:pPr>
        <w:spacing w:line="480" w:lineRule="exact"/>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签字(签章)：                   公章：                      </w:t>
      </w:r>
    </w:p>
    <w:p w14:paraId="56BD46AF">
      <w:pPr>
        <w:autoSpaceDE w:val="0"/>
        <w:autoSpaceDN w:val="0"/>
        <w:spacing w:before="90" w:line="312" w:lineRule="auto"/>
        <w:ind w:right="95"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Times New Roman"/>
          <w:color w:val="auto"/>
          <w:sz w:val="24"/>
          <w:szCs w:val="24"/>
          <w:highlight w:val="none"/>
        </w:rPr>
        <w:br w:type="page"/>
      </w:r>
    </w:p>
    <w:p w14:paraId="2E50D693">
      <w:pPr>
        <w:pStyle w:val="3"/>
        <w:bidi w:val="0"/>
        <w:jc w:val="center"/>
        <w:outlineLvl w:val="0"/>
        <w:rPr>
          <w:color w:val="auto"/>
          <w:highlight w:val="none"/>
        </w:rPr>
      </w:pPr>
      <w:bookmarkStart w:id="163" w:name="_Toc14135"/>
      <w:bookmarkStart w:id="164" w:name="_Toc2899"/>
      <w:bookmarkStart w:id="165" w:name="_Toc6120"/>
      <w:r>
        <w:rPr>
          <w:rFonts w:hint="eastAsia"/>
          <w:color w:val="auto"/>
          <w:highlight w:val="none"/>
        </w:rPr>
        <w:t>第三章  评标办法（综合评估法）</w:t>
      </w:r>
      <w:bookmarkEnd w:id="46"/>
      <w:bookmarkEnd w:id="47"/>
      <w:bookmarkEnd w:id="48"/>
      <w:bookmarkEnd w:id="49"/>
      <w:bookmarkEnd w:id="50"/>
      <w:bookmarkEnd w:id="163"/>
      <w:bookmarkEnd w:id="164"/>
      <w:bookmarkEnd w:id="165"/>
    </w:p>
    <w:p w14:paraId="694C4D49">
      <w:pPr>
        <w:widowControl/>
        <w:spacing w:line="400" w:lineRule="exact"/>
        <w:ind w:firstLine="420"/>
        <w:rPr>
          <w:rFonts w:ascii="宋体" w:hAnsi="宋体" w:cs="Calibri"/>
          <w:color w:val="auto"/>
          <w:sz w:val="24"/>
          <w:highlight w:val="none"/>
        </w:rPr>
      </w:pPr>
      <w:bookmarkStart w:id="166" w:name="_Toc375053347"/>
      <w:bookmarkEnd w:id="166"/>
      <w:bookmarkStart w:id="167" w:name="_Toc466566705"/>
      <w:bookmarkEnd w:id="167"/>
      <w:bookmarkStart w:id="168" w:name="_Toc144974567"/>
      <w:bookmarkEnd w:id="168"/>
      <w:bookmarkStart w:id="169" w:name="_Toc152045600"/>
      <w:bookmarkEnd w:id="169"/>
      <w:bookmarkStart w:id="170" w:name="_Toc466566794"/>
      <w:bookmarkEnd w:id="170"/>
      <w:bookmarkStart w:id="171" w:name="_Toc179632618"/>
      <w:bookmarkEnd w:id="171"/>
      <w:bookmarkStart w:id="172" w:name="OLE_LINK1"/>
      <w:r>
        <w:rPr>
          <w:rFonts w:hint="eastAsia" w:ascii="宋体" w:hAnsi="宋体" w:cs="Calibri"/>
          <w:color w:val="auto"/>
          <w:kern w:val="0"/>
          <w:sz w:val="24"/>
          <w:highlight w:val="none"/>
        </w:rPr>
        <w:t>本次项目的评审分为初步审查和详细审查。详细审查采用综合评分法，总分为100分。</w:t>
      </w:r>
      <w:bookmarkEnd w:id="172"/>
      <w:r>
        <w:rPr>
          <w:rFonts w:hint="eastAsia" w:ascii="宋体" w:hAnsi="宋体" w:cs="Calibri"/>
          <w:color w:val="auto"/>
          <w:kern w:val="0"/>
          <w:sz w:val="24"/>
          <w:highlight w:val="none"/>
        </w:rPr>
        <w:t>评审因素如下：</w:t>
      </w:r>
    </w:p>
    <w:p w14:paraId="6D1405DF">
      <w:pPr>
        <w:widowControl/>
        <w:spacing w:line="400" w:lineRule="exact"/>
        <w:rPr>
          <w:rFonts w:ascii="宋体" w:hAnsi="宋体" w:cs="Calibri"/>
          <w:b/>
          <w:bCs/>
          <w:color w:val="auto"/>
          <w:sz w:val="24"/>
          <w:highlight w:val="none"/>
        </w:rPr>
      </w:pPr>
      <w:r>
        <w:rPr>
          <w:rFonts w:hint="eastAsia" w:ascii="宋体" w:hAnsi="宋体" w:cs="Calibri"/>
          <w:b/>
          <w:bCs/>
          <w:color w:val="auto"/>
          <w:kern w:val="0"/>
          <w:sz w:val="24"/>
          <w:highlight w:val="none"/>
        </w:rPr>
        <w:t>一、初步审查</w:t>
      </w:r>
    </w:p>
    <w:tbl>
      <w:tblPr>
        <w:tblStyle w:val="13"/>
        <w:tblW w:w="9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987"/>
        <w:gridCol w:w="2551"/>
        <w:gridCol w:w="5398"/>
      </w:tblGrid>
      <w:tr w14:paraId="254E6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13" w:type="dxa"/>
            <w:gridSpan w:val="2"/>
            <w:tcBorders>
              <w:top w:val="single" w:color="auto" w:sz="4" w:space="0"/>
              <w:left w:val="single" w:color="auto" w:sz="4" w:space="0"/>
              <w:bottom w:val="single" w:color="auto" w:sz="4" w:space="0"/>
              <w:right w:val="single" w:color="auto" w:sz="4" w:space="0"/>
            </w:tcBorders>
            <w:vAlign w:val="center"/>
          </w:tcPr>
          <w:p w14:paraId="55068251">
            <w:pPr>
              <w:spacing w:line="360" w:lineRule="auto"/>
              <w:jc w:val="center"/>
              <w:rPr>
                <w:rFonts w:ascii="宋体" w:hAnsi="宋体" w:eastAsia="宋体" w:cs="Courier New"/>
                <w:color w:val="auto"/>
                <w:sz w:val="24"/>
                <w:szCs w:val="21"/>
                <w:highlight w:val="none"/>
              </w:rPr>
            </w:pPr>
            <w:r>
              <w:rPr>
                <w:rFonts w:hint="eastAsia" w:ascii="宋体" w:hAnsi="宋体" w:eastAsia="宋体" w:cs="Courier New"/>
                <w:color w:val="auto"/>
                <w:sz w:val="24"/>
                <w:szCs w:val="21"/>
                <w:highlight w:val="none"/>
              </w:rPr>
              <w:t>条款号</w:t>
            </w:r>
          </w:p>
        </w:tc>
        <w:tc>
          <w:tcPr>
            <w:tcW w:w="2551" w:type="dxa"/>
            <w:tcBorders>
              <w:top w:val="single" w:color="auto" w:sz="4" w:space="0"/>
              <w:left w:val="nil"/>
              <w:bottom w:val="single" w:color="auto" w:sz="4" w:space="0"/>
              <w:right w:val="single" w:color="auto" w:sz="4" w:space="0"/>
            </w:tcBorders>
            <w:vAlign w:val="center"/>
          </w:tcPr>
          <w:p w14:paraId="5B9BF250">
            <w:pPr>
              <w:spacing w:line="360" w:lineRule="auto"/>
              <w:ind w:firstLine="60" w:firstLineChars="25"/>
              <w:jc w:val="center"/>
              <w:rPr>
                <w:rFonts w:ascii="宋体" w:hAnsi="宋体" w:eastAsia="宋体" w:cs="Courier New"/>
                <w:color w:val="auto"/>
                <w:sz w:val="24"/>
                <w:szCs w:val="21"/>
                <w:highlight w:val="none"/>
              </w:rPr>
            </w:pPr>
            <w:r>
              <w:rPr>
                <w:rFonts w:hint="eastAsia" w:ascii="宋体" w:hAnsi="宋体" w:eastAsia="宋体" w:cs="Courier New"/>
                <w:color w:val="auto"/>
                <w:sz w:val="24"/>
                <w:szCs w:val="21"/>
                <w:highlight w:val="none"/>
              </w:rPr>
              <w:t>评审因素</w:t>
            </w:r>
          </w:p>
        </w:tc>
        <w:tc>
          <w:tcPr>
            <w:tcW w:w="5398" w:type="dxa"/>
            <w:tcBorders>
              <w:top w:val="single" w:color="auto" w:sz="4" w:space="0"/>
              <w:left w:val="nil"/>
              <w:bottom w:val="single" w:color="auto" w:sz="4" w:space="0"/>
              <w:right w:val="single" w:color="auto" w:sz="4" w:space="0"/>
            </w:tcBorders>
            <w:vAlign w:val="center"/>
          </w:tcPr>
          <w:p w14:paraId="65BF85DE">
            <w:pPr>
              <w:spacing w:line="360" w:lineRule="auto"/>
              <w:ind w:firstLine="1920" w:firstLineChars="800"/>
              <w:rPr>
                <w:rFonts w:ascii="宋体" w:hAnsi="宋体" w:eastAsia="宋体" w:cs="Courier New"/>
                <w:color w:val="auto"/>
                <w:sz w:val="24"/>
                <w:szCs w:val="21"/>
                <w:highlight w:val="none"/>
              </w:rPr>
            </w:pPr>
            <w:r>
              <w:rPr>
                <w:rFonts w:hint="eastAsia" w:ascii="宋体" w:hAnsi="宋体" w:eastAsia="宋体" w:cs="Courier New"/>
                <w:color w:val="auto"/>
                <w:sz w:val="24"/>
                <w:szCs w:val="21"/>
                <w:highlight w:val="none"/>
              </w:rPr>
              <w:t>评审标准</w:t>
            </w:r>
          </w:p>
        </w:tc>
      </w:tr>
      <w:tr w14:paraId="7444A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526" w:type="dxa"/>
            <w:vMerge w:val="restart"/>
            <w:tcBorders>
              <w:top w:val="nil"/>
              <w:left w:val="single" w:color="auto" w:sz="4" w:space="0"/>
              <w:right w:val="single" w:color="auto" w:sz="4" w:space="0"/>
            </w:tcBorders>
            <w:vAlign w:val="center"/>
          </w:tcPr>
          <w:p w14:paraId="3EEFAA34">
            <w:pPr>
              <w:spacing w:line="360" w:lineRule="auto"/>
              <w:jc w:val="center"/>
              <w:rPr>
                <w:rFonts w:ascii="宋体" w:hAnsi="宋体" w:eastAsia="宋体" w:cs="Courier New"/>
                <w:color w:val="auto"/>
                <w:sz w:val="24"/>
                <w:szCs w:val="21"/>
                <w:highlight w:val="none"/>
              </w:rPr>
            </w:pPr>
            <w:r>
              <w:rPr>
                <w:rFonts w:hint="eastAsia" w:ascii="宋体" w:hAnsi="宋体" w:eastAsia="宋体" w:cs="Courier New"/>
                <w:color w:val="auto"/>
                <w:sz w:val="24"/>
                <w:szCs w:val="21"/>
                <w:highlight w:val="none"/>
              </w:rPr>
              <w:t>初</w:t>
            </w:r>
          </w:p>
          <w:p w14:paraId="46E63100">
            <w:pPr>
              <w:spacing w:line="360" w:lineRule="auto"/>
              <w:jc w:val="center"/>
              <w:rPr>
                <w:rFonts w:ascii="宋体" w:hAnsi="宋体" w:eastAsia="宋体" w:cs="Courier New"/>
                <w:color w:val="auto"/>
                <w:sz w:val="24"/>
                <w:szCs w:val="21"/>
                <w:highlight w:val="none"/>
              </w:rPr>
            </w:pPr>
            <w:r>
              <w:rPr>
                <w:rFonts w:hint="eastAsia" w:ascii="宋体" w:hAnsi="宋体" w:eastAsia="宋体" w:cs="Courier New"/>
                <w:color w:val="auto"/>
                <w:sz w:val="24"/>
                <w:szCs w:val="21"/>
                <w:highlight w:val="none"/>
              </w:rPr>
              <w:t>步</w:t>
            </w:r>
          </w:p>
          <w:p w14:paraId="03E8C1F3">
            <w:pPr>
              <w:spacing w:line="360" w:lineRule="auto"/>
              <w:jc w:val="center"/>
              <w:rPr>
                <w:rFonts w:ascii="宋体" w:hAnsi="宋体" w:eastAsia="宋体" w:cs="Courier New"/>
                <w:color w:val="auto"/>
                <w:sz w:val="24"/>
                <w:szCs w:val="21"/>
                <w:highlight w:val="none"/>
              </w:rPr>
            </w:pPr>
            <w:r>
              <w:rPr>
                <w:rFonts w:hint="eastAsia" w:ascii="宋体" w:hAnsi="宋体" w:eastAsia="宋体" w:cs="Courier New"/>
                <w:color w:val="auto"/>
                <w:sz w:val="24"/>
                <w:szCs w:val="21"/>
                <w:highlight w:val="none"/>
              </w:rPr>
              <w:t>评</w:t>
            </w:r>
          </w:p>
          <w:p w14:paraId="13C08E93">
            <w:pPr>
              <w:spacing w:line="360" w:lineRule="auto"/>
              <w:jc w:val="center"/>
              <w:rPr>
                <w:rFonts w:ascii="宋体" w:hAnsi="宋体" w:eastAsia="宋体" w:cs="Courier New"/>
                <w:color w:val="auto"/>
                <w:sz w:val="24"/>
                <w:szCs w:val="21"/>
                <w:highlight w:val="none"/>
              </w:rPr>
            </w:pPr>
            <w:r>
              <w:rPr>
                <w:rFonts w:hint="eastAsia" w:ascii="宋体" w:hAnsi="宋体" w:eastAsia="宋体" w:cs="Courier New"/>
                <w:color w:val="auto"/>
                <w:sz w:val="24"/>
                <w:szCs w:val="21"/>
                <w:highlight w:val="none"/>
              </w:rPr>
              <w:t>审</w:t>
            </w:r>
          </w:p>
        </w:tc>
        <w:tc>
          <w:tcPr>
            <w:tcW w:w="987" w:type="dxa"/>
            <w:vMerge w:val="restart"/>
            <w:tcBorders>
              <w:top w:val="nil"/>
              <w:left w:val="nil"/>
              <w:bottom w:val="single" w:color="auto" w:sz="4" w:space="0"/>
              <w:right w:val="single" w:color="auto" w:sz="4" w:space="0"/>
            </w:tcBorders>
            <w:vAlign w:val="center"/>
          </w:tcPr>
          <w:p w14:paraId="28BC82C4">
            <w:pPr>
              <w:spacing w:line="360" w:lineRule="auto"/>
              <w:rPr>
                <w:rFonts w:ascii="宋体" w:hAnsi="宋体" w:eastAsia="宋体" w:cs="Courier New"/>
                <w:color w:val="auto"/>
                <w:sz w:val="24"/>
                <w:szCs w:val="21"/>
                <w:highlight w:val="none"/>
              </w:rPr>
            </w:pPr>
            <w:r>
              <w:rPr>
                <w:rFonts w:hint="eastAsia" w:ascii="宋体" w:hAnsi="宋体" w:eastAsia="宋体" w:cs="Courier New"/>
                <w:color w:val="auto"/>
                <w:sz w:val="24"/>
                <w:szCs w:val="21"/>
                <w:highlight w:val="none"/>
              </w:rPr>
              <w:t>形式</w:t>
            </w:r>
          </w:p>
          <w:p w14:paraId="54DFC182">
            <w:pPr>
              <w:spacing w:line="360" w:lineRule="auto"/>
              <w:rPr>
                <w:rFonts w:ascii="宋体" w:hAnsi="宋体" w:eastAsia="宋体" w:cs="Courier New"/>
                <w:color w:val="auto"/>
                <w:sz w:val="24"/>
                <w:szCs w:val="21"/>
                <w:highlight w:val="none"/>
              </w:rPr>
            </w:pPr>
            <w:r>
              <w:rPr>
                <w:rFonts w:hint="eastAsia" w:ascii="宋体" w:hAnsi="宋体" w:eastAsia="宋体" w:cs="Courier New"/>
                <w:color w:val="auto"/>
                <w:sz w:val="24"/>
                <w:szCs w:val="21"/>
                <w:highlight w:val="none"/>
              </w:rPr>
              <w:t>评审</w:t>
            </w:r>
          </w:p>
          <w:p w14:paraId="5AF895D6">
            <w:pPr>
              <w:spacing w:line="360" w:lineRule="auto"/>
              <w:rPr>
                <w:rFonts w:ascii="宋体" w:hAnsi="宋体" w:eastAsia="宋体" w:cs="Times New Roman"/>
                <w:color w:val="auto"/>
                <w:sz w:val="24"/>
                <w:szCs w:val="21"/>
                <w:highlight w:val="none"/>
              </w:rPr>
            </w:pPr>
            <w:r>
              <w:rPr>
                <w:rFonts w:hint="eastAsia" w:ascii="宋体" w:hAnsi="宋体" w:eastAsia="宋体" w:cs="Times New Roman"/>
                <w:color w:val="auto"/>
                <w:sz w:val="24"/>
                <w:szCs w:val="21"/>
                <w:highlight w:val="none"/>
              </w:rPr>
              <w:t>标准</w:t>
            </w:r>
          </w:p>
        </w:tc>
        <w:tc>
          <w:tcPr>
            <w:tcW w:w="2551" w:type="dxa"/>
            <w:tcBorders>
              <w:top w:val="single" w:color="auto" w:sz="4" w:space="0"/>
              <w:left w:val="nil"/>
              <w:bottom w:val="single" w:color="auto" w:sz="4" w:space="0"/>
              <w:right w:val="single" w:color="auto" w:sz="4" w:space="0"/>
            </w:tcBorders>
            <w:vAlign w:val="center"/>
          </w:tcPr>
          <w:p w14:paraId="18FF5412">
            <w:pPr>
              <w:spacing w:line="266" w:lineRule="auto"/>
              <w:rPr>
                <w:rFonts w:ascii="宋体" w:hAnsi="宋体" w:eastAsia="宋体" w:cs="Courier New"/>
                <w:color w:val="auto"/>
                <w:sz w:val="24"/>
                <w:szCs w:val="21"/>
                <w:highlight w:val="none"/>
              </w:rPr>
            </w:pPr>
            <w:r>
              <w:rPr>
                <w:rFonts w:hint="eastAsia" w:ascii="宋体" w:hAnsi="宋体" w:eastAsia="宋体" w:cs="Courier New"/>
                <w:color w:val="auto"/>
                <w:sz w:val="24"/>
                <w:szCs w:val="21"/>
                <w:highlight w:val="none"/>
              </w:rPr>
              <w:t>供应商名称</w:t>
            </w:r>
          </w:p>
        </w:tc>
        <w:tc>
          <w:tcPr>
            <w:tcW w:w="5398" w:type="dxa"/>
            <w:tcBorders>
              <w:top w:val="single" w:color="auto" w:sz="4" w:space="0"/>
              <w:left w:val="nil"/>
              <w:bottom w:val="single" w:color="auto" w:sz="4" w:space="0"/>
              <w:right w:val="single" w:color="auto" w:sz="4" w:space="0"/>
            </w:tcBorders>
            <w:vAlign w:val="center"/>
          </w:tcPr>
          <w:p w14:paraId="2147733B">
            <w:pPr>
              <w:spacing w:line="266" w:lineRule="auto"/>
              <w:rPr>
                <w:rFonts w:ascii="宋体" w:hAnsi="宋体" w:eastAsia="宋体" w:cs="Courier New"/>
                <w:color w:val="auto"/>
                <w:sz w:val="24"/>
                <w:szCs w:val="21"/>
                <w:highlight w:val="none"/>
              </w:rPr>
            </w:pPr>
            <w:r>
              <w:rPr>
                <w:rFonts w:hint="eastAsia" w:ascii="宋体" w:hAnsi="宋体" w:eastAsia="宋体" w:cs="Courier New"/>
                <w:color w:val="auto"/>
                <w:sz w:val="24"/>
                <w:szCs w:val="21"/>
                <w:highlight w:val="none"/>
              </w:rPr>
              <w:t>与营业执照一致</w:t>
            </w:r>
          </w:p>
        </w:tc>
      </w:tr>
      <w:tr w14:paraId="178EF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26" w:type="dxa"/>
            <w:vMerge w:val="continue"/>
            <w:tcBorders>
              <w:left w:val="single" w:color="auto" w:sz="4" w:space="0"/>
              <w:right w:val="single" w:color="auto" w:sz="4" w:space="0"/>
            </w:tcBorders>
            <w:vAlign w:val="center"/>
          </w:tcPr>
          <w:p w14:paraId="682418C2">
            <w:pPr>
              <w:spacing w:line="360" w:lineRule="auto"/>
              <w:jc w:val="center"/>
              <w:rPr>
                <w:rFonts w:ascii="宋体" w:hAnsi="宋体" w:eastAsia="宋体" w:cs="Courier New"/>
                <w:color w:val="auto"/>
                <w:sz w:val="24"/>
                <w:szCs w:val="21"/>
                <w:highlight w:val="none"/>
              </w:rPr>
            </w:pPr>
          </w:p>
        </w:tc>
        <w:tc>
          <w:tcPr>
            <w:tcW w:w="987" w:type="dxa"/>
            <w:vMerge w:val="continue"/>
            <w:tcBorders>
              <w:top w:val="nil"/>
              <w:left w:val="nil"/>
              <w:bottom w:val="single" w:color="auto" w:sz="4" w:space="0"/>
              <w:right w:val="single" w:color="auto" w:sz="4" w:space="0"/>
            </w:tcBorders>
            <w:vAlign w:val="center"/>
          </w:tcPr>
          <w:p w14:paraId="637E000E">
            <w:pPr>
              <w:widowControl/>
              <w:jc w:val="left"/>
              <w:rPr>
                <w:rFonts w:ascii="宋体" w:hAnsi="宋体" w:eastAsia="宋体" w:cs="Times New Roman"/>
                <w:color w:val="auto"/>
                <w:sz w:val="24"/>
                <w:szCs w:val="21"/>
                <w:highlight w:val="none"/>
              </w:rPr>
            </w:pPr>
          </w:p>
        </w:tc>
        <w:tc>
          <w:tcPr>
            <w:tcW w:w="2551" w:type="dxa"/>
            <w:tcBorders>
              <w:top w:val="single" w:color="auto" w:sz="4" w:space="0"/>
              <w:left w:val="nil"/>
              <w:bottom w:val="single" w:color="auto" w:sz="4" w:space="0"/>
              <w:right w:val="single" w:color="auto" w:sz="4" w:space="0"/>
            </w:tcBorders>
            <w:vAlign w:val="center"/>
          </w:tcPr>
          <w:p w14:paraId="564560D9">
            <w:pPr>
              <w:spacing w:line="266" w:lineRule="auto"/>
              <w:rPr>
                <w:rFonts w:ascii="宋体" w:hAnsi="宋体" w:eastAsia="宋体" w:cs="Courier New"/>
                <w:color w:val="auto"/>
                <w:sz w:val="24"/>
                <w:szCs w:val="21"/>
                <w:highlight w:val="none"/>
              </w:rPr>
            </w:pPr>
            <w:r>
              <w:rPr>
                <w:rFonts w:hint="eastAsia" w:ascii="宋体" w:hAnsi="宋体" w:eastAsia="宋体" w:cs="Courier New"/>
                <w:color w:val="auto"/>
                <w:sz w:val="24"/>
                <w:szCs w:val="21"/>
                <w:highlight w:val="none"/>
              </w:rPr>
              <w:t>签字盖章</w:t>
            </w:r>
          </w:p>
        </w:tc>
        <w:tc>
          <w:tcPr>
            <w:tcW w:w="5398" w:type="dxa"/>
            <w:tcBorders>
              <w:top w:val="single" w:color="auto" w:sz="4" w:space="0"/>
              <w:left w:val="nil"/>
              <w:bottom w:val="single" w:color="auto" w:sz="4" w:space="0"/>
              <w:right w:val="single" w:color="auto" w:sz="4" w:space="0"/>
            </w:tcBorders>
            <w:vAlign w:val="center"/>
          </w:tcPr>
          <w:p w14:paraId="2D1E5D5F">
            <w:pPr>
              <w:spacing w:line="266" w:lineRule="auto"/>
              <w:rPr>
                <w:rFonts w:ascii="宋体" w:hAnsi="宋体" w:eastAsia="宋体" w:cs="Courier New"/>
                <w:color w:val="auto"/>
                <w:sz w:val="24"/>
                <w:szCs w:val="21"/>
                <w:highlight w:val="none"/>
              </w:rPr>
            </w:pPr>
            <w:r>
              <w:rPr>
                <w:rFonts w:hint="eastAsia" w:ascii="宋体" w:hAnsi="宋体" w:eastAsia="宋体" w:cs="Courier New"/>
                <w:color w:val="auto"/>
                <w:sz w:val="24"/>
                <w:szCs w:val="21"/>
                <w:highlight w:val="none"/>
              </w:rPr>
              <w:t>有法定代表人或其委托代理人签字或盖章并加盖单位公章</w:t>
            </w:r>
          </w:p>
        </w:tc>
      </w:tr>
      <w:tr w14:paraId="0E3C4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26" w:type="dxa"/>
            <w:vMerge w:val="continue"/>
            <w:tcBorders>
              <w:left w:val="single" w:color="auto" w:sz="4" w:space="0"/>
              <w:right w:val="single" w:color="auto" w:sz="4" w:space="0"/>
            </w:tcBorders>
            <w:vAlign w:val="center"/>
          </w:tcPr>
          <w:p w14:paraId="6CFDC7C9">
            <w:pPr>
              <w:spacing w:line="360" w:lineRule="auto"/>
              <w:jc w:val="center"/>
              <w:rPr>
                <w:rFonts w:ascii="宋体" w:hAnsi="宋体" w:eastAsia="宋体" w:cs="Courier New"/>
                <w:color w:val="auto"/>
                <w:sz w:val="24"/>
                <w:szCs w:val="21"/>
                <w:highlight w:val="none"/>
              </w:rPr>
            </w:pPr>
          </w:p>
        </w:tc>
        <w:tc>
          <w:tcPr>
            <w:tcW w:w="987" w:type="dxa"/>
            <w:vMerge w:val="continue"/>
            <w:tcBorders>
              <w:top w:val="nil"/>
              <w:left w:val="nil"/>
              <w:bottom w:val="single" w:color="auto" w:sz="4" w:space="0"/>
              <w:right w:val="single" w:color="auto" w:sz="4" w:space="0"/>
            </w:tcBorders>
            <w:vAlign w:val="center"/>
          </w:tcPr>
          <w:p w14:paraId="69CD7FBC">
            <w:pPr>
              <w:widowControl/>
              <w:jc w:val="left"/>
              <w:rPr>
                <w:rFonts w:ascii="宋体" w:hAnsi="宋体" w:eastAsia="宋体" w:cs="Times New Roman"/>
                <w:color w:val="auto"/>
                <w:sz w:val="24"/>
                <w:szCs w:val="21"/>
                <w:highlight w:val="none"/>
              </w:rPr>
            </w:pPr>
          </w:p>
        </w:tc>
        <w:tc>
          <w:tcPr>
            <w:tcW w:w="2551" w:type="dxa"/>
            <w:tcBorders>
              <w:top w:val="single" w:color="auto" w:sz="4" w:space="0"/>
              <w:left w:val="nil"/>
              <w:bottom w:val="single" w:color="auto" w:sz="4" w:space="0"/>
              <w:right w:val="single" w:color="auto" w:sz="4" w:space="0"/>
            </w:tcBorders>
            <w:vAlign w:val="center"/>
          </w:tcPr>
          <w:p w14:paraId="78D0F1AB">
            <w:pPr>
              <w:spacing w:line="266" w:lineRule="auto"/>
              <w:rPr>
                <w:rFonts w:ascii="宋体" w:hAnsi="宋体" w:eastAsia="宋体" w:cs="Courier New"/>
                <w:color w:val="auto"/>
                <w:sz w:val="24"/>
                <w:szCs w:val="21"/>
                <w:highlight w:val="none"/>
              </w:rPr>
            </w:pPr>
            <w:r>
              <w:rPr>
                <w:rFonts w:hint="eastAsia" w:ascii="宋体" w:hAnsi="宋体" w:eastAsia="宋体" w:cs="Courier New"/>
                <w:color w:val="auto"/>
                <w:sz w:val="24"/>
                <w:szCs w:val="21"/>
                <w:highlight w:val="none"/>
              </w:rPr>
              <w:t>报价唯一</w:t>
            </w:r>
          </w:p>
        </w:tc>
        <w:tc>
          <w:tcPr>
            <w:tcW w:w="5398" w:type="dxa"/>
            <w:tcBorders>
              <w:top w:val="single" w:color="auto" w:sz="4" w:space="0"/>
              <w:left w:val="nil"/>
              <w:bottom w:val="single" w:color="auto" w:sz="4" w:space="0"/>
              <w:right w:val="single" w:color="auto" w:sz="4" w:space="0"/>
            </w:tcBorders>
            <w:vAlign w:val="center"/>
          </w:tcPr>
          <w:p w14:paraId="3CB00DC8">
            <w:pPr>
              <w:spacing w:line="266" w:lineRule="auto"/>
              <w:rPr>
                <w:rFonts w:ascii="宋体" w:hAnsi="宋体" w:eastAsia="宋体" w:cs="Courier New"/>
                <w:color w:val="auto"/>
                <w:sz w:val="24"/>
                <w:szCs w:val="21"/>
                <w:highlight w:val="none"/>
              </w:rPr>
            </w:pPr>
            <w:r>
              <w:rPr>
                <w:rFonts w:hint="eastAsia" w:ascii="宋体" w:hAnsi="宋体" w:eastAsia="宋体" w:cs="Courier New"/>
                <w:color w:val="auto"/>
                <w:sz w:val="24"/>
                <w:szCs w:val="21"/>
                <w:highlight w:val="none"/>
              </w:rPr>
              <w:t>只能有一个有效报价，且不超过控制价</w:t>
            </w:r>
          </w:p>
        </w:tc>
      </w:tr>
      <w:tr w14:paraId="1938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526" w:type="dxa"/>
            <w:vMerge w:val="continue"/>
            <w:tcBorders>
              <w:left w:val="single" w:color="auto" w:sz="4" w:space="0"/>
              <w:right w:val="single" w:color="auto" w:sz="4" w:space="0"/>
            </w:tcBorders>
            <w:vAlign w:val="center"/>
          </w:tcPr>
          <w:p w14:paraId="3A82C1E0">
            <w:pPr>
              <w:spacing w:line="360" w:lineRule="auto"/>
              <w:jc w:val="center"/>
              <w:rPr>
                <w:rFonts w:ascii="宋体" w:hAnsi="宋体" w:eastAsia="宋体" w:cs="Courier New"/>
                <w:color w:val="auto"/>
                <w:sz w:val="24"/>
                <w:szCs w:val="21"/>
                <w:highlight w:val="none"/>
              </w:rPr>
            </w:pPr>
          </w:p>
        </w:tc>
        <w:tc>
          <w:tcPr>
            <w:tcW w:w="987" w:type="dxa"/>
            <w:vMerge w:val="restart"/>
            <w:tcBorders>
              <w:top w:val="nil"/>
              <w:left w:val="nil"/>
              <w:bottom w:val="single" w:color="auto" w:sz="4" w:space="0"/>
              <w:right w:val="single" w:color="auto" w:sz="4" w:space="0"/>
            </w:tcBorders>
            <w:vAlign w:val="center"/>
          </w:tcPr>
          <w:p w14:paraId="4B0650F6">
            <w:pPr>
              <w:spacing w:line="360" w:lineRule="auto"/>
              <w:rPr>
                <w:rFonts w:ascii="宋体" w:hAnsi="宋体" w:eastAsia="宋体" w:cs="Courier New"/>
                <w:color w:val="auto"/>
                <w:sz w:val="24"/>
                <w:szCs w:val="21"/>
                <w:highlight w:val="none"/>
              </w:rPr>
            </w:pPr>
            <w:r>
              <w:rPr>
                <w:rFonts w:hint="eastAsia" w:ascii="宋体" w:hAnsi="宋体" w:eastAsia="宋体" w:cs="Courier New"/>
                <w:color w:val="auto"/>
                <w:sz w:val="24"/>
                <w:szCs w:val="21"/>
                <w:highlight w:val="none"/>
              </w:rPr>
              <w:t>资格</w:t>
            </w:r>
          </w:p>
          <w:p w14:paraId="505BC68C">
            <w:pPr>
              <w:spacing w:line="360" w:lineRule="auto"/>
              <w:rPr>
                <w:rFonts w:ascii="宋体" w:hAnsi="宋体" w:eastAsia="宋体" w:cs="Courier New"/>
                <w:color w:val="auto"/>
                <w:sz w:val="24"/>
                <w:szCs w:val="21"/>
                <w:highlight w:val="none"/>
              </w:rPr>
            </w:pPr>
            <w:r>
              <w:rPr>
                <w:rFonts w:hint="eastAsia" w:ascii="宋体" w:hAnsi="宋体" w:eastAsia="宋体" w:cs="Courier New"/>
                <w:color w:val="auto"/>
                <w:sz w:val="24"/>
                <w:szCs w:val="21"/>
                <w:highlight w:val="none"/>
              </w:rPr>
              <w:t>评审</w:t>
            </w:r>
          </w:p>
          <w:p w14:paraId="69C56A64">
            <w:pPr>
              <w:spacing w:line="360" w:lineRule="auto"/>
              <w:rPr>
                <w:rFonts w:ascii="宋体" w:hAnsi="宋体" w:eastAsia="宋体" w:cs="Times New Roman"/>
                <w:color w:val="auto"/>
                <w:sz w:val="24"/>
                <w:szCs w:val="21"/>
                <w:highlight w:val="none"/>
              </w:rPr>
            </w:pPr>
            <w:r>
              <w:rPr>
                <w:rFonts w:hint="eastAsia" w:ascii="宋体" w:hAnsi="宋体" w:eastAsia="宋体" w:cs="Times New Roman"/>
                <w:color w:val="auto"/>
                <w:sz w:val="24"/>
                <w:szCs w:val="21"/>
                <w:highlight w:val="none"/>
              </w:rPr>
              <w:t>标准</w:t>
            </w:r>
          </w:p>
        </w:tc>
        <w:tc>
          <w:tcPr>
            <w:tcW w:w="2551" w:type="dxa"/>
            <w:tcBorders>
              <w:top w:val="single" w:color="auto" w:sz="4" w:space="0"/>
              <w:left w:val="nil"/>
              <w:bottom w:val="single" w:color="auto" w:sz="4" w:space="0"/>
              <w:right w:val="single" w:color="auto" w:sz="4" w:space="0"/>
            </w:tcBorders>
            <w:vAlign w:val="center"/>
          </w:tcPr>
          <w:p w14:paraId="1EAD28DA">
            <w:pPr>
              <w:spacing w:line="380" w:lineRule="exact"/>
              <w:jc w:val="left"/>
              <w:rPr>
                <w:rFonts w:ascii="宋体" w:hAnsi="宋体" w:eastAsia="宋体" w:cs="Times New Roman"/>
                <w:color w:val="auto"/>
                <w:sz w:val="24"/>
                <w:szCs w:val="21"/>
                <w:highlight w:val="none"/>
              </w:rPr>
            </w:pPr>
            <w:r>
              <w:rPr>
                <w:rFonts w:hint="eastAsia" w:ascii="宋体" w:hAnsi="宋体" w:eastAsia="宋体" w:cs="Times New Roman"/>
                <w:color w:val="auto"/>
                <w:sz w:val="24"/>
                <w:szCs w:val="21"/>
                <w:highlight w:val="none"/>
              </w:rPr>
              <w:t>营业执照</w:t>
            </w:r>
          </w:p>
        </w:tc>
        <w:tc>
          <w:tcPr>
            <w:tcW w:w="5398" w:type="dxa"/>
            <w:tcBorders>
              <w:top w:val="single" w:color="auto" w:sz="4" w:space="0"/>
              <w:left w:val="nil"/>
              <w:bottom w:val="single" w:color="auto" w:sz="4" w:space="0"/>
              <w:right w:val="single" w:color="auto" w:sz="4" w:space="0"/>
            </w:tcBorders>
            <w:vAlign w:val="center"/>
          </w:tcPr>
          <w:p w14:paraId="47C099CE">
            <w:pPr>
              <w:adjustRightInd w:val="0"/>
              <w:spacing w:line="360" w:lineRule="auto"/>
              <w:jc w:val="left"/>
              <w:textAlignment w:val="baseline"/>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详见第二章“供应商须知前附表”的规定</w:t>
            </w:r>
          </w:p>
        </w:tc>
      </w:tr>
      <w:tr w14:paraId="5169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526" w:type="dxa"/>
            <w:vMerge w:val="continue"/>
            <w:tcBorders>
              <w:left w:val="single" w:color="auto" w:sz="4" w:space="0"/>
              <w:right w:val="single" w:color="auto" w:sz="4" w:space="0"/>
            </w:tcBorders>
            <w:vAlign w:val="center"/>
          </w:tcPr>
          <w:p w14:paraId="7E5F355D">
            <w:pPr>
              <w:spacing w:line="360" w:lineRule="auto"/>
              <w:jc w:val="center"/>
              <w:rPr>
                <w:rFonts w:ascii="宋体" w:hAnsi="宋体" w:eastAsia="宋体" w:cs="Courier New"/>
                <w:color w:val="auto"/>
                <w:sz w:val="24"/>
                <w:szCs w:val="21"/>
                <w:highlight w:val="none"/>
              </w:rPr>
            </w:pPr>
          </w:p>
        </w:tc>
        <w:tc>
          <w:tcPr>
            <w:tcW w:w="987" w:type="dxa"/>
            <w:vMerge w:val="continue"/>
            <w:tcBorders>
              <w:top w:val="nil"/>
              <w:left w:val="nil"/>
              <w:bottom w:val="single" w:color="auto" w:sz="4" w:space="0"/>
              <w:right w:val="single" w:color="auto" w:sz="4" w:space="0"/>
            </w:tcBorders>
            <w:vAlign w:val="center"/>
          </w:tcPr>
          <w:p w14:paraId="7D8EE235">
            <w:pPr>
              <w:widowControl/>
              <w:jc w:val="left"/>
              <w:rPr>
                <w:rFonts w:ascii="宋体" w:hAnsi="宋体" w:eastAsia="宋体" w:cs="Times New Roman"/>
                <w:color w:val="auto"/>
                <w:sz w:val="24"/>
                <w:szCs w:val="21"/>
                <w:highlight w:val="none"/>
              </w:rPr>
            </w:pPr>
          </w:p>
        </w:tc>
        <w:tc>
          <w:tcPr>
            <w:tcW w:w="2551" w:type="dxa"/>
            <w:tcBorders>
              <w:top w:val="single" w:color="auto" w:sz="4" w:space="0"/>
              <w:left w:val="nil"/>
              <w:bottom w:val="single" w:color="auto" w:sz="4" w:space="0"/>
              <w:right w:val="single" w:color="auto" w:sz="4" w:space="0"/>
            </w:tcBorders>
            <w:vAlign w:val="center"/>
          </w:tcPr>
          <w:p w14:paraId="2C0CACE6">
            <w:pPr>
              <w:spacing w:line="266" w:lineRule="auto"/>
              <w:rPr>
                <w:rFonts w:ascii="宋体" w:hAnsi="宋体" w:eastAsia="宋体" w:cs="Courier New"/>
                <w:color w:val="auto"/>
                <w:sz w:val="24"/>
                <w:szCs w:val="21"/>
                <w:highlight w:val="none"/>
              </w:rPr>
            </w:pPr>
            <w:r>
              <w:rPr>
                <w:rFonts w:ascii="宋体" w:hAnsi="宋体" w:eastAsia="宋体" w:cs="Courier New"/>
                <w:color w:val="auto"/>
                <w:sz w:val="24"/>
                <w:szCs w:val="21"/>
                <w:highlight w:val="none"/>
              </w:rPr>
              <w:t>无行贿查询结果或承诺</w:t>
            </w:r>
          </w:p>
        </w:tc>
        <w:tc>
          <w:tcPr>
            <w:tcW w:w="5398" w:type="dxa"/>
            <w:tcBorders>
              <w:top w:val="single" w:color="auto" w:sz="4" w:space="0"/>
              <w:left w:val="nil"/>
              <w:bottom w:val="single" w:color="auto" w:sz="4" w:space="0"/>
              <w:right w:val="single" w:color="auto" w:sz="4" w:space="0"/>
            </w:tcBorders>
            <w:vAlign w:val="center"/>
          </w:tcPr>
          <w:p w14:paraId="603A1B5D">
            <w:pPr>
              <w:adjustRightInd w:val="0"/>
              <w:spacing w:line="360" w:lineRule="auto"/>
              <w:jc w:val="left"/>
              <w:textAlignment w:val="baseline"/>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详见第二章“供应商须知前附表”的规定</w:t>
            </w:r>
          </w:p>
        </w:tc>
      </w:tr>
      <w:tr w14:paraId="44017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526" w:type="dxa"/>
            <w:vMerge w:val="continue"/>
            <w:tcBorders>
              <w:left w:val="single" w:color="auto" w:sz="4" w:space="0"/>
              <w:right w:val="single" w:color="auto" w:sz="4" w:space="0"/>
            </w:tcBorders>
            <w:vAlign w:val="center"/>
          </w:tcPr>
          <w:p w14:paraId="4355F771">
            <w:pPr>
              <w:spacing w:line="360" w:lineRule="auto"/>
              <w:jc w:val="center"/>
              <w:rPr>
                <w:rFonts w:ascii="宋体" w:hAnsi="宋体" w:eastAsia="宋体" w:cs="Courier New"/>
                <w:color w:val="auto"/>
                <w:sz w:val="24"/>
                <w:szCs w:val="21"/>
                <w:highlight w:val="none"/>
              </w:rPr>
            </w:pPr>
          </w:p>
        </w:tc>
        <w:tc>
          <w:tcPr>
            <w:tcW w:w="987" w:type="dxa"/>
            <w:vMerge w:val="continue"/>
            <w:tcBorders>
              <w:top w:val="nil"/>
              <w:left w:val="nil"/>
              <w:bottom w:val="single" w:color="auto" w:sz="4" w:space="0"/>
              <w:right w:val="single" w:color="auto" w:sz="4" w:space="0"/>
            </w:tcBorders>
            <w:vAlign w:val="center"/>
          </w:tcPr>
          <w:p w14:paraId="11F30372">
            <w:pPr>
              <w:widowControl/>
              <w:jc w:val="left"/>
              <w:rPr>
                <w:rFonts w:ascii="宋体" w:hAnsi="宋体" w:eastAsia="宋体" w:cs="Times New Roman"/>
                <w:color w:val="auto"/>
                <w:sz w:val="24"/>
                <w:szCs w:val="21"/>
                <w:highlight w:val="none"/>
              </w:rPr>
            </w:pPr>
          </w:p>
        </w:tc>
        <w:tc>
          <w:tcPr>
            <w:tcW w:w="2551" w:type="dxa"/>
            <w:tcBorders>
              <w:top w:val="single" w:color="auto" w:sz="4" w:space="0"/>
              <w:left w:val="nil"/>
              <w:bottom w:val="single" w:color="auto" w:sz="4" w:space="0"/>
              <w:right w:val="single" w:color="auto" w:sz="4" w:space="0"/>
            </w:tcBorders>
            <w:vAlign w:val="center"/>
          </w:tcPr>
          <w:p w14:paraId="574EF22F">
            <w:pPr>
              <w:spacing w:line="266" w:lineRule="auto"/>
              <w:rPr>
                <w:rFonts w:ascii="宋体" w:hAnsi="宋体" w:eastAsia="宋体" w:cs="Courier New"/>
                <w:color w:val="auto"/>
                <w:sz w:val="24"/>
                <w:szCs w:val="21"/>
                <w:highlight w:val="none"/>
              </w:rPr>
            </w:pPr>
            <w:r>
              <w:rPr>
                <w:rFonts w:hint="eastAsia" w:ascii="宋体" w:hAnsi="宋体" w:eastAsia="宋体" w:cs="Courier New"/>
                <w:color w:val="auto"/>
                <w:sz w:val="24"/>
                <w:szCs w:val="21"/>
                <w:highlight w:val="none"/>
              </w:rPr>
              <w:t>无商业贿赂及无不正当竞争行为承诺书</w:t>
            </w:r>
          </w:p>
        </w:tc>
        <w:tc>
          <w:tcPr>
            <w:tcW w:w="5398" w:type="dxa"/>
            <w:tcBorders>
              <w:top w:val="single" w:color="auto" w:sz="4" w:space="0"/>
              <w:left w:val="nil"/>
              <w:bottom w:val="single" w:color="auto" w:sz="4" w:space="0"/>
              <w:right w:val="single" w:color="auto" w:sz="4" w:space="0"/>
            </w:tcBorders>
            <w:vAlign w:val="center"/>
          </w:tcPr>
          <w:p w14:paraId="7B8A438B">
            <w:pPr>
              <w:adjustRightInd w:val="0"/>
              <w:spacing w:line="360" w:lineRule="auto"/>
              <w:jc w:val="left"/>
              <w:textAlignment w:val="baseline"/>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详见第二章“供应商须知前附表”的规定</w:t>
            </w:r>
          </w:p>
        </w:tc>
      </w:tr>
      <w:tr w14:paraId="0E74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526" w:type="dxa"/>
            <w:vMerge w:val="continue"/>
            <w:tcBorders>
              <w:left w:val="single" w:color="auto" w:sz="4" w:space="0"/>
              <w:right w:val="single" w:color="auto" w:sz="4" w:space="0"/>
            </w:tcBorders>
            <w:vAlign w:val="center"/>
          </w:tcPr>
          <w:p w14:paraId="0A5E6AFF">
            <w:pPr>
              <w:spacing w:line="360" w:lineRule="auto"/>
              <w:jc w:val="center"/>
              <w:rPr>
                <w:rFonts w:ascii="宋体" w:hAnsi="宋体" w:eastAsia="宋体" w:cs="Courier New"/>
                <w:color w:val="auto"/>
                <w:sz w:val="24"/>
                <w:szCs w:val="21"/>
                <w:highlight w:val="none"/>
              </w:rPr>
            </w:pPr>
          </w:p>
        </w:tc>
        <w:tc>
          <w:tcPr>
            <w:tcW w:w="987" w:type="dxa"/>
            <w:vMerge w:val="continue"/>
            <w:tcBorders>
              <w:top w:val="nil"/>
              <w:left w:val="nil"/>
              <w:bottom w:val="single" w:color="auto" w:sz="4" w:space="0"/>
              <w:right w:val="single" w:color="auto" w:sz="4" w:space="0"/>
            </w:tcBorders>
            <w:vAlign w:val="center"/>
          </w:tcPr>
          <w:p w14:paraId="704363F1">
            <w:pPr>
              <w:widowControl/>
              <w:jc w:val="left"/>
              <w:rPr>
                <w:rFonts w:ascii="宋体" w:hAnsi="宋体" w:eastAsia="宋体" w:cs="Times New Roman"/>
                <w:color w:val="auto"/>
                <w:sz w:val="24"/>
                <w:szCs w:val="21"/>
                <w:highlight w:val="none"/>
              </w:rPr>
            </w:pPr>
          </w:p>
        </w:tc>
        <w:tc>
          <w:tcPr>
            <w:tcW w:w="2551" w:type="dxa"/>
            <w:tcBorders>
              <w:top w:val="single" w:color="auto" w:sz="4" w:space="0"/>
              <w:left w:val="nil"/>
              <w:bottom w:val="single" w:color="auto" w:sz="4" w:space="0"/>
              <w:right w:val="single" w:color="auto" w:sz="4" w:space="0"/>
            </w:tcBorders>
            <w:vAlign w:val="center"/>
          </w:tcPr>
          <w:p w14:paraId="30363B55">
            <w:pPr>
              <w:spacing w:line="266" w:lineRule="auto"/>
              <w:rPr>
                <w:rFonts w:ascii="宋体" w:hAnsi="宋体" w:eastAsia="宋体" w:cs="Courier New"/>
                <w:color w:val="auto"/>
                <w:sz w:val="24"/>
                <w:szCs w:val="21"/>
                <w:highlight w:val="none"/>
              </w:rPr>
            </w:pPr>
            <w:r>
              <w:rPr>
                <w:rFonts w:hint="eastAsia" w:ascii="宋体" w:hAnsi="宋体" w:eastAsia="宋体" w:cs="Courier New"/>
                <w:color w:val="auto"/>
                <w:sz w:val="24"/>
                <w:szCs w:val="21"/>
                <w:highlight w:val="none"/>
              </w:rPr>
              <w:t>“信用中国”、“中国政府采购网”查询结果</w:t>
            </w:r>
          </w:p>
        </w:tc>
        <w:tc>
          <w:tcPr>
            <w:tcW w:w="5398" w:type="dxa"/>
            <w:tcBorders>
              <w:top w:val="single" w:color="auto" w:sz="4" w:space="0"/>
              <w:left w:val="nil"/>
              <w:bottom w:val="single" w:color="auto" w:sz="4" w:space="0"/>
              <w:right w:val="single" w:color="auto" w:sz="4" w:space="0"/>
            </w:tcBorders>
            <w:vAlign w:val="center"/>
          </w:tcPr>
          <w:p w14:paraId="11CA7B59">
            <w:pPr>
              <w:adjustRightInd w:val="0"/>
              <w:spacing w:line="360" w:lineRule="auto"/>
              <w:jc w:val="left"/>
              <w:textAlignment w:val="baseline"/>
              <w:rPr>
                <w:rFonts w:ascii="宋体" w:hAnsi="宋体" w:eastAsia="宋体" w:cs="宋体"/>
                <w:color w:val="auto"/>
                <w:sz w:val="24"/>
                <w:szCs w:val="21"/>
                <w:highlight w:val="none"/>
                <w:lang w:val="zh-CN"/>
              </w:rPr>
            </w:pPr>
            <w:r>
              <w:rPr>
                <w:rFonts w:hint="eastAsia" w:ascii="宋体" w:hAnsi="宋体" w:eastAsia="宋体" w:cs="宋体"/>
                <w:color w:val="auto"/>
                <w:sz w:val="24"/>
                <w:szCs w:val="21"/>
                <w:highlight w:val="none"/>
              </w:rPr>
              <w:t>详见第二章“供应商须知前附表”的规定</w:t>
            </w:r>
          </w:p>
        </w:tc>
      </w:tr>
      <w:tr w14:paraId="0C578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526" w:type="dxa"/>
            <w:vMerge w:val="continue"/>
            <w:tcBorders>
              <w:left w:val="single" w:color="auto" w:sz="4" w:space="0"/>
              <w:right w:val="single" w:color="auto" w:sz="4" w:space="0"/>
            </w:tcBorders>
            <w:vAlign w:val="center"/>
          </w:tcPr>
          <w:p w14:paraId="58BBCE11">
            <w:pPr>
              <w:spacing w:line="360" w:lineRule="auto"/>
              <w:jc w:val="center"/>
              <w:rPr>
                <w:rFonts w:ascii="宋体" w:hAnsi="宋体" w:eastAsia="宋体" w:cs="Courier New"/>
                <w:color w:val="auto"/>
                <w:sz w:val="24"/>
                <w:szCs w:val="21"/>
                <w:highlight w:val="none"/>
              </w:rPr>
            </w:pPr>
          </w:p>
        </w:tc>
        <w:tc>
          <w:tcPr>
            <w:tcW w:w="987" w:type="dxa"/>
            <w:vMerge w:val="continue"/>
            <w:tcBorders>
              <w:top w:val="nil"/>
              <w:left w:val="nil"/>
              <w:bottom w:val="single" w:color="auto" w:sz="4" w:space="0"/>
              <w:right w:val="single" w:color="auto" w:sz="4" w:space="0"/>
            </w:tcBorders>
            <w:vAlign w:val="center"/>
          </w:tcPr>
          <w:p w14:paraId="23285052">
            <w:pPr>
              <w:widowControl/>
              <w:jc w:val="left"/>
              <w:rPr>
                <w:rFonts w:ascii="宋体" w:hAnsi="宋体" w:eastAsia="宋体" w:cs="Times New Roman"/>
                <w:color w:val="auto"/>
                <w:sz w:val="24"/>
                <w:szCs w:val="21"/>
                <w:highlight w:val="none"/>
              </w:rPr>
            </w:pPr>
          </w:p>
        </w:tc>
        <w:tc>
          <w:tcPr>
            <w:tcW w:w="2551" w:type="dxa"/>
            <w:tcBorders>
              <w:top w:val="single" w:color="auto" w:sz="4" w:space="0"/>
              <w:left w:val="nil"/>
              <w:bottom w:val="single" w:color="auto" w:sz="4" w:space="0"/>
              <w:right w:val="single" w:color="auto" w:sz="4" w:space="0"/>
            </w:tcBorders>
            <w:vAlign w:val="center"/>
          </w:tcPr>
          <w:p w14:paraId="0C3EFBF0">
            <w:pPr>
              <w:spacing w:line="266" w:lineRule="auto"/>
              <w:rPr>
                <w:rFonts w:ascii="宋体" w:hAnsi="宋体" w:eastAsia="宋体" w:cs="Courier New"/>
                <w:color w:val="auto"/>
                <w:sz w:val="24"/>
                <w:szCs w:val="21"/>
                <w:highlight w:val="none"/>
              </w:rPr>
            </w:pPr>
            <w:r>
              <w:rPr>
                <w:rFonts w:hint="eastAsia" w:ascii="宋体" w:hAnsi="宋体" w:eastAsia="宋体" w:cs="Courier New"/>
                <w:color w:val="auto"/>
                <w:sz w:val="24"/>
                <w:szCs w:val="21"/>
                <w:highlight w:val="none"/>
              </w:rPr>
              <w:t>“国家企业信用信息公示系统”查询结果</w:t>
            </w:r>
          </w:p>
        </w:tc>
        <w:tc>
          <w:tcPr>
            <w:tcW w:w="5398" w:type="dxa"/>
            <w:tcBorders>
              <w:top w:val="single" w:color="auto" w:sz="4" w:space="0"/>
              <w:left w:val="nil"/>
              <w:bottom w:val="single" w:color="auto" w:sz="4" w:space="0"/>
              <w:right w:val="single" w:color="auto" w:sz="4" w:space="0"/>
            </w:tcBorders>
            <w:vAlign w:val="center"/>
          </w:tcPr>
          <w:p w14:paraId="6CF46615">
            <w:pPr>
              <w:adjustRightInd w:val="0"/>
              <w:spacing w:line="360" w:lineRule="auto"/>
              <w:jc w:val="left"/>
              <w:textAlignment w:val="baseline"/>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详见第二章“供应商须知前附表”的规定</w:t>
            </w:r>
          </w:p>
        </w:tc>
      </w:tr>
      <w:tr w14:paraId="7DD5B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26" w:type="dxa"/>
            <w:vMerge w:val="continue"/>
            <w:tcBorders>
              <w:left w:val="single" w:color="auto" w:sz="4" w:space="0"/>
              <w:right w:val="single" w:color="auto" w:sz="4" w:space="0"/>
            </w:tcBorders>
            <w:vAlign w:val="center"/>
          </w:tcPr>
          <w:p w14:paraId="46549DBF">
            <w:pPr>
              <w:spacing w:line="360" w:lineRule="auto"/>
              <w:jc w:val="center"/>
              <w:rPr>
                <w:rFonts w:ascii="宋体" w:hAnsi="宋体" w:eastAsia="宋体" w:cs="Courier New"/>
                <w:color w:val="auto"/>
                <w:sz w:val="24"/>
                <w:szCs w:val="21"/>
                <w:highlight w:val="none"/>
              </w:rPr>
            </w:pPr>
          </w:p>
        </w:tc>
        <w:tc>
          <w:tcPr>
            <w:tcW w:w="987" w:type="dxa"/>
            <w:vMerge w:val="restart"/>
            <w:tcBorders>
              <w:top w:val="nil"/>
              <w:left w:val="nil"/>
              <w:bottom w:val="single" w:color="auto" w:sz="4" w:space="0"/>
              <w:right w:val="single" w:color="auto" w:sz="4" w:space="0"/>
            </w:tcBorders>
            <w:vAlign w:val="center"/>
          </w:tcPr>
          <w:p w14:paraId="68BF6AF0">
            <w:pPr>
              <w:spacing w:line="360" w:lineRule="auto"/>
              <w:jc w:val="center"/>
              <w:rPr>
                <w:rFonts w:ascii="宋体" w:hAnsi="宋体" w:eastAsia="宋体" w:cs="Courier New"/>
                <w:color w:val="auto"/>
                <w:sz w:val="24"/>
                <w:szCs w:val="21"/>
                <w:highlight w:val="none"/>
              </w:rPr>
            </w:pPr>
            <w:r>
              <w:rPr>
                <w:rFonts w:hint="eastAsia" w:ascii="宋体" w:hAnsi="宋体" w:eastAsia="宋体" w:cs="Courier New"/>
                <w:color w:val="auto"/>
                <w:sz w:val="24"/>
                <w:szCs w:val="21"/>
                <w:highlight w:val="none"/>
              </w:rPr>
              <w:t>响</w:t>
            </w:r>
          </w:p>
          <w:p w14:paraId="3AF4F820">
            <w:pPr>
              <w:spacing w:line="360" w:lineRule="auto"/>
              <w:jc w:val="center"/>
              <w:rPr>
                <w:rFonts w:ascii="宋体" w:hAnsi="宋体" w:eastAsia="宋体" w:cs="Courier New"/>
                <w:color w:val="auto"/>
                <w:sz w:val="24"/>
                <w:szCs w:val="21"/>
                <w:highlight w:val="none"/>
              </w:rPr>
            </w:pPr>
            <w:r>
              <w:rPr>
                <w:rFonts w:hint="eastAsia" w:ascii="宋体" w:hAnsi="宋体" w:eastAsia="宋体" w:cs="Courier New"/>
                <w:color w:val="auto"/>
                <w:sz w:val="24"/>
                <w:szCs w:val="21"/>
                <w:highlight w:val="none"/>
              </w:rPr>
              <w:t>应</w:t>
            </w:r>
          </w:p>
          <w:p w14:paraId="155F63FD">
            <w:pPr>
              <w:spacing w:line="360" w:lineRule="auto"/>
              <w:jc w:val="center"/>
              <w:rPr>
                <w:rFonts w:ascii="宋体" w:hAnsi="宋体" w:eastAsia="宋体" w:cs="Courier New"/>
                <w:color w:val="auto"/>
                <w:sz w:val="24"/>
                <w:szCs w:val="21"/>
                <w:highlight w:val="none"/>
              </w:rPr>
            </w:pPr>
            <w:r>
              <w:rPr>
                <w:rFonts w:hint="eastAsia" w:ascii="宋体" w:hAnsi="宋体" w:eastAsia="宋体" w:cs="Courier New"/>
                <w:color w:val="auto"/>
                <w:sz w:val="24"/>
                <w:szCs w:val="21"/>
                <w:highlight w:val="none"/>
              </w:rPr>
              <w:t>评</w:t>
            </w:r>
          </w:p>
          <w:p w14:paraId="7CA3AB67">
            <w:pPr>
              <w:spacing w:line="360" w:lineRule="auto"/>
              <w:jc w:val="center"/>
              <w:rPr>
                <w:rFonts w:ascii="宋体" w:hAnsi="宋体" w:eastAsia="宋体" w:cs="Courier New"/>
                <w:color w:val="auto"/>
                <w:sz w:val="24"/>
                <w:szCs w:val="21"/>
                <w:highlight w:val="none"/>
              </w:rPr>
            </w:pPr>
            <w:r>
              <w:rPr>
                <w:rFonts w:hint="eastAsia" w:ascii="宋体" w:hAnsi="宋体" w:eastAsia="宋体" w:cs="Courier New"/>
                <w:color w:val="auto"/>
                <w:sz w:val="24"/>
                <w:szCs w:val="21"/>
                <w:highlight w:val="none"/>
              </w:rPr>
              <w:t>审</w:t>
            </w:r>
          </w:p>
          <w:p w14:paraId="6B624E3F">
            <w:pPr>
              <w:spacing w:line="360" w:lineRule="auto"/>
              <w:jc w:val="center"/>
              <w:rPr>
                <w:rFonts w:ascii="宋体" w:hAnsi="宋体" w:eastAsia="宋体" w:cs="Courier New"/>
                <w:color w:val="auto"/>
                <w:sz w:val="24"/>
                <w:szCs w:val="21"/>
                <w:highlight w:val="none"/>
              </w:rPr>
            </w:pPr>
            <w:r>
              <w:rPr>
                <w:rFonts w:hint="eastAsia" w:ascii="宋体" w:hAnsi="宋体" w:eastAsia="宋体" w:cs="Courier New"/>
                <w:color w:val="auto"/>
                <w:sz w:val="24"/>
                <w:szCs w:val="21"/>
                <w:highlight w:val="none"/>
              </w:rPr>
              <w:t>标</w:t>
            </w:r>
          </w:p>
          <w:p w14:paraId="4A0C9C8B">
            <w:pPr>
              <w:spacing w:line="360" w:lineRule="auto"/>
              <w:jc w:val="center"/>
              <w:rPr>
                <w:rFonts w:ascii="宋体" w:hAnsi="宋体" w:eastAsia="宋体" w:cs="Courier New"/>
                <w:color w:val="auto"/>
                <w:sz w:val="24"/>
                <w:szCs w:val="21"/>
                <w:highlight w:val="none"/>
              </w:rPr>
            </w:pPr>
            <w:r>
              <w:rPr>
                <w:rFonts w:hint="eastAsia" w:ascii="宋体" w:hAnsi="宋体" w:eastAsia="宋体" w:cs="Courier New"/>
                <w:color w:val="auto"/>
                <w:sz w:val="24"/>
                <w:szCs w:val="21"/>
                <w:highlight w:val="none"/>
              </w:rPr>
              <w:t>准</w:t>
            </w:r>
          </w:p>
        </w:tc>
        <w:tc>
          <w:tcPr>
            <w:tcW w:w="2551" w:type="dxa"/>
            <w:tcBorders>
              <w:top w:val="single" w:color="auto" w:sz="4" w:space="0"/>
              <w:left w:val="nil"/>
              <w:bottom w:val="single" w:color="auto" w:sz="4" w:space="0"/>
              <w:right w:val="single" w:color="auto" w:sz="4" w:space="0"/>
            </w:tcBorders>
            <w:vAlign w:val="center"/>
          </w:tcPr>
          <w:p w14:paraId="5CE4FBBD">
            <w:pPr>
              <w:adjustRightInd w:val="0"/>
              <w:spacing w:line="360" w:lineRule="auto"/>
              <w:jc w:val="center"/>
              <w:textAlignment w:val="baseline"/>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供货期</w:t>
            </w:r>
          </w:p>
        </w:tc>
        <w:tc>
          <w:tcPr>
            <w:tcW w:w="5398" w:type="dxa"/>
            <w:tcBorders>
              <w:top w:val="single" w:color="auto" w:sz="4" w:space="0"/>
              <w:left w:val="nil"/>
              <w:bottom w:val="single" w:color="auto" w:sz="4" w:space="0"/>
              <w:right w:val="single" w:color="auto" w:sz="4" w:space="0"/>
            </w:tcBorders>
            <w:vAlign w:val="center"/>
          </w:tcPr>
          <w:p w14:paraId="29FE3D4F">
            <w:pPr>
              <w:adjustRightInd w:val="0"/>
              <w:spacing w:line="360" w:lineRule="auto"/>
              <w:jc w:val="left"/>
              <w:textAlignment w:val="baseline"/>
              <w:rPr>
                <w:rFonts w:ascii="宋体" w:hAnsi="宋体" w:eastAsia="宋体" w:cs="宋体"/>
                <w:color w:val="auto"/>
                <w:sz w:val="24"/>
                <w:szCs w:val="21"/>
                <w:highlight w:val="none"/>
                <w:lang w:val="zh-CN"/>
              </w:rPr>
            </w:pPr>
            <w:r>
              <w:rPr>
                <w:rFonts w:hint="eastAsia" w:ascii="宋体" w:hAnsi="宋体" w:eastAsia="宋体" w:cs="宋体"/>
                <w:color w:val="auto"/>
                <w:sz w:val="24"/>
                <w:szCs w:val="21"/>
                <w:highlight w:val="none"/>
              </w:rPr>
              <w:t>详见第二章“供应商须知前附表”的规定</w:t>
            </w:r>
          </w:p>
        </w:tc>
      </w:tr>
      <w:tr w14:paraId="1302C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526" w:type="dxa"/>
            <w:vMerge w:val="continue"/>
            <w:tcBorders>
              <w:left w:val="single" w:color="auto" w:sz="4" w:space="0"/>
              <w:right w:val="single" w:color="auto" w:sz="4" w:space="0"/>
            </w:tcBorders>
            <w:vAlign w:val="center"/>
          </w:tcPr>
          <w:p w14:paraId="26BF7FC9">
            <w:pPr>
              <w:spacing w:line="360" w:lineRule="auto"/>
              <w:jc w:val="center"/>
              <w:rPr>
                <w:rFonts w:ascii="宋体" w:hAnsi="宋体" w:eastAsia="宋体" w:cs="Courier New"/>
                <w:color w:val="auto"/>
                <w:sz w:val="24"/>
                <w:szCs w:val="21"/>
                <w:highlight w:val="none"/>
              </w:rPr>
            </w:pPr>
          </w:p>
        </w:tc>
        <w:tc>
          <w:tcPr>
            <w:tcW w:w="987" w:type="dxa"/>
            <w:vMerge w:val="continue"/>
            <w:tcBorders>
              <w:top w:val="nil"/>
              <w:left w:val="nil"/>
              <w:bottom w:val="single" w:color="auto" w:sz="4" w:space="0"/>
              <w:right w:val="single" w:color="auto" w:sz="4" w:space="0"/>
            </w:tcBorders>
            <w:vAlign w:val="center"/>
          </w:tcPr>
          <w:p w14:paraId="0E330BA8">
            <w:pPr>
              <w:spacing w:line="360" w:lineRule="auto"/>
              <w:jc w:val="center"/>
              <w:rPr>
                <w:rFonts w:ascii="宋体" w:hAnsi="宋体" w:eastAsia="宋体" w:cs="Courier New"/>
                <w:color w:val="auto"/>
                <w:sz w:val="24"/>
                <w:szCs w:val="21"/>
                <w:highlight w:val="none"/>
              </w:rPr>
            </w:pPr>
          </w:p>
        </w:tc>
        <w:tc>
          <w:tcPr>
            <w:tcW w:w="2551" w:type="dxa"/>
            <w:tcBorders>
              <w:top w:val="single" w:color="auto" w:sz="4" w:space="0"/>
              <w:left w:val="nil"/>
              <w:bottom w:val="single" w:color="auto" w:sz="4" w:space="0"/>
              <w:right w:val="single" w:color="auto" w:sz="4" w:space="0"/>
            </w:tcBorders>
            <w:vAlign w:val="center"/>
          </w:tcPr>
          <w:p w14:paraId="05ED0BF6">
            <w:pPr>
              <w:adjustRightInd w:val="0"/>
              <w:spacing w:line="360" w:lineRule="auto"/>
              <w:jc w:val="center"/>
              <w:textAlignment w:val="baseline"/>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质保期</w:t>
            </w:r>
          </w:p>
        </w:tc>
        <w:tc>
          <w:tcPr>
            <w:tcW w:w="5398" w:type="dxa"/>
            <w:tcBorders>
              <w:top w:val="single" w:color="auto" w:sz="4" w:space="0"/>
              <w:left w:val="nil"/>
              <w:bottom w:val="single" w:color="auto" w:sz="4" w:space="0"/>
              <w:right w:val="single" w:color="auto" w:sz="4" w:space="0"/>
            </w:tcBorders>
            <w:vAlign w:val="center"/>
          </w:tcPr>
          <w:p w14:paraId="6DD2FAE7">
            <w:pPr>
              <w:adjustRightInd w:val="0"/>
              <w:spacing w:line="360" w:lineRule="auto"/>
              <w:jc w:val="left"/>
              <w:textAlignment w:val="baseline"/>
              <w:rPr>
                <w:rFonts w:ascii="宋体" w:hAnsi="宋体" w:eastAsia="宋体" w:cs="宋体"/>
                <w:color w:val="auto"/>
                <w:sz w:val="24"/>
                <w:szCs w:val="21"/>
                <w:highlight w:val="none"/>
                <w:lang w:val="zh-CN"/>
              </w:rPr>
            </w:pPr>
            <w:r>
              <w:rPr>
                <w:rFonts w:hint="eastAsia" w:ascii="宋体" w:hAnsi="宋体" w:eastAsia="宋体" w:cs="宋体"/>
                <w:color w:val="auto"/>
                <w:sz w:val="24"/>
                <w:szCs w:val="21"/>
                <w:highlight w:val="none"/>
              </w:rPr>
              <w:t>详见第二章“供应商须知前附表”的规定</w:t>
            </w:r>
          </w:p>
        </w:tc>
      </w:tr>
      <w:tr w14:paraId="04132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526" w:type="dxa"/>
            <w:vMerge w:val="continue"/>
            <w:tcBorders>
              <w:left w:val="single" w:color="auto" w:sz="4" w:space="0"/>
              <w:right w:val="single" w:color="auto" w:sz="4" w:space="0"/>
            </w:tcBorders>
            <w:vAlign w:val="center"/>
          </w:tcPr>
          <w:p w14:paraId="3841D551">
            <w:pPr>
              <w:widowControl/>
              <w:jc w:val="left"/>
              <w:rPr>
                <w:rFonts w:ascii="宋体" w:hAnsi="宋体" w:eastAsia="宋体" w:cs="Courier New"/>
                <w:color w:val="auto"/>
                <w:sz w:val="24"/>
                <w:szCs w:val="21"/>
                <w:highlight w:val="none"/>
              </w:rPr>
            </w:pPr>
          </w:p>
        </w:tc>
        <w:tc>
          <w:tcPr>
            <w:tcW w:w="987" w:type="dxa"/>
            <w:vMerge w:val="continue"/>
            <w:tcBorders>
              <w:top w:val="nil"/>
              <w:left w:val="nil"/>
              <w:bottom w:val="single" w:color="auto" w:sz="4" w:space="0"/>
              <w:right w:val="single" w:color="auto" w:sz="4" w:space="0"/>
            </w:tcBorders>
            <w:vAlign w:val="center"/>
          </w:tcPr>
          <w:p w14:paraId="2F899F6F">
            <w:pPr>
              <w:widowControl/>
              <w:jc w:val="left"/>
              <w:rPr>
                <w:rFonts w:ascii="宋体" w:hAnsi="宋体" w:eastAsia="宋体" w:cs="Courier New"/>
                <w:color w:val="auto"/>
                <w:sz w:val="24"/>
                <w:szCs w:val="21"/>
                <w:highlight w:val="none"/>
              </w:rPr>
            </w:pPr>
          </w:p>
        </w:tc>
        <w:tc>
          <w:tcPr>
            <w:tcW w:w="2551" w:type="dxa"/>
            <w:tcBorders>
              <w:top w:val="single" w:color="auto" w:sz="4" w:space="0"/>
              <w:left w:val="nil"/>
              <w:bottom w:val="single" w:color="auto" w:sz="4" w:space="0"/>
              <w:right w:val="single" w:color="auto" w:sz="4" w:space="0"/>
            </w:tcBorders>
            <w:vAlign w:val="center"/>
          </w:tcPr>
          <w:p w14:paraId="31C929E6">
            <w:pPr>
              <w:adjustRightInd w:val="0"/>
              <w:spacing w:line="360" w:lineRule="auto"/>
              <w:jc w:val="center"/>
              <w:textAlignment w:val="baseline"/>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质量要求</w:t>
            </w:r>
          </w:p>
        </w:tc>
        <w:tc>
          <w:tcPr>
            <w:tcW w:w="5398" w:type="dxa"/>
            <w:tcBorders>
              <w:top w:val="single" w:color="auto" w:sz="4" w:space="0"/>
              <w:left w:val="nil"/>
              <w:bottom w:val="single" w:color="auto" w:sz="4" w:space="0"/>
              <w:right w:val="single" w:color="auto" w:sz="4" w:space="0"/>
            </w:tcBorders>
            <w:vAlign w:val="center"/>
          </w:tcPr>
          <w:p w14:paraId="34F6D145">
            <w:pPr>
              <w:adjustRightInd w:val="0"/>
              <w:spacing w:line="360" w:lineRule="auto"/>
              <w:jc w:val="left"/>
              <w:textAlignment w:val="baseline"/>
              <w:rPr>
                <w:rFonts w:ascii="宋体" w:hAnsi="宋体" w:eastAsia="宋体" w:cs="宋体"/>
                <w:color w:val="auto"/>
                <w:sz w:val="24"/>
                <w:szCs w:val="21"/>
                <w:highlight w:val="none"/>
                <w:lang w:val="zh-CN"/>
              </w:rPr>
            </w:pPr>
            <w:r>
              <w:rPr>
                <w:rFonts w:hint="eastAsia" w:ascii="宋体" w:hAnsi="宋体" w:eastAsia="宋体" w:cs="宋体"/>
                <w:color w:val="auto"/>
                <w:sz w:val="24"/>
                <w:szCs w:val="21"/>
                <w:highlight w:val="none"/>
              </w:rPr>
              <w:t>详见第二章“供应商须知前附表”的规定</w:t>
            </w:r>
          </w:p>
        </w:tc>
      </w:tr>
      <w:tr w14:paraId="700BD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526" w:type="dxa"/>
            <w:vMerge w:val="continue"/>
            <w:tcBorders>
              <w:left w:val="single" w:color="auto" w:sz="4" w:space="0"/>
              <w:right w:val="single" w:color="auto" w:sz="4" w:space="0"/>
            </w:tcBorders>
            <w:vAlign w:val="center"/>
          </w:tcPr>
          <w:p w14:paraId="7A0DD487">
            <w:pPr>
              <w:widowControl/>
              <w:jc w:val="left"/>
              <w:rPr>
                <w:rFonts w:ascii="宋体" w:hAnsi="宋体" w:eastAsia="宋体" w:cs="Courier New"/>
                <w:color w:val="auto"/>
                <w:sz w:val="24"/>
                <w:szCs w:val="21"/>
                <w:highlight w:val="none"/>
              </w:rPr>
            </w:pPr>
          </w:p>
        </w:tc>
        <w:tc>
          <w:tcPr>
            <w:tcW w:w="987" w:type="dxa"/>
            <w:vMerge w:val="continue"/>
            <w:tcBorders>
              <w:top w:val="nil"/>
              <w:left w:val="nil"/>
              <w:bottom w:val="single" w:color="auto" w:sz="4" w:space="0"/>
              <w:right w:val="single" w:color="auto" w:sz="4" w:space="0"/>
            </w:tcBorders>
            <w:vAlign w:val="center"/>
          </w:tcPr>
          <w:p w14:paraId="0191F894">
            <w:pPr>
              <w:widowControl/>
              <w:jc w:val="left"/>
              <w:rPr>
                <w:rFonts w:ascii="宋体" w:hAnsi="宋体" w:eastAsia="宋体" w:cs="Courier New"/>
                <w:color w:val="auto"/>
                <w:sz w:val="24"/>
                <w:szCs w:val="21"/>
                <w:highlight w:val="none"/>
              </w:rPr>
            </w:pPr>
          </w:p>
        </w:tc>
        <w:tc>
          <w:tcPr>
            <w:tcW w:w="2551" w:type="dxa"/>
            <w:tcBorders>
              <w:top w:val="single" w:color="auto" w:sz="4" w:space="0"/>
              <w:left w:val="nil"/>
              <w:bottom w:val="single" w:color="auto" w:sz="4" w:space="0"/>
              <w:right w:val="single" w:color="auto" w:sz="4" w:space="0"/>
            </w:tcBorders>
            <w:vAlign w:val="center"/>
          </w:tcPr>
          <w:p w14:paraId="17F775E1">
            <w:pPr>
              <w:adjustRightInd w:val="0"/>
              <w:spacing w:line="360" w:lineRule="auto"/>
              <w:jc w:val="center"/>
              <w:textAlignment w:val="baseline"/>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投标有效期</w:t>
            </w:r>
          </w:p>
        </w:tc>
        <w:tc>
          <w:tcPr>
            <w:tcW w:w="5398" w:type="dxa"/>
            <w:tcBorders>
              <w:top w:val="single" w:color="auto" w:sz="4" w:space="0"/>
              <w:left w:val="nil"/>
              <w:bottom w:val="single" w:color="auto" w:sz="4" w:space="0"/>
              <w:right w:val="single" w:color="auto" w:sz="4" w:space="0"/>
            </w:tcBorders>
            <w:vAlign w:val="center"/>
          </w:tcPr>
          <w:p w14:paraId="439F31F9">
            <w:pPr>
              <w:adjustRightInd w:val="0"/>
              <w:spacing w:line="360" w:lineRule="auto"/>
              <w:jc w:val="left"/>
              <w:textAlignment w:val="baseline"/>
              <w:rPr>
                <w:rFonts w:ascii="宋体" w:hAnsi="宋体" w:eastAsia="宋体" w:cs="宋体"/>
                <w:color w:val="auto"/>
                <w:sz w:val="24"/>
                <w:szCs w:val="21"/>
                <w:highlight w:val="none"/>
                <w:lang w:val="zh-CN"/>
              </w:rPr>
            </w:pPr>
            <w:r>
              <w:rPr>
                <w:rFonts w:hint="eastAsia" w:ascii="宋体" w:hAnsi="宋体" w:eastAsia="宋体" w:cs="宋体"/>
                <w:color w:val="auto"/>
                <w:sz w:val="24"/>
                <w:szCs w:val="21"/>
                <w:highlight w:val="none"/>
              </w:rPr>
              <w:t>详见第二章“供应商须知前附表”的规定</w:t>
            </w:r>
          </w:p>
        </w:tc>
      </w:tr>
    </w:tbl>
    <w:p w14:paraId="21B8453A">
      <w:pPr>
        <w:widowControl/>
        <w:spacing w:line="400" w:lineRule="exact"/>
        <w:rPr>
          <w:rFonts w:ascii="宋体" w:hAnsi="宋体" w:cs="Calibri"/>
          <w:b/>
          <w:bCs/>
          <w:color w:val="auto"/>
          <w:kern w:val="0"/>
          <w:sz w:val="24"/>
          <w:highlight w:val="none"/>
        </w:rPr>
      </w:pPr>
    </w:p>
    <w:p w14:paraId="5995E3DD">
      <w:pPr>
        <w:widowControl/>
        <w:jc w:val="left"/>
        <w:rPr>
          <w:rFonts w:ascii="宋体" w:hAnsi="宋体" w:cs="Calibri"/>
          <w:b/>
          <w:bCs/>
          <w:color w:val="auto"/>
          <w:kern w:val="0"/>
          <w:sz w:val="24"/>
          <w:highlight w:val="none"/>
        </w:rPr>
      </w:pPr>
      <w:r>
        <w:rPr>
          <w:rFonts w:ascii="宋体" w:hAnsi="宋体" w:cs="Calibri"/>
          <w:b/>
          <w:bCs/>
          <w:color w:val="auto"/>
          <w:kern w:val="0"/>
          <w:sz w:val="24"/>
          <w:highlight w:val="none"/>
        </w:rPr>
        <w:br w:type="page"/>
      </w:r>
    </w:p>
    <w:p w14:paraId="1E302765">
      <w:pPr>
        <w:widowControl/>
        <w:spacing w:line="400" w:lineRule="exact"/>
        <w:jc w:val="left"/>
        <w:rPr>
          <w:rFonts w:ascii="宋体" w:hAnsi="宋体" w:cs="Calibri"/>
          <w:b/>
          <w:bCs/>
          <w:color w:val="auto"/>
          <w:sz w:val="24"/>
          <w:highlight w:val="none"/>
        </w:rPr>
      </w:pPr>
      <w:r>
        <w:rPr>
          <w:rFonts w:hint="eastAsia" w:ascii="宋体" w:hAnsi="宋体" w:cs="Calibri"/>
          <w:b/>
          <w:bCs/>
          <w:color w:val="auto"/>
          <w:kern w:val="0"/>
          <w:sz w:val="24"/>
          <w:highlight w:val="none"/>
        </w:rPr>
        <w:t>二、详细审查：</w:t>
      </w:r>
    </w:p>
    <w:p w14:paraId="199C57A4">
      <w:pPr>
        <w:widowControl/>
        <w:rPr>
          <w:rFonts w:ascii="宋体" w:hAnsi="宋体" w:eastAsia="宋体" w:cs="宋体"/>
          <w:color w:val="auto"/>
          <w:sz w:val="24"/>
          <w:szCs w:val="32"/>
          <w:highlight w:val="none"/>
        </w:rPr>
      </w:pPr>
      <w:bookmarkStart w:id="173" w:name="_Toc16770583"/>
      <w:bookmarkEnd w:id="173"/>
      <w:bookmarkStart w:id="174" w:name="_Toc517179004"/>
      <w:bookmarkEnd w:id="174"/>
      <w:bookmarkStart w:id="175" w:name="_Toc512514899"/>
      <w:bookmarkEnd w:id="175"/>
      <w:bookmarkStart w:id="176" w:name="_Toc528078063"/>
      <w:bookmarkEnd w:id="176"/>
      <w:bookmarkStart w:id="177" w:name="_Toc43302814"/>
      <w:bookmarkStart w:id="178" w:name="_Toc13219"/>
      <w:r>
        <w:rPr>
          <w:rFonts w:hint="eastAsia" w:ascii="宋体" w:hAnsi="宋体" w:eastAsia="宋体" w:cs="宋体"/>
          <w:color w:val="auto"/>
          <w:sz w:val="24"/>
          <w:szCs w:val="32"/>
          <w:highlight w:val="none"/>
        </w:rPr>
        <w:t>评分标准</w:t>
      </w:r>
      <w:bookmarkEnd w:id="177"/>
      <w:bookmarkEnd w:id="178"/>
    </w:p>
    <w:p w14:paraId="7D52842C">
      <w:pPr>
        <w:widowControl/>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分值构成(总分100分) 报价分：30分；技术分：</w:t>
      </w:r>
      <w:r>
        <w:rPr>
          <w:rFonts w:hint="eastAsia" w:ascii="宋体" w:hAnsi="宋体" w:eastAsia="宋体" w:cs="宋体"/>
          <w:color w:val="auto"/>
          <w:sz w:val="24"/>
          <w:szCs w:val="24"/>
          <w:highlight w:val="none"/>
          <w:lang w:val="en-US" w:eastAsia="zh-CN"/>
        </w:rPr>
        <w:t>50</w:t>
      </w:r>
      <w:r>
        <w:rPr>
          <w:rFonts w:hint="eastAsia" w:ascii="宋体" w:hAnsi="宋体" w:eastAsia="宋体" w:cs="宋体"/>
          <w:color w:val="auto"/>
          <w:sz w:val="24"/>
          <w:szCs w:val="24"/>
          <w:highlight w:val="none"/>
        </w:rPr>
        <w:t>分；商务分：</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分；</w:t>
      </w:r>
    </w:p>
    <w:p w14:paraId="187B6716">
      <w:pPr>
        <w:widowControl/>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综合得分按公式计算：综合得分=报价得分＋技术得分＋商务得分；</w:t>
      </w:r>
    </w:p>
    <w:tbl>
      <w:tblPr>
        <w:tblStyle w:val="13"/>
        <w:tblpPr w:leftFromText="180" w:rightFromText="180" w:vertAnchor="text" w:horzAnchor="page" w:tblpXSpec="center" w:tblpY="460"/>
        <w:tblOverlap w:val="never"/>
        <w:tblW w:w="97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2"/>
        <w:gridCol w:w="1150"/>
        <w:gridCol w:w="554"/>
        <w:gridCol w:w="6621"/>
      </w:tblGrid>
      <w:tr w14:paraId="50F4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2" w:type="dxa"/>
            <w:tcBorders>
              <w:top w:val="single" w:color="auto" w:sz="4" w:space="0"/>
              <w:left w:val="single" w:color="auto" w:sz="4" w:space="0"/>
              <w:bottom w:val="single" w:color="auto" w:sz="4" w:space="0"/>
              <w:right w:val="single" w:color="auto" w:sz="4" w:space="0"/>
            </w:tcBorders>
            <w:noWrap w:val="0"/>
            <w:vAlign w:val="top"/>
          </w:tcPr>
          <w:p w14:paraId="7C65B503">
            <w:pPr>
              <w:widowControl/>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评分项</w:t>
            </w:r>
          </w:p>
        </w:tc>
        <w:tc>
          <w:tcPr>
            <w:tcW w:w="1150" w:type="dxa"/>
            <w:tcBorders>
              <w:top w:val="single" w:color="auto" w:sz="4" w:space="0"/>
              <w:left w:val="nil"/>
              <w:bottom w:val="single" w:color="auto" w:sz="4" w:space="0"/>
              <w:right w:val="single" w:color="auto" w:sz="4" w:space="0"/>
            </w:tcBorders>
            <w:noWrap w:val="0"/>
            <w:vAlign w:val="top"/>
          </w:tcPr>
          <w:p w14:paraId="68A72C2B">
            <w:pPr>
              <w:widowControl/>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评审内容</w:t>
            </w:r>
          </w:p>
        </w:tc>
        <w:tc>
          <w:tcPr>
            <w:tcW w:w="554" w:type="dxa"/>
            <w:tcBorders>
              <w:top w:val="single" w:color="auto" w:sz="4" w:space="0"/>
              <w:left w:val="nil"/>
              <w:bottom w:val="single" w:color="auto" w:sz="4" w:space="0"/>
              <w:right w:val="single" w:color="auto" w:sz="4" w:space="0"/>
            </w:tcBorders>
            <w:noWrap w:val="0"/>
            <w:vAlign w:val="top"/>
          </w:tcPr>
          <w:p w14:paraId="7239A8D2">
            <w:pPr>
              <w:widowControl/>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分值</w:t>
            </w:r>
          </w:p>
        </w:tc>
        <w:tc>
          <w:tcPr>
            <w:tcW w:w="6621" w:type="dxa"/>
            <w:tcBorders>
              <w:top w:val="single" w:color="auto" w:sz="4" w:space="0"/>
              <w:left w:val="nil"/>
              <w:bottom w:val="single" w:color="auto" w:sz="4" w:space="0"/>
              <w:right w:val="single" w:color="auto" w:sz="4" w:space="0"/>
            </w:tcBorders>
            <w:noWrap w:val="0"/>
            <w:vAlign w:val="top"/>
          </w:tcPr>
          <w:p w14:paraId="44B860B1">
            <w:pPr>
              <w:widowControl/>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评分准则</w:t>
            </w:r>
          </w:p>
        </w:tc>
      </w:tr>
      <w:tr w14:paraId="53A9A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82" w:type="dxa"/>
            <w:tcBorders>
              <w:top w:val="single" w:color="auto" w:sz="4" w:space="0"/>
              <w:left w:val="single" w:color="auto" w:sz="4" w:space="0"/>
              <w:bottom w:val="single" w:color="auto" w:sz="4" w:space="0"/>
              <w:right w:val="single" w:color="auto" w:sz="4" w:space="0"/>
            </w:tcBorders>
            <w:noWrap w:val="0"/>
            <w:vAlign w:val="center"/>
          </w:tcPr>
          <w:p w14:paraId="3515BF73">
            <w:pPr>
              <w:widowControl/>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w:t>
            </w:r>
          </w:p>
          <w:p w14:paraId="1245B5C8">
            <w:pPr>
              <w:widowControl/>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（30分）</w:t>
            </w:r>
          </w:p>
        </w:tc>
        <w:tc>
          <w:tcPr>
            <w:tcW w:w="1704" w:type="dxa"/>
            <w:gridSpan w:val="2"/>
            <w:tcBorders>
              <w:top w:val="single" w:color="auto" w:sz="4" w:space="0"/>
              <w:left w:val="nil"/>
              <w:bottom w:val="single" w:color="auto" w:sz="4" w:space="0"/>
              <w:right w:val="single" w:color="auto" w:sz="4" w:space="0"/>
            </w:tcBorders>
            <w:noWrap w:val="0"/>
            <w:vAlign w:val="center"/>
          </w:tcPr>
          <w:p w14:paraId="3B82F2AB">
            <w:pPr>
              <w:widowControl/>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投标报价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30分</w:t>
            </w:r>
            <w:r>
              <w:rPr>
                <w:rFonts w:hint="eastAsia" w:ascii="宋体" w:hAnsi="宋体" w:eastAsia="宋体" w:cs="宋体"/>
                <w:color w:val="auto"/>
                <w:sz w:val="24"/>
                <w:szCs w:val="24"/>
                <w:highlight w:val="none"/>
                <w:lang w:eastAsia="zh-CN"/>
              </w:rPr>
              <w:t>）</w:t>
            </w:r>
          </w:p>
        </w:tc>
        <w:tc>
          <w:tcPr>
            <w:tcW w:w="6621" w:type="dxa"/>
            <w:tcBorders>
              <w:top w:val="single" w:color="auto" w:sz="4" w:space="0"/>
              <w:left w:val="nil"/>
              <w:bottom w:val="single" w:color="auto" w:sz="4" w:space="0"/>
              <w:right w:val="single" w:color="auto" w:sz="4" w:space="0"/>
            </w:tcBorders>
            <w:noWrap w:val="0"/>
            <w:vAlign w:val="top"/>
          </w:tcPr>
          <w:p w14:paraId="71BF6031">
            <w:pPr>
              <w:widowControl/>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（1）本项目</w:t>
            </w:r>
            <w:r>
              <w:rPr>
                <w:rFonts w:hint="eastAsia" w:ascii="宋体" w:hAnsi="宋体" w:eastAsia="宋体" w:cs="宋体"/>
                <w:color w:val="auto"/>
                <w:kern w:val="0"/>
                <w:sz w:val="24"/>
                <w:szCs w:val="24"/>
                <w:highlight w:val="none"/>
                <w:lang w:val="en-US" w:eastAsia="zh-CN"/>
              </w:rPr>
              <w:t>投标人投标</w:t>
            </w:r>
            <w:r>
              <w:rPr>
                <w:rFonts w:hint="eastAsia" w:ascii="宋体" w:hAnsi="宋体" w:eastAsia="宋体" w:cs="宋体"/>
                <w:color w:val="auto"/>
                <w:kern w:val="0"/>
                <w:sz w:val="24"/>
                <w:szCs w:val="24"/>
                <w:highlight w:val="none"/>
              </w:rPr>
              <w:t>报价超出预算金额的，采购人不予接受，且报价无效；</w:t>
            </w:r>
          </w:p>
          <w:p w14:paraId="08D180E3">
            <w:pPr>
              <w:widowControl/>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（2）有效报价计算得分：有效报价范围内，满足</w:t>
            </w:r>
            <w:r>
              <w:rPr>
                <w:rFonts w:hint="eastAsia" w:ascii="宋体" w:hAnsi="宋体" w:eastAsia="宋体" w:cs="宋体"/>
                <w:color w:val="auto"/>
                <w:kern w:val="0"/>
                <w:sz w:val="24"/>
                <w:szCs w:val="24"/>
                <w:highlight w:val="none"/>
                <w:lang w:eastAsia="zh-CN"/>
              </w:rPr>
              <w:t>磋商文件</w:t>
            </w:r>
            <w:r>
              <w:rPr>
                <w:rFonts w:hint="eastAsia" w:ascii="宋体" w:hAnsi="宋体" w:eastAsia="宋体" w:cs="宋体"/>
                <w:color w:val="auto"/>
                <w:kern w:val="0"/>
                <w:sz w:val="24"/>
                <w:szCs w:val="24"/>
                <w:highlight w:val="none"/>
              </w:rPr>
              <w:t>初步评审要求且</w:t>
            </w:r>
            <w:r>
              <w:rPr>
                <w:rFonts w:hint="eastAsia" w:ascii="宋体" w:hAnsi="宋体" w:eastAsia="宋体" w:cs="宋体"/>
                <w:color w:val="auto"/>
                <w:kern w:val="0"/>
                <w:sz w:val="24"/>
                <w:szCs w:val="24"/>
                <w:highlight w:val="none"/>
                <w:lang w:val="en-US" w:eastAsia="zh-CN"/>
              </w:rPr>
              <w:t>投标人</w:t>
            </w:r>
            <w:r>
              <w:rPr>
                <w:rFonts w:hint="eastAsia" w:ascii="宋体" w:hAnsi="宋体" w:eastAsia="宋体" w:cs="宋体"/>
                <w:color w:val="auto"/>
                <w:kern w:val="0"/>
                <w:sz w:val="24"/>
                <w:szCs w:val="24"/>
                <w:highlight w:val="none"/>
              </w:rPr>
              <w:t>报价最低的</w:t>
            </w:r>
            <w:r>
              <w:rPr>
                <w:rFonts w:hint="eastAsia" w:ascii="宋体" w:hAnsi="宋体" w:eastAsia="宋体" w:cs="宋体"/>
                <w:color w:val="auto"/>
                <w:kern w:val="0"/>
                <w:sz w:val="24"/>
                <w:szCs w:val="24"/>
                <w:highlight w:val="none"/>
                <w:lang w:val="en-US" w:eastAsia="zh-CN"/>
              </w:rPr>
              <w:t>报价</w:t>
            </w:r>
            <w:r>
              <w:rPr>
                <w:rFonts w:hint="eastAsia" w:ascii="宋体" w:hAnsi="宋体" w:eastAsia="宋体" w:cs="宋体"/>
                <w:color w:val="auto"/>
                <w:kern w:val="0"/>
                <w:sz w:val="24"/>
                <w:szCs w:val="24"/>
                <w:highlight w:val="none"/>
              </w:rPr>
              <w:t>为</w:t>
            </w:r>
            <w:r>
              <w:rPr>
                <w:rFonts w:hint="eastAsia" w:ascii="宋体" w:hAnsi="宋体" w:eastAsia="宋体" w:cs="宋体"/>
                <w:color w:val="auto"/>
                <w:kern w:val="0"/>
                <w:sz w:val="24"/>
                <w:szCs w:val="24"/>
                <w:highlight w:val="none"/>
                <w:lang w:val="en-US" w:eastAsia="zh-CN"/>
              </w:rPr>
              <w:t>评标</w:t>
            </w:r>
            <w:r>
              <w:rPr>
                <w:rFonts w:hint="eastAsia" w:ascii="宋体" w:hAnsi="宋体" w:eastAsia="宋体" w:cs="宋体"/>
                <w:color w:val="auto"/>
                <w:kern w:val="0"/>
                <w:sz w:val="24"/>
                <w:szCs w:val="24"/>
                <w:highlight w:val="none"/>
              </w:rPr>
              <w:t>基准价，其价格分为满分30分，其他</w:t>
            </w:r>
            <w:r>
              <w:rPr>
                <w:rFonts w:hint="eastAsia" w:ascii="宋体" w:hAnsi="宋体" w:eastAsia="宋体" w:cs="宋体"/>
                <w:color w:val="auto"/>
                <w:kern w:val="0"/>
                <w:sz w:val="24"/>
                <w:szCs w:val="24"/>
                <w:highlight w:val="none"/>
                <w:lang w:val="en-US" w:eastAsia="zh-CN"/>
              </w:rPr>
              <w:t>投标人</w:t>
            </w:r>
            <w:r>
              <w:rPr>
                <w:rFonts w:hint="eastAsia" w:ascii="宋体" w:hAnsi="宋体" w:eastAsia="宋体" w:cs="宋体"/>
                <w:color w:val="auto"/>
                <w:kern w:val="0"/>
                <w:sz w:val="24"/>
                <w:szCs w:val="24"/>
                <w:highlight w:val="none"/>
              </w:rPr>
              <w:t>的报价分按照下列公式计算：</w:t>
            </w:r>
          </w:p>
          <w:p w14:paraId="770C8ACB">
            <w:pPr>
              <w:widowControl/>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报价得分=(评标基准价/投标报价)×30</w:t>
            </w:r>
          </w:p>
          <w:p w14:paraId="348ECDA3">
            <w:pPr>
              <w:widowControl/>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分值计算保留两位小数。</w:t>
            </w:r>
          </w:p>
          <w:p w14:paraId="39FECC30">
            <w:pPr>
              <w:widowControl/>
              <w:spacing w:line="360" w:lineRule="auto"/>
              <w:rPr>
                <w:rFonts w:ascii="宋体" w:hAnsi="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rPr>
              <w:t>如磋商小组一致认为最低报价明显不合理，有降低质量、不能诚信履约的可能时，磋商小组有权通知供应商进行解释。如供应商未能在规定期限内作出解释，或所作解释不合理，经磋商小组取得一致意见后，对该供应商将不予推荐。</w:t>
            </w:r>
          </w:p>
          <w:p w14:paraId="29CC7EC7">
            <w:pPr>
              <w:widowControl/>
              <w:spacing w:line="360" w:lineRule="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3</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 xml:space="preserve">价格扣除： </w:t>
            </w:r>
          </w:p>
          <w:p w14:paraId="391B8CD0">
            <w:pPr>
              <w:widowControl/>
              <w:spacing w:line="360" w:lineRule="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1.</w:t>
            </w:r>
            <w:r>
              <w:rPr>
                <w:rFonts w:hint="eastAsia" w:ascii="宋体" w:hAnsi="宋体" w:cs="宋体"/>
                <w:color w:val="auto"/>
                <w:kern w:val="0"/>
                <w:sz w:val="24"/>
                <w:szCs w:val="24"/>
                <w:highlight w:val="none"/>
              </w:rPr>
              <w:t>根据《政府采购促进中小企业发展管理办法》（财库﹝2020﹞46 号）及《关于进一步加大政府采购支持中小企业力度的通知》(财库﹝2022﹞19号)的规定，对小型、微型企业产品的价格给予10%～20%的扣除，本项目小型、微型企业按20%扣除。对于中型企业产品的价格不予扣除。</w:t>
            </w:r>
          </w:p>
          <w:p w14:paraId="50B0237C">
            <w:pPr>
              <w:widowControl/>
              <w:spacing w:line="360" w:lineRule="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所投小微企业产品报价=所投小微企业产品报价×（1-20%）</w:t>
            </w:r>
          </w:p>
          <w:p w14:paraId="3E5ECC77">
            <w:pPr>
              <w:widowControl/>
              <w:spacing w:line="360" w:lineRule="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rPr>
              <w:t>根据财政部司法部《关于政府采购支持监狱企业发展有关问题的通知》（财库〔2014〕68号）规定，对于监狱企业视同为小型、微型企业，价格给予20%的扣除。</w:t>
            </w:r>
          </w:p>
          <w:p w14:paraId="0BFEA2B1">
            <w:pPr>
              <w:widowControl/>
              <w:spacing w:line="360" w:lineRule="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所投监狱企业产品报价=所投监狱企业产品报价×（1-20%）</w:t>
            </w:r>
          </w:p>
          <w:p w14:paraId="5743DDDA">
            <w:pPr>
              <w:widowControl/>
              <w:spacing w:line="360" w:lineRule="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val="en-US" w:eastAsia="zh-CN"/>
              </w:rPr>
              <w:t>3.</w:t>
            </w:r>
            <w:r>
              <w:rPr>
                <w:rFonts w:hint="eastAsia" w:ascii="宋体" w:hAnsi="宋体" w:cs="宋体"/>
                <w:color w:val="auto"/>
                <w:kern w:val="0"/>
                <w:sz w:val="24"/>
                <w:szCs w:val="24"/>
                <w:highlight w:val="none"/>
              </w:rPr>
              <w:t>根据财政部民政部中国残疾人联合会《关于促进残疾人就业政府采购政策的通知》（财库〔2017〕141号）规定，对于残疾人福利性单位视同为小型、微型企业，价格给予20%的扣除。</w:t>
            </w:r>
          </w:p>
          <w:p w14:paraId="75396292">
            <w:pPr>
              <w:widowControl/>
              <w:spacing w:line="360" w:lineRule="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所投残疾人福利性单位企业产品报价=所投残疾人福利性单位企业产品报价×（1-20%）</w:t>
            </w:r>
          </w:p>
          <w:p w14:paraId="5ABF2496">
            <w:pPr>
              <w:widowControl/>
              <w:spacing w:line="360" w:lineRule="auto"/>
              <w:rPr>
                <w:rFonts w:hint="eastAsia" w:ascii="宋体" w:hAnsi="宋体" w:eastAsia="宋体" w:cs="宋体"/>
                <w:color w:val="auto"/>
                <w:sz w:val="24"/>
                <w:szCs w:val="24"/>
                <w:highlight w:val="none"/>
              </w:rPr>
            </w:pPr>
            <w:r>
              <w:rPr>
                <w:rFonts w:hint="eastAsia" w:ascii="宋体" w:hAnsi="宋体" w:cs="宋体"/>
                <w:color w:val="auto"/>
                <w:kern w:val="0"/>
                <w:sz w:val="24"/>
                <w:szCs w:val="24"/>
                <w:highlight w:val="none"/>
              </w:rPr>
              <w:t>同一供应商，中小微企业产品、监狱企业产品、残疾人福利性单位产品的价格扣除优惠只享受一次，不得重复享受。</w:t>
            </w:r>
          </w:p>
        </w:tc>
      </w:tr>
      <w:tr w14:paraId="7D8A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82" w:type="dxa"/>
            <w:vMerge w:val="restart"/>
            <w:tcBorders>
              <w:top w:val="single" w:color="auto" w:sz="4" w:space="0"/>
              <w:left w:val="single" w:color="auto" w:sz="4" w:space="0"/>
              <w:right w:val="single" w:color="auto" w:sz="4" w:space="0"/>
            </w:tcBorders>
            <w:noWrap w:val="0"/>
            <w:vAlign w:val="center"/>
          </w:tcPr>
          <w:p w14:paraId="69FEEE9A">
            <w:pPr>
              <w:widowControl/>
              <w:spacing w:line="360" w:lineRule="auto"/>
              <w:ind w:left="240" w:hanging="240" w:hangingChars="10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技术标</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50分</w:t>
            </w:r>
            <w:r>
              <w:rPr>
                <w:rFonts w:hint="eastAsia" w:ascii="宋体" w:hAnsi="宋体" w:eastAsia="宋体" w:cs="宋体"/>
                <w:color w:val="auto"/>
                <w:sz w:val="24"/>
                <w:szCs w:val="24"/>
                <w:highlight w:val="none"/>
                <w:lang w:eastAsia="zh-CN"/>
              </w:rPr>
              <w:t>）</w:t>
            </w:r>
          </w:p>
        </w:tc>
        <w:tc>
          <w:tcPr>
            <w:tcW w:w="1704" w:type="dxa"/>
            <w:gridSpan w:val="2"/>
            <w:tcBorders>
              <w:top w:val="single" w:color="auto" w:sz="4" w:space="0"/>
              <w:left w:val="nil"/>
              <w:bottom w:val="single" w:color="auto" w:sz="4" w:space="0"/>
              <w:right w:val="single" w:color="auto" w:sz="4" w:space="0"/>
            </w:tcBorders>
            <w:shd w:val="clear" w:color="auto" w:fill="auto"/>
            <w:noWrap w:val="0"/>
            <w:vAlign w:val="center"/>
          </w:tcPr>
          <w:p w14:paraId="168C3C07">
            <w:pPr>
              <w:wordWrap w:val="0"/>
              <w:adjustRightInd w:val="0"/>
              <w:jc w:val="center"/>
              <w:textAlignment w:val="baseline"/>
              <w:rPr>
                <w:rFonts w:hint="eastAsia" w:ascii="宋体" w:hAnsi="宋体" w:cs="宋体"/>
                <w:highlight w:val="none"/>
              </w:rPr>
            </w:pPr>
            <w:r>
              <w:rPr>
                <w:rFonts w:hint="eastAsia" w:ascii="宋体" w:hAnsi="宋体" w:cs="宋体"/>
                <w:highlight w:val="none"/>
              </w:rPr>
              <w:t>技术参数部分</w:t>
            </w:r>
          </w:p>
          <w:p w14:paraId="085DA9E2">
            <w:pPr>
              <w:wordWrap w:val="0"/>
              <w:adjustRightInd w:val="0"/>
              <w:jc w:val="center"/>
              <w:textAlignment w:val="baseline"/>
              <w:rPr>
                <w:rFonts w:hint="eastAsia" w:ascii="宋体" w:hAnsi="宋体" w:eastAsiaTheme="minorEastAsia" w:cstheme="minorBidi"/>
                <w:kern w:val="2"/>
                <w:sz w:val="21"/>
                <w:szCs w:val="22"/>
                <w:highlight w:val="none"/>
                <w:lang w:val="en-US" w:eastAsia="zh-CN" w:bidi="ar-SA"/>
              </w:rPr>
            </w:pPr>
            <w:r>
              <w:rPr>
                <w:rFonts w:hint="eastAsia" w:ascii="宋体" w:hAnsi="宋体" w:cs="宋体"/>
                <w:highlight w:val="none"/>
              </w:rPr>
              <w:t>（</w:t>
            </w:r>
            <w:r>
              <w:rPr>
                <w:rFonts w:hint="eastAsia" w:ascii="宋体" w:hAnsi="宋体" w:cs="宋体"/>
                <w:highlight w:val="none"/>
                <w:lang w:val="en-US" w:eastAsia="zh-CN"/>
              </w:rPr>
              <w:t>30</w:t>
            </w:r>
            <w:r>
              <w:rPr>
                <w:rFonts w:hint="eastAsia" w:ascii="宋体" w:hAnsi="宋体" w:cs="宋体"/>
                <w:highlight w:val="none"/>
              </w:rPr>
              <w:t>分）</w:t>
            </w:r>
          </w:p>
        </w:tc>
        <w:tc>
          <w:tcPr>
            <w:tcW w:w="6621" w:type="dxa"/>
            <w:tcBorders>
              <w:top w:val="single" w:color="auto" w:sz="4" w:space="0"/>
              <w:left w:val="nil"/>
              <w:bottom w:val="single" w:color="auto" w:sz="4" w:space="0"/>
              <w:right w:val="single" w:color="auto" w:sz="4" w:space="0"/>
            </w:tcBorders>
            <w:shd w:val="clear" w:color="auto" w:fill="auto"/>
            <w:noWrap w:val="0"/>
            <w:vAlign w:val="center"/>
          </w:tcPr>
          <w:p w14:paraId="5125DC55">
            <w:pPr>
              <w:wordWrap w:val="0"/>
              <w:adjustRightInd w:val="0"/>
              <w:textAlignment w:val="baseline"/>
              <w:rPr>
                <w:rFonts w:hint="eastAsia" w:ascii="宋体" w:hAnsi="宋体" w:eastAsiaTheme="minorEastAsia" w:cstheme="minorBidi"/>
                <w:kern w:val="2"/>
                <w:sz w:val="21"/>
                <w:szCs w:val="22"/>
                <w:highlight w:val="none"/>
                <w:lang w:val="en-US" w:eastAsia="zh-CN" w:bidi="ar-SA"/>
              </w:rPr>
            </w:pPr>
            <w:r>
              <w:rPr>
                <w:rFonts w:hint="eastAsia" w:ascii="宋体" w:hAnsi="宋体" w:cs="宋体"/>
                <w:szCs w:val="21"/>
                <w:highlight w:val="none"/>
              </w:rPr>
              <w:t>所投产品技术性能和规格符合文件的得基础分</w:t>
            </w:r>
            <w:r>
              <w:rPr>
                <w:rFonts w:hint="eastAsia" w:ascii="宋体" w:hAnsi="宋体" w:cs="宋体"/>
                <w:szCs w:val="21"/>
                <w:highlight w:val="none"/>
                <w:lang w:val="en-US" w:eastAsia="zh-CN"/>
              </w:rPr>
              <w:t>30</w:t>
            </w:r>
            <w:r>
              <w:rPr>
                <w:rFonts w:hint="eastAsia" w:ascii="宋体" w:hAnsi="宋体" w:cs="宋体"/>
                <w:szCs w:val="21"/>
                <w:highlight w:val="none"/>
              </w:rPr>
              <w:t>分； 每有一项不满足要求的扣</w:t>
            </w:r>
            <w:r>
              <w:rPr>
                <w:rFonts w:hint="eastAsia" w:ascii="宋体" w:hAnsi="宋体" w:cs="宋体"/>
                <w:szCs w:val="21"/>
                <w:highlight w:val="none"/>
                <w:lang w:val="en-US" w:eastAsia="zh-CN"/>
              </w:rPr>
              <w:t>1</w:t>
            </w:r>
            <w:r>
              <w:rPr>
                <w:rFonts w:hint="eastAsia" w:ascii="宋体" w:hAnsi="宋体" w:cs="宋体"/>
                <w:szCs w:val="21"/>
                <w:highlight w:val="none"/>
              </w:rPr>
              <w:t>分，扣完为止；重要技术参数每有一项不满足要求的扣2分，扣完为止。</w:t>
            </w:r>
          </w:p>
        </w:tc>
      </w:tr>
      <w:tr w14:paraId="3673A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82" w:type="dxa"/>
            <w:vMerge w:val="continue"/>
            <w:tcBorders>
              <w:left w:val="single" w:color="auto" w:sz="4" w:space="0"/>
              <w:right w:val="single" w:color="auto" w:sz="4" w:space="0"/>
            </w:tcBorders>
            <w:noWrap w:val="0"/>
            <w:vAlign w:val="center"/>
          </w:tcPr>
          <w:p w14:paraId="5441DE6E">
            <w:pPr>
              <w:widowControl/>
              <w:spacing w:line="360" w:lineRule="auto"/>
              <w:rPr>
                <w:rFonts w:hint="eastAsia" w:ascii="宋体" w:hAnsi="宋体" w:eastAsia="宋体" w:cs="宋体"/>
                <w:color w:val="auto"/>
                <w:sz w:val="24"/>
                <w:szCs w:val="24"/>
                <w:highlight w:val="none"/>
              </w:rPr>
            </w:pPr>
          </w:p>
        </w:tc>
        <w:tc>
          <w:tcPr>
            <w:tcW w:w="1704" w:type="dxa"/>
            <w:gridSpan w:val="2"/>
            <w:tcBorders>
              <w:top w:val="single" w:color="auto" w:sz="4" w:space="0"/>
              <w:left w:val="nil"/>
              <w:bottom w:val="single" w:color="auto" w:sz="4" w:space="0"/>
              <w:right w:val="single" w:color="auto" w:sz="4" w:space="0"/>
            </w:tcBorders>
            <w:shd w:val="clear" w:color="auto" w:fill="auto"/>
            <w:noWrap w:val="0"/>
            <w:vAlign w:val="center"/>
          </w:tcPr>
          <w:p w14:paraId="71253C23">
            <w:pPr>
              <w:wordWrap w:val="0"/>
              <w:adjustRightInd w:val="0"/>
              <w:jc w:val="center"/>
              <w:textAlignment w:val="baseline"/>
              <w:rPr>
                <w:rFonts w:hint="eastAsia" w:ascii="宋体" w:hAnsi="宋体" w:eastAsia="宋体" w:cs="宋体"/>
                <w:kern w:val="2"/>
                <w:sz w:val="21"/>
                <w:szCs w:val="22"/>
                <w:highlight w:val="none"/>
                <w:lang w:val="en-US" w:eastAsia="zh-CN" w:bidi="ar-SA"/>
              </w:rPr>
            </w:pPr>
            <w:r>
              <w:rPr>
                <w:rFonts w:hint="eastAsia" w:ascii="宋体" w:hAnsi="宋体" w:cs="宋体"/>
                <w:highlight w:val="none"/>
              </w:rPr>
              <w:t>产品维护保障体系</w:t>
            </w:r>
            <w:r>
              <w:rPr>
                <w:rFonts w:hint="eastAsia" w:ascii="宋体" w:hAnsi="宋体" w:cs="宋体"/>
                <w:highlight w:val="none"/>
                <w:lang w:eastAsia="zh-CN"/>
              </w:rPr>
              <w:t>（</w:t>
            </w:r>
            <w:r>
              <w:rPr>
                <w:rFonts w:hint="eastAsia" w:ascii="宋体" w:hAnsi="宋体" w:cs="宋体"/>
                <w:highlight w:val="none"/>
                <w:lang w:val="en-US" w:eastAsia="zh-CN"/>
              </w:rPr>
              <w:t>10分</w:t>
            </w:r>
            <w:r>
              <w:rPr>
                <w:rFonts w:hint="eastAsia" w:ascii="宋体" w:hAnsi="宋体" w:cs="宋体"/>
                <w:highlight w:val="none"/>
                <w:lang w:eastAsia="zh-CN"/>
              </w:rPr>
              <w:t>）</w:t>
            </w:r>
          </w:p>
        </w:tc>
        <w:tc>
          <w:tcPr>
            <w:tcW w:w="6621" w:type="dxa"/>
            <w:tcBorders>
              <w:top w:val="single" w:color="auto" w:sz="4" w:space="0"/>
              <w:left w:val="nil"/>
              <w:bottom w:val="single" w:color="auto" w:sz="4" w:space="0"/>
              <w:right w:val="single" w:color="auto" w:sz="4" w:space="0"/>
            </w:tcBorders>
            <w:shd w:val="clear" w:color="auto" w:fill="auto"/>
            <w:noWrap w:val="0"/>
            <w:vAlign w:val="center"/>
          </w:tcPr>
          <w:p w14:paraId="0EC67D39">
            <w:pPr>
              <w:wordWrap w:val="0"/>
              <w:adjustRightInd w:val="0"/>
              <w:textAlignment w:val="baseline"/>
              <w:rPr>
                <w:rFonts w:hint="eastAsia" w:ascii="宋体" w:hAnsi="宋体" w:cs="宋体"/>
                <w:szCs w:val="21"/>
                <w:highlight w:val="none"/>
              </w:rPr>
            </w:pPr>
            <w:r>
              <w:rPr>
                <w:rFonts w:hint="eastAsia" w:ascii="宋体" w:hAnsi="宋体" w:cs="宋体"/>
                <w:szCs w:val="21"/>
                <w:highlight w:val="none"/>
              </w:rPr>
              <w:t xml:space="preserve">1.设备质量：主要设备及附件的规格、型号、品牌、制造商齐全，且质量完全满足招标文件要求，得 </w:t>
            </w:r>
            <w:r>
              <w:rPr>
                <w:rFonts w:hint="eastAsia" w:ascii="宋体" w:hAnsi="宋体" w:cs="宋体"/>
                <w:szCs w:val="21"/>
                <w:highlight w:val="none"/>
                <w:lang w:val="en-US" w:eastAsia="zh-CN"/>
              </w:rPr>
              <w:t>7</w:t>
            </w:r>
            <w:r>
              <w:rPr>
                <w:rFonts w:hint="eastAsia" w:ascii="宋体" w:hAnsi="宋体" w:cs="宋体"/>
                <w:szCs w:val="21"/>
                <w:highlight w:val="none"/>
              </w:rPr>
              <w:t xml:space="preserve"> 分；主要设备及附件的规格、型号、品牌、制造商一般，但基本满足招标要求的要求得4分；主要设备及附件的规格、型号、品牌、制造商较差 的得1分。</w:t>
            </w:r>
          </w:p>
          <w:p w14:paraId="28B65EE5">
            <w:pPr>
              <w:wordWrap w:val="0"/>
              <w:adjustRightInd w:val="0"/>
              <w:textAlignment w:val="baseline"/>
              <w:rPr>
                <w:rFonts w:hint="eastAsia" w:ascii="宋体" w:hAnsi="宋体" w:cs="宋体"/>
                <w:szCs w:val="21"/>
                <w:highlight w:val="none"/>
              </w:rPr>
            </w:pPr>
            <w:r>
              <w:rPr>
                <w:rFonts w:hint="eastAsia" w:ascii="宋体" w:hAnsi="宋体" w:cs="宋体"/>
                <w:szCs w:val="21"/>
                <w:highlight w:val="none"/>
                <w:lang w:val="en-US" w:eastAsia="zh-CN"/>
              </w:rPr>
              <w:t>2</w:t>
            </w:r>
            <w:r>
              <w:rPr>
                <w:rFonts w:hint="eastAsia" w:ascii="宋体" w:hAnsi="宋体" w:cs="宋体"/>
                <w:szCs w:val="21"/>
                <w:highlight w:val="none"/>
              </w:rPr>
              <w:t>.验收方案：投标人能够提供设备验收方案且内容合理，完全满足招标要求的，得</w:t>
            </w:r>
            <w:r>
              <w:rPr>
                <w:rFonts w:hint="eastAsia" w:ascii="宋体" w:hAnsi="宋体" w:cs="宋体"/>
                <w:szCs w:val="21"/>
                <w:highlight w:val="none"/>
                <w:lang w:val="en-US" w:eastAsia="zh-CN"/>
              </w:rPr>
              <w:t>3</w:t>
            </w:r>
            <w:r>
              <w:rPr>
                <w:rFonts w:hint="eastAsia" w:ascii="宋体" w:hAnsi="宋体" w:cs="宋体"/>
                <w:szCs w:val="21"/>
                <w:highlight w:val="none"/>
              </w:rPr>
              <w:t xml:space="preserve">分；验收方案一般，但基本满足招标要求的得 </w:t>
            </w:r>
            <w:r>
              <w:rPr>
                <w:rFonts w:hint="eastAsia" w:ascii="宋体" w:hAnsi="宋体" w:cs="宋体"/>
                <w:szCs w:val="21"/>
                <w:highlight w:val="none"/>
                <w:lang w:val="en-US" w:eastAsia="zh-CN"/>
              </w:rPr>
              <w:t>2</w:t>
            </w:r>
            <w:r>
              <w:rPr>
                <w:rFonts w:hint="eastAsia" w:ascii="宋体" w:hAnsi="宋体" w:cs="宋体"/>
                <w:szCs w:val="21"/>
                <w:highlight w:val="none"/>
              </w:rPr>
              <w:t xml:space="preserve"> 分；验收方案较差的得</w:t>
            </w:r>
            <w:r>
              <w:rPr>
                <w:rFonts w:hint="eastAsia" w:ascii="宋体" w:hAnsi="宋体" w:cs="宋体"/>
                <w:szCs w:val="21"/>
                <w:highlight w:val="none"/>
                <w:lang w:val="en-US" w:eastAsia="zh-CN"/>
              </w:rPr>
              <w:t>1</w:t>
            </w:r>
            <w:r>
              <w:rPr>
                <w:rFonts w:hint="eastAsia" w:ascii="宋体" w:hAnsi="宋体" w:cs="宋体"/>
                <w:szCs w:val="21"/>
                <w:highlight w:val="none"/>
              </w:rPr>
              <w:t>分。</w:t>
            </w:r>
          </w:p>
          <w:p w14:paraId="0FFF7ED8">
            <w:pPr>
              <w:wordWrap w:val="0"/>
              <w:adjustRightInd w:val="0"/>
              <w:textAlignment w:val="baseline"/>
              <w:rPr>
                <w:rFonts w:hint="eastAsia" w:ascii="宋体" w:hAnsi="宋体" w:cs="宋体" w:eastAsiaTheme="minorEastAsia"/>
                <w:kern w:val="2"/>
                <w:sz w:val="21"/>
                <w:szCs w:val="21"/>
                <w:highlight w:val="none"/>
                <w:lang w:val="en-US" w:eastAsia="zh-CN" w:bidi="ar-SA"/>
              </w:rPr>
            </w:pPr>
            <w:r>
              <w:rPr>
                <w:rFonts w:hint="eastAsia" w:ascii="宋体" w:hAnsi="宋体" w:cs="宋体"/>
                <w:szCs w:val="21"/>
                <w:highlight w:val="none"/>
              </w:rPr>
              <w:t>注：本项缺项不得分。</w:t>
            </w:r>
          </w:p>
        </w:tc>
      </w:tr>
      <w:tr w14:paraId="0C794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82" w:type="dxa"/>
            <w:vMerge w:val="continue"/>
            <w:tcBorders>
              <w:left w:val="single" w:color="auto" w:sz="4" w:space="0"/>
              <w:right w:val="single" w:color="auto" w:sz="4" w:space="0"/>
            </w:tcBorders>
            <w:noWrap w:val="0"/>
            <w:vAlign w:val="center"/>
          </w:tcPr>
          <w:p w14:paraId="566A53F1">
            <w:pPr>
              <w:widowControl/>
              <w:spacing w:line="360" w:lineRule="auto"/>
              <w:rPr>
                <w:rFonts w:hint="eastAsia" w:ascii="宋体" w:hAnsi="宋体" w:eastAsia="宋体" w:cs="宋体"/>
                <w:color w:val="auto"/>
                <w:sz w:val="24"/>
                <w:szCs w:val="24"/>
                <w:highlight w:val="none"/>
              </w:rPr>
            </w:pPr>
          </w:p>
        </w:tc>
        <w:tc>
          <w:tcPr>
            <w:tcW w:w="1704" w:type="dxa"/>
            <w:gridSpan w:val="2"/>
            <w:tcBorders>
              <w:top w:val="single" w:color="auto" w:sz="4" w:space="0"/>
              <w:left w:val="nil"/>
              <w:bottom w:val="single" w:color="auto" w:sz="4" w:space="0"/>
              <w:right w:val="single" w:color="auto" w:sz="4" w:space="0"/>
            </w:tcBorders>
            <w:shd w:val="clear" w:color="auto" w:fill="auto"/>
            <w:noWrap w:val="0"/>
            <w:vAlign w:val="center"/>
          </w:tcPr>
          <w:p w14:paraId="1A7605DC">
            <w:pPr>
              <w:wordWrap w:val="0"/>
              <w:adjustRightInd w:val="0"/>
              <w:jc w:val="center"/>
              <w:textAlignment w:val="baseline"/>
              <w:rPr>
                <w:rFonts w:hint="eastAsia" w:ascii="宋体" w:hAnsi="宋体" w:cs="宋体"/>
                <w:highlight w:val="none"/>
                <w:lang w:val="en-US" w:eastAsia="zh-CN"/>
              </w:rPr>
            </w:pPr>
            <w:r>
              <w:rPr>
                <w:rFonts w:hint="eastAsia" w:ascii="宋体" w:hAnsi="宋体" w:cs="宋体"/>
                <w:highlight w:val="none"/>
                <w:lang w:val="en-US" w:eastAsia="zh-CN"/>
              </w:rPr>
              <w:t>项目实施方案</w:t>
            </w:r>
          </w:p>
          <w:p w14:paraId="729A9227">
            <w:pPr>
              <w:wordWrap w:val="0"/>
              <w:adjustRightInd w:val="0"/>
              <w:jc w:val="center"/>
              <w:textAlignment w:val="baseline"/>
              <w:rPr>
                <w:rFonts w:hint="eastAsia" w:ascii="宋体" w:hAnsi="宋体" w:cs="宋体" w:eastAsiaTheme="minorEastAsia"/>
                <w:kern w:val="2"/>
                <w:sz w:val="21"/>
                <w:szCs w:val="22"/>
                <w:highlight w:val="none"/>
                <w:lang w:val="en-US" w:eastAsia="zh-CN" w:bidi="ar-SA"/>
              </w:rPr>
            </w:pPr>
            <w:r>
              <w:rPr>
                <w:rFonts w:hint="eastAsia" w:ascii="宋体" w:hAnsi="宋体" w:cs="宋体"/>
                <w:highlight w:val="none"/>
                <w:lang w:val="en-US" w:eastAsia="zh-CN"/>
              </w:rPr>
              <w:t>（5分）</w:t>
            </w:r>
          </w:p>
        </w:tc>
        <w:tc>
          <w:tcPr>
            <w:tcW w:w="6621" w:type="dxa"/>
            <w:tcBorders>
              <w:top w:val="single" w:color="auto" w:sz="4" w:space="0"/>
              <w:left w:val="nil"/>
              <w:bottom w:val="single" w:color="auto" w:sz="4" w:space="0"/>
              <w:right w:val="single" w:color="auto" w:sz="4" w:space="0"/>
            </w:tcBorders>
            <w:shd w:val="clear" w:color="auto" w:fill="auto"/>
            <w:noWrap w:val="0"/>
            <w:vAlign w:val="center"/>
          </w:tcPr>
          <w:p w14:paraId="63B63B8A">
            <w:pPr>
              <w:wordWrap w:val="0"/>
              <w:adjustRightInd w:val="0"/>
              <w:textAlignment w:val="baseline"/>
              <w:rPr>
                <w:rFonts w:hint="eastAsia" w:ascii="宋体" w:hAnsi="宋体" w:cs="宋体"/>
                <w:szCs w:val="21"/>
                <w:highlight w:val="none"/>
              </w:rPr>
            </w:pPr>
            <w:r>
              <w:rPr>
                <w:rFonts w:hint="eastAsia" w:ascii="宋体" w:hAnsi="宋体" w:cs="宋体"/>
                <w:szCs w:val="21"/>
                <w:highlight w:val="none"/>
              </w:rPr>
              <w:t>根据</w:t>
            </w:r>
            <w:r>
              <w:rPr>
                <w:rFonts w:hint="eastAsia" w:ascii="宋体" w:hAnsi="宋体" w:cs="宋体"/>
                <w:szCs w:val="21"/>
                <w:highlight w:val="none"/>
                <w:lang w:val="en-US" w:eastAsia="zh-CN"/>
              </w:rPr>
              <w:t>供应商</w:t>
            </w:r>
            <w:r>
              <w:rPr>
                <w:rFonts w:hint="eastAsia" w:ascii="宋体" w:hAnsi="宋体" w:cs="宋体"/>
                <w:szCs w:val="21"/>
                <w:highlight w:val="none"/>
              </w:rPr>
              <w:t>的项目实施方案进行综合评价</w:t>
            </w:r>
            <w:r>
              <w:rPr>
                <w:rFonts w:hint="eastAsia" w:ascii="宋体" w:hAnsi="宋体" w:cs="宋体"/>
                <w:szCs w:val="21"/>
                <w:highlight w:val="none"/>
                <w:lang w:eastAsia="zh-CN"/>
              </w:rPr>
              <w:t>（</w:t>
            </w:r>
            <w:r>
              <w:rPr>
                <w:rFonts w:hint="eastAsia" w:ascii="宋体" w:hAnsi="宋体" w:cs="宋体"/>
                <w:szCs w:val="21"/>
                <w:highlight w:val="none"/>
                <w:lang w:val="en-US" w:eastAsia="zh-CN"/>
              </w:rPr>
              <w:t>最高得5分</w:t>
            </w:r>
            <w:r>
              <w:rPr>
                <w:rFonts w:hint="eastAsia" w:ascii="宋体" w:hAnsi="宋体" w:cs="宋体"/>
                <w:szCs w:val="21"/>
                <w:highlight w:val="none"/>
                <w:lang w:eastAsia="zh-CN"/>
              </w:rPr>
              <w:t>）</w:t>
            </w:r>
            <w:r>
              <w:rPr>
                <w:rFonts w:hint="eastAsia" w:ascii="宋体" w:hAnsi="宋体" w:cs="宋体"/>
                <w:szCs w:val="21"/>
                <w:highlight w:val="none"/>
              </w:rPr>
              <w:t>，包含：项目组织架构、项目实施计划、项目管理方案等。提供方案得基本分</w:t>
            </w:r>
            <w:r>
              <w:rPr>
                <w:rFonts w:hint="eastAsia" w:ascii="宋体" w:hAnsi="宋体" w:cs="宋体"/>
                <w:szCs w:val="21"/>
                <w:highlight w:val="none"/>
                <w:lang w:val="en-US" w:eastAsia="zh-CN"/>
              </w:rPr>
              <w:t>2</w:t>
            </w:r>
            <w:r>
              <w:rPr>
                <w:rFonts w:hint="eastAsia" w:ascii="宋体" w:hAnsi="宋体" w:cs="宋体"/>
                <w:szCs w:val="21"/>
                <w:highlight w:val="none"/>
              </w:rPr>
              <w:t>分，不提供的不得分：</w:t>
            </w:r>
          </w:p>
          <w:p w14:paraId="54A15080">
            <w:pPr>
              <w:wordWrap w:val="0"/>
              <w:adjustRightInd w:val="0"/>
              <w:textAlignment w:val="baseline"/>
              <w:rPr>
                <w:rFonts w:hint="eastAsia" w:ascii="宋体" w:hAnsi="宋体" w:cs="宋体"/>
                <w:szCs w:val="21"/>
                <w:highlight w:val="none"/>
              </w:rPr>
            </w:pPr>
            <w:r>
              <w:rPr>
                <w:rFonts w:hint="eastAsia" w:ascii="宋体" w:hAnsi="宋体" w:cs="宋体"/>
                <w:szCs w:val="21"/>
                <w:highlight w:val="none"/>
              </w:rPr>
              <w:t>2、在基本分的基础上，对项目实施方案进行评比。</w:t>
            </w:r>
          </w:p>
          <w:p w14:paraId="7842FE69">
            <w:pPr>
              <w:wordWrap w:val="0"/>
              <w:adjustRightInd w:val="0"/>
              <w:textAlignment w:val="baseline"/>
              <w:rPr>
                <w:rFonts w:hint="eastAsia" w:ascii="宋体" w:hAnsi="宋体" w:cs="宋体" w:eastAsiaTheme="minorEastAsia"/>
                <w:kern w:val="2"/>
                <w:sz w:val="21"/>
                <w:szCs w:val="21"/>
                <w:highlight w:val="none"/>
                <w:lang w:val="en-US" w:eastAsia="zh-CN" w:bidi="ar-SA"/>
              </w:rPr>
            </w:pPr>
            <w:r>
              <w:rPr>
                <w:rFonts w:hint="eastAsia" w:ascii="宋体" w:hAnsi="宋体" w:cs="宋体"/>
                <w:szCs w:val="21"/>
                <w:highlight w:val="none"/>
              </w:rPr>
              <w:t>方案全面完善、切合本项目实际、合理可行的，加</w:t>
            </w:r>
            <w:r>
              <w:rPr>
                <w:rFonts w:hint="eastAsia" w:ascii="宋体" w:hAnsi="宋体" w:cs="宋体"/>
                <w:szCs w:val="21"/>
                <w:highlight w:val="none"/>
                <w:lang w:val="en-US" w:eastAsia="zh-CN"/>
              </w:rPr>
              <w:t>3</w:t>
            </w:r>
            <w:r>
              <w:rPr>
                <w:rFonts w:hint="eastAsia" w:ascii="宋体" w:hAnsi="宋体" w:cs="宋体"/>
                <w:szCs w:val="21"/>
                <w:highlight w:val="none"/>
              </w:rPr>
              <w:t>分；方案较为完善、基本切合本项目实际、合理可行的，加</w:t>
            </w:r>
            <w:r>
              <w:rPr>
                <w:rFonts w:hint="eastAsia" w:ascii="宋体" w:hAnsi="宋体" w:cs="宋体"/>
                <w:szCs w:val="21"/>
                <w:highlight w:val="none"/>
                <w:lang w:val="en-US" w:eastAsia="zh-CN"/>
              </w:rPr>
              <w:t>2</w:t>
            </w:r>
            <w:r>
              <w:rPr>
                <w:rFonts w:hint="eastAsia" w:ascii="宋体" w:hAnsi="宋体" w:cs="宋体"/>
                <w:szCs w:val="21"/>
                <w:highlight w:val="none"/>
              </w:rPr>
              <w:t>分；方案不完善、与本项目实际切合程度较差的，加1分。</w:t>
            </w:r>
          </w:p>
        </w:tc>
      </w:tr>
      <w:tr w14:paraId="187E4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82" w:type="dxa"/>
            <w:vMerge w:val="continue"/>
            <w:tcBorders>
              <w:left w:val="single" w:color="auto" w:sz="4" w:space="0"/>
              <w:right w:val="single" w:color="auto" w:sz="4" w:space="0"/>
            </w:tcBorders>
            <w:noWrap w:val="0"/>
            <w:vAlign w:val="center"/>
          </w:tcPr>
          <w:p w14:paraId="03C69204">
            <w:pPr>
              <w:widowControl/>
              <w:spacing w:line="360" w:lineRule="auto"/>
              <w:rPr>
                <w:rFonts w:hint="eastAsia" w:ascii="宋体" w:hAnsi="宋体" w:eastAsia="宋体" w:cs="宋体"/>
                <w:color w:val="auto"/>
                <w:sz w:val="24"/>
                <w:szCs w:val="24"/>
                <w:highlight w:val="none"/>
              </w:rPr>
            </w:pPr>
          </w:p>
        </w:tc>
        <w:tc>
          <w:tcPr>
            <w:tcW w:w="1704" w:type="dxa"/>
            <w:gridSpan w:val="2"/>
            <w:tcBorders>
              <w:top w:val="single" w:color="auto" w:sz="4" w:space="0"/>
              <w:left w:val="nil"/>
              <w:bottom w:val="single" w:color="auto" w:sz="4" w:space="0"/>
              <w:right w:val="single" w:color="auto" w:sz="4" w:space="0"/>
            </w:tcBorders>
            <w:shd w:val="clear" w:color="auto" w:fill="auto"/>
            <w:noWrap w:val="0"/>
            <w:vAlign w:val="center"/>
          </w:tcPr>
          <w:p w14:paraId="6CC96B4B">
            <w:pPr>
              <w:wordWrap w:val="0"/>
              <w:adjustRightInd w:val="0"/>
              <w:textAlignment w:val="baseline"/>
              <w:rPr>
                <w:rFonts w:hint="eastAsia" w:ascii="宋体" w:hAnsi="宋体" w:cs="宋体" w:eastAsiaTheme="minorEastAsia"/>
                <w:kern w:val="2"/>
                <w:sz w:val="21"/>
                <w:szCs w:val="22"/>
                <w:highlight w:val="none"/>
                <w:lang w:val="en-US" w:eastAsia="zh-CN" w:bidi="ar-SA"/>
              </w:rPr>
            </w:pPr>
            <w:r>
              <w:rPr>
                <w:rFonts w:hint="eastAsia" w:ascii="宋体" w:hAnsi="宋体" w:cs="宋体"/>
                <w:szCs w:val="21"/>
                <w:highlight w:val="none"/>
                <w:lang w:val="en-US" w:eastAsia="zh-CN"/>
              </w:rPr>
              <w:t>培训计划</w:t>
            </w:r>
            <w:r>
              <w:rPr>
                <w:rFonts w:hint="eastAsia" w:ascii="宋体" w:hAnsi="宋体" w:cs="宋体"/>
                <w:highlight w:val="none"/>
              </w:rPr>
              <w:t>（5分）</w:t>
            </w:r>
          </w:p>
        </w:tc>
        <w:tc>
          <w:tcPr>
            <w:tcW w:w="6621" w:type="dxa"/>
            <w:tcBorders>
              <w:top w:val="single" w:color="auto" w:sz="4" w:space="0"/>
              <w:left w:val="nil"/>
              <w:bottom w:val="single" w:color="auto" w:sz="4" w:space="0"/>
              <w:right w:val="single" w:color="auto" w:sz="4" w:space="0"/>
            </w:tcBorders>
            <w:shd w:val="clear" w:color="auto" w:fill="auto"/>
            <w:noWrap w:val="0"/>
            <w:vAlign w:val="center"/>
          </w:tcPr>
          <w:p w14:paraId="73715489">
            <w:pPr>
              <w:wordWrap w:val="0"/>
              <w:adjustRightInd w:val="0"/>
              <w:textAlignment w:val="baseline"/>
              <w:rPr>
                <w:rFonts w:hint="eastAsia" w:ascii="宋体" w:hAnsi="宋体" w:eastAsia="宋体" w:cs="宋体"/>
                <w:szCs w:val="21"/>
                <w:highlight w:val="none"/>
              </w:rPr>
            </w:pPr>
            <w:r>
              <w:rPr>
                <w:rFonts w:hint="eastAsia" w:ascii="宋体" w:hAnsi="宋体" w:eastAsia="宋体" w:cs="宋体"/>
                <w:szCs w:val="21"/>
                <w:highlight w:val="none"/>
                <w:lang w:val="en-US" w:eastAsia="zh-CN"/>
              </w:rPr>
              <w:t xml:space="preserve">培训计划（5分） </w:t>
            </w:r>
          </w:p>
          <w:p w14:paraId="4D7EE8FA">
            <w:pPr>
              <w:wordWrap w:val="0"/>
              <w:adjustRightInd w:val="0"/>
              <w:textAlignment w:val="baseline"/>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 xml:space="preserve">评标委员会根据供应商提供的培训方案、培训内容、培训人员进行综合评价： </w:t>
            </w:r>
          </w:p>
          <w:p w14:paraId="6DF9D2BF">
            <w:pPr>
              <w:wordWrap w:val="0"/>
              <w:adjustRightInd w:val="0"/>
              <w:textAlignment w:val="baseline"/>
              <w:rPr>
                <w:rFonts w:hint="eastAsia" w:ascii="宋体" w:hAnsi="宋体" w:eastAsia="宋体" w:cs="宋体"/>
                <w:szCs w:val="21"/>
                <w:highlight w:val="none"/>
              </w:rPr>
            </w:pPr>
            <w:r>
              <w:rPr>
                <w:rFonts w:hint="eastAsia" w:ascii="宋体" w:hAnsi="宋体" w:eastAsia="宋体" w:cs="宋体"/>
                <w:szCs w:val="21"/>
                <w:highlight w:val="none"/>
                <w:lang w:val="en-US" w:eastAsia="zh-CN"/>
              </w:rPr>
              <w:t xml:space="preserve">①培训计划全面合理、可行性强、针对性强，优于采购人需求方案并且确定培训内容、组织形式、培训安排等内容描述详细的得5分。 </w:t>
            </w:r>
          </w:p>
          <w:p w14:paraId="5D9212A8">
            <w:pPr>
              <w:wordWrap w:val="0"/>
              <w:adjustRightInd w:val="0"/>
              <w:textAlignment w:val="baseline"/>
              <w:rPr>
                <w:rFonts w:hint="eastAsia" w:ascii="宋体" w:hAnsi="宋体" w:eastAsia="宋体" w:cs="宋体"/>
                <w:szCs w:val="21"/>
                <w:highlight w:val="none"/>
              </w:rPr>
            </w:pPr>
            <w:r>
              <w:rPr>
                <w:rFonts w:hint="eastAsia" w:ascii="宋体" w:hAnsi="宋体" w:eastAsia="宋体" w:cs="宋体"/>
                <w:szCs w:val="21"/>
                <w:highlight w:val="none"/>
                <w:lang w:val="en-US" w:eastAsia="zh-CN"/>
              </w:rPr>
              <w:t xml:space="preserve">②培训计划基本合理、可行性一般、针对性一般，培训内容、组织形式、培训安排等内容描述一般的得3分。 </w:t>
            </w:r>
          </w:p>
          <w:p w14:paraId="0E3BC53A">
            <w:pPr>
              <w:wordWrap w:val="0"/>
              <w:adjustRightInd w:val="0"/>
              <w:textAlignment w:val="baseline"/>
              <w:rPr>
                <w:rFonts w:hint="eastAsia" w:ascii="宋体" w:hAnsi="宋体" w:eastAsia="宋体" w:cs="宋体"/>
                <w:szCs w:val="21"/>
                <w:highlight w:val="none"/>
              </w:rPr>
            </w:pPr>
            <w:r>
              <w:rPr>
                <w:rFonts w:hint="eastAsia" w:ascii="宋体" w:hAnsi="宋体" w:eastAsia="宋体" w:cs="宋体"/>
                <w:szCs w:val="21"/>
                <w:highlight w:val="none"/>
                <w:lang w:val="en-US" w:eastAsia="zh-CN"/>
              </w:rPr>
              <w:t xml:space="preserve">③培训计划基本合理、可行性、针对性较弱，培训内容、组 织形式、培训安排等内容描述不全，可操作性差的得 1分。 </w:t>
            </w:r>
          </w:p>
          <w:p w14:paraId="40F23178">
            <w:pPr>
              <w:wordWrap w:val="0"/>
              <w:adjustRightInd w:val="0"/>
              <w:textAlignment w:val="baseline"/>
              <w:rPr>
                <w:rFonts w:hint="eastAsia" w:ascii="宋体" w:hAnsi="宋体" w:cs="宋体" w:eastAsiaTheme="minorEastAsia"/>
                <w:kern w:val="2"/>
                <w:sz w:val="21"/>
                <w:szCs w:val="21"/>
                <w:highlight w:val="none"/>
                <w:lang w:val="en-US" w:eastAsia="zh-CN" w:bidi="ar-SA"/>
              </w:rPr>
            </w:pPr>
            <w:r>
              <w:rPr>
                <w:rFonts w:hint="eastAsia" w:ascii="宋体" w:hAnsi="宋体" w:eastAsia="宋体" w:cs="宋体"/>
                <w:szCs w:val="21"/>
                <w:highlight w:val="none"/>
                <w:lang w:val="en-US" w:eastAsia="zh-CN"/>
              </w:rPr>
              <w:t>④不提供人员培训方案的不得分。</w:t>
            </w:r>
          </w:p>
        </w:tc>
      </w:tr>
      <w:tr w14:paraId="77722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82" w:type="dxa"/>
            <w:vMerge w:val="restart"/>
            <w:tcBorders>
              <w:left w:val="single" w:color="auto" w:sz="4" w:space="0"/>
              <w:right w:val="single" w:color="auto" w:sz="4" w:space="0"/>
            </w:tcBorders>
            <w:noWrap w:val="0"/>
            <w:vAlign w:val="center"/>
          </w:tcPr>
          <w:p w14:paraId="689246AA">
            <w:pPr>
              <w:widowControl/>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综合标（</w:t>
            </w:r>
            <w:r>
              <w:rPr>
                <w:rFonts w:hint="eastAsia" w:ascii="宋体" w:hAnsi="宋体" w:eastAsia="宋体" w:cs="宋体"/>
                <w:color w:val="auto"/>
                <w:sz w:val="24"/>
                <w:szCs w:val="24"/>
                <w:highlight w:val="none"/>
                <w:lang w:val="en-US" w:eastAsia="zh-CN"/>
              </w:rPr>
              <w:t>20分</w:t>
            </w:r>
            <w:r>
              <w:rPr>
                <w:rFonts w:hint="eastAsia" w:ascii="宋体" w:hAnsi="宋体" w:eastAsia="宋体" w:cs="宋体"/>
                <w:color w:val="auto"/>
                <w:sz w:val="24"/>
                <w:szCs w:val="24"/>
                <w:highlight w:val="none"/>
                <w:lang w:eastAsia="zh-CN"/>
              </w:rPr>
              <w:t>）</w:t>
            </w:r>
          </w:p>
        </w:tc>
        <w:tc>
          <w:tcPr>
            <w:tcW w:w="1704" w:type="dxa"/>
            <w:gridSpan w:val="2"/>
            <w:tcBorders>
              <w:top w:val="single" w:color="auto" w:sz="4" w:space="0"/>
              <w:left w:val="nil"/>
              <w:bottom w:val="single" w:color="auto" w:sz="4" w:space="0"/>
              <w:right w:val="single" w:color="auto" w:sz="4" w:space="0"/>
            </w:tcBorders>
            <w:shd w:val="clear" w:color="auto" w:fill="auto"/>
            <w:noWrap w:val="0"/>
            <w:vAlign w:val="center"/>
          </w:tcPr>
          <w:p w14:paraId="5CB5986D">
            <w:pPr>
              <w:wordWrap w:val="0"/>
              <w:rPr>
                <w:rFonts w:hint="eastAsia" w:ascii="宋体" w:hAnsi="宋体" w:cs="宋体" w:eastAsiaTheme="minorEastAsia"/>
                <w:kern w:val="2"/>
                <w:sz w:val="21"/>
                <w:szCs w:val="22"/>
                <w:highlight w:val="none"/>
                <w:lang w:val="en-US" w:eastAsia="zh-CN" w:bidi="ar-SA"/>
              </w:rPr>
            </w:pPr>
            <w:r>
              <w:rPr>
                <w:rFonts w:hint="eastAsia" w:ascii="宋体" w:hAnsi="宋体" w:cs="宋体"/>
                <w:highlight w:val="none"/>
                <w:lang w:val="en-US" w:eastAsia="zh-CN"/>
              </w:rPr>
              <w:t>业绩</w:t>
            </w:r>
            <w:r>
              <w:rPr>
                <w:rFonts w:hint="eastAsia" w:ascii="宋体" w:hAnsi="宋体" w:cs="宋体"/>
                <w:highlight w:val="none"/>
              </w:rPr>
              <w:t>（</w:t>
            </w:r>
            <w:r>
              <w:rPr>
                <w:rFonts w:hint="eastAsia" w:ascii="宋体" w:hAnsi="宋体" w:cs="宋体"/>
                <w:highlight w:val="none"/>
                <w:lang w:val="en-US" w:eastAsia="zh-CN"/>
              </w:rPr>
              <w:t>6分</w:t>
            </w:r>
            <w:r>
              <w:rPr>
                <w:rFonts w:hint="eastAsia" w:ascii="宋体" w:hAnsi="宋体" w:cs="宋体"/>
                <w:highlight w:val="none"/>
              </w:rPr>
              <w:t>）</w:t>
            </w:r>
          </w:p>
        </w:tc>
        <w:tc>
          <w:tcPr>
            <w:tcW w:w="6621" w:type="dxa"/>
            <w:tcBorders>
              <w:top w:val="single" w:color="auto" w:sz="4" w:space="0"/>
              <w:left w:val="nil"/>
              <w:bottom w:val="single" w:color="auto" w:sz="4" w:space="0"/>
              <w:right w:val="single" w:color="auto" w:sz="4" w:space="0"/>
            </w:tcBorders>
            <w:shd w:val="clear" w:color="auto" w:fill="auto"/>
            <w:noWrap w:val="0"/>
            <w:vAlign w:val="center"/>
          </w:tcPr>
          <w:p w14:paraId="0E126141">
            <w:pPr>
              <w:wordWrap w:val="0"/>
              <w:rPr>
                <w:rFonts w:hint="eastAsia" w:ascii="宋体" w:hAnsi="宋体" w:cs="宋体"/>
                <w:highlight w:val="none"/>
              </w:rPr>
            </w:pPr>
            <w:r>
              <w:rPr>
                <w:rFonts w:hint="eastAsia" w:ascii="宋体" w:hAnsi="宋体" w:cs="宋体"/>
                <w:highlight w:val="none"/>
                <w:lang w:val="en-US" w:eastAsia="zh-CN"/>
              </w:rPr>
              <w:t xml:space="preserve">供应商或所投产品生产厂商提供2022年1月1日以来类似业绩，每提供1个业绩得2分，最高得6分。 </w:t>
            </w:r>
          </w:p>
          <w:p w14:paraId="13FC6EAC">
            <w:pPr>
              <w:wordWrap w:val="0"/>
              <w:rPr>
                <w:rFonts w:hint="eastAsia" w:ascii="宋体" w:hAnsi="宋体" w:cs="宋体" w:eastAsiaTheme="minorEastAsia"/>
                <w:kern w:val="2"/>
                <w:sz w:val="21"/>
                <w:szCs w:val="22"/>
                <w:highlight w:val="none"/>
                <w:lang w:val="en-US" w:eastAsia="zh-CN" w:bidi="ar-SA"/>
              </w:rPr>
            </w:pPr>
            <w:r>
              <w:rPr>
                <w:rFonts w:hint="eastAsia" w:ascii="宋体" w:hAnsi="宋体" w:cs="宋体"/>
                <w:highlight w:val="none"/>
                <w:lang w:eastAsia="zh-CN"/>
              </w:rPr>
              <w:t>（</w:t>
            </w:r>
            <w:r>
              <w:rPr>
                <w:rFonts w:hint="eastAsia" w:ascii="宋体" w:hAnsi="宋体" w:cs="宋体"/>
                <w:highlight w:val="none"/>
              </w:rPr>
              <w:t>以合同签订时间为准，须提供</w:t>
            </w:r>
            <w:r>
              <w:rPr>
                <w:rFonts w:hint="eastAsia" w:ascii="宋体" w:hAnsi="宋体" w:cs="宋体"/>
                <w:highlight w:val="none"/>
                <w:lang w:val="en-US" w:eastAsia="zh-CN"/>
              </w:rPr>
              <w:t>中标</w:t>
            </w:r>
            <w:r>
              <w:rPr>
                <w:rFonts w:hint="eastAsia" w:ascii="宋体" w:hAnsi="宋体" w:cs="宋体"/>
                <w:highlight w:val="none"/>
              </w:rPr>
              <w:t>通知书及合同）</w:t>
            </w:r>
          </w:p>
        </w:tc>
      </w:tr>
      <w:tr w14:paraId="1084C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82" w:type="dxa"/>
            <w:vMerge w:val="continue"/>
            <w:tcBorders>
              <w:left w:val="single" w:color="auto" w:sz="4" w:space="0"/>
              <w:right w:val="single" w:color="auto" w:sz="4" w:space="0"/>
            </w:tcBorders>
            <w:noWrap w:val="0"/>
            <w:vAlign w:val="center"/>
          </w:tcPr>
          <w:p w14:paraId="12022452">
            <w:pPr>
              <w:widowControl/>
              <w:spacing w:line="360" w:lineRule="auto"/>
              <w:rPr>
                <w:rFonts w:hint="eastAsia" w:ascii="宋体" w:hAnsi="宋体" w:eastAsia="宋体" w:cs="宋体"/>
                <w:color w:val="auto"/>
                <w:sz w:val="24"/>
                <w:szCs w:val="24"/>
                <w:highlight w:val="none"/>
              </w:rPr>
            </w:pPr>
          </w:p>
        </w:tc>
        <w:tc>
          <w:tcPr>
            <w:tcW w:w="1704" w:type="dxa"/>
            <w:gridSpan w:val="2"/>
            <w:tcBorders>
              <w:top w:val="single" w:color="auto" w:sz="4" w:space="0"/>
              <w:left w:val="nil"/>
              <w:bottom w:val="single" w:color="auto" w:sz="4" w:space="0"/>
              <w:right w:val="single" w:color="auto" w:sz="4" w:space="0"/>
            </w:tcBorders>
            <w:shd w:val="clear" w:color="auto" w:fill="auto"/>
            <w:noWrap w:val="0"/>
            <w:vAlign w:val="center"/>
          </w:tcPr>
          <w:p w14:paraId="00161202">
            <w:pPr>
              <w:wordWrap w:val="0"/>
              <w:spacing w:line="360" w:lineRule="exact"/>
              <w:jc w:val="both"/>
              <w:rPr>
                <w:rFonts w:hint="eastAsia" w:ascii="宋体" w:hAnsi="宋体" w:cs="宋体" w:eastAsiaTheme="minorEastAsia"/>
                <w:kern w:val="2"/>
                <w:sz w:val="21"/>
                <w:szCs w:val="22"/>
                <w:highlight w:val="none"/>
                <w:lang w:val="en-US" w:eastAsia="zh-CN" w:bidi="ar-SA"/>
              </w:rPr>
            </w:pPr>
            <w:r>
              <w:rPr>
                <w:rFonts w:hint="eastAsia" w:ascii="宋体" w:hAnsi="宋体"/>
                <w:kern w:val="0"/>
                <w:highlight w:val="none"/>
                <w:lang w:val="en-US" w:eastAsia="zh-CN"/>
              </w:rPr>
              <w:t>售后服务</w:t>
            </w:r>
            <w:r>
              <w:rPr>
                <w:rFonts w:hint="eastAsia" w:ascii="宋体" w:hAnsi="宋体"/>
                <w:kern w:val="0"/>
                <w:highlight w:val="none"/>
              </w:rPr>
              <w:t>（</w:t>
            </w:r>
            <w:r>
              <w:rPr>
                <w:rFonts w:hint="eastAsia" w:ascii="宋体" w:hAnsi="宋体"/>
                <w:kern w:val="0"/>
                <w:highlight w:val="none"/>
                <w:lang w:val="en-US" w:eastAsia="zh-CN"/>
              </w:rPr>
              <w:t>6</w:t>
            </w:r>
            <w:r>
              <w:rPr>
                <w:rFonts w:hint="eastAsia" w:ascii="宋体" w:hAnsi="宋体"/>
                <w:kern w:val="0"/>
                <w:highlight w:val="none"/>
              </w:rPr>
              <w:t>分）</w:t>
            </w:r>
          </w:p>
        </w:tc>
        <w:tc>
          <w:tcPr>
            <w:tcW w:w="6621" w:type="dxa"/>
            <w:tcBorders>
              <w:top w:val="single" w:color="auto" w:sz="4" w:space="0"/>
              <w:left w:val="nil"/>
              <w:bottom w:val="single" w:color="auto" w:sz="4" w:space="0"/>
              <w:right w:val="single" w:color="auto" w:sz="4" w:space="0"/>
            </w:tcBorders>
            <w:shd w:val="clear" w:color="auto" w:fill="auto"/>
            <w:noWrap w:val="0"/>
            <w:vAlign w:val="center"/>
          </w:tcPr>
          <w:p w14:paraId="07F08441">
            <w:pPr>
              <w:wordWrap w:val="0"/>
              <w:snapToGrid w:val="0"/>
              <w:rPr>
                <w:rFonts w:hint="eastAsia" w:ascii="宋体" w:hAnsi="宋体" w:cs="宋体"/>
                <w:highlight w:val="none"/>
              </w:rPr>
            </w:pPr>
            <w:r>
              <w:rPr>
                <w:rFonts w:hint="eastAsia" w:ascii="宋体" w:hAnsi="宋体" w:cs="宋体"/>
                <w:highlight w:val="none"/>
                <w:lang w:val="en-US" w:eastAsia="zh-CN"/>
              </w:rPr>
              <w:t xml:space="preserve">评标委员会根据供应商提供的售后服务方案进行综合评价，最高得 6分。（方案要求：①质保期内及质保期满后的售后服务内容； ②服务响应时间；③服务人员安排；④服务保障措施⑤产品保障方案等） ①售后服务方案内容齐全，对每项的描述具体详细，针对性较 强，整体思路科学合理，可操作性较强的得6分； </w:t>
            </w:r>
          </w:p>
          <w:p w14:paraId="4E79E314">
            <w:pPr>
              <w:wordWrap w:val="0"/>
              <w:snapToGrid w:val="0"/>
              <w:rPr>
                <w:rFonts w:hint="eastAsia" w:ascii="宋体" w:hAnsi="宋体" w:cs="宋体"/>
                <w:highlight w:val="none"/>
              </w:rPr>
            </w:pPr>
            <w:r>
              <w:rPr>
                <w:rFonts w:hint="eastAsia" w:ascii="宋体" w:hAnsi="宋体" w:cs="宋体"/>
                <w:highlight w:val="none"/>
                <w:lang w:val="en-US" w:eastAsia="zh-CN"/>
              </w:rPr>
              <w:t xml:space="preserve">②售后服务方案内容齐全，对每项进行概括性描述，针对性一 般，整体思路合理，可操作性一般的得4分； </w:t>
            </w:r>
          </w:p>
          <w:p w14:paraId="23DF56A1">
            <w:pPr>
              <w:wordWrap w:val="0"/>
              <w:snapToGrid w:val="0"/>
              <w:rPr>
                <w:rFonts w:hint="eastAsia" w:ascii="宋体" w:hAnsi="宋体" w:cs="宋体"/>
                <w:highlight w:val="none"/>
              </w:rPr>
            </w:pPr>
            <w:r>
              <w:rPr>
                <w:rFonts w:hint="eastAsia" w:ascii="宋体" w:hAnsi="宋体" w:cs="宋体"/>
                <w:highlight w:val="none"/>
                <w:lang w:val="en-US" w:eastAsia="zh-CN"/>
              </w:rPr>
              <w:t xml:space="preserve">③售后服务方案内容符合招标文件要求涉及的方面，相关内容描述不详细，无法具体到工作实际，针对性差，整体思路混乱，可操作性差的得2分； </w:t>
            </w:r>
          </w:p>
          <w:p w14:paraId="34C22954">
            <w:pPr>
              <w:wordWrap w:val="0"/>
              <w:snapToGrid w:val="0"/>
              <w:rPr>
                <w:rFonts w:hint="eastAsia" w:ascii="宋体" w:hAnsi="宋体" w:cs="宋体"/>
                <w:highlight w:val="none"/>
              </w:rPr>
            </w:pPr>
            <w:r>
              <w:rPr>
                <w:rFonts w:hint="eastAsia" w:ascii="宋体" w:hAnsi="宋体" w:cs="宋体"/>
                <w:highlight w:val="none"/>
                <w:lang w:val="en-US" w:eastAsia="zh-CN"/>
              </w:rPr>
              <w:t xml:space="preserve">④售后服务方案内容不全，针对性差，整体思路混乱，可操作性差的得1分； </w:t>
            </w:r>
          </w:p>
          <w:p w14:paraId="5060BEA2">
            <w:pPr>
              <w:wordWrap w:val="0"/>
              <w:snapToGrid w:val="0"/>
              <w:rPr>
                <w:rFonts w:hint="eastAsia" w:ascii="宋体" w:hAnsi="宋体" w:cs="宋体" w:eastAsiaTheme="minorEastAsia"/>
                <w:kern w:val="2"/>
                <w:sz w:val="21"/>
                <w:szCs w:val="22"/>
                <w:highlight w:val="none"/>
                <w:lang w:val="en-US" w:eastAsia="zh-CN" w:bidi="ar-SA"/>
              </w:rPr>
            </w:pPr>
            <w:r>
              <w:rPr>
                <w:rFonts w:hint="eastAsia" w:ascii="宋体" w:hAnsi="宋体" w:cs="宋体"/>
                <w:highlight w:val="none"/>
                <w:lang w:val="en-US" w:eastAsia="zh-CN"/>
              </w:rPr>
              <w:t>⑤不提供售后服务方案的不得分。</w:t>
            </w:r>
          </w:p>
        </w:tc>
      </w:tr>
      <w:tr w14:paraId="0725E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82" w:type="dxa"/>
            <w:vMerge w:val="continue"/>
            <w:tcBorders>
              <w:left w:val="single" w:color="auto" w:sz="4" w:space="0"/>
              <w:right w:val="single" w:color="auto" w:sz="4" w:space="0"/>
            </w:tcBorders>
            <w:noWrap w:val="0"/>
            <w:vAlign w:val="center"/>
          </w:tcPr>
          <w:p w14:paraId="2CB43D97">
            <w:pPr>
              <w:widowControl/>
              <w:spacing w:line="360" w:lineRule="auto"/>
              <w:rPr>
                <w:rFonts w:hint="eastAsia" w:ascii="宋体" w:hAnsi="宋体" w:eastAsia="宋体" w:cs="宋体"/>
                <w:color w:val="auto"/>
                <w:sz w:val="24"/>
                <w:szCs w:val="24"/>
                <w:highlight w:val="none"/>
              </w:rPr>
            </w:pPr>
          </w:p>
        </w:tc>
        <w:tc>
          <w:tcPr>
            <w:tcW w:w="1704" w:type="dxa"/>
            <w:gridSpan w:val="2"/>
            <w:tcBorders>
              <w:top w:val="single" w:color="auto" w:sz="4" w:space="0"/>
              <w:left w:val="nil"/>
              <w:bottom w:val="single" w:color="auto" w:sz="4" w:space="0"/>
              <w:right w:val="single" w:color="auto" w:sz="4" w:space="0"/>
            </w:tcBorders>
            <w:shd w:val="clear" w:color="auto" w:fill="auto"/>
            <w:noWrap w:val="0"/>
            <w:vAlign w:val="center"/>
          </w:tcPr>
          <w:p w14:paraId="6C275C7D">
            <w:pPr>
              <w:wordWrap w:val="0"/>
              <w:spacing w:line="360" w:lineRule="exact"/>
              <w:jc w:val="both"/>
              <w:rPr>
                <w:rFonts w:hint="eastAsia" w:ascii="宋体" w:hAnsi="宋体" w:eastAsiaTheme="minorEastAsia" w:cstheme="minorBidi"/>
                <w:kern w:val="0"/>
                <w:sz w:val="21"/>
                <w:szCs w:val="22"/>
                <w:highlight w:val="none"/>
                <w:lang w:val="en-US" w:eastAsia="zh-CN" w:bidi="ar-SA"/>
              </w:rPr>
            </w:pPr>
            <w:r>
              <w:rPr>
                <w:rFonts w:hint="eastAsia" w:ascii="宋体" w:hAnsi="宋体"/>
                <w:kern w:val="0"/>
                <w:highlight w:val="none"/>
                <w:lang w:val="en-US" w:eastAsia="zh-CN"/>
              </w:rPr>
              <w:t>质保期(2分)</w:t>
            </w:r>
          </w:p>
        </w:tc>
        <w:tc>
          <w:tcPr>
            <w:tcW w:w="6621" w:type="dxa"/>
            <w:tcBorders>
              <w:top w:val="single" w:color="auto" w:sz="4" w:space="0"/>
              <w:left w:val="nil"/>
              <w:bottom w:val="single" w:color="auto" w:sz="4" w:space="0"/>
              <w:right w:val="single" w:color="auto" w:sz="4" w:space="0"/>
            </w:tcBorders>
            <w:shd w:val="clear" w:color="auto" w:fill="auto"/>
            <w:noWrap w:val="0"/>
            <w:vAlign w:val="center"/>
          </w:tcPr>
          <w:p w14:paraId="44DF42C0">
            <w:pPr>
              <w:wordWrap w:val="0"/>
              <w:snapToGrid w:val="0"/>
              <w:rPr>
                <w:rFonts w:hint="eastAsia" w:ascii="宋体" w:hAnsi="宋体" w:cs="宋体" w:eastAsiaTheme="minorEastAsia"/>
                <w:kern w:val="2"/>
                <w:sz w:val="21"/>
                <w:szCs w:val="22"/>
                <w:highlight w:val="none"/>
                <w:lang w:val="en-US" w:eastAsia="zh-CN" w:bidi="ar-SA"/>
              </w:rPr>
            </w:pPr>
            <w:r>
              <w:rPr>
                <w:rFonts w:hint="eastAsia" w:ascii="宋体" w:hAnsi="宋体" w:cs="宋体"/>
                <w:highlight w:val="none"/>
                <w:lang w:val="en-US" w:eastAsia="zh-CN"/>
              </w:rPr>
              <w:t>质保期每增加一年，加1分，最高得2分。</w:t>
            </w:r>
          </w:p>
        </w:tc>
      </w:tr>
      <w:tr w14:paraId="6A37C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382" w:type="dxa"/>
            <w:vMerge w:val="continue"/>
            <w:tcBorders>
              <w:left w:val="single" w:color="auto" w:sz="4" w:space="0"/>
              <w:right w:val="single" w:color="auto" w:sz="4" w:space="0"/>
            </w:tcBorders>
            <w:noWrap w:val="0"/>
            <w:vAlign w:val="center"/>
          </w:tcPr>
          <w:p w14:paraId="2D92A4EE">
            <w:pPr>
              <w:widowControl/>
              <w:spacing w:line="360" w:lineRule="auto"/>
              <w:rPr>
                <w:rFonts w:hint="eastAsia" w:ascii="宋体" w:hAnsi="宋体" w:eastAsia="宋体" w:cs="宋体"/>
                <w:color w:val="auto"/>
                <w:sz w:val="24"/>
                <w:szCs w:val="24"/>
                <w:highlight w:val="none"/>
              </w:rPr>
            </w:pPr>
          </w:p>
        </w:tc>
        <w:tc>
          <w:tcPr>
            <w:tcW w:w="1704" w:type="dxa"/>
            <w:gridSpan w:val="2"/>
            <w:tcBorders>
              <w:top w:val="single" w:color="auto" w:sz="4" w:space="0"/>
              <w:left w:val="nil"/>
              <w:bottom w:val="single" w:color="auto" w:sz="4" w:space="0"/>
              <w:right w:val="single" w:color="auto" w:sz="4" w:space="0"/>
            </w:tcBorders>
            <w:shd w:val="clear" w:color="auto" w:fill="auto"/>
            <w:noWrap w:val="0"/>
            <w:vAlign w:val="center"/>
          </w:tcPr>
          <w:p w14:paraId="66D3A419">
            <w:pPr>
              <w:wordWrap w:val="0"/>
              <w:spacing w:line="360" w:lineRule="exact"/>
              <w:jc w:val="center"/>
              <w:rPr>
                <w:rFonts w:hint="eastAsia" w:ascii="宋体" w:hAnsi="宋体" w:eastAsiaTheme="minorEastAsia" w:cstheme="minorBidi"/>
                <w:kern w:val="0"/>
                <w:sz w:val="21"/>
                <w:szCs w:val="22"/>
                <w:highlight w:val="none"/>
                <w:lang w:val="en-US" w:eastAsia="zh-CN" w:bidi="ar-SA"/>
              </w:rPr>
            </w:pPr>
            <w:r>
              <w:rPr>
                <w:rFonts w:hint="eastAsia" w:ascii="宋体" w:hAnsi="宋体"/>
                <w:kern w:val="0"/>
                <w:highlight w:val="none"/>
                <w:lang w:val="en-US" w:eastAsia="zh-CN"/>
              </w:rPr>
              <w:t>安装调试方案</w:t>
            </w:r>
            <w:r>
              <w:rPr>
                <w:rFonts w:hint="eastAsia" w:ascii="宋体" w:hAnsi="宋体"/>
                <w:kern w:val="0"/>
                <w:highlight w:val="none"/>
              </w:rPr>
              <w:t>（</w:t>
            </w:r>
            <w:r>
              <w:rPr>
                <w:rFonts w:hint="eastAsia" w:ascii="宋体" w:hAnsi="宋体"/>
                <w:kern w:val="0"/>
                <w:highlight w:val="none"/>
                <w:lang w:val="en-US" w:eastAsia="zh-CN"/>
              </w:rPr>
              <w:t>6</w:t>
            </w:r>
            <w:r>
              <w:rPr>
                <w:rFonts w:hint="eastAsia" w:ascii="宋体" w:hAnsi="宋体"/>
                <w:kern w:val="0"/>
                <w:highlight w:val="none"/>
              </w:rPr>
              <w:t>分）</w:t>
            </w:r>
          </w:p>
        </w:tc>
        <w:tc>
          <w:tcPr>
            <w:tcW w:w="6621" w:type="dxa"/>
            <w:tcBorders>
              <w:top w:val="single" w:color="auto" w:sz="4" w:space="0"/>
              <w:left w:val="nil"/>
              <w:bottom w:val="single" w:color="auto" w:sz="4" w:space="0"/>
              <w:right w:val="single" w:color="auto" w:sz="4" w:space="0"/>
            </w:tcBorders>
            <w:shd w:val="clear" w:color="auto" w:fill="auto"/>
            <w:noWrap w:val="0"/>
            <w:vAlign w:val="center"/>
          </w:tcPr>
          <w:p w14:paraId="4727D561">
            <w:pPr>
              <w:wordWrap w:val="0"/>
              <w:snapToGrid w:val="0"/>
              <w:rPr>
                <w:rFonts w:hint="eastAsia" w:ascii="宋体" w:hAnsi="宋体" w:cs="宋体"/>
                <w:highlight w:val="none"/>
              </w:rPr>
            </w:pPr>
            <w:r>
              <w:rPr>
                <w:rFonts w:hint="eastAsia" w:ascii="宋体" w:hAnsi="宋体" w:cs="宋体"/>
                <w:highlight w:val="none"/>
                <w:lang w:val="en-US" w:eastAsia="zh-CN"/>
              </w:rPr>
              <w:t xml:space="preserve">评标委员会根据供应商提供的安装调试方案进行综合评价，最高得6分。（方案要求：安装调试前期工作、人员配备、时间安排、工具安装调试配备等） </w:t>
            </w:r>
          </w:p>
          <w:p w14:paraId="62119CF7">
            <w:pPr>
              <w:wordWrap w:val="0"/>
              <w:snapToGrid w:val="0"/>
              <w:rPr>
                <w:rFonts w:hint="eastAsia" w:ascii="宋体" w:hAnsi="宋体" w:cs="宋体"/>
                <w:highlight w:val="none"/>
              </w:rPr>
            </w:pPr>
            <w:r>
              <w:rPr>
                <w:rFonts w:hint="eastAsia" w:ascii="宋体" w:hAnsi="宋体" w:cs="宋体"/>
                <w:highlight w:val="none"/>
                <w:lang w:val="en-US" w:eastAsia="zh-CN"/>
              </w:rPr>
              <w:t xml:space="preserve">①安装调试方案内容详实具体、人数充足、安装调试充分且高效，实施保障措施可靠的得6分; </w:t>
            </w:r>
          </w:p>
          <w:p w14:paraId="735F546C">
            <w:pPr>
              <w:wordWrap w:val="0"/>
              <w:snapToGrid w:val="0"/>
              <w:rPr>
                <w:rFonts w:hint="eastAsia" w:ascii="宋体" w:hAnsi="宋体" w:cs="宋体"/>
                <w:highlight w:val="none"/>
              </w:rPr>
            </w:pPr>
            <w:r>
              <w:rPr>
                <w:rFonts w:hint="eastAsia" w:ascii="宋体" w:hAnsi="宋体" w:cs="宋体"/>
                <w:highlight w:val="none"/>
                <w:lang w:val="en-US" w:eastAsia="zh-CN"/>
              </w:rPr>
              <w:t xml:space="preserve">②有较具体的安装调试方案容较详实，基本满足项目需求的得4分; </w:t>
            </w:r>
          </w:p>
          <w:p w14:paraId="6E760021">
            <w:pPr>
              <w:wordWrap w:val="0"/>
              <w:snapToGrid w:val="0"/>
              <w:rPr>
                <w:rFonts w:hint="eastAsia" w:ascii="宋体" w:hAnsi="宋体" w:cs="宋体"/>
                <w:highlight w:val="none"/>
              </w:rPr>
            </w:pPr>
            <w:r>
              <w:rPr>
                <w:rFonts w:hint="eastAsia" w:ascii="宋体" w:hAnsi="宋体" w:cs="宋体"/>
                <w:highlight w:val="none"/>
                <w:lang w:val="en-US" w:eastAsia="zh-CN"/>
              </w:rPr>
              <w:t xml:space="preserve">③安装调试方案不完善，不能满足需求的得 2 分; </w:t>
            </w:r>
          </w:p>
          <w:p w14:paraId="37C1F497">
            <w:pPr>
              <w:wordWrap w:val="0"/>
              <w:snapToGrid w:val="0"/>
              <w:rPr>
                <w:rFonts w:hint="eastAsia" w:ascii="宋体" w:hAnsi="宋体" w:cs="宋体" w:eastAsiaTheme="minorEastAsia"/>
                <w:kern w:val="2"/>
                <w:sz w:val="21"/>
                <w:szCs w:val="22"/>
                <w:highlight w:val="none"/>
                <w:lang w:val="en-US" w:eastAsia="zh-CN" w:bidi="ar-SA"/>
              </w:rPr>
            </w:pPr>
            <w:r>
              <w:rPr>
                <w:rFonts w:hint="eastAsia" w:ascii="宋体" w:hAnsi="宋体" w:cs="宋体"/>
                <w:highlight w:val="none"/>
                <w:lang w:val="en-US" w:eastAsia="zh-CN"/>
              </w:rPr>
              <w:t>④不提供安装调试方案的不得分。</w:t>
            </w:r>
          </w:p>
        </w:tc>
      </w:tr>
      <w:tr w14:paraId="4695C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707" w:type="dxa"/>
            <w:gridSpan w:val="4"/>
            <w:tcBorders>
              <w:left w:val="single" w:color="auto" w:sz="4" w:space="0"/>
              <w:bottom w:val="single" w:color="auto" w:sz="4" w:space="0"/>
              <w:right w:val="single" w:color="auto" w:sz="4" w:space="0"/>
            </w:tcBorders>
            <w:noWrap w:val="0"/>
            <w:vAlign w:val="center"/>
          </w:tcPr>
          <w:p w14:paraId="20FA50BF">
            <w:pPr>
              <w:wordWrap w:val="0"/>
              <w:rPr>
                <w:rFonts w:hint="eastAsia" w:ascii="宋体" w:hAnsi="宋体" w:cs="宋体"/>
                <w:highlight w:val="none"/>
              </w:rPr>
            </w:pPr>
            <w:r>
              <w:rPr>
                <w:rFonts w:hint="eastAsia" w:ascii="宋体" w:hAnsi="宋体" w:cs="宋体"/>
                <w:highlight w:val="none"/>
              </w:rPr>
              <w:t>备注：</w:t>
            </w:r>
          </w:p>
          <w:p w14:paraId="69A5D55F">
            <w:pPr>
              <w:wordWrap w:val="0"/>
              <w:rPr>
                <w:rFonts w:hint="eastAsia" w:ascii="宋体" w:hAnsi="宋体" w:cs="宋体"/>
                <w:highlight w:val="none"/>
              </w:rPr>
            </w:pPr>
            <w:r>
              <w:rPr>
                <w:rFonts w:hint="eastAsia" w:ascii="宋体" w:hAnsi="宋体" w:cs="宋体"/>
                <w:highlight w:val="none"/>
              </w:rPr>
              <w:t>供应商综合得分等于技术部分、综合部分、投标报价的汇总得分。</w:t>
            </w:r>
          </w:p>
          <w:p w14:paraId="4B371C36">
            <w:pPr>
              <w:wordWrap w:val="0"/>
              <w:snapToGrid w:val="0"/>
              <w:rPr>
                <w:rFonts w:hint="eastAsia" w:ascii="宋体" w:hAnsi="宋体" w:cs="宋体"/>
                <w:highlight w:val="none"/>
                <w:lang w:val="en-US" w:eastAsia="zh-CN"/>
              </w:rPr>
            </w:pPr>
            <w:r>
              <w:rPr>
                <w:rFonts w:hint="eastAsia" w:ascii="宋体" w:hAnsi="宋体" w:cs="宋体"/>
                <w:highlight w:val="none"/>
              </w:rPr>
              <w:t>磋商小组对各供应商的得分进行汇总，计算过程中评委个人分值按四舍五入保留三位小数，最终结果按四舍五入保留两位小数。以各磋商小组打分的算术平均值作为该供应商的最终得分</w:t>
            </w:r>
          </w:p>
        </w:tc>
      </w:tr>
    </w:tbl>
    <w:p w14:paraId="316E0F92">
      <w:pPr>
        <w:widowControl/>
        <w:spacing w:line="360" w:lineRule="auto"/>
        <w:rPr>
          <w:rFonts w:ascii="宋体" w:hAnsi="宋体" w:cs="Calibri"/>
          <w:color w:val="auto"/>
          <w:szCs w:val="21"/>
          <w:highlight w:val="none"/>
        </w:rPr>
      </w:pPr>
      <w:r>
        <w:rPr>
          <w:rFonts w:hint="eastAsia" w:ascii="宋体" w:hAnsi="宋体" w:cs="Calibri"/>
          <w:b/>
          <w:bCs/>
          <w:color w:val="auto"/>
          <w:kern w:val="0"/>
          <w:sz w:val="24"/>
          <w:highlight w:val="none"/>
        </w:rPr>
        <w:t>注：评分办法中要求材料均以原件扫描件为准，保证清晰可见。</w:t>
      </w:r>
    </w:p>
    <w:p w14:paraId="5DFAB5E1">
      <w:pPr>
        <w:spacing w:line="480" w:lineRule="exact"/>
        <w:jc w:val="left"/>
        <w:outlineLvl w:val="1"/>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三、综合</w:t>
      </w:r>
      <w:r>
        <w:rPr>
          <w:rFonts w:hint="eastAsia" w:ascii="宋体" w:hAnsi="宋体" w:eastAsia="宋体" w:cs="宋体"/>
          <w:b/>
          <w:bCs/>
          <w:color w:val="auto"/>
          <w:sz w:val="24"/>
          <w:szCs w:val="24"/>
          <w:highlight w:val="none"/>
          <w:lang w:val="en-US" w:eastAsia="zh-CN"/>
        </w:rPr>
        <w:t>评估</w:t>
      </w:r>
      <w:r>
        <w:rPr>
          <w:rFonts w:hint="eastAsia" w:ascii="宋体" w:hAnsi="宋体" w:eastAsia="宋体" w:cs="宋体"/>
          <w:b/>
          <w:bCs/>
          <w:color w:val="auto"/>
          <w:sz w:val="24"/>
          <w:szCs w:val="24"/>
          <w:highlight w:val="none"/>
        </w:rPr>
        <w:t>法</w:t>
      </w:r>
    </w:p>
    <w:p w14:paraId="54935085">
      <w:pPr>
        <w:spacing w:line="460" w:lineRule="exact"/>
        <w:ind w:firstLine="480" w:firstLineChars="200"/>
        <w:jc w:val="left"/>
        <w:outlineLvl w:val="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3.1、本次采用综合</w:t>
      </w:r>
      <w:r>
        <w:rPr>
          <w:rFonts w:hint="eastAsia" w:ascii="宋体" w:hAnsi="宋体" w:eastAsia="宋体" w:cs="宋体"/>
          <w:color w:val="auto"/>
          <w:sz w:val="24"/>
          <w:szCs w:val="24"/>
          <w:highlight w:val="none"/>
          <w:lang w:val="en-US" w:eastAsia="zh-CN"/>
        </w:rPr>
        <w:t>评估</w:t>
      </w:r>
      <w:r>
        <w:rPr>
          <w:rFonts w:hint="eastAsia" w:ascii="宋体" w:hAnsi="宋体" w:eastAsia="宋体" w:cs="宋体"/>
          <w:color w:val="auto"/>
          <w:sz w:val="24"/>
          <w:szCs w:val="24"/>
          <w:highlight w:val="none"/>
        </w:rPr>
        <w:t>法。</w:t>
      </w:r>
    </w:p>
    <w:p w14:paraId="16932C27">
      <w:pPr>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按与各供应商分别单独就采购需求、质量和服务等进行磋商，并将磋商内容记录在案，磋商结束后，磋商小组将要求实质性响应竞争性磋商文件的供应商在规定时间内提交最后报价。在规定时间内没有提交最后报价的磋商供应商，将视其首次报价为最终报价。未通过实质性响应的供应商将不再进行最后报价。经磋商确定最终采购需求和提交最后报价的供应商后，由磋商小组采用综合评分法对提交最后报价的供应商的响应文件和最后报价进行综合评分。</w:t>
      </w:r>
    </w:p>
    <w:p w14:paraId="650F545A">
      <w:pPr>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对满足采购文件实质性要求的响应文件，按照本章规定的评分标准进行打分，按最终得分由高到低顺序推荐候选成交供应商。得分相同的，按照最后报价由低到高的顺序推荐。评审得分且最后报价相同的，按照技术指标优劣顺序推荐。</w:t>
      </w:r>
    </w:p>
    <w:p w14:paraId="59F0CC57">
      <w:pPr>
        <w:spacing w:line="460" w:lineRule="exact"/>
        <w:ind w:firstLine="520" w:firstLineChars="217"/>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3.2、评分分值计算保留小数点后两位，小数点后第三位“四舍五入”。</w:t>
      </w:r>
    </w:p>
    <w:p w14:paraId="2A82B228">
      <w:pPr>
        <w:spacing w:line="460" w:lineRule="exact"/>
        <w:ind w:firstLine="520" w:firstLineChars="217"/>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3.3、在评标过程中，凡遇到磋商文件中无界定或界定不清、前后不一致使磋商小组成员意见有分歧且又难以协商一致的问题，均由磋商小组成员投票予以表决，少数服从多数原则确定。 </w:t>
      </w:r>
    </w:p>
    <w:p w14:paraId="79C2F2D9">
      <w:pPr>
        <w:spacing w:line="460" w:lineRule="exact"/>
        <w:ind w:firstLine="480" w:firstLineChars="200"/>
        <w:jc w:val="left"/>
        <w:outlineLvl w:val="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3.4、磋商小组完成评审后，向采购人出具评审报告。</w:t>
      </w:r>
    </w:p>
    <w:p w14:paraId="3CC64178">
      <w:pPr>
        <w:spacing w:line="480" w:lineRule="exact"/>
        <w:jc w:val="left"/>
        <w:outlineLvl w:val="1"/>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四、磋商程序 </w:t>
      </w:r>
    </w:p>
    <w:p w14:paraId="12A281CB">
      <w:pPr>
        <w:spacing w:line="480" w:lineRule="exact"/>
        <w:ind w:firstLine="482" w:firstLineChars="200"/>
        <w:jc w:val="left"/>
        <w:outlineLvl w:val="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4.1 初步评审 </w:t>
      </w:r>
    </w:p>
    <w:p w14:paraId="429FF337">
      <w:pPr>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4.1.</w:t>
      </w: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rPr>
        <w:t xml:space="preserve">磋商小组依据本章附表 1 初步评审表规定的标准对磋商响应文件进行初步评审。有一项不符合评审标准的，作无效标处理。 </w:t>
      </w:r>
    </w:p>
    <w:p w14:paraId="291E3440">
      <w:pPr>
        <w:spacing w:line="460" w:lineRule="exact"/>
        <w:ind w:firstLine="480" w:firstLineChars="200"/>
        <w:jc w:val="left"/>
        <w:outlineLvl w:val="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4.1.</w:t>
      </w:r>
      <w:r>
        <w:rPr>
          <w:rFonts w:ascii="宋体" w:hAnsi="宋体" w:eastAsia="宋体" w:cs="宋体"/>
          <w:color w:val="auto"/>
          <w:sz w:val="24"/>
          <w:szCs w:val="24"/>
          <w:highlight w:val="none"/>
        </w:rPr>
        <w:t>2</w:t>
      </w:r>
      <w:r>
        <w:rPr>
          <w:rFonts w:hint="eastAsia" w:ascii="宋体" w:hAnsi="宋体" w:eastAsia="宋体" w:cs="宋体"/>
          <w:color w:val="auto"/>
          <w:sz w:val="24"/>
          <w:szCs w:val="24"/>
          <w:highlight w:val="none"/>
        </w:rPr>
        <w:t xml:space="preserve">供应商有以下情形之一的，其磋商作无效标处理： </w:t>
      </w:r>
    </w:p>
    <w:p w14:paraId="21341D85">
      <w:pPr>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（1）串通磋商或弄虚作假或有其他违法行为的； </w:t>
      </w:r>
    </w:p>
    <w:p w14:paraId="0290B0BB">
      <w:pPr>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（2）不按磋商小组要求澄清、说明或补正的。 </w:t>
      </w:r>
    </w:p>
    <w:p w14:paraId="75853CD7">
      <w:pPr>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4.1.</w:t>
      </w:r>
      <w:r>
        <w:rPr>
          <w:rFonts w:ascii="宋体" w:hAnsi="宋体" w:eastAsia="宋体" w:cs="宋体"/>
          <w:color w:val="auto"/>
          <w:sz w:val="24"/>
          <w:szCs w:val="24"/>
          <w:highlight w:val="none"/>
        </w:rPr>
        <w:t>3</w:t>
      </w:r>
      <w:r>
        <w:rPr>
          <w:rFonts w:hint="eastAsia" w:ascii="宋体" w:hAnsi="宋体" w:eastAsia="宋体" w:cs="宋体"/>
          <w:color w:val="auto"/>
          <w:sz w:val="24"/>
          <w:szCs w:val="24"/>
          <w:highlight w:val="none"/>
        </w:rPr>
        <w:t xml:space="preserve">磋商报价有算术错误的，磋商小组按以下原则对磋商报价进行修正，修正的价格经供应商确认后具有约束力。供应商不接受修正价格的，其磋商作废标处理。 </w:t>
      </w:r>
    </w:p>
    <w:p w14:paraId="3C1C5393">
      <w:pPr>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（1）磋商文件中的大写金额与小写金额不一致的，以大写金额为准； </w:t>
      </w:r>
    </w:p>
    <w:p w14:paraId="6E1722EA">
      <w:pPr>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（2）总价金额与依据单价计算出的结果不一致的，以单价金额为准修正总价，但单价金额小数点有明显错误的除外。</w:t>
      </w:r>
    </w:p>
    <w:p w14:paraId="238998E0">
      <w:pPr>
        <w:spacing w:line="460" w:lineRule="exact"/>
        <w:ind w:firstLine="482" w:firstLineChars="200"/>
        <w:jc w:val="left"/>
        <w:outlineLvl w:val="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4.2详细评审 </w:t>
      </w:r>
    </w:p>
    <w:p w14:paraId="1D60415B">
      <w:pPr>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4.2.1磋商小组按本章评标办法前附表规定的量化因素和分值进行打分，并计算出综合评估得分。</w:t>
      </w:r>
    </w:p>
    <w:p w14:paraId="223F8BB6">
      <w:pPr>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4.2.2在评审过程中，磋商小组发现供应商的磋商报价明显低于其他供应商的报价，并有可能低于其企业成本的，则磋商小组可以要求该供应商作出说明并提供相关证明材料。供应商不能合理说明或不能提供相关证明材料的，经磋商小组</w:t>
      </w:r>
      <w:r>
        <w:rPr>
          <w:rFonts w:hint="eastAsia" w:ascii="宋体" w:hAnsi="宋体" w:eastAsia="宋体" w:cs="宋体"/>
          <w:color w:val="auto"/>
          <w:spacing w:val="6"/>
          <w:sz w:val="24"/>
          <w:szCs w:val="20"/>
          <w:highlight w:val="none"/>
        </w:rPr>
        <w:t>小组认定，属于恶性竞标的，可以按废标处理；磋商小组将不对无效响应文件或废标的供应商进行评审或打分。</w:t>
      </w:r>
      <w:r>
        <w:rPr>
          <w:rFonts w:hint="eastAsia" w:ascii="宋体" w:hAnsi="宋体" w:eastAsia="宋体" w:cs="宋体"/>
          <w:color w:val="auto"/>
          <w:sz w:val="24"/>
          <w:szCs w:val="24"/>
          <w:highlight w:val="none"/>
        </w:rPr>
        <w:t xml:space="preserve"> </w:t>
      </w:r>
    </w:p>
    <w:p w14:paraId="62627D95">
      <w:pPr>
        <w:spacing w:line="460" w:lineRule="exact"/>
        <w:ind w:firstLine="482" w:firstLineChars="200"/>
        <w:jc w:val="left"/>
        <w:outlineLvl w:val="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4.3磋商文件的澄清和补正 </w:t>
      </w:r>
    </w:p>
    <w:p w14:paraId="1488ED8C">
      <w:pPr>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4.3.1在磋商过程中，磋商小组可以要求供应商对所提交磋商响应文件中不明确的内容进行澄清或说明，或者对细微偏差进行补正。磋商小组不接受供应商主动提出的澄清、说明或补正。 </w:t>
      </w:r>
    </w:p>
    <w:p w14:paraId="341AFD0A">
      <w:pPr>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4.3.2澄清、说明和补正不得改变磋商文件的实质性内容（算术性错误修正的除外）。供应商的澄清、说明和补正属于磋商响应文件的组成部分。 </w:t>
      </w:r>
    </w:p>
    <w:p w14:paraId="201D6767">
      <w:pPr>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4.3.3磋商小组对供应商提交的澄清、说明或补正有疑问的，可以要求供应商进一步澄清、说明或补正，直至满足磋商小组的要求。 </w:t>
      </w:r>
    </w:p>
    <w:p w14:paraId="3DE8B2DE">
      <w:pPr>
        <w:spacing w:line="460" w:lineRule="exact"/>
        <w:ind w:firstLine="482" w:firstLineChars="200"/>
        <w:jc w:val="left"/>
        <w:outlineLvl w:val="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4.4、计分办法</w:t>
      </w:r>
    </w:p>
    <w:p w14:paraId="07556639">
      <w:pPr>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根据磋商文件、响应文件，按照评分办法，得出每个评委对响应单位的评标分数。响应单位的最终得分为所有评委对其打分的算术平均值。计分过程按四舍五入取至小数点后两位，最终得分取至小数点后二位。</w:t>
      </w:r>
    </w:p>
    <w:p w14:paraId="5942DBF3">
      <w:pPr>
        <w:spacing w:line="460" w:lineRule="exact"/>
        <w:ind w:firstLine="482" w:firstLineChars="200"/>
        <w:jc w:val="left"/>
        <w:outlineLvl w:val="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4.5  磋商结果</w:t>
      </w:r>
    </w:p>
    <w:p w14:paraId="10DE3688">
      <w:pPr>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磋商小组按照得分由高到低的顺序推荐3名中标候选人。磋商小组完成磋商后，应当向采购人提交磋商报告。</w:t>
      </w:r>
    </w:p>
    <w:p w14:paraId="60215A64">
      <w:pPr>
        <w:spacing w:line="460" w:lineRule="exact"/>
        <w:ind w:firstLine="482" w:firstLineChars="200"/>
        <w:jc w:val="left"/>
        <w:outlineLvl w:val="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4.6 定标办法</w:t>
      </w:r>
    </w:p>
    <w:p w14:paraId="0189039A">
      <w:pPr>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（1）磋商小组应当根据供应商最终得分由高到低的顺序推荐3名成交候选供应商，出具磋商评审报告。</w:t>
      </w:r>
    </w:p>
    <w:p w14:paraId="46E4A1B7">
      <w:pPr>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最终得分相同的，按照最后报价由低到高的顺序推荐。最终得分和最后报价均相同的，按照技术指标优劣顺序或磋商小组举手表决，少数服从多数的原则推荐。</w:t>
      </w:r>
    </w:p>
    <w:p w14:paraId="57A8DF06">
      <w:pPr>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（2）采购人按磋商小组写出磋商报告确定排序第一的响应单位为成交人。</w:t>
      </w:r>
    </w:p>
    <w:p w14:paraId="1C241150">
      <w:pPr>
        <w:spacing w:line="4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成交供应商拒绝签订政府采购合同的，采购人可以按照“财库【2014】214号”文第二十八条第二款规定的原则确定其他供应商作为成交供应商并签订政府采购合同，也可以重新开展采购活动。拒绝签订政府采购合同的成交供应商不得参加对该项目重新开展的采购活动。</w:t>
      </w:r>
    </w:p>
    <w:p w14:paraId="0EC8C597">
      <w:pPr>
        <w:spacing w:line="360" w:lineRule="auto"/>
        <w:ind w:firstLine="456" w:firstLineChars="200"/>
        <w:jc w:val="left"/>
        <w:rPr>
          <w:color w:val="auto"/>
          <w:highlight w:val="none"/>
        </w:rPr>
      </w:pPr>
      <w:r>
        <w:rPr>
          <w:rFonts w:hint="eastAsia" w:ascii="宋体" w:hAnsi="宋体" w:cs="宋体"/>
          <w:color w:val="auto"/>
          <w:spacing w:val="-6"/>
          <w:kern w:val="0"/>
          <w:sz w:val="24"/>
          <w:highlight w:val="none"/>
        </w:rPr>
        <w:br w:type="page"/>
      </w:r>
    </w:p>
    <w:p w14:paraId="7121B01B">
      <w:pPr>
        <w:pStyle w:val="3"/>
        <w:bidi w:val="0"/>
        <w:jc w:val="center"/>
        <w:outlineLvl w:val="0"/>
        <w:rPr>
          <w:color w:val="auto"/>
          <w:highlight w:val="none"/>
        </w:rPr>
      </w:pPr>
      <w:bookmarkStart w:id="179" w:name="_Toc8518"/>
      <w:bookmarkStart w:id="180" w:name="_Toc6551_WPSOffice_Level1"/>
      <w:bookmarkStart w:id="181" w:name="_Toc13565_WPSOffice_Level1"/>
      <w:bookmarkStart w:id="182" w:name="_Toc17744"/>
      <w:bookmarkStart w:id="183" w:name="_Toc2414"/>
      <w:bookmarkStart w:id="184" w:name="_Toc11512_WPSOffice_Level1"/>
      <w:bookmarkStart w:id="185" w:name="_Toc26959_WPSOffice_Level1"/>
      <w:bookmarkStart w:id="186" w:name="_Toc25684"/>
      <w:r>
        <w:rPr>
          <w:rFonts w:hint="eastAsia"/>
          <w:color w:val="auto"/>
          <w:highlight w:val="none"/>
        </w:rPr>
        <w:t>第四章  合同主要条款及格式</w:t>
      </w:r>
      <w:bookmarkEnd w:id="179"/>
      <w:bookmarkEnd w:id="180"/>
      <w:bookmarkEnd w:id="181"/>
      <w:bookmarkEnd w:id="182"/>
      <w:bookmarkEnd w:id="183"/>
      <w:bookmarkEnd w:id="184"/>
      <w:bookmarkEnd w:id="185"/>
      <w:bookmarkEnd w:id="186"/>
    </w:p>
    <w:p w14:paraId="6DAE5D01">
      <w:pPr>
        <w:widowControl/>
        <w:jc w:val="left"/>
        <w:rPr>
          <w:rFonts w:ascii="宋体" w:hAnsi="宋体" w:eastAsia="宋体" w:cs="宋体"/>
          <w:color w:val="auto"/>
          <w:kern w:val="0"/>
          <w:sz w:val="24"/>
          <w:szCs w:val="24"/>
          <w:highlight w:val="none"/>
        </w:rPr>
      </w:pPr>
    </w:p>
    <w:p w14:paraId="469E0415">
      <w:pPr>
        <w:widowControl/>
        <w:spacing w:line="360" w:lineRule="auto"/>
        <w:ind w:firstLine="482" w:firstLineChars="200"/>
        <w:jc w:val="left"/>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由项目采购单位与成交单位根据本磋商文件、成交单位响应文件及成交通知书，协商签订本项目采购合同。</w:t>
      </w:r>
    </w:p>
    <w:p w14:paraId="12E6EB44">
      <w:pPr>
        <w:pStyle w:val="4"/>
        <w:rPr>
          <w:rFonts w:hint="eastAsia" w:ascii="宋体" w:hAnsi="宋体" w:cs="宋体"/>
          <w:b/>
          <w:bCs/>
          <w:color w:val="auto"/>
          <w:sz w:val="24"/>
          <w:szCs w:val="24"/>
          <w:highlight w:val="none"/>
        </w:rPr>
      </w:pPr>
    </w:p>
    <w:p w14:paraId="381A91E1">
      <w:pPr>
        <w:pStyle w:val="4"/>
        <w:spacing w:after="0"/>
        <w:jc w:val="center"/>
        <w:rPr>
          <w:rFonts w:hint="eastAsia" w:ascii="宋体" w:hAnsi="宋体" w:eastAsia="宋体" w:cs="宋体"/>
          <w:b/>
          <w:bCs/>
          <w:color w:val="auto"/>
          <w:spacing w:val="-20"/>
          <w:kern w:val="44"/>
          <w:sz w:val="24"/>
          <w:szCs w:val="24"/>
          <w:highlight w:val="none"/>
        </w:rPr>
      </w:pPr>
    </w:p>
    <w:p w14:paraId="523B5F44">
      <w:pPr>
        <w:pStyle w:val="4"/>
        <w:spacing w:after="0"/>
        <w:jc w:val="center"/>
        <w:rPr>
          <w:rFonts w:hint="eastAsia" w:ascii="宋体" w:hAnsi="宋体" w:eastAsia="宋体" w:cs="宋体"/>
          <w:b/>
          <w:bCs/>
          <w:color w:val="auto"/>
          <w:spacing w:val="-20"/>
          <w:kern w:val="44"/>
          <w:sz w:val="24"/>
          <w:szCs w:val="24"/>
          <w:highlight w:val="none"/>
        </w:rPr>
      </w:pPr>
    </w:p>
    <w:p w14:paraId="1041A49A">
      <w:pPr>
        <w:pStyle w:val="4"/>
        <w:spacing w:after="0"/>
        <w:jc w:val="center"/>
        <w:rPr>
          <w:rFonts w:hint="eastAsia" w:ascii="宋体" w:hAnsi="宋体" w:eastAsia="宋体" w:cs="宋体"/>
          <w:b/>
          <w:bCs/>
          <w:color w:val="auto"/>
          <w:spacing w:val="-20"/>
          <w:kern w:val="44"/>
          <w:sz w:val="24"/>
          <w:szCs w:val="24"/>
          <w:highlight w:val="none"/>
        </w:rPr>
      </w:pPr>
    </w:p>
    <w:p w14:paraId="1A9281DA">
      <w:pPr>
        <w:pStyle w:val="4"/>
        <w:spacing w:after="0"/>
        <w:jc w:val="center"/>
        <w:rPr>
          <w:rFonts w:hint="eastAsia" w:ascii="宋体" w:hAnsi="宋体" w:eastAsia="宋体" w:cs="宋体"/>
          <w:b/>
          <w:bCs/>
          <w:color w:val="auto"/>
          <w:spacing w:val="-20"/>
          <w:kern w:val="44"/>
          <w:sz w:val="24"/>
          <w:szCs w:val="24"/>
          <w:highlight w:val="none"/>
        </w:rPr>
      </w:pPr>
    </w:p>
    <w:p w14:paraId="21D26EDA">
      <w:pPr>
        <w:pStyle w:val="4"/>
        <w:spacing w:after="0"/>
        <w:jc w:val="center"/>
        <w:rPr>
          <w:rFonts w:hint="eastAsia" w:ascii="宋体" w:hAnsi="宋体" w:eastAsia="宋体" w:cs="宋体"/>
          <w:b/>
          <w:bCs/>
          <w:color w:val="auto"/>
          <w:spacing w:val="-20"/>
          <w:kern w:val="44"/>
          <w:sz w:val="24"/>
          <w:szCs w:val="24"/>
          <w:highlight w:val="none"/>
        </w:rPr>
      </w:pPr>
    </w:p>
    <w:p w14:paraId="7E568D0F">
      <w:pPr>
        <w:pStyle w:val="4"/>
        <w:spacing w:after="0"/>
        <w:jc w:val="center"/>
        <w:rPr>
          <w:rFonts w:hint="eastAsia" w:ascii="宋体" w:hAnsi="宋体" w:eastAsia="宋体" w:cs="宋体"/>
          <w:b/>
          <w:bCs/>
          <w:color w:val="auto"/>
          <w:spacing w:val="-20"/>
          <w:kern w:val="44"/>
          <w:sz w:val="24"/>
          <w:szCs w:val="24"/>
          <w:highlight w:val="none"/>
        </w:rPr>
      </w:pPr>
    </w:p>
    <w:p w14:paraId="74369214">
      <w:pPr>
        <w:pStyle w:val="4"/>
        <w:spacing w:after="0"/>
        <w:jc w:val="center"/>
        <w:rPr>
          <w:rFonts w:hint="eastAsia" w:ascii="宋体" w:hAnsi="宋体" w:eastAsia="宋体" w:cs="宋体"/>
          <w:b/>
          <w:bCs/>
          <w:color w:val="auto"/>
          <w:spacing w:val="-20"/>
          <w:kern w:val="44"/>
          <w:sz w:val="24"/>
          <w:szCs w:val="24"/>
          <w:highlight w:val="none"/>
        </w:rPr>
      </w:pPr>
    </w:p>
    <w:p w14:paraId="436B2B6F">
      <w:pPr>
        <w:pStyle w:val="4"/>
        <w:spacing w:after="0"/>
        <w:jc w:val="center"/>
        <w:rPr>
          <w:rFonts w:hint="eastAsia" w:ascii="宋体" w:hAnsi="宋体" w:eastAsia="宋体" w:cs="宋体"/>
          <w:b/>
          <w:bCs/>
          <w:color w:val="auto"/>
          <w:spacing w:val="-20"/>
          <w:kern w:val="44"/>
          <w:sz w:val="24"/>
          <w:szCs w:val="24"/>
          <w:highlight w:val="none"/>
        </w:rPr>
      </w:pPr>
      <w:r>
        <w:rPr>
          <w:rFonts w:hint="eastAsia" w:ascii="宋体" w:hAnsi="宋体" w:eastAsia="宋体" w:cs="宋体"/>
          <w:b/>
          <w:bCs/>
          <w:color w:val="auto"/>
          <w:spacing w:val="-20"/>
          <w:kern w:val="44"/>
          <w:sz w:val="24"/>
          <w:szCs w:val="24"/>
          <w:highlight w:val="none"/>
        </w:rPr>
        <w:t>政府采购</w:t>
      </w:r>
      <w:r>
        <w:rPr>
          <w:rFonts w:hint="eastAsia" w:ascii="宋体" w:hAnsi="宋体" w:eastAsia="宋体" w:cs="宋体"/>
          <w:b/>
          <w:bCs/>
          <w:color w:val="auto"/>
          <w:spacing w:val="-20"/>
          <w:kern w:val="44"/>
          <w:sz w:val="24"/>
          <w:szCs w:val="24"/>
          <w:highlight w:val="none"/>
          <w:lang w:eastAsia="zh-CN"/>
        </w:rPr>
        <w:t>货物买卖</w:t>
      </w:r>
      <w:r>
        <w:rPr>
          <w:rFonts w:hint="eastAsia" w:ascii="宋体" w:hAnsi="宋体" w:eastAsia="宋体" w:cs="宋体"/>
          <w:b/>
          <w:bCs/>
          <w:color w:val="auto"/>
          <w:spacing w:val="-20"/>
          <w:kern w:val="44"/>
          <w:sz w:val="24"/>
          <w:szCs w:val="24"/>
          <w:highlight w:val="none"/>
        </w:rPr>
        <w:t>合同</w:t>
      </w:r>
    </w:p>
    <w:p w14:paraId="7C918B9E">
      <w:pPr>
        <w:pStyle w:val="4"/>
        <w:spacing w:after="0"/>
        <w:jc w:val="center"/>
        <w:rPr>
          <w:rFonts w:hint="eastAsia" w:ascii="宋体" w:hAnsi="宋体" w:eastAsia="宋体" w:cs="宋体"/>
          <w:b/>
          <w:bCs/>
          <w:color w:val="auto"/>
          <w:spacing w:val="-20"/>
          <w:kern w:val="44"/>
          <w:sz w:val="24"/>
          <w:szCs w:val="24"/>
          <w:highlight w:val="none"/>
          <w:lang w:eastAsia="zh-CN"/>
        </w:rPr>
      </w:pPr>
      <w:r>
        <w:rPr>
          <w:rFonts w:hint="eastAsia" w:ascii="宋体" w:hAnsi="宋体" w:eastAsia="宋体" w:cs="宋体"/>
          <w:b/>
          <w:bCs/>
          <w:color w:val="auto"/>
          <w:spacing w:val="-20"/>
          <w:kern w:val="44"/>
          <w:sz w:val="24"/>
          <w:szCs w:val="24"/>
          <w:highlight w:val="none"/>
          <w:lang w:eastAsia="zh-CN"/>
        </w:rPr>
        <w:t>（试行）</w:t>
      </w:r>
    </w:p>
    <w:p w14:paraId="11563527">
      <w:pPr>
        <w:rPr>
          <w:rFonts w:hint="eastAsia" w:ascii="宋体" w:hAnsi="宋体" w:eastAsia="宋体" w:cs="宋体"/>
          <w:b/>
          <w:bCs/>
          <w:color w:val="auto"/>
          <w:spacing w:val="-20"/>
          <w:kern w:val="44"/>
          <w:sz w:val="24"/>
          <w:szCs w:val="24"/>
          <w:highlight w:val="none"/>
        </w:rPr>
      </w:pPr>
    </w:p>
    <w:p w14:paraId="2DAECC24">
      <w:pPr>
        <w:rPr>
          <w:rFonts w:hint="eastAsia" w:ascii="宋体" w:hAnsi="宋体" w:eastAsia="宋体" w:cs="宋体"/>
          <w:b/>
          <w:bCs/>
          <w:color w:val="auto"/>
          <w:spacing w:val="-20"/>
          <w:kern w:val="44"/>
          <w:sz w:val="24"/>
          <w:szCs w:val="24"/>
          <w:highlight w:val="none"/>
        </w:rPr>
      </w:pPr>
    </w:p>
    <w:p w14:paraId="1375A851">
      <w:pPr>
        <w:rPr>
          <w:rFonts w:hint="eastAsia" w:ascii="宋体" w:hAnsi="宋体" w:eastAsia="宋体" w:cs="宋体"/>
          <w:b/>
          <w:bCs/>
          <w:color w:val="auto"/>
          <w:spacing w:val="-20"/>
          <w:kern w:val="44"/>
          <w:sz w:val="24"/>
          <w:szCs w:val="24"/>
          <w:highlight w:val="none"/>
        </w:rPr>
      </w:pPr>
    </w:p>
    <w:p w14:paraId="1ECA78BB">
      <w:pPr>
        <w:spacing w:line="360" w:lineRule="auto"/>
        <w:ind w:left="420" w:left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项目名称：</w:t>
      </w:r>
      <w:r>
        <w:rPr>
          <w:rFonts w:hint="eastAsia" w:ascii="宋体" w:hAnsi="宋体" w:eastAsia="宋体" w:cs="宋体"/>
          <w:color w:val="auto"/>
          <w:sz w:val="24"/>
          <w:szCs w:val="24"/>
          <w:highlight w:val="none"/>
          <w:u w:val="single"/>
        </w:rPr>
        <w:t xml:space="preserve">                             </w:t>
      </w:r>
    </w:p>
    <w:p w14:paraId="7FDF9335">
      <w:pPr>
        <w:spacing w:line="360" w:lineRule="auto"/>
        <w:ind w:left="420" w:left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合同编号：</w:t>
      </w:r>
      <w:r>
        <w:rPr>
          <w:rFonts w:hint="eastAsia" w:ascii="宋体" w:hAnsi="宋体" w:eastAsia="宋体" w:cs="宋体"/>
          <w:color w:val="auto"/>
          <w:sz w:val="24"/>
          <w:szCs w:val="24"/>
          <w:highlight w:val="none"/>
          <w:u w:val="single"/>
        </w:rPr>
        <w:t xml:space="preserve">                             </w:t>
      </w:r>
    </w:p>
    <w:p w14:paraId="491E05E7">
      <w:pPr>
        <w:spacing w:line="360" w:lineRule="auto"/>
        <w:ind w:left="420" w:left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    方：</w:t>
      </w:r>
      <w:r>
        <w:rPr>
          <w:rFonts w:hint="eastAsia" w:ascii="宋体" w:hAnsi="宋体" w:eastAsia="宋体" w:cs="宋体"/>
          <w:color w:val="auto"/>
          <w:sz w:val="24"/>
          <w:szCs w:val="24"/>
          <w:highlight w:val="none"/>
          <w:u w:val="single"/>
        </w:rPr>
        <w:t xml:space="preserve">                             </w:t>
      </w:r>
    </w:p>
    <w:p w14:paraId="01109343">
      <w:pPr>
        <w:spacing w:line="360" w:lineRule="auto"/>
        <w:ind w:left="420" w:left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乙    方：</w:t>
      </w:r>
      <w:r>
        <w:rPr>
          <w:rFonts w:hint="eastAsia" w:ascii="宋体" w:hAnsi="宋体" w:eastAsia="宋体" w:cs="宋体"/>
          <w:color w:val="auto"/>
          <w:sz w:val="24"/>
          <w:szCs w:val="24"/>
          <w:highlight w:val="none"/>
          <w:u w:val="single"/>
        </w:rPr>
        <w:t xml:space="preserve">                             </w:t>
      </w:r>
    </w:p>
    <w:p w14:paraId="21517F06">
      <w:pPr>
        <w:spacing w:line="360" w:lineRule="auto"/>
        <w:ind w:left="420" w:left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签订时间：</w:t>
      </w:r>
      <w:r>
        <w:rPr>
          <w:rFonts w:hint="eastAsia" w:ascii="宋体" w:hAnsi="宋体" w:eastAsia="宋体" w:cs="宋体"/>
          <w:color w:val="auto"/>
          <w:sz w:val="24"/>
          <w:szCs w:val="24"/>
          <w:highlight w:val="none"/>
          <w:u w:val="single"/>
        </w:rPr>
        <w:t xml:space="preserve">                             </w:t>
      </w:r>
    </w:p>
    <w:p w14:paraId="455DF50E">
      <w:pPr>
        <w:rPr>
          <w:rFonts w:hint="eastAsia" w:ascii="宋体" w:hAnsi="宋体" w:eastAsia="宋体" w:cs="宋体"/>
          <w:color w:val="auto"/>
          <w:sz w:val="24"/>
          <w:szCs w:val="24"/>
          <w:highlight w:val="none"/>
        </w:rPr>
      </w:pPr>
    </w:p>
    <w:p w14:paraId="46564373">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4B01EFA6">
      <w:pPr>
        <w:rPr>
          <w:rFonts w:hint="eastAsia" w:ascii="宋体" w:hAnsi="宋体" w:eastAsia="宋体" w:cs="宋体"/>
          <w:color w:val="auto"/>
          <w:sz w:val="24"/>
          <w:szCs w:val="24"/>
          <w:highlight w:val="none"/>
        </w:rPr>
      </w:pPr>
    </w:p>
    <w:p w14:paraId="254D9FCC">
      <w:pPr>
        <w:rPr>
          <w:rFonts w:hint="eastAsia" w:ascii="宋体" w:hAnsi="宋体" w:eastAsia="宋体" w:cs="宋体"/>
          <w:color w:val="auto"/>
          <w:sz w:val="24"/>
          <w:szCs w:val="24"/>
          <w:highlight w:val="none"/>
        </w:rPr>
      </w:pPr>
    </w:p>
    <w:p w14:paraId="63579AE6">
      <w:pPr>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用</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说</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明</w:t>
      </w:r>
    </w:p>
    <w:p w14:paraId="6D691B89">
      <w:pPr>
        <w:ind w:firstLine="480" w:firstLineChars="200"/>
        <w:rPr>
          <w:rFonts w:hint="eastAsia" w:ascii="宋体" w:hAnsi="宋体" w:eastAsia="宋体" w:cs="宋体"/>
          <w:color w:val="auto"/>
          <w:sz w:val="24"/>
          <w:szCs w:val="24"/>
          <w:highlight w:val="none"/>
          <w:lang w:val="en-US" w:eastAsia="zh-CN"/>
        </w:rPr>
      </w:pPr>
    </w:p>
    <w:p w14:paraId="33213A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1.本合同标准文本适用于购买现成货物的采购项目，不包括需要供应商定制开发、创新研发的货物采购项目。</w:t>
      </w:r>
    </w:p>
    <w:p w14:paraId="412060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2.本合同标准文本为政府采购货物买卖合同编制提供参考，可以结合采购项目具体情况，对文本作必要的调整修订后使用。</w:t>
      </w:r>
    </w:p>
    <w:p w14:paraId="228499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3.本合同标准文本各条款中，如涉及填写多家供应商、制造商，多种采购标的、分包主要内容等信息的，可根据采购项目具体情况添加信息项。</w:t>
      </w:r>
    </w:p>
    <w:p w14:paraId="57054263">
      <w:pPr>
        <w:ind w:firstLine="480" w:firstLineChars="200"/>
        <w:jc w:val="both"/>
        <w:rPr>
          <w:rFonts w:hint="eastAsia" w:ascii="宋体" w:hAnsi="宋体" w:eastAsia="宋体" w:cs="宋体"/>
          <w:color w:val="auto"/>
          <w:sz w:val="24"/>
          <w:szCs w:val="24"/>
          <w:highlight w:val="none"/>
        </w:rPr>
        <w:sectPr>
          <w:headerReference r:id="rId9" w:type="default"/>
          <w:footerReference r:id="rId10" w:type="default"/>
          <w:pgSz w:w="11906" w:h="16838"/>
          <w:pgMar w:top="1417" w:right="1417" w:bottom="1417"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3A4FD97F">
      <w:pPr>
        <w:pStyle w:val="2"/>
        <w:adjustRightInd w:val="0"/>
        <w:snapToGrid w:val="0"/>
        <w:spacing w:beforeLines="0" w:line="400" w:lineRule="exact"/>
        <w:jc w:val="center"/>
        <w:rPr>
          <w:rFonts w:hint="eastAsia" w:ascii="宋体" w:hAnsi="宋体" w:eastAsia="宋体" w:cs="宋体"/>
          <w:b w:val="0"/>
          <w:bCs w:val="0"/>
          <w:color w:val="auto"/>
          <w:sz w:val="24"/>
          <w:szCs w:val="24"/>
          <w:highlight w:val="none"/>
        </w:rPr>
      </w:pPr>
      <w:bookmarkStart w:id="187" w:name="_Toc22209"/>
      <w:r>
        <w:rPr>
          <w:rFonts w:hint="eastAsia" w:ascii="宋体" w:hAnsi="宋体" w:eastAsia="宋体" w:cs="宋体"/>
          <w:b w:val="0"/>
          <w:bCs w:val="0"/>
          <w:color w:val="auto"/>
          <w:sz w:val="24"/>
          <w:szCs w:val="24"/>
          <w:highlight w:val="none"/>
        </w:rPr>
        <w:t>第一节 政府采购合同协议书</w:t>
      </w:r>
      <w:bookmarkEnd w:id="187"/>
    </w:p>
    <w:p w14:paraId="6EAC38CE">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eastAsia="zh-CN"/>
        </w:rPr>
        <w:t>、受采购人委托签订合同的单位</w:t>
      </w:r>
      <w:r>
        <w:rPr>
          <w:rFonts w:hint="eastAsia" w:ascii="宋体" w:hAnsi="宋体" w:eastAsia="宋体" w:cs="宋体"/>
          <w:color w:val="auto"/>
          <w:sz w:val="24"/>
          <w:szCs w:val="24"/>
          <w:highlight w:val="none"/>
        </w:rPr>
        <w:t>或采购</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文件约定的合同甲方）</w:t>
      </w:r>
    </w:p>
    <w:p w14:paraId="3818B0CF">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（供应商）</w:t>
      </w:r>
    </w:p>
    <w:p w14:paraId="5318851B">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乙方2（全称）：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（联合体成员供应商或其他合同主体）（如有）</w:t>
      </w:r>
    </w:p>
    <w:p w14:paraId="4962520F">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lang w:val="en-US" w:eastAsia="zh-CN"/>
        </w:rPr>
        <w:t>3（全称）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（联合体成员供应商或其他合同主体）（如有）</w:t>
      </w:r>
    </w:p>
    <w:p w14:paraId="7341CA8B">
      <w:pPr>
        <w:pStyle w:val="5"/>
        <w:keepNext w:val="0"/>
        <w:keepLines w:val="0"/>
        <w:pageBreakBefore w:val="0"/>
        <w:kinsoku/>
        <w:wordWrap/>
        <w:overflowPunct/>
        <w:topLinePunct w:val="0"/>
        <w:bidi w:val="0"/>
        <w:adjustRightInd w:val="0"/>
        <w:snapToGrid w:val="0"/>
        <w:spacing w:before="0" w:beforeLines="0" w:after="0" w:line="360" w:lineRule="auto"/>
        <w:ind w:left="0"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依据《中华人民共和国民法典》</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《中华人民共和国政府采购法》等有关的法律法规，以及</w:t>
      </w:r>
      <w:r>
        <w:rPr>
          <w:rFonts w:hint="eastAsia" w:ascii="宋体" w:hAnsi="宋体" w:eastAsia="宋体" w:cs="宋体"/>
          <w:i w:val="0"/>
          <w:iCs w:val="0"/>
          <w:color w:val="auto"/>
          <w:sz w:val="24"/>
          <w:szCs w:val="24"/>
          <w:highlight w:val="none"/>
          <w:u w:val="none"/>
          <w:lang w:eastAsia="zh-CN"/>
        </w:rPr>
        <w:t>本采购项目</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招标</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lang w:eastAsia="zh-CN"/>
        </w:rPr>
        <w:t>文件等</w:t>
      </w:r>
      <w:r>
        <w:rPr>
          <w:rFonts w:hint="eastAsia" w:ascii="宋体" w:hAnsi="宋体" w:eastAsia="宋体" w:cs="宋体"/>
          <w:color w:val="auto"/>
          <w:sz w:val="24"/>
          <w:szCs w:val="24"/>
          <w:highlight w:val="none"/>
        </w:rPr>
        <w:t>采购文件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乙方的《投标（响应）文件》及《中标（成交）通知书》，甲乙双方同意签订本合同。具体情况及要求如下：     </w:t>
      </w:r>
    </w:p>
    <w:p w14:paraId="659386F4">
      <w:pPr>
        <w:keepNext w:val="0"/>
        <w:keepLines w:val="0"/>
        <w:pageBreakBefore w:val="0"/>
        <w:numPr>
          <w:ilvl w:val="0"/>
          <w:numId w:val="1"/>
        </w:numPr>
        <w:kinsoku/>
        <w:wordWrap/>
        <w:overflowPunct/>
        <w:topLinePunct w:val="0"/>
        <w:bidi w:val="0"/>
        <w:adjustRightInd w:val="0"/>
        <w:snapToGrid w:val="0"/>
        <w:spacing w:before="0" w:beforeLines="0"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项目信息</w:t>
      </w:r>
    </w:p>
    <w:p w14:paraId="743213CF">
      <w:pPr>
        <w:pStyle w:val="5"/>
        <w:keepNext w:val="0"/>
        <w:keepLines w:val="0"/>
        <w:pageBreakBefore w:val="0"/>
        <w:numPr>
          <w:ilvl w:val="0"/>
          <w:numId w:val="2"/>
        </w:numPr>
        <w:kinsoku/>
        <w:wordWrap/>
        <w:overflowPunct/>
        <w:topLinePunct w:val="0"/>
        <w:bidi w:val="0"/>
        <w:adjustRightInd w:val="0"/>
        <w:snapToGrid w:val="0"/>
        <w:spacing w:before="0" w:beforeLines="0" w:after="0" w:line="360" w:lineRule="auto"/>
        <w:ind w:left="0" w:leftChars="0"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采购项目名称：</w:t>
      </w:r>
      <w:r>
        <w:rPr>
          <w:rFonts w:hint="eastAsia" w:ascii="宋体" w:hAnsi="宋体" w:eastAsia="宋体" w:cs="宋体"/>
          <w:color w:val="auto"/>
          <w:sz w:val="24"/>
          <w:szCs w:val="24"/>
          <w:highlight w:val="none"/>
          <w:u w:val="single"/>
        </w:rPr>
        <w:t xml:space="preserve">                                          </w:t>
      </w:r>
    </w:p>
    <w:p w14:paraId="06061404">
      <w:pPr>
        <w:pStyle w:val="5"/>
        <w:keepNext w:val="0"/>
        <w:keepLines w:val="0"/>
        <w:pageBreakBefore w:val="0"/>
        <w:numPr>
          <w:ilvl w:val="-1"/>
          <w:numId w:val="0"/>
        </w:numPr>
        <w:tabs>
          <w:tab w:val="left" w:pos="999"/>
        </w:tabs>
        <w:kinsoku/>
        <w:wordWrap/>
        <w:overflowPunct/>
        <w:topLinePunct w:val="0"/>
        <w:bidi w:val="0"/>
        <w:adjustRightInd w:val="0"/>
        <w:snapToGrid w:val="0"/>
        <w:spacing w:before="0" w:beforeLines="0" w:after="0" w:line="360" w:lineRule="auto"/>
        <w:ind w:left="0" w:leftChars="0"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采购项目编号：</w:t>
      </w:r>
      <w:r>
        <w:rPr>
          <w:rFonts w:hint="eastAsia" w:ascii="宋体" w:hAnsi="宋体" w:eastAsia="宋体" w:cs="宋体"/>
          <w:color w:val="auto"/>
          <w:sz w:val="24"/>
          <w:szCs w:val="24"/>
          <w:highlight w:val="none"/>
          <w:u w:val="single"/>
        </w:rPr>
        <w:t xml:space="preserve">                                          </w:t>
      </w:r>
    </w:p>
    <w:p w14:paraId="3A18879E">
      <w:pPr>
        <w:pStyle w:val="5"/>
        <w:keepNext w:val="0"/>
        <w:keepLines w:val="0"/>
        <w:pageBreakBefore w:val="0"/>
        <w:kinsoku/>
        <w:wordWrap/>
        <w:overflowPunct/>
        <w:topLinePunct w:val="0"/>
        <w:bidi w:val="0"/>
        <w:adjustRightInd w:val="0"/>
        <w:snapToGrid w:val="0"/>
        <w:spacing w:before="0" w:beforeLines="0" w:after="0" w:line="360" w:lineRule="auto"/>
        <w:ind w:left="0"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（2）采购计划编号：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1D96B9D5">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（3）项目内容：</w:t>
      </w:r>
    </w:p>
    <w:p w14:paraId="5232505A">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采购标的及数量</w:t>
      </w:r>
      <w:r>
        <w:rPr>
          <w:rFonts w:hint="eastAsia" w:ascii="宋体" w:hAnsi="宋体" w:eastAsia="宋体" w:cs="宋体"/>
          <w:color w:val="auto"/>
          <w:sz w:val="24"/>
          <w:szCs w:val="24"/>
          <w:highlight w:val="none"/>
          <w:lang w:val="en-US" w:eastAsia="zh-CN"/>
        </w:rPr>
        <w:t>（台/套</w:t>
      </w:r>
      <w:r>
        <w:rPr>
          <w:rFonts w:hint="eastAsia" w:ascii="宋体" w:hAnsi="宋体" w:eastAsia="宋体" w:cs="宋体"/>
          <w:color w:val="auto"/>
          <w:sz w:val="24"/>
          <w:szCs w:val="24"/>
          <w:highlight w:val="none"/>
          <w:lang w:val="en" w:eastAsia="zh-CN"/>
        </w:rPr>
        <w:t>/个/架/组等</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val="en-US" w:eastAsia="zh-CN"/>
        </w:rPr>
        <w:t xml:space="preserve">                       </w:t>
      </w:r>
    </w:p>
    <w:p w14:paraId="67DE78BD">
      <w:pPr>
        <w:keepNext w:val="0"/>
        <w:keepLines w:val="0"/>
        <w:pageBreakBefore w:val="0"/>
        <w:numPr>
          <w:ilvl w:val="-1"/>
          <w:numId w:val="0"/>
        </w:numPr>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lang w:val="en" w:eastAsia="zh-CN"/>
        </w:rPr>
      </w:pPr>
      <w:r>
        <w:rPr>
          <w:rFonts w:hint="eastAsia" w:ascii="宋体" w:hAnsi="宋体" w:eastAsia="宋体" w:cs="宋体"/>
          <w:color w:val="auto"/>
          <w:sz w:val="24"/>
          <w:szCs w:val="24"/>
          <w:highlight w:val="none"/>
          <w:lang w:val="en-US" w:eastAsia="zh-CN"/>
        </w:rPr>
        <w:t>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 w:eastAsia="zh-CN"/>
        </w:rPr>
        <w:t xml:space="preserve">     </w:t>
      </w:r>
      <w:r>
        <w:rPr>
          <w:rFonts w:hint="eastAsia" w:ascii="宋体" w:hAnsi="宋体" w:eastAsia="宋体" w:cs="宋体"/>
          <w:color w:val="auto"/>
          <w:sz w:val="24"/>
          <w:szCs w:val="24"/>
          <w:highlight w:val="none"/>
          <w:lang w:val="en-US" w:eastAsia="zh-CN"/>
        </w:rPr>
        <w:t>规格型号：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p>
    <w:p w14:paraId="48293290">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lang w:val="en-US" w:eastAsia="zh-CN"/>
        </w:rPr>
        <w:t>采购标的的技术要求、商务要求具体见附件。</w:t>
      </w:r>
    </w:p>
    <w:p w14:paraId="4DAEC81D">
      <w:pPr>
        <w:keepNext w:val="0"/>
        <w:keepLines w:val="0"/>
        <w:pageBreakBefore w:val="0"/>
        <w:numPr>
          <w:ilvl w:val="-1"/>
          <w:numId w:val="0"/>
        </w:numPr>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①涉及信息类产品，请填写该产品关键部件的品牌、型号：</w:t>
      </w:r>
    </w:p>
    <w:p w14:paraId="701DE507">
      <w:pPr>
        <w:keepNext w:val="0"/>
        <w:keepLines w:val="0"/>
        <w:pageBreakBefore w:val="0"/>
        <w:numPr>
          <w:ilvl w:val="-1"/>
          <w:numId w:val="0"/>
        </w:numPr>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kern w:val="0"/>
          <w:sz w:val="24"/>
          <w:szCs w:val="24"/>
          <w:highlight w:val="none"/>
          <w:u w:val="single"/>
          <w:lang w:val="en-US" w:eastAsia="zh-CN"/>
        </w:rPr>
      </w:pPr>
      <w:r>
        <w:rPr>
          <w:rFonts w:hint="eastAsia" w:ascii="宋体" w:hAnsi="宋体" w:eastAsia="宋体" w:cs="宋体"/>
          <w:color w:val="auto"/>
          <w:sz w:val="24"/>
          <w:szCs w:val="24"/>
          <w:highlight w:val="none"/>
          <w:lang w:val="en-US" w:eastAsia="zh-CN"/>
        </w:rPr>
        <w:t>标的名称：</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single"/>
          <w:lang w:val="en" w:eastAsia="zh-CN"/>
        </w:rPr>
        <w:t xml:space="preserve">               </w:t>
      </w:r>
      <w:r>
        <w:rPr>
          <w:rFonts w:hint="eastAsia" w:ascii="宋体" w:hAnsi="宋体" w:eastAsia="宋体" w:cs="宋体"/>
          <w:color w:val="auto"/>
          <w:kern w:val="0"/>
          <w:sz w:val="24"/>
          <w:szCs w:val="24"/>
          <w:highlight w:val="none"/>
          <w:u w:val="single"/>
          <w:lang w:val="en-US" w:eastAsia="zh-CN"/>
        </w:rPr>
        <w:t xml:space="preserve">    </w:t>
      </w:r>
    </w:p>
    <w:p w14:paraId="5AE6DF2F">
      <w:pPr>
        <w:keepNext w:val="0"/>
        <w:keepLines w:val="0"/>
        <w:pageBreakBefore w:val="0"/>
        <w:numPr>
          <w:ilvl w:val="-1"/>
          <w:numId w:val="0"/>
        </w:numPr>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关键部件：</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型号：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0EF650ED">
      <w:pPr>
        <w:pStyle w:val="15"/>
        <w:keepNext w:val="0"/>
        <w:keepLines w:val="0"/>
        <w:pageBreakBefore w:val="0"/>
        <w:kinsoku/>
        <w:wordWrap/>
        <w:overflowPunct/>
        <w:topLinePunct w:val="0"/>
        <w:bidi w:val="0"/>
        <w:spacing w:beforeLines="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kern w:val="2"/>
          <w:sz w:val="24"/>
          <w:szCs w:val="24"/>
          <w:highlight w:val="none"/>
          <w:lang w:val="en-US" w:eastAsia="zh-CN"/>
        </w:rPr>
        <w:t>关键部件</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型号：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5C45AA8">
      <w:pPr>
        <w:pStyle w:val="15"/>
        <w:keepNext w:val="0"/>
        <w:keepLines w:val="0"/>
        <w:pageBreakBefore w:val="0"/>
        <w:kinsoku/>
        <w:wordWrap/>
        <w:overflowPunct/>
        <w:topLinePunct w:val="0"/>
        <w:bidi w:val="0"/>
        <w:spacing w:beforeLines="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关键部件：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型号：</w:t>
      </w:r>
      <w:r>
        <w:rPr>
          <w:rFonts w:hint="eastAsia" w:ascii="宋体" w:hAnsi="宋体" w:eastAsia="宋体" w:cs="宋体"/>
          <w:color w:val="auto"/>
          <w:sz w:val="24"/>
          <w:szCs w:val="24"/>
          <w:highlight w:val="none"/>
          <w:u w:val="single"/>
          <w:lang w:val="en-US" w:eastAsia="zh-CN"/>
        </w:rPr>
        <w:t xml:space="preserve">       </w:t>
      </w:r>
    </w:p>
    <w:p w14:paraId="4DC2ADFF">
      <w:pPr>
        <w:pStyle w:val="15"/>
        <w:keepNext w:val="0"/>
        <w:keepLines w:val="0"/>
        <w:pageBreakBefore w:val="0"/>
        <w:numPr>
          <w:ilvl w:val="-1"/>
          <w:numId w:val="0"/>
        </w:numPr>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（注：关键部件是指财政部会同有关部门发布的政府采购需求标准规定的需要通过国家有关部门指定的测评机构开展的安全可靠测评的软硬件，如CPU芯片、操作系统、数据库等。）</w:t>
      </w:r>
    </w:p>
    <w:p w14:paraId="5EF1C399">
      <w:pPr>
        <w:pStyle w:val="15"/>
        <w:keepNext w:val="0"/>
        <w:keepLines w:val="0"/>
        <w:pageBreakBefore w:val="0"/>
        <w:numPr>
          <w:ilvl w:val="-1"/>
          <w:numId w:val="0"/>
        </w:numPr>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②涉及车辆采购，请填写是否属于新能源汽车：</w:t>
      </w:r>
    </w:p>
    <w:p w14:paraId="601C6B05">
      <w:pPr>
        <w:pStyle w:val="15"/>
        <w:keepNext w:val="0"/>
        <w:keepLines w:val="0"/>
        <w:pageBreakBefore w:val="0"/>
        <w:numPr>
          <w:ilvl w:val="-1"/>
          <w:numId w:val="0"/>
        </w:numPr>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iCs w:val="0"/>
          <w:color w:val="auto"/>
          <w:sz w:val="24"/>
          <w:szCs w:val="24"/>
          <w:highlight w:val="none"/>
          <w:lang w:val="en-US" w:eastAsia="zh-CN"/>
        </w:rPr>
      </w:pP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是</w:t>
      </w:r>
      <w:r>
        <w:rPr>
          <w:rFonts w:hint="eastAsia" w:ascii="宋体" w:hAnsi="宋体" w:eastAsia="宋体" w:cs="宋体"/>
          <w:iCs w:val="0"/>
          <w:color w:val="auto"/>
          <w:sz w:val="24"/>
          <w:szCs w:val="24"/>
          <w:highlight w:val="none"/>
          <w:lang w:eastAsia="zh-CN"/>
        </w:rPr>
        <w:t>，《政府采购品目分类目录》底级品目名称</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数量：</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金额：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iCs w:val="0"/>
          <w:color w:val="auto"/>
          <w:sz w:val="24"/>
          <w:szCs w:val="24"/>
          <w:highlight w:val="none"/>
          <w:lang w:val="en-US" w:eastAsia="zh-CN"/>
        </w:rPr>
        <w:t xml:space="preserve"> </w:t>
      </w:r>
    </w:p>
    <w:p w14:paraId="34F0154D">
      <w:pPr>
        <w:pStyle w:val="15"/>
        <w:keepNext w:val="0"/>
        <w:keepLines w:val="0"/>
        <w:pageBreakBefore w:val="0"/>
        <w:numPr>
          <w:ilvl w:val="-1"/>
          <w:numId w:val="0"/>
        </w:numPr>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iCs w:val="0"/>
          <w:color w:val="auto"/>
          <w:sz w:val="24"/>
          <w:szCs w:val="24"/>
          <w:highlight w:val="none"/>
          <w:lang w:eastAsia="zh-CN"/>
        </w:rPr>
      </w:pP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否</w:t>
      </w:r>
    </w:p>
    <w:p w14:paraId="67FE6F87">
      <w:pPr>
        <w:pStyle w:val="15"/>
        <w:keepNext w:val="0"/>
        <w:keepLines w:val="0"/>
        <w:pageBreakBefore w:val="0"/>
        <w:numPr>
          <w:ilvl w:val="-1"/>
          <w:numId w:val="0"/>
        </w:numPr>
        <w:kinsoku/>
        <w:wordWrap/>
        <w:overflowPunct/>
        <w:topLinePunct w:val="0"/>
        <w:bidi w:val="0"/>
        <w:adjustRightInd w:val="0"/>
        <w:snapToGrid w:val="0"/>
        <w:spacing w:before="0" w:beforeLines="0" w:line="360" w:lineRule="auto"/>
        <w:ind w:left="0" w:firstLine="480" w:firstLineChars="200"/>
        <w:rPr>
          <w:rFonts w:hint="eastAsia" w:ascii="宋体" w:hAnsi="宋体" w:eastAsia="宋体" w:cs="宋体"/>
          <w:iCs w:val="0"/>
          <w:color w:val="auto"/>
          <w:sz w:val="24"/>
          <w:szCs w:val="24"/>
          <w:highlight w:val="none"/>
          <w:lang w:val="en-US" w:eastAsia="zh-CN"/>
        </w:rPr>
      </w:pP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lang w:val="en" w:eastAsia="zh-CN"/>
        </w:rPr>
        <w:t>4</w:t>
      </w:r>
      <w:r>
        <w:rPr>
          <w:rFonts w:hint="eastAsia" w:ascii="宋体" w:hAnsi="宋体" w:eastAsia="宋体" w:cs="宋体"/>
          <w:iCs w:val="0"/>
          <w:color w:val="auto"/>
          <w:sz w:val="24"/>
          <w:szCs w:val="24"/>
          <w:highlight w:val="none"/>
          <w:lang w:val="en-US" w:eastAsia="zh-CN"/>
        </w:rPr>
        <w:t>）政府采购组织形式：</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政府集中采购</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val="en-US" w:eastAsia="zh-CN"/>
        </w:rPr>
        <w:t xml:space="preserve">部门集中采购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val="en-US" w:eastAsia="zh-CN"/>
        </w:rPr>
        <w:t>分散采购</w:t>
      </w:r>
    </w:p>
    <w:p w14:paraId="2913614E">
      <w:pPr>
        <w:pStyle w:val="15"/>
        <w:keepNext w:val="0"/>
        <w:keepLines w:val="0"/>
        <w:pageBreakBefore w:val="0"/>
        <w:numPr>
          <w:ilvl w:val="-1"/>
          <w:numId w:val="0"/>
        </w:numPr>
        <w:kinsoku/>
        <w:wordWrap/>
        <w:overflowPunct/>
        <w:topLinePunct w:val="0"/>
        <w:bidi w:val="0"/>
        <w:adjustRightInd w:val="0"/>
        <w:snapToGrid w:val="0"/>
        <w:spacing w:before="0" w:beforeLines="0" w:line="360" w:lineRule="auto"/>
        <w:ind w:left="0" w:firstLine="480" w:firstLineChars="200"/>
        <w:rPr>
          <w:rFonts w:hint="eastAsia" w:ascii="宋体" w:hAnsi="宋体" w:eastAsia="宋体" w:cs="宋体"/>
          <w:iCs w:val="0"/>
          <w:color w:val="auto"/>
          <w:sz w:val="24"/>
          <w:szCs w:val="24"/>
          <w:highlight w:val="none"/>
          <w:lang w:eastAsia="zh-CN"/>
        </w:rPr>
      </w:pPr>
      <w:r>
        <w:rPr>
          <w:rFonts w:hint="eastAsia" w:ascii="宋体" w:hAnsi="宋体" w:eastAsia="宋体" w:cs="宋体"/>
          <w:iCs w:val="0"/>
          <w:color w:val="auto"/>
          <w:sz w:val="24"/>
          <w:szCs w:val="24"/>
          <w:highlight w:val="none"/>
          <w:lang w:val="en-US" w:eastAsia="zh-CN"/>
        </w:rPr>
        <w:t>（</w:t>
      </w:r>
      <w:r>
        <w:rPr>
          <w:rFonts w:hint="eastAsia" w:ascii="宋体" w:hAnsi="宋体" w:eastAsia="宋体" w:cs="宋体"/>
          <w:iCs w:val="0"/>
          <w:color w:val="auto"/>
          <w:sz w:val="24"/>
          <w:szCs w:val="24"/>
          <w:highlight w:val="none"/>
          <w:lang w:val="en" w:eastAsia="zh-CN"/>
        </w:rPr>
        <w:t>5</w:t>
      </w:r>
      <w:r>
        <w:rPr>
          <w:rFonts w:hint="eastAsia" w:ascii="宋体" w:hAnsi="宋体" w:eastAsia="宋体" w:cs="宋体"/>
          <w:iCs w:val="0"/>
          <w:color w:val="auto"/>
          <w:sz w:val="24"/>
          <w:szCs w:val="24"/>
          <w:highlight w:val="none"/>
          <w:lang w:val="en-US" w:eastAsia="zh-CN"/>
        </w:rPr>
        <w:t>）政府采购方式：</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公开招标</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邀请招标</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竞争性谈判</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竞争性磋商</w:t>
      </w:r>
    </w:p>
    <w:p w14:paraId="665CE5FF">
      <w:pPr>
        <w:pStyle w:val="15"/>
        <w:keepNext w:val="0"/>
        <w:keepLines w:val="0"/>
        <w:pageBreakBefore w:val="0"/>
        <w:numPr>
          <w:ilvl w:val="-1"/>
          <w:numId w:val="0"/>
        </w:numPr>
        <w:kinsoku/>
        <w:wordWrap/>
        <w:overflowPunct/>
        <w:topLinePunct w:val="0"/>
        <w:bidi w:val="0"/>
        <w:adjustRightInd w:val="0"/>
        <w:snapToGrid w:val="0"/>
        <w:spacing w:before="0" w:beforeLines="0" w:line="360" w:lineRule="auto"/>
        <w:ind w:left="0" w:firstLine="480" w:firstLineChars="200"/>
        <w:rPr>
          <w:rFonts w:hint="eastAsia" w:ascii="宋体" w:hAnsi="宋体" w:eastAsia="宋体" w:cs="宋体"/>
          <w:iCs w:val="0"/>
          <w:color w:val="auto"/>
          <w:sz w:val="24"/>
          <w:szCs w:val="24"/>
          <w:highlight w:val="none"/>
          <w:u w:val="single"/>
          <w:lang w:val="en-US" w:eastAsia="zh-CN"/>
        </w:rPr>
      </w:pP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询价</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单一来源</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框架协议</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其他：</w:t>
      </w:r>
      <w:r>
        <w:rPr>
          <w:rFonts w:hint="eastAsia" w:ascii="宋体" w:hAnsi="宋体" w:eastAsia="宋体" w:cs="宋体"/>
          <w:iCs w:val="0"/>
          <w:color w:val="auto"/>
          <w:sz w:val="24"/>
          <w:szCs w:val="24"/>
          <w:highlight w:val="none"/>
          <w:u w:val="single"/>
          <w:lang w:val="en-US" w:eastAsia="zh-CN"/>
        </w:rPr>
        <w:t xml:space="preserve">          </w:t>
      </w:r>
    </w:p>
    <w:p w14:paraId="5D4CE218">
      <w:pPr>
        <w:pStyle w:val="15"/>
        <w:keepNext w:val="0"/>
        <w:keepLines w:val="0"/>
        <w:pageBreakBefore w:val="0"/>
        <w:numPr>
          <w:ilvl w:val="-1"/>
          <w:numId w:val="0"/>
        </w:numPr>
        <w:kinsoku/>
        <w:wordWrap/>
        <w:overflowPunct/>
        <w:topLinePunct w:val="0"/>
        <w:bidi w:val="0"/>
        <w:adjustRightInd w:val="0"/>
        <w:snapToGrid w:val="0"/>
        <w:spacing w:before="0" w:beforeLines="0" w:line="360" w:lineRule="auto"/>
        <w:ind w:left="0" w:firstLine="480" w:firstLineChars="200"/>
        <w:rPr>
          <w:rFonts w:hint="eastAsia" w:ascii="宋体" w:hAnsi="宋体" w:eastAsia="宋体" w:cs="宋体"/>
          <w:iCs w:val="0"/>
          <w:color w:val="auto"/>
          <w:sz w:val="24"/>
          <w:szCs w:val="24"/>
          <w:highlight w:val="none"/>
          <w:u w:val="none"/>
          <w:lang w:val="en-US" w:eastAsia="zh-CN"/>
        </w:rPr>
      </w:pPr>
      <w:r>
        <w:rPr>
          <w:rFonts w:hint="eastAsia" w:ascii="宋体" w:hAnsi="宋体" w:eastAsia="宋体" w:cs="宋体"/>
          <w:iCs w:val="0"/>
          <w:color w:val="auto"/>
          <w:sz w:val="24"/>
          <w:szCs w:val="24"/>
          <w:highlight w:val="none"/>
          <w:u w:val="none"/>
          <w:lang w:val="en-US" w:eastAsia="zh-CN"/>
        </w:rPr>
        <w:t>（注：在框架协议采购的第二阶段，可选择使用该合同文本）</w:t>
      </w:r>
    </w:p>
    <w:p w14:paraId="65009416">
      <w:pPr>
        <w:pStyle w:val="15"/>
        <w:keepNext w:val="0"/>
        <w:keepLines w:val="0"/>
        <w:pageBreakBefore w:val="0"/>
        <w:numPr>
          <w:ilvl w:val="-1"/>
          <w:numId w:val="0"/>
        </w:numPr>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w w:val="100"/>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 w:eastAsia="zh-CN"/>
        </w:rPr>
        <w:t>6</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w w:val="100"/>
          <w:kern w:val="2"/>
          <w:sz w:val="24"/>
          <w:szCs w:val="24"/>
          <w:highlight w:val="none"/>
          <w:lang w:val="en-US" w:eastAsia="zh-CN" w:bidi="ar-SA"/>
        </w:rPr>
        <w:t>中标（成交）采购标的制造商是否为中小企业：</w:t>
      </w:r>
      <w:r>
        <w:rPr>
          <w:rFonts w:hint="eastAsia" w:ascii="宋体" w:hAnsi="宋体" w:eastAsia="宋体" w:cs="宋体"/>
          <w:color w:val="auto"/>
          <w:w w:val="100"/>
          <w:kern w:val="2"/>
          <w:sz w:val="24"/>
          <w:szCs w:val="24"/>
          <w:highlight w:val="none"/>
          <w:lang w:val="en-US" w:eastAsia="zh-CN" w:bidi="ar-SA"/>
        </w:rPr>
        <w:sym w:font="Wingdings" w:char="00A8"/>
      </w:r>
      <w:r>
        <w:rPr>
          <w:rFonts w:hint="eastAsia" w:ascii="宋体" w:hAnsi="宋体" w:eastAsia="宋体" w:cs="宋体"/>
          <w:color w:val="auto"/>
          <w:w w:val="100"/>
          <w:kern w:val="2"/>
          <w:sz w:val="24"/>
          <w:szCs w:val="24"/>
          <w:highlight w:val="none"/>
          <w:lang w:val="en-US" w:eastAsia="zh-CN" w:bidi="ar-SA"/>
        </w:rPr>
        <w:t xml:space="preserve">是      </w:t>
      </w:r>
      <w:r>
        <w:rPr>
          <w:rFonts w:hint="eastAsia" w:ascii="宋体" w:hAnsi="宋体" w:eastAsia="宋体" w:cs="宋体"/>
          <w:color w:val="auto"/>
          <w:w w:val="100"/>
          <w:kern w:val="2"/>
          <w:sz w:val="24"/>
          <w:szCs w:val="24"/>
          <w:highlight w:val="none"/>
          <w:lang w:val="en-US" w:eastAsia="zh-CN" w:bidi="ar-SA"/>
        </w:rPr>
        <w:sym w:font="Wingdings" w:char="00A8"/>
      </w:r>
      <w:r>
        <w:rPr>
          <w:rFonts w:hint="eastAsia" w:ascii="宋体" w:hAnsi="宋体" w:eastAsia="宋体" w:cs="宋体"/>
          <w:color w:val="auto"/>
          <w:w w:val="100"/>
          <w:kern w:val="2"/>
          <w:sz w:val="24"/>
          <w:szCs w:val="24"/>
          <w:highlight w:val="none"/>
          <w:lang w:val="en-US" w:eastAsia="zh-CN" w:bidi="ar-SA"/>
        </w:rPr>
        <w:t>否</w:t>
      </w:r>
    </w:p>
    <w:p w14:paraId="27D7AEEE">
      <w:pPr>
        <w:keepNext w:val="0"/>
        <w:keepLines w:val="0"/>
        <w:pageBreakBefore w:val="0"/>
        <w:numPr>
          <w:ilvl w:val="-1"/>
          <w:numId w:val="0"/>
        </w:numPr>
        <w:kinsoku/>
        <w:wordWrap/>
        <w:overflowPunct/>
        <w:topLinePunct w:val="0"/>
        <w:bidi w:val="0"/>
        <w:adjustRightInd w:val="0"/>
        <w:snapToGrid w:val="0"/>
        <w:spacing w:before="0" w:beforeLines="0" w:line="360" w:lineRule="auto"/>
        <w:ind w:left="0" w:leftChars="0" w:firstLine="480" w:firstLineChars="200"/>
        <w:rPr>
          <w:rFonts w:hint="eastAsia" w:ascii="宋体" w:hAnsi="宋体" w:eastAsia="宋体" w:cs="宋体"/>
          <w:iCs/>
          <w:color w:val="auto"/>
          <w:sz w:val="24"/>
          <w:szCs w:val="24"/>
          <w:highlight w:val="none"/>
        </w:rPr>
      </w:pPr>
      <w:r>
        <w:rPr>
          <w:rFonts w:hint="eastAsia" w:ascii="宋体" w:hAnsi="宋体" w:eastAsia="宋体" w:cs="宋体"/>
          <w:color w:val="auto"/>
          <w:w w:val="100"/>
          <w:sz w:val="24"/>
          <w:szCs w:val="24"/>
          <w:highlight w:val="none"/>
          <w:lang w:val="en-US" w:eastAsia="zh-CN"/>
        </w:rPr>
        <w:t>本合同</w:t>
      </w:r>
      <w:r>
        <w:rPr>
          <w:rFonts w:hint="eastAsia" w:ascii="宋体" w:hAnsi="宋体" w:eastAsia="宋体" w:cs="宋体"/>
          <w:color w:val="auto"/>
          <w:w w:val="100"/>
          <w:sz w:val="24"/>
          <w:szCs w:val="24"/>
          <w:highlight w:val="none"/>
        </w:rPr>
        <w:t>是否</w:t>
      </w:r>
      <w:r>
        <w:rPr>
          <w:rFonts w:hint="eastAsia" w:ascii="宋体" w:hAnsi="宋体" w:eastAsia="宋体" w:cs="宋体"/>
          <w:color w:val="auto"/>
          <w:w w:val="100"/>
          <w:sz w:val="24"/>
          <w:szCs w:val="24"/>
          <w:highlight w:val="none"/>
          <w:lang w:eastAsia="zh-CN"/>
        </w:rPr>
        <w:t>为专门面向</w:t>
      </w:r>
      <w:r>
        <w:rPr>
          <w:rFonts w:hint="eastAsia" w:ascii="宋体" w:hAnsi="宋体" w:eastAsia="宋体" w:cs="宋体"/>
          <w:color w:val="auto"/>
          <w:w w:val="100"/>
          <w:sz w:val="24"/>
          <w:szCs w:val="24"/>
          <w:highlight w:val="none"/>
        </w:rPr>
        <w:t>中小企业</w:t>
      </w:r>
      <w:r>
        <w:rPr>
          <w:rFonts w:hint="eastAsia" w:ascii="宋体" w:hAnsi="宋体" w:eastAsia="宋体" w:cs="宋体"/>
          <w:color w:val="auto"/>
          <w:w w:val="100"/>
          <w:sz w:val="24"/>
          <w:szCs w:val="24"/>
          <w:highlight w:val="none"/>
          <w:lang w:eastAsia="zh-CN"/>
        </w:rPr>
        <w:t>的采</w:t>
      </w:r>
      <w:r>
        <w:rPr>
          <w:rFonts w:hint="eastAsia" w:ascii="宋体" w:hAnsi="宋体" w:eastAsia="宋体" w:cs="宋体"/>
          <w:color w:val="auto"/>
          <w:w w:val="100"/>
          <w:sz w:val="24"/>
          <w:szCs w:val="24"/>
          <w:highlight w:val="none"/>
          <w:shd w:val="clear"/>
          <w:lang w:eastAsia="zh-CN"/>
        </w:rPr>
        <w:t>购</w:t>
      </w:r>
      <w:r>
        <w:rPr>
          <w:rFonts w:hint="eastAsia" w:ascii="宋体" w:hAnsi="宋体" w:eastAsia="宋体" w:cs="宋体"/>
          <w:color w:val="auto"/>
          <w:w w:val="100"/>
          <w:sz w:val="24"/>
          <w:szCs w:val="24"/>
          <w:highlight w:val="none"/>
          <w:shd w:val="clear"/>
        </w:rPr>
        <w:t>合同</w:t>
      </w:r>
      <w:r>
        <w:rPr>
          <w:rFonts w:hint="eastAsia" w:ascii="宋体" w:hAnsi="宋体" w:eastAsia="宋体" w:cs="宋体"/>
          <w:color w:val="auto"/>
          <w:w w:val="100"/>
          <w:sz w:val="24"/>
          <w:szCs w:val="24"/>
          <w:highlight w:val="none"/>
          <w:shd w:val="clear"/>
          <w:lang w:eastAsia="zh-CN"/>
        </w:rPr>
        <w:t>（中小企业预留合同）</w:t>
      </w:r>
      <w:r>
        <w:rPr>
          <w:rFonts w:hint="eastAsia" w:ascii="宋体" w:hAnsi="宋体" w:eastAsia="宋体" w:cs="宋体"/>
          <w:color w:val="auto"/>
          <w:sz w:val="24"/>
          <w:szCs w:val="24"/>
          <w:highlight w:val="none"/>
          <w:shd w:val="clear"/>
        </w:rPr>
        <w:t>：</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3DCF8DCD">
      <w:pPr>
        <w:keepNext w:val="0"/>
        <w:keepLines w:val="0"/>
        <w:pageBreakBefore w:val="0"/>
        <w:numPr>
          <w:ilvl w:val="-1"/>
          <w:numId w:val="0"/>
        </w:numPr>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val="en-US" w:eastAsia="zh-CN"/>
        </w:rPr>
        <w:t xml:space="preserve">         若本项目不专门面向中小企业采购，是否给予小微企业评审优惠：</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32AF6483">
      <w:pPr>
        <w:keepNext w:val="0"/>
        <w:keepLines w:val="0"/>
        <w:pageBreakBefore w:val="0"/>
        <w:numPr>
          <w:ilvl w:val="-1"/>
          <w:numId w:val="0"/>
        </w:numPr>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val="en-US" w:eastAsia="zh-CN"/>
        </w:rPr>
        <w:t xml:space="preserve">         中标（成交）采购标的制造商是否为残疾人福利性单位：</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2FD52954">
      <w:pPr>
        <w:keepNext w:val="0"/>
        <w:keepLines w:val="0"/>
        <w:pageBreakBefore w:val="0"/>
        <w:numPr>
          <w:ilvl w:val="0"/>
          <w:numId w:val="0"/>
        </w:numPr>
        <w:kinsoku/>
        <w:wordWrap/>
        <w:overflowPunct/>
        <w:topLinePunct w:val="0"/>
        <w:bidi w:val="0"/>
        <w:snapToGrid w:val="0"/>
        <w:spacing w:beforeLines="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中标（成交）采购标的制造商是否为监狱企业：</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5DABC2A5">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 w:eastAsia="zh-CN"/>
        </w:rPr>
        <w:t>7</w:t>
      </w:r>
      <w:r>
        <w:rPr>
          <w:rFonts w:hint="eastAsia" w:ascii="宋体" w:hAnsi="宋体" w:eastAsia="宋体" w:cs="宋体"/>
          <w:color w:val="auto"/>
          <w:sz w:val="24"/>
          <w:szCs w:val="24"/>
          <w:highlight w:val="none"/>
        </w:rPr>
        <w:t>）合同是否分包：</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0DDE1A3D">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分包主要内容：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7C289C7D">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rPr>
        <w:t>分包供应商</w:t>
      </w:r>
      <w:r>
        <w:rPr>
          <w:rFonts w:hint="eastAsia" w:ascii="宋体" w:hAnsi="宋体" w:eastAsia="宋体" w:cs="宋体"/>
          <w:color w:val="auto"/>
          <w:sz w:val="24"/>
          <w:szCs w:val="24"/>
          <w:highlight w:val="none"/>
          <w:lang w:eastAsia="zh-CN"/>
        </w:rPr>
        <w:t>/制造商</w:t>
      </w: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lang w:eastAsia="zh-CN"/>
        </w:rPr>
        <w:t>（如供应商和制造商不同，请分别填写）</w:t>
      </w:r>
      <w:r>
        <w:rPr>
          <w:rFonts w:hint="eastAsia" w:ascii="宋体" w:hAnsi="宋体" w:eastAsia="宋体" w:cs="宋体"/>
          <w:color w:val="auto"/>
          <w:sz w:val="24"/>
          <w:szCs w:val="24"/>
          <w:highlight w:val="none"/>
        </w:rPr>
        <w:t>：</w:t>
      </w:r>
    </w:p>
    <w:p w14:paraId="5D8039A9">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p>
    <w:p w14:paraId="4F77DF8E">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分包供应商</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制造商</w:t>
      </w:r>
      <w:r>
        <w:rPr>
          <w:rFonts w:hint="eastAsia" w:ascii="宋体" w:hAnsi="宋体" w:eastAsia="宋体" w:cs="宋体"/>
          <w:color w:val="auto"/>
          <w:sz w:val="24"/>
          <w:szCs w:val="24"/>
          <w:highlight w:val="none"/>
        </w:rPr>
        <w:t>类型</w:t>
      </w:r>
      <w:r>
        <w:rPr>
          <w:rFonts w:hint="eastAsia" w:ascii="宋体" w:hAnsi="宋体" w:eastAsia="宋体" w:cs="宋体"/>
          <w:color w:val="auto"/>
          <w:sz w:val="24"/>
          <w:szCs w:val="24"/>
          <w:highlight w:val="none"/>
          <w:lang w:eastAsia="zh-CN"/>
        </w:rPr>
        <w:t>（如果供应商和制造商不同，只填写制造商类型）</w:t>
      </w:r>
      <w:r>
        <w:rPr>
          <w:rFonts w:hint="eastAsia" w:ascii="宋体" w:hAnsi="宋体" w:eastAsia="宋体" w:cs="宋体"/>
          <w:color w:val="auto"/>
          <w:sz w:val="24"/>
          <w:szCs w:val="24"/>
          <w:highlight w:val="none"/>
        </w:rPr>
        <w:t>：</w:t>
      </w:r>
    </w:p>
    <w:p w14:paraId="1962EA82">
      <w:pPr>
        <w:keepNext w:val="0"/>
        <w:keepLines w:val="0"/>
        <w:pageBreakBefore w:val="0"/>
        <w:kinsoku/>
        <w:wordWrap/>
        <w:overflowPunct/>
        <w:topLinePunct w:val="0"/>
        <w:bidi w:val="0"/>
        <w:adjustRightInd w:val="0"/>
        <w:snapToGrid w:val="0"/>
        <w:spacing w:beforeLines="0" w:line="360" w:lineRule="auto"/>
        <w:ind w:firstLine="480" w:firstLineChars="200"/>
        <w:rPr>
          <w:rFonts w:hint="eastAsia" w:ascii="宋体" w:hAnsi="宋体" w:eastAsia="宋体" w:cs="宋体"/>
          <w:iCs/>
          <w:color w:val="auto"/>
          <w:sz w:val="24"/>
          <w:szCs w:val="24"/>
          <w:highlight w:val="none"/>
          <w:lang w:val="en-US"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大型企业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中型企业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小微型企业</w:t>
      </w:r>
      <w:r>
        <w:rPr>
          <w:rFonts w:hint="eastAsia" w:ascii="宋体" w:hAnsi="宋体" w:eastAsia="宋体" w:cs="宋体"/>
          <w:iCs/>
          <w:color w:val="auto"/>
          <w:sz w:val="24"/>
          <w:szCs w:val="24"/>
          <w:highlight w:val="none"/>
          <w:lang w:val="en-US" w:eastAsia="zh-CN"/>
        </w:rPr>
        <w:t xml:space="preserve">  </w:t>
      </w:r>
    </w:p>
    <w:p w14:paraId="71E917C8">
      <w:pPr>
        <w:keepNext w:val="0"/>
        <w:keepLines w:val="0"/>
        <w:pageBreakBefore w:val="0"/>
        <w:kinsoku/>
        <w:wordWrap/>
        <w:overflowPunct/>
        <w:topLinePunct w:val="0"/>
        <w:bidi w:val="0"/>
        <w:adjustRightInd w:val="0"/>
        <w:snapToGrid w:val="0"/>
        <w:spacing w:beforeLines="0" w:line="360" w:lineRule="auto"/>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残疾人福利性单位</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监狱</w:t>
      </w:r>
      <w:r>
        <w:rPr>
          <w:rFonts w:hint="eastAsia" w:ascii="宋体" w:hAnsi="宋体" w:eastAsia="宋体" w:cs="宋体"/>
          <w:iCs/>
          <w:color w:val="auto"/>
          <w:sz w:val="24"/>
          <w:szCs w:val="24"/>
          <w:highlight w:val="none"/>
        </w:rPr>
        <w:t>企业</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其他</w:t>
      </w:r>
    </w:p>
    <w:p w14:paraId="42A100D0">
      <w:pPr>
        <w:keepNext w:val="0"/>
        <w:keepLines w:val="0"/>
        <w:pageBreakBefore w:val="0"/>
        <w:numPr>
          <w:ilvl w:val="-1"/>
          <w:numId w:val="0"/>
        </w:numPr>
        <w:kinsoku/>
        <w:wordWrap/>
        <w:overflowPunct/>
        <w:topLinePunct w:val="0"/>
        <w:bidi w:val="0"/>
        <w:adjustRightInd w:val="0"/>
        <w:snapToGrid w:val="0"/>
        <w:spacing w:before="0" w:beforeLines="0" w:line="360" w:lineRule="auto"/>
        <w:ind w:left="0" w:leftChars="0" w:firstLine="480" w:firstLineChars="200"/>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u w:val="none"/>
          <w:lang w:val="en" w:eastAsia="zh-CN"/>
        </w:rPr>
        <w:t>8</w:t>
      </w:r>
      <w:r>
        <w:rPr>
          <w:rFonts w:hint="eastAsia" w:ascii="宋体" w:hAnsi="宋体" w:eastAsia="宋体" w:cs="宋体"/>
          <w:color w:val="auto"/>
          <w:sz w:val="24"/>
          <w:szCs w:val="24"/>
          <w:highlight w:val="none"/>
          <w:u w:val="none"/>
          <w:lang w:val="en-US" w:eastAsia="zh-CN"/>
        </w:rPr>
        <w:t>）中标（成交）供应商是否为外商投资企业：</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否</w:t>
      </w:r>
    </w:p>
    <w:p w14:paraId="595DF085">
      <w:pPr>
        <w:pStyle w:val="15"/>
        <w:keepNext w:val="0"/>
        <w:keepLines w:val="0"/>
        <w:pageBreakBefore w:val="0"/>
        <w:tabs>
          <w:tab w:val="left" w:pos="1340"/>
        </w:tabs>
        <w:kinsoku/>
        <w:wordWrap/>
        <w:overflowPunct/>
        <w:topLinePunct w:val="0"/>
        <w:bidi w:val="0"/>
        <w:spacing w:beforeLines="0"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lang w:val="en-US" w:eastAsia="zh-CN"/>
        </w:rPr>
        <w:t xml:space="preserve"> 外商投资企业类型：</w:t>
      </w:r>
      <w:r>
        <w:rPr>
          <w:rFonts w:hint="eastAsia" w:ascii="宋体" w:hAnsi="宋体" w:eastAsia="宋体" w:cs="宋体"/>
          <w:iCs/>
          <w:color w:val="auto"/>
          <w:sz w:val="24"/>
          <w:szCs w:val="24"/>
          <w:highlight w:val="none"/>
        </w:rPr>
        <w:sym w:font="Wingdings" w:char="00A8"/>
      </w:r>
      <w:r>
        <w:rPr>
          <w:rFonts w:hint="eastAsia" w:ascii="宋体" w:hAnsi="宋体" w:eastAsia="宋体" w:cs="宋体"/>
          <w:color w:val="auto"/>
          <w:sz w:val="24"/>
          <w:szCs w:val="24"/>
          <w:highlight w:val="none"/>
          <w:u w:val="none"/>
          <w:lang w:val="en-US" w:eastAsia="zh-CN"/>
        </w:rPr>
        <w:t xml:space="preserve">全部由外国投资者投资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val="en-US" w:eastAsia="zh-CN"/>
        </w:rPr>
        <w:t>部分由外国投资者投资</w:t>
      </w:r>
    </w:p>
    <w:p w14:paraId="31313A8F">
      <w:pPr>
        <w:keepNext w:val="0"/>
        <w:keepLines w:val="0"/>
        <w:pageBreakBefore w:val="0"/>
        <w:numPr>
          <w:ilvl w:val="-1"/>
          <w:numId w:val="0"/>
        </w:numPr>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w:t>
      </w:r>
      <w:r>
        <w:rPr>
          <w:rFonts w:hint="eastAsia" w:ascii="宋体" w:hAnsi="宋体" w:eastAsia="宋体" w:cs="宋体"/>
          <w:b w:val="0"/>
          <w:bCs w:val="0"/>
          <w:color w:val="auto"/>
          <w:sz w:val="24"/>
          <w:szCs w:val="24"/>
          <w:highlight w:val="none"/>
          <w:u w:val="none"/>
          <w:lang w:val="en" w:eastAsia="zh-CN"/>
        </w:rPr>
        <w:t>9</w:t>
      </w:r>
      <w:r>
        <w:rPr>
          <w:rFonts w:hint="eastAsia" w:ascii="宋体" w:hAnsi="宋体" w:eastAsia="宋体" w:cs="宋体"/>
          <w:b w:val="0"/>
          <w:bCs w:val="0"/>
          <w:color w:val="auto"/>
          <w:sz w:val="24"/>
          <w:szCs w:val="24"/>
          <w:highlight w:val="none"/>
          <w:u w:val="none"/>
          <w:lang w:val="en-US" w:eastAsia="zh-CN"/>
        </w:rPr>
        <w:t>）是否涉及进口产品：</w:t>
      </w:r>
    </w:p>
    <w:p w14:paraId="6FA9B69C">
      <w:pPr>
        <w:keepNext w:val="0"/>
        <w:keepLines w:val="0"/>
        <w:pageBreakBefore w:val="0"/>
        <w:numPr>
          <w:ilvl w:val="-1"/>
          <w:numId w:val="0"/>
        </w:numPr>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是</w:t>
      </w:r>
      <w:r>
        <w:rPr>
          <w:rFonts w:hint="eastAsia" w:ascii="宋体" w:hAnsi="宋体" w:eastAsia="宋体" w:cs="宋体"/>
          <w:iCs w:val="0"/>
          <w:color w:val="auto"/>
          <w:sz w:val="24"/>
          <w:szCs w:val="24"/>
          <w:highlight w:val="none"/>
          <w:lang w:eastAsia="zh-CN"/>
        </w:rPr>
        <w:t>，《政府采购品目分类目录》底级品目名称</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金额：</w:t>
      </w:r>
      <w:r>
        <w:rPr>
          <w:rFonts w:hint="eastAsia" w:ascii="宋体" w:hAnsi="宋体" w:eastAsia="宋体" w:cs="宋体"/>
          <w:color w:val="auto"/>
          <w:sz w:val="24"/>
          <w:szCs w:val="24"/>
          <w:highlight w:val="none"/>
          <w:u w:val="single"/>
          <w:lang w:val="en-US" w:eastAsia="zh-CN"/>
        </w:rPr>
        <w:t xml:space="preserve">        </w:t>
      </w:r>
    </w:p>
    <w:p w14:paraId="61071E9A">
      <w:pPr>
        <w:keepNext w:val="0"/>
        <w:keepLines w:val="0"/>
        <w:pageBreakBefore w:val="0"/>
        <w:numPr>
          <w:ilvl w:val="-1"/>
          <w:numId w:val="0"/>
        </w:numPr>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iCs w:val="0"/>
          <w:color w:val="auto"/>
          <w:sz w:val="24"/>
          <w:szCs w:val="24"/>
          <w:highlight w:val="none"/>
        </w:rPr>
      </w:pPr>
      <w:r>
        <w:rPr>
          <w:rFonts w:hint="eastAsia" w:ascii="宋体" w:hAnsi="宋体" w:eastAsia="宋体" w:cs="宋体"/>
          <w:color w:val="auto"/>
          <w:sz w:val="24"/>
          <w:szCs w:val="24"/>
          <w:highlight w:val="none"/>
          <w:lang w:val="en-US" w:eastAsia="zh-CN"/>
        </w:rPr>
        <w:t>国别：</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规格型号：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iCs w:val="0"/>
          <w:color w:val="auto"/>
          <w:sz w:val="24"/>
          <w:szCs w:val="24"/>
          <w:highlight w:val="none"/>
        </w:rPr>
        <w:t xml:space="preserve">      </w:t>
      </w:r>
    </w:p>
    <w:p w14:paraId="77A06EFB">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否</w:t>
      </w:r>
    </w:p>
    <w:p w14:paraId="656CD5B1">
      <w:pPr>
        <w:keepNext w:val="0"/>
        <w:keepLines w:val="0"/>
        <w:pageBreakBefore w:val="0"/>
        <w:numPr>
          <w:ilvl w:val="-1"/>
          <w:numId w:val="0"/>
        </w:numPr>
        <w:tabs>
          <w:tab w:val="left" w:pos="740"/>
        </w:tabs>
        <w:kinsoku/>
        <w:wordWrap/>
        <w:overflowPunct/>
        <w:topLinePunct w:val="0"/>
        <w:bidi w:val="0"/>
        <w:adjustRightInd w:val="0"/>
        <w:snapToGrid w:val="0"/>
        <w:spacing w:before="0" w:beforeLines="0" w:line="360" w:lineRule="auto"/>
        <w:ind w:left="0" w:firstLine="480" w:firstLineChars="200"/>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 xml:space="preserve">    （1</w:t>
      </w:r>
      <w:r>
        <w:rPr>
          <w:rFonts w:hint="eastAsia" w:ascii="宋体" w:hAnsi="宋体" w:eastAsia="宋体" w:cs="宋体"/>
          <w:b w:val="0"/>
          <w:bCs w:val="0"/>
          <w:color w:val="auto"/>
          <w:sz w:val="24"/>
          <w:szCs w:val="24"/>
          <w:highlight w:val="none"/>
          <w:u w:val="none"/>
          <w:lang w:val="en" w:eastAsia="zh-CN"/>
        </w:rPr>
        <w:t>0</w:t>
      </w:r>
      <w:r>
        <w:rPr>
          <w:rFonts w:hint="eastAsia" w:ascii="宋体" w:hAnsi="宋体" w:eastAsia="宋体" w:cs="宋体"/>
          <w:b w:val="0"/>
          <w:bCs w:val="0"/>
          <w:color w:val="auto"/>
          <w:sz w:val="24"/>
          <w:szCs w:val="24"/>
          <w:highlight w:val="none"/>
          <w:u w:val="none"/>
          <w:lang w:val="en-US" w:eastAsia="zh-CN"/>
        </w:rPr>
        <w:t>）是否涉及节能产品：</w:t>
      </w:r>
    </w:p>
    <w:p w14:paraId="0F2C0A1F">
      <w:pPr>
        <w:keepNext w:val="0"/>
        <w:keepLines w:val="0"/>
        <w:pageBreakBefore w:val="0"/>
        <w:numPr>
          <w:ilvl w:val="-1"/>
          <w:numId w:val="0"/>
        </w:numPr>
        <w:tabs>
          <w:tab w:val="left" w:pos="740"/>
        </w:tabs>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iCs/>
          <w:color w:val="auto"/>
          <w:sz w:val="24"/>
          <w:szCs w:val="24"/>
          <w:highlight w:val="none"/>
          <w:lang w:val="en-US" w:eastAsia="zh-CN"/>
        </w:rPr>
      </w:pPr>
      <w:r>
        <w:rPr>
          <w:rFonts w:hint="eastAsia" w:ascii="宋体" w:hAnsi="宋体" w:eastAsia="宋体" w:cs="宋体"/>
          <w:b w:val="0"/>
          <w:bCs w:val="0"/>
          <w:color w:val="auto"/>
          <w:sz w:val="24"/>
          <w:szCs w:val="24"/>
          <w:highlight w:val="none"/>
          <w:u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是</w:t>
      </w:r>
      <w:r>
        <w:rPr>
          <w:rFonts w:hint="eastAsia" w:ascii="宋体" w:hAnsi="宋体" w:eastAsia="宋体" w:cs="宋体"/>
          <w:iCs w:val="0"/>
          <w:color w:val="auto"/>
          <w:sz w:val="24"/>
          <w:szCs w:val="24"/>
          <w:highlight w:val="none"/>
          <w:lang w:eastAsia="zh-CN"/>
        </w:rPr>
        <w:t>，《节能产品政府采购品目清单》的底级品目名称：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iCs/>
          <w:color w:val="auto"/>
          <w:sz w:val="24"/>
          <w:szCs w:val="24"/>
          <w:highlight w:val="none"/>
          <w:lang w:val="en-US" w:eastAsia="zh-CN"/>
        </w:rPr>
        <w:t xml:space="preserve">     </w:t>
      </w:r>
    </w:p>
    <w:p w14:paraId="2803293F">
      <w:pPr>
        <w:keepNext w:val="0"/>
        <w:keepLines w:val="0"/>
        <w:pageBreakBefore w:val="0"/>
        <w:numPr>
          <w:ilvl w:val="-1"/>
          <w:numId w:val="0"/>
        </w:numPr>
        <w:tabs>
          <w:tab w:val="left" w:pos="740"/>
        </w:tabs>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iCs/>
          <w:color w:val="auto"/>
          <w:sz w:val="24"/>
          <w:szCs w:val="24"/>
          <w:highlight w:val="none"/>
          <w:lang w:val="en-US"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强制采购</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优先采购</w:t>
      </w:r>
      <w:r>
        <w:rPr>
          <w:rFonts w:hint="eastAsia" w:ascii="宋体" w:hAnsi="宋体" w:eastAsia="宋体" w:cs="宋体"/>
          <w:iCs/>
          <w:color w:val="auto"/>
          <w:sz w:val="24"/>
          <w:szCs w:val="24"/>
          <w:highlight w:val="none"/>
          <w:lang w:val="en-US" w:eastAsia="zh-CN"/>
        </w:rPr>
        <w:t xml:space="preserve">    </w:t>
      </w:r>
    </w:p>
    <w:p w14:paraId="224F6756">
      <w:pPr>
        <w:keepNext w:val="0"/>
        <w:keepLines w:val="0"/>
        <w:pageBreakBefore w:val="0"/>
        <w:numPr>
          <w:ilvl w:val="-1"/>
          <w:numId w:val="0"/>
        </w:numPr>
        <w:tabs>
          <w:tab w:val="left" w:pos="740"/>
        </w:tabs>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iCs w:val="0"/>
          <w:color w:val="auto"/>
          <w:sz w:val="24"/>
          <w:szCs w:val="24"/>
          <w:highlight w:val="none"/>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否</w:t>
      </w:r>
    </w:p>
    <w:p w14:paraId="40196B32">
      <w:pPr>
        <w:keepNext w:val="0"/>
        <w:keepLines w:val="0"/>
        <w:pageBreakBefore w:val="0"/>
        <w:numPr>
          <w:ilvl w:val="-1"/>
          <w:numId w:val="0"/>
        </w:numPr>
        <w:tabs>
          <w:tab w:val="left" w:pos="740"/>
        </w:tabs>
        <w:kinsoku/>
        <w:wordWrap/>
        <w:overflowPunct/>
        <w:topLinePunct w:val="0"/>
        <w:bidi w:val="0"/>
        <w:adjustRightInd w:val="0"/>
        <w:snapToGrid w:val="0"/>
        <w:spacing w:before="0" w:beforeLines="0" w:line="360" w:lineRule="auto"/>
        <w:ind w:left="0" w:firstLine="480" w:firstLineChars="200"/>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 xml:space="preserve">          是否涉及环境标志产品：</w:t>
      </w:r>
    </w:p>
    <w:p w14:paraId="0C47E66A">
      <w:pPr>
        <w:keepNext w:val="0"/>
        <w:keepLines w:val="0"/>
        <w:pageBreakBefore w:val="0"/>
        <w:numPr>
          <w:ilvl w:val="-1"/>
          <w:numId w:val="0"/>
        </w:numPr>
        <w:tabs>
          <w:tab w:val="left" w:pos="740"/>
        </w:tabs>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iCs w:val="0"/>
          <w:color w:val="auto"/>
          <w:sz w:val="24"/>
          <w:szCs w:val="24"/>
          <w:highlight w:val="none"/>
          <w:lang w:eastAsia="zh-CN"/>
        </w:rPr>
      </w:pPr>
      <w:r>
        <w:rPr>
          <w:rFonts w:hint="eastAsia" w:ascii="宋体" w:hAnsi="宋体" w:eastAsia="宋体" w:cs="宋体"/>
          <w:b w:val="0"/>
          <w:bCs w:val="0"/>
          <w:color w:val="auto"/>
          <w:sz w:val="24"/>
          <w:szCs w:val="24"/>
          <w:highlight w:val="none"/>
          <w:u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是</w:t>
      </w:r>
      <w:r>
        <w:rPr>
          <w:rFonts w:hint="eastAsia" w:ascii="宋体" w:hAnsi="宋体" w:eastAsia="宋体" w:cs="宋体"/>
          <w:iCs w:val="0"/>
          <w:color w:val="auto"/>
          <w:sz w:val="24"/>
          <w:szCs w:val="24"/>
          <w:highlight w:val="none"/>
          <w:lang w:eastAsia="zh-CN"/>
        </w:rPr>
        <w:t>，《环境标志产品政府采购品目清单》的底级品目名称：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iCs/>
          <w:color w:val="auto"/>
          <w:sz w:val="24"/>
          <w:szCs w:val="24"/>
          <w:highlight w:val="none"/>
          <w:lang w:val="en-US" w:eastAsia="zh-CN"/>
        </w:rPr>
        <w:t xml:space="preserve"> </w:t>
      </w:r>
    </w:p>
    <w:p w14:paraId="10D74F78">
      <w:pPr>
        <w:keepNext w:val="0"/>
        <w:keepLines w:val="0"/>
        <w:pageBreakBefore w:val="0"/>
        <w:numPr>
          <w:ilvl w:val="-1"/>
          <w:numId w:val="0"/>
        </w:numPr>
        <w:tabs>
          <w:tab w:val="left" w:pos="740"/>
        </w:tabs>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iCs/>
          <w:color w:val="auto"/>
          <w:sz w:val="24"/>
          <w:szCs w:val="24"/>
          <w:highlight w:val="none"/>
          <w:lang w:val="en-US"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强制采购</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优先采购</w:t>
      </w:r>
      <w:r>
        <w:rPr>
          <w:rFonts w:hint="eastAsia" w:ascii="宋体" w:hAnsi="宋体" w:eastAsia="宋体" w:cs="宋体"/>
          <w:iCs/>
          <w:color w:val="auto"/>
          <w:sz w:val="24"/>
          <w:szCs w:val="24"/>
          <w:highlight w:val="none"/>
          <w:lang w:val="en-US" w:eastAsia="zh-CN"/>
        </w:rPr>
        <w:t xml:space="preserve">    </w:t>
      </w:r>
    </w:p>
    <w:p w14:paraId="4CF720DB">
      <w:pPr>
        <w:keepNext w:val="0"/>
        <w:keepLines w:val="0"/>
        <w:pageBreakBefore w:val="0"/>
        <w:numPr>
          <w:ilvl w:val="-1"/>
          <w:numId w:val="0"/>
        </w:numPr>
        <w:tabs>
          <w:tab w:val="left" w:pos="740"/>
        </w:tabs>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否</w:t>
      </w:r>
    </w:p>
    <w:p w14:paraId="55A0CAD6">
      <w:pPr>
        <w:pStyle w:val="15"/>
        <w:keepNext w:val="0"/>
        <w:keepLines w:val="0"/>
        <w:pageBreakBefore w:val="0"/>
        <w:numPr>
          <w:ilvl w:val="-1"/>
          <w:numId w:val="0"/>
        </w:numPr>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iCs w:val="0"/>
          <w:color w:val="auto"/>
          <w:kern w:val="2"/>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 xml:space="preserve">          </w:t>
      </w:r>
      <w:r>
        <w:rPr>
          <w:rFonts w:hint="eastAsia" w:ascii="宋体" w:hAnsi="宋体" w:eastAsia="宋体" w:cs="宋体"/>
          <w:b w:val="0"/>
          <w:bCs w:val="0"/>
          <w:color w:val="auto"/>
          <w:kern w:val="2"/>
          <w:sz w:val="24"/>
          <w:szCs w:val="24"/>
          <w:highlight w:val="none"/>
          <w:u w:val="none"/>
          <w:lang w:val="en-US" w:eastAsia="zh-CN"/>
        </w:rPr>
        <w:t>是否涉及绿色产品：</w:t>
      </w:r>
      <w:r>
        <w:rPr>
          <w:rFonts w:hint="eastAsia" w:ascii="宋体" w:hAnsi="宋体" w:eastAsia="宋体" w:cs="宋体"/>
          <w:iCs w:val="0"/>
          <w:color w:val="auto"/>
          <w:kern w:val="2"/>
          <w:sz w:val="24"/>
          <w:szCs w:val="24"/>
          <w:highlight w:val="none"/>
          <w:u w:val="none"/>
          <w:lang w:val="en-US" w:eastAsia="zh-CN"/>
        </w:rPr>
        <w:t xml:space="preserve"> </w:t>
      </w:r>
    </w:p>
    <w:p w14:paraId="435B571E">
      <w:pPr>
        <w:pStyle w:val="15"/>
        <w:keepNext w:val="0"/>
        <w:keepLines w:val="0"/>
        <w:pageBreakBefore w:val="0"/>
        <w:kinsoku/>
        <w:wordWrap/>
        <w:overflowPunct/>
        <w:topLinePunct w:val="0"/>
        <w:bidi w:val="0"/>
        <w:spacing w:beforeLines="0" w:line="360" w:lineRule="auto"/>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iCs w:val="0"/>
          <w:color w:val="auto"/>
          <w:kern w:val="2"/>
          <w:sz w:val="24"/>
          <w:szCs w:val="24"/>
          <w:highlight w:val="none"/>
          <w:u w:val="none"/>
          <w:lang w:val="en-US" w:eastAsia="zh-CN"/>
        </w:rPr>
        <w:t xml:space="preserve">     </w:t>
      </w:r>
      <w:r>
        <w:rPr>
          <w:rFonts w:hint="eastAsia" w:ascii="宋体" w:hAnsi="宋体" w:eastAsia="宋体" w:cs="宋体"/>
          <w:iCs w:val="0"/>
          <w:color w:val="auto"/>
          <w:kern w:val="2"/>
          <w:sz w:val="24"/>
          <w:szCs w:val="24"/>
          <w:highlight w:val="none"/>
          <w:u w:val="none"/>
        </w:rPr>
        <w:sym w:font="Wingdings" w:char="00A8"/>
      </w:r>
      <w:r>
        <w:rPr>
          <w:rFonts w:hint="eastAsia" w:ascii="宋体" w:hAnsi="宋体" w:eastAsia="宋体" w:cs="宋体"/>
          <w:iCs w:val="0"/>
          <w:color w:val="auto"/>
          <w:kern w:val="2"/>
          <w:sz w:val="24"/>
          <w:szCs w:val="24"/>
          <w:highlight w:val="none"/>
          <w:u w:val="none"/>
        </w:rPr>
        <w:t>是</w:t>
      </w:r>
      <w:r>
        <w:rPr>
          <w:rFonts w:hint="eastAsia" w:ascii="宋体" w:hAnsi="宋体" w:eastAsia="宋体" w:cs="宋体"/>
          <w:iCs w:val="0"/>
          <w:color w:val="auto"/>
          <w:kern w:val="2"/>
          <w:sz w:val="24"/>
          <w:szCs w:val="24"/>
          <w:highlight w:val="none"/>
          <w:u w:val="none"/>
          <w:lang w:eastAsia="zh-CN"/>
        </w:rPr>
        <w:t>，绿色产品政府采购相关政策确定的底级品目名称：</w:t>
      </w:r>
      <w:r>
        <w:rPr>
          <w:rFonts w:hint="eastAsia" w:ascii="宋体" w:hAnsi="宋体" w:eastAsia="宋体" w:cs="宋体"/>
          <w:color w:val="auto"/>
          <w:sz w:val="24"/>
          <w:szCs w:val="24"/>
          <w:highlight w:val="none"/>
          <w:u w:val="single"/>
          <w:lang w:val="en-US" w:eastAsia="zh-CN"/>
        </w:rPr>
        <w:t xml:space="preserve">         </w:t>
      </w:r>
    </w:p>
    <w:p w14:paraId="1035901D">
      <w:pPr>
        <w:keepNext w:val="0"/>
        <w:keepLines w:val="0"/>
        <w:pageBreakBefore w:val="0"/>
        <w:numPr>
          <w:ilvl w:val="-1"/>
          <w:numId w:val="0"/>
        </w:numPr>
        <w:tabs>
          <w:tab w:val="left" w:pos="740"/>
        </w:tabs>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iCs/>
          <w:color w:val="auto"/>
          <w:sz w:val="24"/>
          <w:szCs w:val="24"/>
          <w:highlight w:val="none"/>
          <w:lang w:val="en-US"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强制采购</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优先采购</w:t>
      </w:r>
      <w:r>
        <w:rPr>
          <w:rFonts w:hint="eastAsia" w:ascii="宋体" w:hAnsi="宋体" w:eastAsia="宋体" w:cs="宋体"/>
          <w:iCs/>
          <w:color w:val="auto"/>
          <w:sz w:val="24"/>
          <w:szCs w:val="24"/>
          <w:highlight w:val="none"/>
          <w:lang w:val="en-US" w:eastAsia="zh-CN"/>
        </w:rPr>
        <w:t xml:space="preserve">    </w:t>
      </w:r>
    </w:p>
    <w:p w14:paraId="6BED4263">
      <w:pPr>
        <w:pStyle w:val="15"/>
        <w:keepNext w:val="0"/>
        <w:keepLines w:val="0"/>
        <w:pageBreakBefore w:val="0"/>
        <w:kinsoku/>
        <w:wordWrap/>
        <w:overflowPunct/>
        <w:topLinePunct w:val="0"/>
        <w:bidi w:val="0"/>
        <w:spacing w:beforeLines="0" w:line="360" w:lineRule="auto"/>
        <w:ind w:firstLine="480" w:firstLineChars="200"/>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iCs w:val="0"/>
          <w:color w:val="auto"/>
          <w:kern w:val="2"/>
          <w:sz w:val="24"/>
          <w:szCs w:val="24"/>
          <w:highlight w:val="none"/>
          <w:u w:val="none"/>
          <w:lang w:val="en-US" w:eastAsia="zh-CN"/>
        </w:rPr>
        <w:t xml:space="preserve">     </w:t>
      </w:r>
      <w:r>
        <w:rPr>
          <w:rFonts w:hint="eastAsia" w:ascii="宋体" w:hAnsi="宋体" w:eastAsia="宋体" w:cs="宋体"/>
          <w:iCs w:val="0"/>
          <w:color w:val="auto"/>
          <w:kern w:val="2"/>
          <w:sz w:val="24"/>
          <w:szCs w:val="24"/>
          <w:highlight w:val="none"/>
          <w:u w:val="none"/>
        </w:rPr>
        <w:sym w:font="Wingdings" w:char="00A8"/>
      </w:r>
      <w:r>
        <w:rPr>
          <w:rFonts w:hint="eastAsia" w:ascii="宋体" w:hAnsi="宋体" w:eastAsia="宋体" w:cs="宋体"/>
          <w:iCs w:val="0"/>
          <w:color w:val="auto"/>
          <w:kern w:val="2"/>
          <w:sz w:val="24"/>
          <w:szCs w:val="24"/>
          <w:highlight w:val="none"/>
          <w:u w:val="none"/>
        </w:rPr>
        <w:t>否</w:t>
      </w:r>
    </w:p>
    <w:p w14:paraId="32FAD357">
      <w:pPr>
        <w:keepNext w:val="0"/>
        <w:keepLines w:val="0"/>
        <w:pageBreakBefore w:val="0"/>
        <w:numPr>
          <w:ilvl w:val="-1"/>
          <w:numId w:val="0"/>
        </w:numPr>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（1</w:t>
      </w:r>
      <w:r>
        <w:rPr>
          <w:rFonts w:hint="eastAsia" w:ascii="宋体" w:hAnsi="宋体" w:eastAsia="宋体" w:cs="宋体"/>
          <w:color w:val="auto"/>
          <w:sz w:val="24"/>
          <w:szCs w:val="24"/>
          <w:highlight w:val="none"/>
          <w:lang w:val="en" w:eastAsia="zh-CN"/>
        </w:rPr>
        <w:t>1</w:t>
      </w:r>
      <w:r>
        <w:rPr>
          <w:rFonts w:hint="eastAsia" w:ascii="宋体" w:hAnsi="宋体" w:eastAsia="宋体" w:cs="宋体"/>
          <w:color w:val="auto"/>
          <w:sz w:val="24"/>
          <w:szCs w:val="24"/>
          <w:highlight w:val="none"/>
          <w:lang w:val="en-US" w:eastAsia="zh-CN"/>
        </w:rPr>
        <w:t>）涉及商品包装和快递包装的，是否参考</w:t>
      </w:r>
      <w:r>
        <w:rPr>
          <w:rFonts w:hint="eastAsia" w:ascii="宋体" w:hAnsi="宋体" w:eastAsia="宋体" w:cs="宋体"/>
          <w:color w:val="auto"/>
          <w:sz w:val="24"/>
          <w:szCs w:val="24"/>
          <w:highlight w:val="none"/>
        </w:rPr>
        <w:t>《商品包装政府采购需求标准（试行）》、《快递包装政府采购需求标准（试行）》</w:t>
      </w:r>
      <w:r>
        <w:rPr>
          <w:rFonts w:hint="eastAsia" w:ascii="宋体" w:hAnsi="宋体" w:eastAsia="宋体" w:cs="宋体"/>
          <w:color w:val="auto"/>
          <w:sz w:val="24"/>
          <w:szCs w:val="24"/>
          <w:highlight w:val="none"/>
          <w:lang w:eastAsia="zh-CN"/>
        </w:rPr>
        <w:t>明确产品及相关快递服务的具体包装要求：</w:t>
      </w:r>
    </w:p>
    <w:p w14:paraId="258BAA61">
      <w:pPr>
        <w:keepNext w:val="0"/>
        <w:keepLines w:val="0"/>
        <w:pageBreakBefore w:val="0"/>
        <w:numPr>
          <w:ilvl w:val="-1"/>
          <w:numId w:val="0"/>
        </w:numPr>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iCs w:val="0"/>
          <w:color w:val="auto"/>
          <w:sz w:val="24"/>
          <w:szCs w:val="24"/>
          <w:highlight w:val="none"/>
          <w:lang w:val="en-US" w:eastAsia="zh-CN"/>
        </w:rPr>
      </w:pP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 xml:space="preserve">是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否</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不涉及</w:t>
      </w:r>
    </w:p>
    <w:p w14:paraId="0A106EDF">
      <w:pPr>
        <w:keepNext w:val="0"/>
        <w:keepLines w:val="0"/>
        <w:pageBreakBefore w:val="0"/>
        <w:numPr>
          <w:ilvl w:val="0"/>
          <w:numId w:val="1"/>
        </w:numPr>
        <w:kinsoku/>
        <w:wordWrap/>
        <w:overflowPunct/>
        <w:topLinePunct w:val="0"/>
        <w:bidi w:val="0"/>
        <w:adjustRightInd w:val="0"/>
        <w:snapToGrid w:val="0"/>
        <w:spacing w:before="0" w:beforeLines="0"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合同金额</w:t>
      </w:r>
    </w:p>
    <w:p w14:paraId="353DE80F">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（1）合同金额小写：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05638E66">
      <w:pPr>
        <w:keepNext w:val="0"/>
        <w:keepLines w:val="0"/>
        <w:pageBreakBefore w:val="0"/>
        <w:kinsoku/>
        <w:wordWrap/>
        <w:overflowPunct/>
        <w:topLinePunct w:val="0"/>
        <w:bidi w:val="0"/>
        <w:adjustRightInd w:val="0"/>
        <w:snapToGrid w:val="0"/>
        <w:spacing w:before="0" w:beforeLines="0" w:line="360" w:lineRule="auto"/>
        <w:ind w:left="0"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6FC9B08E">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分包金额</w:t>
      </w:r>
      <w:r>
        <w:rPr>
          <w:rFonts w:hint="eastAsia" w:ascii="宋体" w:hAnsi="宋体" w:eastAsia="宋体" w:cs="宋体"/>
          <w:color w:val="auto"/>
          <w:sz w:val="24"/>
          <w:szCs w:val="24"/>
          <w:highlight w:val="none"/>
          <w:lang w:eastAsia="zh-CN"/>
        </w:rPr>
        <w:t>（如有）</w:t>
      </w:r>
      <w:r>
        <w:rPr>
          <w:rFonts w:hint="eastAsia" w:ascii="宋体" w:hAnsi="宋体" w:eastAsia="宋体" w:cs="宋体"/>
          <w:color w:val="auto"/>
          <w:sz w:val="24"/>
          <w:szCs w:val="24"/>
          <w:highlight w:val="none"/>
        </w:rPr>
        <w:t>小写：</w:t>
      </w:r>
      <w:r>
        <w:rPr>
          <w:rFonts w:hint="eastAsia" w:ascii="宋体" w:hAnsi="宋体" w:eastAsia="宋体" w:cs="宋体"/>
          <w:color w:val="auto"/>
          <w:sz w:val="24"/>
          <w:szCs w:val="24"/>
          <w:highlight w:val="none"/>
          <w:u w:val="single"/>
        </w:rPr>
        <w:t xml:space="preserve">                   </w:t>
      </w:r>
    </w:p>
    <w:p w14:paraId="318016DC">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32695952">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（注：固定单价合同应填写单价和最高限价）</w:t>
      </w:r>
    </w:p>
    <w:p w14:paraId="77C44A52">
      <w:pPr>
        <w:keepNext w:val="0"/>
        <w:keepLines w:val="0"/>
        <w:pageBreakBefore w:val="0"/>
        <w:numPr>
          <w:ilvl w:val="-1"/>
          <w:numId w:val="0"/>
        </w:numPr>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合同定价方式</w:t>
      </w:r>
      <w:r>
        <w:rPr>
          <w:rFonts w:hint="eastAsia" w:ascii="宋体" w:hAnsi="宋体" w:eastAsia="宋体" w:cs="宋体"/>
          <w:color w:val="auto"/>
          <w:sz w:val="24"/>
          <w:szCs w:val="24"/>
          <w:highlight w:val="none"/>
          <w:lang w:eastAsia="zh-CN"/>
        </w:rPr>
        <w:t>（采用组合定价方式的，可以勾选多项）</w:t>
      </w:r>
      <w:r>
        <w:rPr>
          <w:rFonts w:hint="eastAsia" w:ascii="宋体" w:hAnsi="宋体" w:eastAsia="宋体" w:cs="宋体"/>
          <w:color w:val="auto"/>
          <w:sz w:val="24"/>
          <w:szCs w:val="24"/>
          <w:highlight w:val="none"/>
        </w:rPr>
        <w:t>：</w:t>
      </w:r>
    </w:p>
    <w:p w14:paraId="44636C2F">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固定总价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固定单价</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固定费率</w:t>
      </w:r>
      <w:r>
        <w:rPr>
          <w:rFonts w:hint="eastAsia" w:ascii="宋体" w:hAnsi="宋体" w:eastAsia="宋体" w:cs="宋体"/>
          <w:iCs/>
          <w:color w:val="auto"/>
          <w:sz w:val="24"/>
          <w:szCs w:val="24"/>
          <w:highlight w:val="none"/>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成本补偿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绩效激励</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其他</w:t>
      </w:r>
      <w:r>
        <w:rPr>
          <w:rFonts w:hint="eastAsia" w:ascii="宋体" w:hAnsi="宋体" w:eastAsia="宋体" w:cs="宋体"/>
          <w:color w:val="auto"/>
          <w:sz w:val="24"/>
          <w:szCs w:val="24"/>
          <w:highlight w:val="none"/>
          <w:u w:val="single"/>
        </w:rPr>
        <w:t xml:space="preserve">       </w:t>
      </w:r>
    </w:p>
    <w:p w14:paraId="5108DDAF">
      <w:pPr>
        <w:pStyle w:val="16"/>
        <w:keepNext w:val="0"/>
        <w:keepLines w:val="0"/>
        <w:pageBreakBefore w:val="0"/>
        <w:kinsoku/>
        <w:wordWrap/>
        <w:overflowPunct/>
        <w:topLinePunct w:val="0"/>
        <w:bidi w:val="0"/>
        <w:spacing w:before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）付款方式（按项目实际勾选填写）：</w:t>
      </w:r>
    </w:p>
    <w:p w14:paraId="226FCB1E">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全额付款：</w:t>
      </w:r>
      <w:r>
        <w:rPr>
          <w:rFonts w:hint="eastAsia" w:ascii="宋体" w:hAnsi="宋体" w:eastAsia="宋体" w:cs="宋体"/>
          <w:color w:val="auto"/>
          <w:sz w:val="24"/>
          <w:szCs w:val="24"/>
          <w:highlight w:val="none"/>
          <w:u w:val="single"/>
        </w:rPr>
        <w:t xml:space="preserve">     （应</w:t>
      </w:r>
      <w:r>
        <w:rPr>
          <w:rFonts w:hint="eastAsia" w:ascii="宋体" w:hAnsi="宋体" w:eastAsia="宋体" w:cs="宋体"/>
          <w:color w:val="auto"/>
          <w:sz w:val="24"/>
          <w:szCs w:val="24"/>
          <w:highlight w:val="none"/>
          <w:u w:val="single"/>
          <w:lang w:eastAsia="zh-CN"/>
        </w:rPr>
        <w:t>明确</w:t>
      </w:r>
      <w:r>
        <w:rPr>
          <w:rFonts w:hint="eastAsia" w:ascii="宋体" w:hAnsi="宋体" w:eastAsia="宋体" w:cs="宋体"/>
          <w:color w:val="auto"/>
          <w:sz w:val="24"/>
          <w:szCs w:val="24"/>
          <w:highlight w:val="none"/>
          <w:u w:val="single"/>
        </w:rPr>
        <w:t>一次性支付合同款项</w:t>
      </w:r>
      <w:r>
        <w:rPr>
          <w:rFonts w:hint="eastAsia" w:ascii="宋体" w:hAnsi="宋体" w:eastAsia="宋体" w:cs="宋体"/>
          <w:color w:val="auto"/>
          <w:sz w:val="24"/>
          <w:szCs w:val="24"/>
          <w:highlight w:val="none"/>
          <w:u w:val="single"/>
          <w:lang w:eastAsia="zh-CN"/>
        </w:rPr>
        <w:t>的条件</w:t>
      </w:r>
      <w:r>
        <w:rPr>
          <w:rFonts w:hint="eastAsia" w:ascii="宋体" w:hAnsi="宋体" w:eastAsia="宋体" w:cs="宋体"/>
          <w:color w:val="auto"/>
          <w:sz w:val="24"/>
          <w:szCs w:val="24"/>
          <w:highlight w:val="none"/>
          <w:u w:val="single"/>
        </w:rPr>
        <w:t xml:space="preserve">）                    </w:t>
      </w:r>
    </w:p>
    <w:p w14:paraId="363041D1">
      <w:pPr>
        <w:keepNext w:val="0"/>
        <w:keepLines w:val="0"/>
        <w:pageBreakBefore w:val="0"/>
        <w:kinsoku/>
        <w:wordWrap/>
        <w:overflowPunct/>
        <w:topLinePunct w:val="0"/>
        <w:bidi w:val="0"/>
        <w:snapToGrid w:val="0"/>
        <w:spacing w:before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分期付款：</w:t>
      </w:r>
      <w:r>
        <w:rPr>
          <w:rFonts w:hint="eastAsia" w:ascii="宋体" w:hAnsi="宋体" w:eastAsia="宋体" w:cs="宋体"/>
          <w:color w:val="auto"/>
          <w:sz w:val="24"/>
          <w:szCs w:val="24"/>
          <w:highlight w:val="none"/>
          <w:u w:val="single"/>
        </w:rPr>
        <w:t xml:space="preserve">  （应明确分期支付合同款项的各期比例和支付条件</w:t>
      </w:r>
      <w:r>
        <w:rPr>
          <w:rFonts w:hint="eastAsia" w:ascii="宋体" w:hAnsi="宋体" w:eastAsia="宋体" w:cs="宋体"/>
          <w:color w:val="auto"/>
          <w:sz w:val="24"/>
          <w:szCs w:val="24"/>
          <w:highlight w:val="none"/>
          <w:u w:val="single"/>
          <w:lang w:eastAsia="zh-CN"/>
        </w:rPr>
        <w:t>，各期支付条件应与分期履约验收情况挂钩</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lang w:eastAsia="zh-CN"/>
        </w:rPr>
        <w:t>其中涉及预付款的</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（应明确预付款的支付比例和支付条件） </w:t>
      </w:r>
    </w:p>
    <w:p w14:paraId="2D75FD73">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成本补偿：</w:t>
      </w:r>
      <w:r>
        <w:rPr>
          <w:rFonts w:hint="eastAsia" w:ascii="宋体" w:hAnsi="宋体" w:eastAsia="宋体" w:cs="宋体"/>
          <w:color w:val="auto"/>
          <w:sz w:val="24"/>
          <w:szCs w:val="24"/>
          <w:highlight w:val="none"/>
          <w:u w:val="single"/>
        </w:rPr>
        <w:t xml:space="preserve">      （应明确按照成本补偿方式的支付方式和支付条件）   </w:t>
      </w:r>
    </w:p>
    <w:p w14:paraId="6E723427">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绩效激励：</w:t>
      </w:r>
      <w:r>
        <w:rPr>
          <w:rFonts w:hint="eastAsia" w:ascii="宋体" w:hAnsi="宋体" w:eastAsia="宋体" w:cs="宋体"/>
          <w:color w:val="auto"/>
          <w:sz w:val="24"/>
          <w:szCs w:val="24"/>
          <w:highlight w:val="none"/>
          <w:u w:val="single"/>
        </w:rPr>
        <w:t xml:space="preserve">      （应明确按照绩效激励方式的支付方式和支付条件）   </w:t>
      </w:r>
    </w:p>
    <w:p w14:paraId="631A2AF6">
      <w:pPr>
        <w:keepNext w:val="0"/>
        <w:keepLines w:val="0"/>
        <w:pageBreakBefore w:val="0"/>
        <w:numPr>
          <w:ilvl w:val="0"/>
          <w:numId w:val="1"/>
        </w:numPr>
        <w:kinsoku/>
        <w:wordWrap/>
        <w:overflowPunct/>
        <w:topLinePunct w:val="0"/>
        <w:bidi w:val="0"/>
        <w:adjustRightInd w:val="0"/>
        <w:snapToGrid w:val="0"/>
        <w:spacing w:before="0" w:beforeLines="0" w:line="360" w:lineRule="auto"/>
        <w:ind w:firstLine="482" w:firstLineChars="200"/>
        <w:rPr>
          <w:rFonts w:hint="eastAsia" w:ascii="宋体" w:hAnsi="宋体" w:eastAsia="宋体" w:cs="宋体"/>
          <w:b/>
          <w:bCs w:val="0"/>
          <w:color w:val="auto"/>
          <w:sz w:val="24"/>
          <w:szCs w:val="24"/>
          <w:highlight w:val="none"/>
          <w:u w:val="single"/>
        </w:rPr>
      </w:pPr>
      <w:r>
        <w:rPr>
          <w:rFonts w:hint="eastAsia" w:ascii="宋体" w:hAnsi="宋体" w:eastAsia="宋体" w:cs="宋体"/>
          <w:b/>
          <w:bCs w:val="0"/>
          <w:color w:val="auto"/>
          <w:sz w:val="24"/>
          <w:szCs w:val="24"/>
          <w:highlight w:val="none"/>
        </w:rPr>
        <w:t>合同履行</w:t>
      </w:r>
    </w:p>
    <w:p w14:paraId="54FC3124">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（1）起始日期：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日，完成日期：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21C4B047">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履约</w:t>
      </w:r>
      <w:r>
        <w:rPr>
          <w:rFonts w:hint="eastAsia" w:ascii="宋体" w:hAnsi="宋体" w:eastAsia="宋体" w:cs="宋体"/>
          <w:color w:val="auto"/>
          <w:sz w:val="24"/>
          <w:szCs w:val="24"/>
          <w:highlight w:val="none"/>
        </w:rPr>
        <w:t>地点</w:t>
      </w:r>
      <w:r>
        <w:rPr>
          <w:rFonts w:hint="eastAsia" w:ascii="宋体" w:hAnsi="宋体" w:eastAsia="宋体" w:cs="宋体"/>
          <w:b w:val="0"/>
          <w:bCs/>
          <w:color w:val="auto"/>
          <w:sz w:val="24"/>
          <w:szCs w:val="24"/>
          <w:highlight w:val="none"/>
        </w:rPr>
        <w:t>：</w:t>
      </w:r>
      <w:r>
        <w:rPr>
          <w:rFonts w:hint="eastAsia" w:ascii="宋体" w:hAnsi="宋体" w:eastAsia="宋体" w:cs="宋体"/>
          <w:color w:val="auto"/>
          <w:sz w:val="24"/>
          <w:szCs w:val="24"/>
          <w:highlight w:val="none"/>
          <w:u w:val="single"/>
        </w:rPr>
        <w:t xml:space="preserve">                             </w:t>
      </w:r>
    </w:p>
    <w:p w14:paraId="0C334465">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rPr>
        <w:t>（3）履约担保：</w:t>
      </w:r>
      <w:r>
        <w:rPr>
          <w:rFonts w:hint="eastAsia" w:ascii="宋体" w:hAnsi="宋体" w:eastAsia="宋体" w:cs="宋体"/>
          <w:color w:val="auto"/>
          <w:sz w:val="24"/>
          <w:szCs w:val="24"/>
          <w:highlight w:val="none"/>
          <w:lang w:val="en-US" w:eastAsia="zh-CN"/>
        </w:rPr>
        <w:t>是否收取履约保证金：</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lang w:eastAsia="zh-CN"/>
        </w:rPr>
        <w:t>是</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lang w:eastAsia="zh-CN"/>
        </w:rPr>
        <w:t>否</w:t>
      </w:r>
    </w:p>
    <w:p w14:paraId="4114D87A">
      <w:pPr>
        <w:pStyle w:val="15"/>
        <w:keepNext w:val="0"/>
        <w:keepLines w:val="0"/>
        <w:pageBreakBefore w:val="0"/>
        <w:kinsoku/>
        <w:wordWrap/>
        <w:overflowPunct/>
        <w:topLinePunct w:val="0"/>
        <w:bidi w:val="0"/>
        <w:spacing w:beforeLines="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 xml:space="preserve">  收取履约保证金形式：</w:t>
      </w:r>
      <w:r>
        <w:rPr>
          <w:rFonts w:hint="eastAsia" w:ascii="宋体" w:hAnsi="宋体" w:eastAsia="宋体" w:cs="宋体"/>
          <w:bCs/>
          <w:color w:val="auto"/>
          <w:sz w:val="24"/>
          <w:szCs w:val="24"/>
          <w:highlight w:val="none"/>
          <w:u w:val="single"/>
        </w:rPr>
        <w:t xml:space="preserve">                            </w:t>
      </w:r>
    </w:p>
    <w:p w14:paraId="39A6C98D">
      <w:pPr>
        <w:pStyle w:val="15"/>
        <w:keepNext w:val="0"/>
        <w:keepLines w:val="0"/>
        <w:pageBreakBefore w:val="0"/>
        <w:kinsoku/>
        <w:wordWrap/>
        <w:overflowPunct/>
        <w:topLinePunct w:val="0"/>
        <w:bidi w:val="0"/>
        <w:spacing w:beforeLines="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收取履约保证金金额：</w:t>
      </w:r>
      <w:r>
        <w:rPr>
          <w:rFonts w:hint="eastAsia" w:ascii="宋体" w:hAnsi="宋体" w:eastAsia="宋体" w:cs="宋体"/>
          <w:bCs/>
          <w:color w:val="auto"/>
          <w:sz w:val="24"/>
          <w:szCs w:val="24"/>
          <w:highlight w:val="none"/>
          <w:u w:val="single"/>
        </w:rPr>
        <w:t xml:space="preserve">                            </w:t>
      </w:r>
    </w:p>
    <w:p w14:paraId="1B332FEF">
      <w:pPr>
        <w:keepNext w:val="0"/>
        <w:keepLines w:val="0"/>
        <w:pageBreakBefore w:val="0"/>
        <w:kinsoku/>
        <w:wordWrap/>
        <w:overflowPunct/>
        <w:topLinePunct w:val="0"/>
        <w:bidi w:val="0"/>
        <w:snapToGrid w:val="0"/>
        <w:spacing w:beforeLines="0"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u w:val="none"/>
          <w:lang w:val="en-US" w:eastAsia="zh-CN"/>
        </w:rPr>
        <w:t xml:space="preserve">    履约担保期限</w:t>
      </w:r>
      <w:r>
        <w:rPr>
          <w:rFonts w:hint="eastAsia" w:ascii="宋体" w:hAnsi="宋体" w:eastAsia="宋体" w:cs="宋体"/>
          <w:bCs/>
          <w:color w:val="auto"/>
          <w:sz w:val="24"/>
          <w:szCs w:val="24"/>
          <w:highlight w:val="none"/>
          <w:u w:val="none"/>
          <w:lang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p>
    <w:p w14:paraId="068EC541">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（4）分期履行要求：</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p>
    <w:p w14:paraId="20482A49">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（5）</w:t>
      </w:r>
      <w:r>
        <w:rPr>
          <w:rFonts w:hint="eastAsia" w:ascii="宋体" w:hAnsi="宋体" w:eastAsia="宋体" w:cs="宋体"/>
          <w:bCs/>
          <w:color w:val="auto"/>
          <w:sz w:val="24"/>
          <w:szCs w:val="24"/>
          <w:highlight w:val="none"/>
          <w:lang w:eastAsia="zh-CN"/>
        </w:rPr>
        <w:t>风险处置措施和替代方案</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u w:val="single"/>
        </w:rPr>
        <w:t xml:space="preserve">                                                               </w:t>
      </w:r>
    </w:p>
    <w:p w14:paraId="4E65D969">
      <w:pPr>
        <w:keepNext w:val="0"/>
        <w:keepLines w:val="0"/>
        <w:pageBreakBefore w:val="0"/>
        <w:numPr>
          <w:ilvl w:val="0"/>
          <w:numId w:val="1"/>
        </w:numPr>
        <w:kinsoku/>
        <w:wordWrap/>
        <w:overflowPunct/>
        <w:topLinePunct w:val="0"/>
        <w:bidi w:val="0"/>
        <w:adjustRightInd w:val="0"/>
        <w:snapToGrid w:val="0"/>
        <w:spacing w:before="0" w:beforeLines="0"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合同验收</w:t>
      </w:r>
    </w:p>
    <w:p w14:paraId="29D3E289">
      <w:pPr>
        <w:keepNext w:val="0"/>
        <w:keepLines w:val="0"/>
        <w:pageBreakBefore w:val="0"/>
        <w:numPr>
          <w:ilvl w:val="0"/>
          <w:numId w:val="3"/>
        </w:numPr>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验收组织方式：</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自行组织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委托第三方组织</w:t>
      </w:r>
    </w:p>
    <w:p w14:paraId="13A503AA">
      <w:pPr>
        <w:keepNext w:val="0"/>
        <w:keepLines w:val="0"/>
        <w:pageBreakBefore w:val="0"/>
        <w:numPr>
          <w:ilvl w:val="0"/>
          <w:numId w:val="0"/>
        </w:numPr>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验收主体：</w:t>
      </w:r>
      <w:r>
        <w:rPr>
          <w:rFonts w:hint="eastAsia" w:ascii="宋体" w:hAnsi="宋体" w:eastAsia="宋体" w:cs="宋体"/>
          <w:bCs/>
          <w:color w:val="auto"/>
          <w:sz w:val="24"/>
          <w:szCs w:val="24"/>
          <w:highlight w:val="none"/>
          <w:u w:val="single"/>
        </w:rPr>
        <w:t xml:space="preserve">                  </w:t>
      </w:r>
    </w:p>
    <w:p w14:paraId="43B74CC3">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是否邀请本项目的其他供应商</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300DA642">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是否邀请专家</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71A0FC46">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是否邀请服务对象</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22C570CC">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是否邀请第三方检测机构</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56CEB389">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是否进行抽查检测：</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是</w:t>
      </w:r>
      <w:r>
        <w:rPr>
          <w:rFonts w:hint="eastAsia" w:ascii="宋体" w:hAnsi="宋体" w:eastAsia="宋体" w:cs="宋体"/>
          <w:bCs/>
          <w:color w:val="auto"/>
          <w:sz w:val="24"/>
          <w:szCs w:val="24"/>
          <w:highlight w:val="none"/>
          <w:lang w:eastAsia="zh-CN"/>
        </w:rPr>
        <w:t>，抽查比例：</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1131DCFE">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lang w:val="en-US" w:eastAsia="zh-CN"/>
        </w:rPr>
        <w:t>是否存在破坏性检测：</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是</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u w:val="single"/>
          <w:lang w:eastAsia="zh-CN"/>
        </w:rPr>
        <w:t>（应明确对被破坏的检测产品的处理方式）</w:t>
      </w:r>
    </w:p>
    <w:p w14:paraId="7487FE74">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19486F21">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验收组织的其他事项：</w:t>
      </w:r>
      <w:r>
        <w:rPr>
          <w:rFonts w:hint="eastAsia" w:ascii="宋体" w:hAnsi="宋体" w:eastAsia="宋体" w:cs="宋体"/>
          <w:bCs/>
          <w:color w:val="auto"/>
          <w:sz w:val="24"/>
          <w:szCs w:val="24"/>
          <w:highlight w:val="none"/>
          <w:u w:val="single"/>
        </w:rPr>
        <w:t xml:space="preserve">                </w:t>
      </w:r>
    </w:p>
    <w:p w14:paraId="054A2139">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（2）履约验收时间：</w:t>
      </w:r>
      <w:r>
        <w:rPr>
          <w:rFonts w:hint="eastAsia" w:ascii="宋体" w:hAnsi="宋体" w:eastAsia="宋体" w:cs="宋体"/>
          <w:bCs/>
          <w:color w:val="auto"/>
          <w:sz w:val="24"/>
          <w:szCs w:val="24"/>
          <w:highlight w:val="none"/>
          <w:u w:val="single"/>
        </w:rPr>
        <w:t>（计划于何时验收/供应商提出验收申请之日起   日内组织验收）</w:t>
      </w:r>
      <w:r>
        <w:rPr>
          <w:rFonts w:hint="eastAsia" w:ascii="宋体" w:hAnsi="宋体" w:eastAsia="宋体" w:cs="宋体"/>
          <w:bCs/>
          <w:color w:val="auto"/>
          <w:sz w:val="24"/>
          <w:szCs w:val="24"/>
          <w:highlight w:val="none"/>
          <w:u w:val="single"/>
          <w:lang w:val="en-US" w:eastAsia="zh-CN"/>
        </w:rPr>
        <w:t xml:space="preserve"> </w:t>
      </w:r>
    </w:p>
    <w:p w14:paraId="4DBD00F3">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（3）履约验收方式：</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一次性验收         </w:t>
      </w:r>
    </w:p>
    <w:p w14:paraId="74029571">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分期/分项验收</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eastAsia="zh-CN"/>
        </w:rPr>
        <w:t>（应明确分期</w:t>
      </w:r>
      <w:r>
        <w:rPr>
          <w:rFonts w:hint="eastAsia" w:ascii="宋体" w:hAnsi="宋体" w:eastAsia="宋体" w:cs="宋体"/>
          <w:bCs/>
          <w:color w:val="auto"/>
          <w:sz w:val="24"/>
          <w:szCs w:val="24"/>
          <w:highlight w:val="none"/>
          <w:u w:val="single"/>
          <w:lang w:val="en" w:eastAsia="zh-CN"/>
        </w:rPr>
        <w:t>/分项验收的工作安排</w:t>
      </w: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p>
    <w:p w14:paraId="642244D6">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（4）履约验收程序：</w:t>
      </w:r>
      <w:r>
        <w:rPr>
          <w:rFonts w:hint="eastAsia" w:ascii="宋体" w:hAnsi="宋体" w:eastAsia="宋体" w:cs="宋体"/>
          <w:bCs/>
          <w:color w:val="auto"/>
          <w:sz w:val="24"/>
          <w:szCs w:val="24"/>
          <w:highlight w:val="none"/>
          <w:u w:val="single"/>
        </w:rPr>
        <w:t xml:space="preserve">                                         </w:t>
      </w:r>
    </w:p>
    <w:p w14:paraId="3F59F732">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（5）履约验收的内容：</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color w:val="auto"/>
          <w:sz w:val="24"/>
          <w:szCs w:val="24"/>
          <w:highlight w:val="none"/>
          <w:u w:val="single"/>
        </w:rPr>
        <w:t xml:space="preserve">                                      </w:t>
      </w:r>
    </w:p>
    <w:p w14:paraId="7E5CC2F0">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（6）履约验收标准：</w:t>
      </w:r>
      <w:r>
        <w:rPr>
          <w:rFonts w:hint="eastAsia" w:ascii="宋体" w:hAnsi="宋体" w:eastAsia="宋体" w:cs="宋体"/>
          <w:bCs/>
          <w:color w:val="auto"/>
          <w:sz w:val="24"/>
          <w:szCs w:val="24"/>
          <w:highlight w:val="none"/>
          <w:u w:val="single"/>
        </w:rPr>
        <w:t xml:space="preserve">                                         </w:t>
      </w:r>
    </w:p>
    <w:p w14:paraId="5D8672A9">
      <w:pPr>
        <w:pStyle w:val="15"/>
        <w:keepNext w:val="0"/>
        <w:keepLines w:val="0"/>
        <w:pageBreakBefore w:val="0"/>
        <w:kinsoku/>
        <w:wordWrap/>
        <w:overflowPunct/>
        <w:topLinePunct w:val="0"/>
        <w:bidi w:val="0"/>
        <w:spacing w:beforeLines="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u w:val="none"/>
          <w:lang w:eastAsia="zh-CN"/>
        </w:rPr>
        <w:t>（</w:t>
      </w:r>
      <w:r>
        <w:rPr>
          <w:rFonts w:hint="eastAsia" w:ascii="宋体" w:hAnsi="宋体" w:eastAsia="宋体" w:cs="宋体"/>
          <w:bCs/>
          <w:color w:val="auto"/>
          <w:sz w:val="24"/>
          <w:szCs w:val="24"/>
          <w:highlight w:val="none"/>
          <w:u w:val="none"/>
          <w:lang w:val="en-US" w:eastAsia="zh-CN"/>
        </w:rPr>
        <w:t>7</w:t>
      </w:r>
      <w:r>
        <w:rPr>
          <w:rFonts w:hint="eastAsia" w:ascii="宋体" w:hAnsi="宋体" w:eastAsia="宋体" w:cs="宋体"/>
          <w:bCs/>
          <w:color w:val="auto"/>
          <w:sz w:val="24"/>
          <w:szCs w:val="24"/>
          <w:highlight w:val="none"/>
          <w:u w:val="none"/>
          <w:lang w:eastAsia="zh-CN"/>
        </w:rPr>
        <w:t>）是否以采购活动中供应商提供的样品作为参考：</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6660A80D">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（8）履约验收其他事项：</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i w:val="0"/>
          <w:iCs w:val="0"/>
          <w:color w:val="auto"/>
          <w:sz w:val="24"/>
          <w:szCs w:val="24"/>
          <w:highlight w:val="none"/>
          <w:u w:val="single"/>
        </w:rPr>
        <w:t>（产权过户登记等）</w:t>
      </w:r>
      <w:r>
        <w:rPr>
          <w:rFonts w:hint="eastAsia" w:ascii="宋体" w:hAnsi="宋体" w:eastAsia="宋体" w:cs="宋体"/>
          <w:bCs/>
          <w:color w:val="auto"/>
          <w:sz w:val="24"/>
          <w:szCs w:val="24"/>
          <w:highlight w:val="none"/>
          <w:u w:val="single"/>
        </w:rPr>
        <w:t xml:space="preserve">          </w:t>
      </w:r>
    </w:p>
    <w:p w14:paraId="29B4577A">
      <w:pPr>
        <w:keepNext w:val="0"/>
        <w:keepLines w:val="0"/>
        <w:pageBreakBefore w:val="0"/>
        <w:numPr>
          <w:ilvl w:val="0"/>
          <w:numId w:val="1"/>
        </w:numPr>
        <w:kinsoku/>
        <w:wordWrap/>
        <w:overflowPunct/>
        <w:topLinePunct w:val="0"/>
        <w:bidi w:val="0"/>
        <w:adjustRightInd w:val="0"/>
        <w:snapToGrid w:val="0"/>
        <w:spacing w:before="0" w:beforeLines="0"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组成合同的文件</w:t>
      </w:r>
    </w:p>
    <w:p w14:paraId="3E9C606B">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本协议书与下列文件一起构成合同文件，如下述文件之间有任何抵触、矛盾或歧义，应按以下顺序解释：</w:t>
      </w:r>
    </w:p>
    <w:p w14:paraId="58A9BF84">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p>
    <w:p w14:paraId="0262A004">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）政府采购合同专用条款</w:t>
      </w:r>
    </w:p>
    <w:p w14:paraId="441279B8">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）政府采购合同通用条款</w:t>
      </w:r>
    </w:p>
    <w:p w14:paraId="72910CBC">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6687FA0A">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）投标（响应）文件</w:t>
      </w:r>
    </w:p>
    <w:p w14:paraId="2370A9A4">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（6）采购文件</w:t>
      </w:r>
    </w:p>
    <w:p w14:paraId="6339120F">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（7）有关技术文件，图纸</w:t>
      </w:r>
    </w:p>
    <w:p w14:paraId="3BE935DD">
      <w:pPr>
        <w:pStyle w:val="15"/>
        <w:keepNext w:val="0"/>
        <w:keepLines w:val="0"/>
        <w:pageBreakBefore w:val="0"/>
        <w:kinsoku/>
        <w:wordWrap/>
        <w:overflowPunct/>
        <w:topLinePunct w:val="0"/>
        <w:bidi w:val="0"/>
        <w:spacing w:beforeLines="0" w:line="360" w:lineRule="auto"/>
        <w:ind w:firstLine="480" w:firstLineChars="200"/>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w:t>
      </w:r>
      <w:r>
        <w:rPr>
          <w:rFonts w:hint="eastAsia" w:ascii="宋体" w:hAnsi="宋体" w:eastAsia="宋体" w:cs="宋体"/>
          <w:bCs w:val="0"/>
          <w:color w:val="auto"/>
          <w:kern w:val="2"/>
          <w:sz w:val="24"/>
          <w:szCs w:val="24"/>
          <w:highlight w:val="none"/>
          <w:lang w:eastAsia="zh-CN"/>
        </w:rPr>
        <w:t>国家法律、行政法规和规章制度规定或合同约定的作为合同组成部分的其他文件</w:t>
      </w:r>
    </w:p>
    <w:p w14:paraId="3A86501C">
      <w:pPr>
        <w:keepNext w:val="0"/>
        <w:keepLines w:val="0"/>
        <w:pageBreakBefore w:val="0"/>
        <w:numPr>
          <w:ilvl w:val="0"/>
          <w:numId w:val="1"/>
        </w:numPr>
        <w:kinsoku/>
        <w:wordWrap/>
        <w:overflowPunct/>
        <w:topLinePunct w:val="0"/>
        <w:bidi w:val="0"/>
        <w:adjustRightInd w:val="0"/>
        <w:snapToGrid w:val="0"/>
        <w:spacing w:before="0" w:beforeLines="0"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合同生效</w:t>
      </w:r>
    </w:p>
    <w:p w14:paraId="25A00DA8">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生效。</w:t>
      </w:r>
    </w:p>
    <w:p w14:paraId="0C9B01CD">
      <w:pPr>
        <w:keepNext w:val="0"/>
        <w:keepLines w:val="0"/>
        <w:pageBreakBefore w:val="0"/>
        <w:numPr>
          <w:ilvl w:val="0"/>
          <w:numId w:val="1"/>
        </w:numPr>
        <w:kinsoku/>
        <w:wordWrap/>
        <w:overflowPunct/>
        <w:topLinePunct w:val="0"/>
        <w:bidi w:val="0"/>
        <w:adjustRightInd w:val="0"/>
        <w:snapToGrid w:val="0"/>
        <w:spacing w:before="0" w:beforeLines="0"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合同份数</w:t>
      </w:r>
    </w:p>
    <w:p w14:paraId="2ABC31D9">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份，均具有同等法律效力。</w:t>
      </w:r>
    </w:p>
    <w:p w14:paraId="5309CC0C">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合同订立时间：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1FF2F1AE">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合同订立地点：</w:t>
      </w:r>
      <w:r>
        <w:rPr>
          <w:rFonts w:hint="eastAsia" w:ascii="宋体" w:hAnsi="宋体" w:eastAsia="宋体" w:cs="宋体"/>
          <w:color w:val="auto"/>
          <w:sz w:val="24"/>
          <w:szCs w:val="24"/>
          <w:highlight w:val="none"/>
          <w:u w:val="single"/>
        </w:rPr>
        <w:t xml:space="preserve">                           </w:t>
      </w:r>
    </w:p>
    <w:p w14:paraId="2FCC7565">
      <w:pPr>
        <w:keepNext w:val="0"/>
        <w:keepLines w:val="0"/>
        <w:pageBreakBefore w:val="0"/>
        <w:kinsoku/>
        <w:wordWrap/>
        <w:overflowPunct/>
        <w:topLinePunct w:val="0"/>
        <w:bidi w:val="0"/>
        <w:adjustRightInd w:val="0"/>
        <w:snapToGrid w:val="0"/>
        <w:spacing w:before="0" w:beforeLines="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附件：具体标</w:t>
      </w:r>
      <w:r>
        <w:rPr>
          <w:rFonts w:hint="eastAsia" w:ascii="宋体" w:hAnsi="宋体" w:eastAsia="宋体" w:cs="宋体"/>
          <w:color w:val="auto"/>
          <w:sz w:val="24"/>
          <w:szCs w:val="24"/>
          <w:highlight w:val="none"/>
          <w:lang w:eastAsia="zh-CN"/>
        </w:rPr>
        <w:t>的及其</w:t>
      </w:r>
      <w:r>
        <w:rPr>
          <w:rFonts w:hint="eastAsia" w:ascii="宋体" w:hAnsi="宋体" w:eastAsia="宋体" w:cs="宋体"/>
          <w:color w:val="auto"/>
          <w:sz w:val="24"/>
          <w:szCs w:val="24"/>
          <w:highlight w:val="none"/>
          <w:u w:val="none"/>
          <w:lang w:val="en-US" w:eastAsia="zh-CN"/>
        </w:rPr>
        <w:t>技术要求和商务要求</w:t>
      </w:r>
      <w:r>
        <w:rPr>
          <w:rFonts w:hint="eastAsia" w:ascii="宋体" w:hAnsi="宋体" w:eastAsia="宋体" w:cs="宋体"/>
          <w:color w:val="auto"/>
          <w:sz w:val="24"/>
          <w:szCs w:val="24"/>
          <w:highlight w:val="none"/>
        </w:rPr>
        <w:t>、联合协议、分包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协议等。</w:t>
      </w:r>
    </w:p>
    <w:p w14:paraId="5D3EB6AF">
      <w:pPr>
        <w:pStyle w:val="16"/>
        <w:spacing w:beforeLines="0" w:line="400" w:lineRule="exact"/>
        <w:rPr>
          <w:rFonts w:hint="eastAsia" w:ascii="宋体" w:hAnsi="宋体" w:eastAsia="宋体" w:cs="宋体"/>
          <w:color w:val="auto"/>
          <w:sz w:val="24"/>
          <w:szCs w:val="24"/>
          <w:highlight w:val="none"/>
        </w:rPr>
      </w:pPr>
    </w:p>
    <w:p w14:paraId="09ADB30A">
      <w:pPr>
        <w:pStyle w:val="2"/>
        <w:adjustRightInd w:val="0"/>
        <w:snapToGrid w:val="0"/>
        <w:spacing w:before="156" w:beforeLines="50"/>
        <w:jc w:val="center"/>
        <w:rPr>
          <w:rFonts w:hint="eastAsia" w:ascii="宋体" w:hAnsi="宋体" w:eastAsia="宋体" w:cs="宋体"/>
          <w:color w:val="auto"/>
          <w:sz w:val="24"/>
          <w:szCs w:val="24"/>
          <w:highlight w:val="none"/>
        </w:rPr>
      </w:pPr>
      <w:bookmarkStart w:id="188" w:name="_Toc27624"/>
      <w:r>
        <w:rPr>
          <w:rFonts w:hint="eastAsia" w:ascii="宋体" w:hAnsi="宋体" w:eastAsia="宋体" w:cs="宋体"/>
          <w:b w:val="0"/>
          <w:bCs w:val="0"/>
          <w:color w:val="auto"/>
          <w:sz w:val="24"/>
          <w:szCs w:val="24"/>
          <w:highlight w:val="none"/>
        </w:rPr>
        <w:t>第二节 政府采购合同通用条款</w:t>
      </w:r>
      <w:bookmarkEnd w:id="188"/>
    </w:p>
    <w:p w14:paraId="2E97D7A4">
      <w:pPr>
        <w:tabs>
          <w:tab w:val="left" w:pos="8820"/>
          <w:tab w:val="left" w:pos="9345"/>
          <w:tab w:val="left" w:pos="9765"/>
        </w:tabs>
        <w:adjustRightInd w:val="0"/>
        <w:snapToGrid w:val="0"/>
        <w:spacing w:before="0" w:line="400" w:lineRule="exact"/>
        <w:jc w:val="left"/>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bCs/>
          <w:color w:val="auto"/>
          <w:sz w:val="24"/>
          <w:szCs w:val="24"/>
          <w:highlight w:val="none"/>
        </w:rPr>
        <w:t>定义</w:t>
      </w:r>
    </w:p>
    <w:p w14:paraId="0FA7B662">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1.1合同当事人</w:t>
      </w:r>
    </w:p>
    <w:p w14:paraId="4062EC03">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（1）采购人（以下称甲方）是指使用财政性资金，通过政府采购方式向供应商购买货物</w:t>
      </w:r>
      <w:r>
        <w:rPr>
          <w:rFonts w:hint="eastAsia" w:ascii="宋体" w:hAnsi="宋体" w:eastAsia="宋体" w:cs="宋体"/>
          <w:color w:val="auto"/>
          <w:sz w:val="24"/>
          <w:szCs w:val="24"/>
          <w:highlight w:val="none"/>
          <w:lang w:val="en-US" w:eastAsia="zh-CN"/>
        </w:rPr>
        <w:t>及其相关服务的</w:t>
      </w:r>
      <w:r>
        <w:rPr>
          <w:rFonts w:hint="eastAsia" w:ascii="宋体" w:hAnsi="宋体" w:eastAsia="宋体" w:cs="宋体"/>
          <w:color w:val="auto"/>
          <w:sz w:val="24"/>
          <w:szCs w:val="24"/>
          <w:highlight w:val="none"/>
        </w:rPr>
        <w:t>国家机关、事业单位、团体组织。</w:t>
      </w:r>
    </w:p>
    <w:p w14:paraId="5A30559F">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方）是指参加政府采购活动并且中标（成交），向采购人提供</w:t>
      </w:r>
      <w:r>
        <w:rPr>
          <w:rFonts w:hint="eastAsia" w:ascii="宋体" w:hAnsi="宋体" w:eastAsia="宋体" w:cs="宋体"/>
          <w:color w:val="auto"/>
          <w:sz w:val="24"/>
          <w:szCs w:val="24"/>
          <w:highlight w:val="none"/>
          <w:lang w:val="en-US" w:eastAsia="zh-CN"/>
        </w:rPr>
        <w:t>合同约定的货物及其相关服务的法人、非法人组织或者自然人</w:t>
      </w:r>
      <w:r>
        <w:rPr>
          <w:rFonts w:hint="eastAsia" w:ascii="宋体" w:hAnsi="宋体" w:eastAsia="宋体" w:cs="宋体"/>
          <w:color w:val="auto"/>
          <w:sz w:val="24"/>
          <w:szCs w:val="24"/>
          <w:highlight w:val="none"/>
        </w:rPr>
        <w:t>。</w:t>
      </w:r>
    </w:p>
    <w:p w14:paraId="5007225E">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（3）其他合同主体是指除采购人和供应商以外，</w:t>
      </w:r>
      <w:r>
        <w:rPr>
          <w:rFonts w:hint="eastAsia" w:ascii="宋体" w:hAnsi="宋体" w:eastAsia="宋体" w:cs="宋体"/>
          <w:bCs/>
          <w:color w:val="auto"/>
          <w:sz w:val="24"/>
          <w:szCs w:val="24"/>
          <w:highlight w:val="none"/>
        </w:rPr>
        <w:t>依法参与合同缔结或履行，享有权利、承担义务的合同当事人</w:t>
      </w:r>
      <w:r>
        <w:rPr>
          <w:rFonts w:hint="eastAsia" w:ascii="宋体" w:hAnsi="宋体" w:eastAsia="宋体" w:cs="宋体"/>
          <w:color w:val="auto"/>
          <w:sz w:val="24"/>
          <w:szCs w:val="24"/>
          <w:highlight w:val="none"/>
        </w:rPr>
        <w:t>。</w:t>
      </w:r>
    </w:p>
    <w:p w14:paraId="11672F92">
      <w:pPr>
        <w:tabs>
          <w:tab w:val="left" w:pos="570"/>
          <w:tab w:val="left" w:pos="9240"/>
          <w:tab w:val="left" w:pos="9555"/>
        </w:tabs>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1.2本合同下列术语应解释为：</w:t>
      </w:r>
    </w:p>
    <w:p w14:paraId="60C5ABAA">
      <w:pPr>
        <w:adjustRightInd w:val="0"/>
        <w:snapToGrid w:val="0"/>
        <w:spacing w:before="0" w:beforeLines="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（1）“合同”系指</w:t>
      </w:r>
      <w:r>
        <w:rPr>
          <w:rFonts w:hint="eastAsia" w:ascii="宋体" w:hAnsi="宋体" w:eastAsia="宋体" w:cs="宋体"/>
          <w:bCs/>
          <w:color w:val="auto"/>
          <w:sz w:val="24"/>
          <w:szCs w:val="24"/>
          <w:highlight w:val="none"/>
        </w:rPr>
        <w:t>合同当事人意思表示达成一致的任何协议，包括签署的</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政府采购合同专用条款</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政府采购合同通用条款</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投标（响应）文件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采购文件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有关技术文件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图纸</w:t>
      </w:r>
      <w:r>
        <w:rPr>
          <w:rFonts w:hint="eastAsia" w:ascii="宋体" w:hAnsi="宋体" w:eastAsia="宋体" w:cs="宋体"/>
          <w:color w:val="auto"/>
          <w:sz w:val="24"/>
          <w:szCs w:val="24"/>
          <w:highlight w:val="none"/>
          <w:lang w:eastAsia="zh-CN"/>
        </w:rPr>
        <w:t>，以及</w:t>
      </w:r>
      <w:r>
        <w:rPr>
          <w:rFonts w:hint="eastAsia" w:ascii="宋体" w:hAnsi="宋体" w:eastAsia="宋体" w:cs="宋体"/>
          <w:bCs w:val="0"/>
          <w:color w:val="auto"/>
          <w:kern w:val="2"/>
          <w:sz w:val="24"/>
          <w:szCs w:val="24"/>
          <w:highlight w:val="none"/>
          <w:lang w:eastAsia="zh-CN"/>
        </w:rPr>
        <w:t>国家法律、行政法规和规章制度规定或合同约定的作为合同组成部分的其他文件</w:t>
      </w:r>
      <w:r>
        <w:rPr>
          <w:rFonts w:hint="eastAsia" w:ascii="宋体" w:hAnsi="宋体" w:eastAsia="宋体" w:cs="宋体"/>
          <w:color w:val="auto"/>
          <w:sz w:val="24"/>
          <w:szCs w:val="24"/>
          <w:highlight w:val="none"/>
        </w:rPr>
        <w:t>。</w:t>
      </w:r>
    </w:p>
    <w:p w14:paraId="51BD36E0">
      <w:pPr>
        <w:tabs>
          <w:tab w:val="left" w:pos="570"/>
          <w:tab w:val="left" w:pos="9240"/>
          <w:tab w:val="left" w:pos="9555"/>
        </w:tabs>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）“合同价</w:t>
      </w:r>
      <w:r>
        <w:rPr>
          <w:rFonts w:hint="eastAsia" w:ascii="宋体" w:hAnsi="宋体" w:eastAsia="宋体" w:cs="宋体"/>
          <w:color w:val="auto"/>
          <w:sz w:val="24"/>
          <w:szCs w:val="24"/>
          <w:highlight w:val="none"/>
          <w:lang w:val="en-US" w:eastAsia="zh-CN"/>
        </w:rPr>
        <w:t>款</w:t>
      </w:r>
      <w:r>
        <w:rPr>
          <w:rFonts w:hint="eastAsia" w:ascii="宋体" w:hAnsi="宋体" w:eastAsia="宋体" w:cs="宋体"/>
          <w:color w:val="auto"/>
          <w:sz w:val="24"/>
          <w:szCs w:val="24"/>
          <w:highlight w:val="none"/>
        </w:rPr>
        <w:t>”系指根据本合同规定乙方在全面履行合同义务后甲方应支付给乙方的价款。</w:t>
      </w:r>
    </w:p>
    <w:p w14:paraId="37C03B53">
      <w:pPr>
        <w:tabs>
          <w:tab w:val="left" w:pos="570"/>
          <w:tab w:val="left" w:pos="9240"/>
          <w:tab w:val="left" w:pos="9555"/>
        </w:tabs>
        <w:adjustRightInd w:val="0"/>
        <w:snapToGrid w:val="0"/>
        <w:spacing w:before="0" w:line="40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）“货物”系指乙方根据本合同规定须向甲方提供的各种形态和种类的物品，包括原材料、设备、产品（包括软件）及相关的其备品备件、工具、手册及</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技术资料和材料</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p>
    <w:p w14:paraId="7EC5E7A6">
      <w:pPr>
        <w:adjustRightInd w:val="0"/>
        <w:snapToGrid w:val="0"/>
        <w:spacing w:before="0" w:line="40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相关</w:t>
      </w:r>
      <w:r>
        <w:rPr>
          <w:rFonts w:hint="eastAsia" w:ascii="宋体" w:hAnsi="宋体" w:eastAsia="宋体" w:cs="宋体"/>
          <w:color w:val="auto"/>
          <w:sz w:val="24"/>
          <w:szCs w:val="24"/>
          <w:highlight w:val="none"/>
        </w:rPr>
        <w:t>服务”系指根据合同规定，乙方应提供的</w:t>
      </w:r>
      <w:r>
        <w:rPr>
          <w:rFonts w:hint="eastAsia" w:ascii="宋体" w:hAnsi="宋体" w:eastAsia="宋体" w:cs="宋体"/>
          <w:color w:val="auto"/>
          <w:sz w:val="24"/>
          <w:szCs w:val="24"/>
          <w:highlight w:val="none"/>
          <w:lang w:val="en-US" w:eastAsia="zh-CN"/>
        </w:rPr>
        <w:t>与货物有关的</w:t>
      </w:r>
      <w:r>
        <w:rPr>
          <w:rFonts w:hint="eastAsia" w:ascii="宋体" w:hAnsi="宋体" w:eastAsia="宋体" w:cs="宋体"/>
          <w:color w:val="auto"/>
          <w:sz w:val="24"/>
          <w:szCs w:val="24"/>
          <w:highlight w:val="none"/>
        </w:rPr>
        <w:t>技术、管理和</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服务，包括但不限于：管理和质量保证、运输、保险、检验、现场准备、安装、集成、调试、培训、维修、</w:t>
      </w:r>
      <w:r>
        <w:rPr>
          <w:rFonts w:hint="eastAsia" w:ascii="宋体" w:hAnsi="宋体" w:eastAsia="宋体" w:cs="宋体"/>
          <w:color w:val="auto"/>
          <w:sz w:val="24"/>
          <w:szCs w:val="24"/>
          <w:highlight w:val="none"/>
          <w:lang w:eastAsia="zh-CN"/>
        </w:rPr>
        <w:t>废弃处置、</w:t>
      </w:r>
      <w:r>
        <w:rPr>
          <w:rFonts w:hint="eastAsia" w:ascii="宋体" w:hAnsi="宋体" w:eastAsia="宋体" w:cs="宋体"/>
          <w:color w:val="auto"/>
          <w:sz w:val="24"/>
          <w:szCs w:val="24"/>
          <w:highlight w:val="none"/>
        </w:rPr>
        <w:t>技术支持等以及合同中规定乙方应承担的</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义务。</w:t>
      </w:r>
    </w:p>
    <w:p w14:paraId="2AFC8454">
      <w:pPr>
        <w:adjustRightInd w:val="0"/>
        <w:snapToGrid w:val="0"/>
        <w:spacing w:before="0" w:line="40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）“分包”系指中标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成交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供应商按采购文件、投标（响应）文件的规定，根据分包意向协议，将中标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成交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项目中的部分履约内容，分给具有相应资质条件的供应商履行合同的行为。</w:t>
      </w:r>
    </w:p>
    <w:p w14:paraId="0716B4B4">
      <w:pPr>
        <w:tabs>
          <w:tab w:val="left" w:pos="570"/>
          <w:tab w:val="left" w:pos="9240"/>
          <w:tab w:val="left" w:pos="9555"/>
        </w:tabs>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）“联合体”系指</w:t>
      </w:r>
      <w:r>
        <w:rPr>
          <w:rFonts w:hint="eastAsia" w:ascii="宋体" w:hAnsi="宋体" w:eastAsia="宋体" w:cs="宋体"/>
          <w:color w:val="auto"/>
          <w:sz w:val="24"/>
          <w:szCs w:val="24"/>
          <w:highlight w:val="none"/>
          <w:lang w:eastAsia="zh-CN"/>
        </w:rPr>
        <w:t>由</w:t>
      </w:r>
      <w:r>
        <w:rPr>
          <w:rFonts w:hint="eastAsia" w:ascii="宋体" w:hAnsi="宋体" w:eastAsia="宋体" w:cs="宋体"/>
          <w:color w:val="auto"/>
          <w:sz w:val="24"/>
          <w:szCs w:val="24"/>
          <w:highlight w:val="none"/>
        </w:rPr>
        <w:t>两个以上的自然人、法人或者</w:t>
      </w:r>
      <w:r>
        <w:rPr>
          <w:rFonts w:hint="eastAsia" w:ascii="宋体" w:hAnsi="宋体" w:eastAsia="宋体" w:cs="宋体"/>
          <w:color w:val="auto"/>
          <w:sz w:val="24"/>
          <w:szCs w:val="24"/>
          <w:highlight w:val="none"/>
          <w:lang w:val="en-US" w:eastAsia="zh-CN"/>
        </w:rPr>
        <w:t>非法人</w:t>
      </w:r>
      <w:r>
        <w:rPr>
          <w:rFonts w:hint="eastAsia" w:ascii="宋体" w:hAnsi="宋体" w:eastAsia="宋体" w:cs="宋体"/>
          <w:color w:val="auto"/>
          <w:sz w:val="24"/>
          <w:szCs w:val="24"/>
          <w:highlight w:val="none"/>
        </w:rPr>
        <w:t>组织组成，</w:t>
      </w:r>
      <w:r>
        <w:rPr>
          <w:rFonts w:hint="eastAsia" w:ascii="宋体" w:hAnsi="宋体" w:eastAsia="宋体" w:cs="宋体"/>
          <w:color w:val="auto"/>
          <w:sz w:val="24"/>
          <w:szCs w:val="24"/>
          <w:highlight w:val="none"/>
          <w:lang w:eastAsia="zh-CN"/>
        </w:rPr>
        <w:t>以一个供应商的身份共同参加政府采购的主体。</w:t>
      </w:r>
      <w:r>
        <w:rPr>
          <w:rFonts w:hint="eastAsia" w:ascii="宋体" w:hAnsi="宋体" w:eastAsia="宋体" w:cs="宋体"/>
          <w:color w:val="auto"/>
          <w:sz w:val="24"/>
          <w:szCs w:val="24"/>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承担连带责任。联合体具体要求见【</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w:t>
      </w:r>
    </w:p>
    <w:p w14:paraId="61A87C8C">
      <w:pPr>
        <w:tabs>
          <w:tab w:val="left" w:pos="570"/>
          <w:tab w:val="left" w:pos="9240"/>
          <w:tab w:val="left" w:pos="9555"/>
        </w:tabs>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）其他术语解释，见【</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w:t>
      </w:r>
    </w:p>
    <w:p w14:paraId="38DD4799">
      <w:pPr>
        <w:numPr>
          <w:ilvl w:val="0"/>
          <w:numId w:val="4"/>
        </w:numPr>
        <w:autoSpaceDE w:val="0"/>
        <w:autoSpaceDN w:val="0"/>
        <w:adjustRightInd w:val="0"/>
        <w:snapToGrid w:val="0"/>
        <w:spacing w:before="0" w:line="400" w:lineRule="exact"/>
        <w:jc w:val="left"/>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合同标的及金额</w:t>
      </w:r>
    </w:p>
    <w:p w14:paraId="2B946C51">
      <w:pPr>
        <w:autoSpaceDE w:val="0"/>
        <w:autoSpaceDN w:val="0"/>
        <w:adjustRightInd w:val="0"/>
        <w:snapToGrid w:val="0"/>
        <w:spacing w:before="0" w:line="400" w:lineRule="exact"/>
        <w:ind w:firstLine="480" w:firstLineChars="200"/>
        <w:jc w:val="left"/>
        <w:rPr>
          <w:rFonts w:hint="eastAsia" w:ascii="宋体" w:hAnsi="宋体" w:eastAsia="宋体" w:cs="宋体"/>
          <w:b/>
          <w:bCs/>
          <w:i/>
          <w:iCs/>
          <w:color w:val="auto"/>
          <w:sz w:val="24"/>
          <w:szCs w:val="24"/>
          <w:highlight w:val="none"/>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.1 合同标的及金额应与中标（成交）结果一致。乙方为履行本合同而发生的所有费用均应包含在合同</w:t>
      </w:r>
      <w:r>
        <w:rPr>
          <w:rFonts w:hint="eastAsia" w:ascii="宋体" w:hAnsi="宋体" w:eastAsia="宋体" w:cs="宋体"/>
          <w:color w:val="auto"/>
          <w:sz w:val="24"/>
          <w:szCs w:val="24"/>
          <w:highlight w:val="none"/>
          <w:lang w:eastAsia="zh-CN"/>
        </w:rPr>
        <w:t>价款</w:t>
      </w:r>
      <w:r>
        <w:rPr>
          <w:rFonts w:hint="eastAsia" w:ascii="宋体" w:hAnsi="宋体" w:eastAsia="宋体" w:cs="宋体"/>
          <w:color w:val="auto"/>
          <w:sz w:val="24"/>
          <w:szCs w:val="24"/>
          <w:highlight w:val="none"/>
        </w:rPr>
        <w:t>中，甲方不再另行支付</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任何费用。</w:t>
      </w:r>
    </w:p>
    <w:p w14:paraId="0839AF16">
      <w:pPr>
        <w:adjustRightInd w:val="0"/>
        <w:snapToGrid w:val="0"/>
        <w:spacing w:before="0" w:line="40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3</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履行合同的时间、地点和方式</w:t>
      </w:r>
    </w:p>
    <w:p w14:paraId="532E9319">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.1 乙方应当在约定的时间、地点</w:t>
      </w:r>
      <w:r>
        <w:rPr>
          <w:rFonts w:hint="eastAsia" w:ascii="宋体" w:hAnsi="宋体" w:eastAsia="宋体" w:cs="宋体"/>
          <w:color w:val="auto"/>
          <w:sz w:val="24"/>
          <w:szCs w:val="24"/>
          <w:highlight w:val="none"/>
          <w:lang w:eastAsia="zh-CN"/>
        </w:rPr>
        <w:t>，按照约定</w:t>
      </w:r>
      <w:r>
        <w:rPr>
          <w:rFonts w:hint="eastAsia" w:ascii="宋体" w:hAnsi="宋体" w:eastAsia="宋体" w:cs="宋体"/>
          <w:color w:val="auto"/>
          <w:sz w:val="24"/>
          <w:szCs w:val="24"/>
          <w:highlight w:val="none"/>
        </w:rPr>
        <w:t>方式履行合同。</w:t>
      </w:r>
    </w:p>
    <w:p w14:paraId="46521684">
      <w:pPr>
        <w:autoSpaceDE w:val="0"/>
        <w:autoSpaceDN w:val="0"/>
        <w:adjustRightInd w:val="0"/>
        <w:snapToGrid w:val="0"/>
        <w:spacing w:before="0" w:line="400" w:lineRule="exact"/>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甲方的权利和义务</w:t>
      </w:r>
    </w:p>
    <w:p w14:paraId="49BF7A88">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签署合同后，甲方</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确定</w:t>
      </w:r>
      <w:r>
        <w:rPr>
          <w:rFonts w:hint="eastAsia" w:ascii="宋体" w:hAnsi="宋体" w:eastAsia="宋体" w:cs="宋体"/>
          <w:color w:val="auto"/>
          <w:sz w:val="24"/>
          <w:szCs w:val="24"/>
          <w:highlight w:val="none"/>
          <w:lang w:val="en-US" w:eastAsia="zh-CN"/>
        </w:rPr>
        <w:t>项目负责人（或项目联系人）</w:t>
      </w:r>
      <w:r>
        <w:rPr>
          <w:rFonts w:hint="eastAsia" w:ascii="宋体" w:hAnsi="宋体" w:eastAsia="宋体" w:cs="宋体"/>
          <w:color w:val="auto"/>
          <w:sz w:val="24"/>
          <w:szCs w:val="24"/>
          <w:highlight w:val="none"/>
        </w:rPr>
        <w:t>，负责与本合同有关的事务。甲方有权对乙方的履约行为进行检查，并及时确认乙方提交的事项。甲方应当配合乙方完成相关项目实施工作。</w:t>
      </w:r>
    </w:p>
    <w:p w14:paraId="32D184D8">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.2 甲方有权要求乙方按时提交各阶段有关安排计划，并有权定期核对乙方提供货物数量、规格、质量等内容。甲方有权督促乙方工作并要求乙方更换不符合要求的货物。</w:t>
      </w:r>
    </w:p>
    <w:p w14:paraId="0957C756">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.3 甲方有权要求乙方对缺陷部分予以修复，并按合同约定享有货物保修及其他合同约定的权利。</w:t>
      </w:r>
    </w:p>
    <w:p w14:paraId="0212DF95">
      <w:pPr>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4.4 甲方应当按照合同约定及时对交付的货物进行验收，</w:t>
      </w:r>
      <w:r>
        <w:rPr>
          <w:rFonts w:hint="eastAsia" w:ascii="宋体" w:hAnsi="宋体" w:eastAsia="宋体" w:cs="宋体"/>
          <w:b w:val="0"/>
          <w:bCs w:val="0"/>
          <w:color w:val="auto"/>
          <w:sz w:val="24"/>
          <w:szCs w:val="24"/>
          <w:highlight w:val="none"/>
          <w:lang w:eastAsia="zh-CN"/>
        </w:rPr>
        <w:t>未</w:t>
      </w:r>
      <w:r>
        <w:rPr>
          <w:rFonts w:hint="eastAsia" w:ascii="宋体" w:hAnsi="宋体" w:eastAsia="宋体" w:cs="宋体"/>
          <w:color w:val="auto"/>
          <w:sz w:val="24"/>
          <w:szCs w:val="24"/>
          <w:highlight w:val="none"/>
          <w:lang w:val="en-US" w:eastAsia="zh-CN"/>
        </w:rPr>
        <w:t>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b w:val="0"/>
          <w:bCs w:val="0"/>
          <w:color w:val="auto"/>
          <w:sz w:val="24"/>
          <w:szCs w:val="24"/>
          <w:highlight w:val="none"/>
          <w:lang w:eastAsia="zh-CN"/>
        </w:rPr>
        <w:t>约定的期限内对乙方履约提出任何异议或者向乙方作出任何说明的，</w:t>
      </w:r>
      <w:r>
        <w:rPr>
          <w:rFonts w:hint="eastAsia" w:ascii="宋体" w:hAnsi="宋体" w:eastAsia="宋体" w:cs="宋体"/>
          <w:color w:val="auto"/>
          <w:sz w:val="24"/>
          <w:szCs w:val="24"/>
          <w:highlight w:val="none"/>
          <w:lang w:val="en-US" w:eastAsia="zh-CN"/>
        </w:rPr>
        <w:t>视为验收通过。</w:t>
      </w:r>
    </w:p>
    <w:p w14:paraId="23126EF6">
      <w:pPr>
        <w:autoSpaceDE w:val="0"/>
        <w:autoSpaceDN w:val="0"/>
        <w:adjustRightInd w:val="0"/>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甲方应当根据合同约定</w:t>
      </w:r>
      <w:r>
        <w:rPr>
          <w:rFonts w:hint="eastAsia" w:ascii="宋体" w:hAnsi="宋体" w:eastAsia="宋体" w:cs="宋体"/>
          <w:color w:val="auto"/>
          <w:sz w:val="24"/>
          <w:szCs w:val="24"/>
          <w:highlight w:val="none"/>
          <w:lang w:eastAsia="zh-CN"/>
        </w:rPr>
        <w:t>及</w:t>
      </w:r>
      <w:r>
        <w:rPr>
          <w:rFonts w:hint="eastAsia" w:ascii="宋体" w:hAnsi="宋体" w:eastAsia="宋体" w:cs="宋体"/>
          <w:color w:val="auto"/>
          <w:sz w:val="24"/>
          <w:szCs w:val="24"/>
          <w:highlight w:val="none"/>
        </w:rPr>
        <w:t>时向乙方支付</w:t>
      </w:r>
      <w:r>
        <w:rPr>
          <w:rFonts w:hint="eastAsia" w:ascii="宋体" w:hAnsi="宋体" w:eastAsia="宋体" w:cs="宋体"/>
          <w:color w:val="auto"/>
          <w:sz w:val="24"/>
          <w:szCs w:val="24"/>
          <w:highlight w:val="none"/>
          <w:lang w:eastAsia="zh-CN"/>
        </w:rPr>
        <w:t>合同价款，不得以内部人员变更、履行内部付款流程等为由，拒绝或迟延支付。</w:t>
      </w:r>
    </w:p>
    <w:p w14:paraId="3074CA9E">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 xml:space="preserve"> 国家法律法规规定</w:t>
      </w:r>
      <w:r>
        <w:rPr>
          <w:rFonts w:hint="eastAsia" w:ascii="宋体" w:hAnsi="宋体" w:eastAsia="宋体" w:cs="宋体"/>
          <w:color w:val="auto"/>
          <w:sz w:val="24"/>
          <w:szCs w:val="24"/>
          <w:highlight w:val="none"/>
          <w:lang w:eastAsia="zh-CN"/>
        </w:rPr>
        <w:t>及</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lang w:eastAsia="zh-CN"/>
        </w:rPr>
        <w:t>约定应</w:t>
      </w:r>
      <w:r>
        <w:rPr>
          <w:rFonts w:hint="eastAsia" w:ascii="宋体" w:hAnsi="宋体" w:eastAsia="宋体" w:cs="宋体"/>
          <w:color w:val="auto"/>
          <w:sz w:val="24"/>
          <w:szCs w:val="24"/>
          <w:highlight w:val="none"/>
        </w:rPr>
        <w:t>由甲方承担的其他义务和责任。</w:t>
      </w:r>
    </w:p>
    <w:p w14:paraId="5F74205B">
      <w:pPr>
        <w:autoSpaceDE w:val="0"/>
        <w:autoSpaceDN w:val="0"/>
        <w:adjustRightInd w:val="0"/>
        <w:snapToGrid w:val="0"/>
        <w:spacing w:before="0" w:line="400" w:lineRule="exact"/>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乙方的权利和义务</w:t>
      </w:r>
    </w:p>
    <w:p w14:paraId="182ACC03">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.1 签署合同后，乙方</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确定</w:t>
      </w:r>
      <w:r>
        <w:rPr>
          <w:rFonts w:hint="eastAsia" w:ascii="宋体" w:hAnsi="宋体" w:eastAsia="宋体" w:cs="宋体"/>
          <w:color w:val="auto"/>
          <w:sz w:val="24"/>
          <w:szCs w:val="24"/>
          <w:highlight w:val="none"/>
          <w:lang w:val="en-US" w:eastAsia="zh-CN"/>
        </w:rPr>
        <w:t>项目负责人（或项目联系人）</w:t>
      </w:r>
      <w:r>
        <w:rPr>
          <w:rFonts w:hint="eastAsia" w:ascii="宋体" w:hAnsi="宋体" w:eastAsia="宋体" w:cs="宋体"/>
          <w:color w:val="auto"/>
          <w:sz w:val="24"/>
          <w:szCs w:val="24"/>
          <w:highlight w:val="none"/>
        </w:rPr>
        <w:t>，负责与本合同有关的事务。</w:t>
      </w:r>
    </w:p>
    <w:p w14:paraId="626D4EA2">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.2 乙方应按照合同要求履约，充分合理安排，确保提供的货物</w:t>
      </w:r>
      <w:r>
        <w:rPr>
          <w:rFonts w:hint="eastAsia" w:ascii="宋体" w:hAnsi="宋体" w:eastAsia="宋体" w:cs="宋体"/>
          <w:color w:val="auto"/>
          <w:sz w:val="24"/>
          <w:szCs w:val="24"/>
          <w:highlight w:val="none"/>
          <w:lang w:eastAsia="zh-CN"/>
        </w:rPr>
        <w:t>及相关</w:t>
      </w:r>
      <w:r>
        <w:rPr>
          <w:rFonts w:hint="eastAsia" w:ascii="宋体" w:hAnsi="宋体" w:eastAsia="宋体" w:cs="宋体"/>
          <w:color w:val="auto"/>
          <w:sz w:val="24"/>
          <w:szCs w:val="24"/>
          <w:highlight w:val="none"/>
        </w:rPr>
        <w:t>服务符合合同</w:t>
      </w:r>
      <w:r>
        <w:rPr>
          <w:rFonts w:hint="eastAsia" w:ascii="宋体" w:hAnsi="宋体" w:eastAsia="宋体" w:cs="宋体"/>
          <w:color w:val="auto"/>
          <w:sz w:val="24"/>
          <w:szCs w:val="24"/>
          <w:highlight w:val="none"/>
          <w:lang w:eastAsia="zh-CN"/>
        </w:rPr>
        <w:t>有关</w:t>
      </w:r>
      <w:r>
        <w:rPr>
          <w:rFonts w:hint="eastAsia" w:ascii="宋体" w:hAnsi="宋体" w:eastAsia="宋体" w:cs="宋体"/>
          <w:color w:val="auto"/>
          <w:sz w:val="24"/>
          <w:szCs w:val="24"/>
          <w:highlight w:val="none"/>
        </w:rPr>
        <w:t>要求。接受项目行业管理部门及政府有关部门的指导，配合甲方的履约检查</w:t>
      </w:r>
      <w:r>
        <w:rPr>
          <w:rFonts w:hint="eastAsia" w:ascii="宋体" w:hAnsi="宋体" w:eastAsia="宋体" w:cs="宋体"/>
          <w:color w:val="auto"/>
          <w:sz w:val="24"/>
          <w:szCs w:val="24"/>
          <w:highlight w:val="none"/>
          <w:lang w:eastAsia="zh-CN"/>
        </w:rPr>
        <w:t>及验收</w:t>
      </w:r>
      <w:r>
        <w:rPr>
          <w:rFonts w:hint="eastAsia" w:ascii="宋体" w:hAnsi="宋体" w:eastAsia="宋体" w:cs="宋体"/>
          <w:color w:val="auto"/>
          <w:sz w:val="24"/>
          <w:szCs w:val="24"/>
          <w:highlight w:val="none"/>
        </w:rPr>
        <w:t>，并负责项目实施过程中的所有协调工作。</w:t>
      </w:r>
    </w:p>
    <w:p w14:paraId="69EDFB7D">
      <w:pPr>
        <w:pStyle w:val="4"/>
        <w:spacing w:after="0" w:line="400" w:lineRule="exact"/>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.3乙方有权根据合同约定向甲方收取</w:t>
      </w:r>
      <w:r>
        <w:rPr>
          <w:rFonts w:hint="eastAsia" w:ascii="宋体" w:hAnsi="宋体" w:eastAsia="宋体" w:cs="宋体"/>
          <w:color w:val="auto"/>
          <w:sz w:val="24"/>
          <w:szCs w:val="24"/>
          <w:highlight w:val="none"/>
          <w:lang w:eastAsia="zh-CN"/>
        </w:rPr>
        <w:t>合同价款</w:t>
      </w:r>
      <w:r>
        <w:rPr>
          <w:rFonts w:hint="eastAsia" w:ascii="宋体" w:hAnsi="宋体" w:eastAsia="宋体" w:cs="宋体"/>
          <w:color w:val="auto"/>
          <w:sz w:val="24"/>
          <w:szCs w:val="24"/>
          <w:highlight w:val="none"/>
        </w:rPr>
        <w:t>。</w:t>
      </w:r>
    </w:p>
    <w:p w14:paraId="0D79FE61">
      <w:pPr>
        <w:pStyle w:val="4"/>
        <w:spacing w:after="0" w:line="400" w:lineRule="exact"/>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.4国家法律法规规定</w:t>
      </w:r>
      <w:r>
        <w:rPr>
          <w:rFonts w:hint="eastAsia" w:ascii="宋体" w:hAnsi="宋体" w:eastAsia="宋体" w:cs="宋体"/>
          <w:color w:val="auto"/>
          <w:sz w:val="24"/>
          <w:szCs w:val="24"/>
          <w:highlight w:val="none"/>
          <w:lang w:eastAsia="zh-CN"/>
        </w:rPr>
        <w:t>及</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b w:val="0"/>
          <w:bCs w:val="0"/>
          <w:color w:val="auto"/>
          <w:sz w:val="24"/>
          <w:szCs w:val="24"/>
          <w:highlight w:val="none"/>
          <w:lang w:eastAsia="zh-CN"/>
        </w:rPr>
        <w:t>约定应</w:t>
      </w:r>
      <w:r>
        <w:rPr>
          <w:rFonts w:hint="eastAsia" w:ascii="宋体" w:hAnsi="宋体" w:eastAsia="宋体" w:cs="宋体"/>
          <w:color w:val="auto"/>
          <w:sz w:val="24"/>
          <w:szCs w:val="24"/>
          <w:highlight w:val="none"/>
        </w:rPr>
        <w:t>由乙方承担的其他义务和责任。</w:t>
      </w:r>
    </w:p>
    <w:p w14:paraId="3831F400">
      <w:pPr>
        <w:numPr>
          <w:ilvl w:val="0"/>
          <w:numId w:val="5"/>
        </w:numPr>
        <w:autoSpaceDE w:val="0"/>
        <w:autoSpaceDN w:val="0"/>
        <w:adjustRightInd w:val="0"/>
        <w:snapToGrid w:val="0"/>
        <w:spacing w:before="0" w:line="400" w:lineRule="exact"/>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合同履</w:t>
      </w:r>
      <w:r>
        <w:rPr>
          <w:rFonts w:hint="eastAsia" w:ascii="宋体" w:hAnsi="宋体" w:eastAsia="宋体" w:cs="宋体"/>
          <w:b/>
          <w:bCs/>
          <w:color w:val="auto"/>
          <w:sz w:val="24"/>
          <w:szCs w:val="24"/>
          <w:highlight w:val="none"/>
          <w:lang w:val="en-US" w:eastAsia="zh-CN"/>
        </w:rPr>
        <w:t>行</w:t>
      </w:r>
    </w:p>
    <w:p w14:paraId="26CA49BF">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rPr>
        <w:t>.1 甲乙双方应当按照</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约定顺序履行合同义务；如果没有先后顺序的，应当同时履行。</w:t>
      </w:r>
    </w:p>
    <w:p w14:paraId="3295C0AD">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rPr>
        <w:t>.2 甲乙双方按照合同约定顺序履行合同义务时，应当先履行一方未履行的，后履行一方有权拒绝其履行请求。先履行一方履行不符合约定的，后履行一方有权拒绝其相应的履行请求。</w:t>
      </w:r>
    </w:p>
    <w:p w14:paraId="09291DA6">
      <w:pPr>
        <w:adjustRightInd w:val="0"/>
        <w:snapToGrid w:val="0"/>
        <w:spacing w:before="0" w:line="400" w:lineRule="exact"/>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7</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货物包装、运输</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保险</w:t>
      </w:r>
      <w:r>
        <w:rPr>
          <w:rFonts w:hint="eastAsia" w:ascii="宋体" w:hAnsi="宋体" w:eastAsia="宋体" w:cs="宋体"/>
          <w:b/>
          <w:bCs/>
          <w:color w:val="auto"/>
          <w:sz w:val="24"/>
          <w:szCs w:val="24"/>
          <w:highlight w:val="none"/>
          <w:lang w:eastAsia="zh-CN"/>
        </w:rPr>
        <w:t>和交付</w:t>
      </w:r>
      <w:r>
        <w:rPr>
          <w:rFonts w:hint="eastAsia" w:ascii="宋体" w:hAnsi="宋体" w:eastAsia="宋体" w:cs="宋体"/>
          <w:b/>
          <w:bCs/>
          <w:color w:val="auto"/>
          <w:sz w:val="24"/>
          <w:szCs w:val="24"/>
          <w:highlight w:val="none"/>
        </w:rPr>
        <w:t>要求</w:t>
      </w:r>
    </w:p>
    <w:p w14:paraId="4AC00BE2">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.1 本合同</w:t>
      </w:r>
      <w:r>
        <w:rPr>
          <w:rFonts w:hint="eastAsia" w:ascii="宋体" w:hAnsi="宋体" w:eastAsia="宋体" w:cs="宋体"/>
          <w:bCs/>
          <w:color w:val="auto"/>
          <w:sz w:val="24"/>
          <w:szCs w:val="24"/>
          <w:highlight w:val="none"/>
        </w:rPr>
        <w:t>涉及商品包装</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快递包装的，</w:t>
      </w:r>
      <w:r>
        <w:rPr>
          <w:rFonts w:hint="eastAsia" w:ascii="宋体" w:hAnsi="宋体" w:eastAsia="宋体" w:cs="宋体"/>
          <w:color w:val="auto"/>
          <w:sz w:val="24"/>
          <w:szCs w:val="24"/>
          <w:highlight w:val="none"/>
        </w:rPr>
        <w:t>除</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另有</w:t>
      </w:r>
      <w:r>
        <w:rPr>
          <w:rFonts w:hint="eastAsia" w:ascii="宋体" w:hAnsi="宋体" w:eastAsia="宋体" w:cs="宋体"/>
          <w:bCs/>
          <w:color w:val="auto"/>
          <w:sz w:val="24"/>
          <w:szCs w:val="24"/>
          <w:highlight w:val="none"/>
          <w:lang w:eastAsia="zh-CN"/>
        </w:rPr>
        <w:t>约</w:t>
      </w:r>
      <w:r>
        <w:rPr>
          <w:rFonts w:hint="eastAsia" w:ascii="宋体" w:hAnsi="宋体" w:eastAsia="宋体" w:cs="宋体"/>
          <w:bCs/>
          <w:color w:val="auto"/>
          <w:sz w:val="24"/>
          <w:szCs w:val="24"/>
          <w:highlight w:val="none"/>
        </w:rPr>
        <w:t>定</w:t>
      </w:r>
      <w:r>
        <w:rPr>
          <w:rFonts w:hint="eastAsia" w:ascii="宋体" w:hAnsi="宋体" w:eastAsia="宋体" w:cs="宋体"/>
          <w:bCs/>
          <w:color w:val="auto"/>
          <w:sz w:val="24"/>
          <w:szCs w:val="24"/>
          <w:highlight w:val="none"/>
          <w:lang w:eastAsia="zh-CN"/>
        </w:rPr>
        <w:t>外</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包装应适应远距离运输、防潮、防震、防锈和防野蛮装卸等要求，确保货物安全无损地运抵</w:t>
      </w:r>
      <w:r>
        <w:rPr>
          <w:rFonts w:hint="eastAsia" w:ascii="宋体" w:hAnsi="宋体" w:eastAsia="宋体" w:cs="宋体"/>
          <w:b/>
          <w:color w:val="auto"/>
          <w:sz w:val="24"/>
          <w:szCs w:val="24"/>
          <w:highlight w:val="none"/>
        </w:rPr>
        <w:t>【政府采购合同专用条款】</w:t>
      </w:r>
      <w:r>
        <w:rPr>
          <w:rFonts w:hint="eastAsia" w:ascii="宋体" w:hAnsi="宋体" w:eastAsia="宋体" w:cs="宋体"/>
          <w:b w:val="0"/>
          <w:bCs/>
          <w:color w:val="auto"/>
          <w:sz w:val="24"/>
          <w:szCs w:val="24"/>
          <w:highlight w:val="none"/>
          <w:lang w:eastAsia="zh-CN"/>
        </w:rPr>
        <w:t>约定的</w:t>
      </w:r>
      <w:r>
        <w:rPr>
          <w:rFonts w:hint="eastAsia" w:ascii="宋体" w:hAnsi="宋体" w:eastAsia="宋体" w:cs="宋体"/>
          <w:color w:val="auto"/>
          <w:sz w:val="24"/>
          <w:szCs w:val="24"/>
          <w:highlight w:val="none"/>
        </w:rPr>
        <w:t>指定现场。</w:t>
      </w:r>
    </w:p>
    <w:p w14:paraId="7EEF0ADF">
      <w:pPr>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.2 除</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另有</w:t>
      </w:r>
      <w:r>
        <w:rPr>
          <w:rFonts w:hint="eastAsia" w:ascii="宋体" w:hAnsi="宋体" w:eastAsia="宋体" w:cs="宋体"/>
          <w:bCs/>
          <w:color w:val="auto"/>
          <w:sz w:val="24"/>
          <w:szCs w:val="24"/>
          <w:highlight w:val="none"/>
          <w:lang w:eastAsia="zh-CN"/>
        </w:rPr>
        <w:t>约</w:t>
      </w:r>
      <w:r>
        <w:rPr>
          <w:rFonts w:hint="eastAsia" w:ascii="宋体" w:hAnsi="宋体" w:eastAsia="宋体" w:cs="宋体"/>
          <w:bCs/>
          <w:color w:val="auto"/>
          <w:sz w:val="24"/>
          <w:szCs w:val="24"/>
          <w:highlight w:val="none"/>
        </w:rPr>
        <w:t>定</w:t>
      </w:r>
      <w:r>
        <w:rPr>
          <w:rFonts w:hint="eastAsia" w:ascii="宋体" w:hAnsi="宋体" w:eastAsia="宋体" w:cs="宋体"/>
          <w:bCs/>
          <w:color w:val="auto"/>
          <w:sz w:val="24"/>
          <w:szCs w:val="24"/>
          <w:highlight w:val="none"/>
          <w:lang w:eastAsia="zh-CN"/>
        </w:rPr>
        <w:t>外</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乙方负责办理将货物运抵本合同规定的交货地点</w:t>
      </w:r>
      <w:r>
        <w:rPr>
          <w:rFonts w:hint="eastAsia" w:ascii="宋体" w:hAnsi="宋体" w:eastAsia="宋体" w:cs="宋体"/>
          <w:color w:val="auto"/>
          <w:sz w:val="24"/>
          <w:szCs w:val="24"/>
          <w:highlight w:val="none"/>
          <w:lang w:eastAsia="zh-CN"/>
        </w:rPr>
        <w:t>，并装卸、交付至甲方</w:t>
      </w:r>
      <w:r>
        <w:rPr>
          <w:rFonts w:hint="eastAsia" w:ascii="宋体" w:hAnsi="宋体" w:eastAsia="宋体" w:cs="宋体"/>
          <w:color w:val="auto"/>
          <w:sz w:val="24"/>
          <w:szCs w:val="24"/>
          <w:highlight w:val="none"/>
        </w:rPr>
        <w:t>的一切运输事项，相关费用应</w:t>
      </w:r>
      <w:r>
        <w:rPr>
          <w:rFonts w:hint="eastAsia" w:ascii="宋体" w:hAnsi="宋体" w:eastAsia="宋体" w:cs="宋体"/>
          <w:color w:val="auto"/>
          <w:sz w:val="24"/>
          <w:szCs w:val="24"/>
          <w:highlight w:val="none"/>
          <w:lang w:eastAsia="zh-CN"/>
        </w:rPr>
        <w:t>包含</w:t>
      </w:r>
      <w:r>
        <w:rPr>
          <w:rFonts w:hint="eastAsia" w:ascii="宋体" w:hAnsi="宋体" w:eastAsia="宋体" w:cs="宋体"/>
          <w:color w:val="auto"/>
          <w:sz w:val="24"/>
          <w:szCs w:val="24"/>
          <w:highlight w:val="none"/>
        </w:rPr>
        <w:t>在合同</w:t>
      </w:r>
      <w:r>
        <w:rPr>
          <w:rFonts w:hint="eastAsia" w:ascii="宋体" w:hAnsi="宋体" w:eastAsia="宋体" w:cs="宋体"/>
          <w:color w:val="auto"/>
          <w:sz w:val="24"/>
          <w:szCs w:val="24"/>
          <w:highlight w:val="none"/>
          <w:lang w:eastAsia="zh-CN"/>
        </w:rPr>
        <w:t>价款</w:t>
      </w:r>
      <w:r>
        <w:rPr>
          <w:rFonts w:hint="eastAsia" w:ascii="宋体" w:hAnsi="宋体" w:eastAsia="宋体" w:cs="宋体"/>
          <w:color w:val="auto"/>
          <w:sz w:val="24"/>
          <w:szCs w:val="24"/>
          <w:highlight w:val="none"/>
        </w:rPr>
        <w:t>中。</w:t>
      </w:r>
    </w:p>
    <w:p w14:paraId="7F25A765">
      <w:pPr>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.3 货物保险要求按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规定执行</w:t>
      </w:r>
      <w:r>
        <w:rPr>
          <w:rFonts w:hint="eastAsia" w:ascii="宋体" w:hAnsi="宋体" w:eastAsia="宋体" w:cs="宋体"/>
          <w:color w:val="auto"/>
          <w:sz w:val="24"/>
          <w:szCs w:val="24"/>
          <w:highlight w:val="none"/>
        </w:rPr>
        <w:t>。</w:t>
      </w:r>
    </w:p>
    <w:p w14:paraId="4F409D33">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 xml:space="preserve">.4 </w:t>
      </w:r>
      <w:r>
        <w:rPr>
          <w:rFonts w:hint="eastAsia" w:ascii="宋体" w:hAnsi="宋体" w:eastAsia="宋体" w:cs="宋体"/>
          <w:color w:val="auto"/>
          <w:sz w:val="24"/>
          <w:szCs w:val="24"/>
          <w:highlight w:val="none"/>
          <w:lang w:val="en-US" w:eastAsia="zh-CN"/>
        </w:rPr>
        <w:t>除采购活动</w:t>
      </w:r>
      <w:r>
        <w:rPr>
          <w:rFonts w:hint="eastAsia" w:ascii="宋体" w:hAnsi="宋体" w:eastAsia="宋体" w:cs="宋体"/>
          <w:color w:val="auto"/>
          <w:sz w:val="24"/>
          <w:szCs w:val="24"/>
          <w:highlight w:val="none"/>
        </w:rPr>
        <w:t>对商品包装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快递包装</w:t>
      </w:r>
      <w:r>
        <w:rPr>
          <w:rFonts w:hint="eastAsia" w:ascii="宋体" w:hAnsi="宋体" w:eastAsia="宋体" w:cs="宋体"/>
          <w:color w:val="auto"/>
          <w:sz w:val="24"/>
          <w:szCs w:val="24"/>
          <w:highlight w:val="none"/>
          <w:lang w:val="en-US" w:eastAsia="zh-CN"/>
        </w:rPr>
        <w:t>达成具体约定外</w:t>
      </w:r>
      <w:r>
        <w:rPr>
          <w:rFonts w:hint="eastAsia" w:ascii="宋体" w:hAnsi="宋体" w:eastAsia="宋体" w:cs="宋体"/>
          <w:color w:val="auto"/>
          <w:sz w:val="24"/>
          <w:szCs w:val="24"/>
          <w:highlight w:val="none"/>
        </w:rPr>
        <w:t>，乙方提供产品及相关快递服务</w:t>
      </w:r>
      <w:r>
        <w:rPr>
          <w:rFonts w:hint="eastAsia" w:ascii="宋体" w:hAnsi="宋体" w:eastAsia="宋体" w:cs="宋体"/>
          <w:color w:val="auto"/>
          <w:sz w:val="24"/>
          <w:szCs w:val="24"/>
          <w:highlight w:val="none"/>
          <w:lang w:val="en-US" w:eastAsia="zh-CN"/>
        </w:rPr>
        <w:t>涉及到</w:t>
      </w:r>
      <w:r>
        <w:rPr>
          <w:rFonts w:hint="eastAsia" w:ascii="宋体" w:hAnsi="宋体" w:eastAsia="宋体" w:cs="宋体"/>
          <w:color w:val="auto"/>
          <w:sz w:val="24"/>
          <w:szCs w:val="24"/>
          <w:highlight w:val="none"/>
        </w:rPr>
        <w:t>具体包装要求</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不低于</w:t>
      </w:r>
      <w:r>
        <w:rPr>
          <w:rFonts w:hint="eastAsia" w:ascii="宋体" w:hAnsi="宋体" w:eastAsia="宋体" w:cs="宋体"/>
          <w:color w:val="auto"/>
          <w:sz w:val="24"/>
          <w:szCs w:val="24"/>
          <w:highlight w:val="none"/>
        </w:rPr>
        <w:t>《商品包装政府采购需求标准（试行）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快递包装政府采购需求标准（试行）》</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rPr>
        <w:t>，并作为履约验收的内容，必要时甲方可以要求乙方在履约验收环节出具检测报告。</w:t>
      </w:r>
    </w:p>
    <w:p w14:paraId="6F36D8F8">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7.5 </w:t>
      </w:r>
      <w:r>
        <w:rPr>
          <w:rFonts w:hint="eastAsia" w:ascii="宋体" w:hAnsi="宋体" w:eastAsia="宋体" w:cs="宋体"/>
          <w:color w:val="auto"/>
          <w:sz w:val="24"/>
          <w:szCs w:val="24"/>
          <w:highlight w:val="none"/>
        </w:rPr>
        <w:t>乙方在运输到达之前</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提前通知</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，并提示货物运输装卸的注意事项</w:t>
      </w:r>
      <w:r>
        <w:rPr>
          <w:rFonts w:hint="eastAsia" w:ascii="宋体" w:hAnsi="宋体" w:eastAsia="宋体" w:cs="宋体"/>
          <w:color w:val="auto"/>
          <w:sz w:val="24"/>
          <w:szCs w:val="24"/>
          <w:highlight w:val="none"/>
          <w:lang w:eastAsia="zh-CN"/>
        </w:rPr>
        <w:t>，甲方配合乙方做好货物的接收工作。</w:t>
      </w:r>
    </w:p>
    <w:p w14:paraId="405E09EA">
      <w:pPr>
        <w:pStyle w:val="15"/>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rPr>
        <w:t xml:space="preserve">7.6 </w:t>
      </w:r>
      <w:r>
        <w:rPr>
          <w:rFonts w:hint="eastAsia" w:ascii="宋体" w:hAnsi="宋体" w:eastAsia="宋体" w:cs="宋体"/>
          <w:color w:val="auto"/>
          <w:kern w:val="2"/>
          <w:sz w:val="24"/>
          <w:szCs w:val="24"/>
          <w:highlight w:val="none"/>
        </w:rPr>
        <w:t>如因包装</w:t>
      </w:r>
      <w:r>
        <w:rPr>
          <w:rFonts w:hint="eastAsia" w:ascii="宋体" w:hAnsi="宋体" w:eastAsia="宋体" w:cs="宋体"/>
          <w:color w:val="auto"/>
          <w:kern w:val="2"/>
          <w:sz w:val="24"/>
          <w:szCs w:val="24"/>
          <w:highlight w:val="none"/>
          <w:lang w:eastAsia="zh-CN"/>
        </w:rPr>
        <w:t>、运输</w:t>
      </w:r>
      <w:r>
        <w:rPr>
          <w:rFonts w:hint="eastAsia" w:ascii="宋体" w:hAnsi="宋体" w:eastAsia="宋体" w:cs="宋体"/>
          <w:color w:val="auto"/>
          <w:kern w:val="2"/>
          <w:sz w:val="24"/>
          <w:szCs w:val="24"/>
          <w:highlight w:val="none"/>
        </w:rPr>
        <w:t>问题导致货物</w:t>
      </w:r>
      <w:r>
        <w:rPr>
          <w:rFonts w:hint="eastAsia" w:ascii="宋体" w:hAnsi="宋体" w:eastAsia="宋体" w:cs="宋体"/>
          <w:color w:val="auto"/>
          <w:kern w:val="2"/>
          <w:sz w:val="24"/>
          <w:szCs w:val="24"/>
          <w:highlight w:val="none"/>
          <w:lang w:eastAsia="zh-CN"/>
        </w:rPr>
        <w:t>损毁、丢失</w:t>
      </w:r>
      <w:r>
        <w:rPr>
          <w:rFonts w:hint="eastAsia" w:ascii="宋体" w:hAnsi="宋体" w:eastAsia="宋体" w:cs="宋体"/>
          <w:color w:val="auto"/>
          <w:kern w:val="2"/>
          <w:sz w:val="24"/>
          <w:szCs w:val="24"/>
          <w:highlight w:val="none"/>
        </w:rPr>
        <w:t>或者品质下降，</w:t>
      </w:r>
      <w:r>
        <w:rPr>
          <w:rFonts w:hint="eastAsia" w:ascii="宋体" w:hAnsi="宋体" w:eastAsia="宋体" w:cs="宋体"/>
          <w:color w:val="auto"/>
          <w:kern w:val="2"/>
          <w:sz w:val="24"/>
          <w:szCs w:val="24"/>
          <w:highlight w:val="none"/>
          <w:lang w:eastAsia="zh-CN"/>
        </w:rPr>
        <w:t>甲方</w:t>
      </w:r>
      <w:r>
        <w:rPr>
          <w:rFonts w:hint="eastAsia" w:ascii="宋体" w:hAnsi="宋体" w:eastAsia="宋体" w:cs="宋体"/>
          <w:color w:val="auto"/>
          <w:kern w:val="2"/>
          <w:sz w:val="24"/>
          <w:szCs w:val="24"/>
          <w:highlight w:val="none"/>
        </w:rPr>
        <w:t>有权要求降价、换货、拒收部分或整批货物，由此</w:t>
      </w:r>
      <w:r>
        <w:rPr>
          <w:rFonts w:hint="eastAsia" w:ascii="宋体" w:hAnsi="宋体" w:eastAsia="宋体" w:cs="宋体"/>
          <w:color w:val="auto"/>
          <w:kern w:val="2"/>
          <w:sz w:val="24"/>
          <w:szCs w:val="24"/>
          <w:highlight w:val="none"/>
          <w:lang w:eastAsia="zh-CN"/>
        </w:rPr>
        <w:t>产生</w:t>
      </w:r>
      <w:r>
        <w:rPr>
          <w:rFonts w:hint="eastAsia" w:ascii="宋体" w:hAnsi="宋体" w:eastAsia="宋体" w:cs="宋体"/>
          <w:color w:val="auto"/>
          <w:kern w:val="2"/>
          <w:sz w:val="24"/>
          <w:szCs w:val="24"/>
          <w:highlight w:val="none"/>
        </w:rPr>
        <w:t>的费用和损失，均由</w:t>
      </w:r>
      <w:r>
        <w:rPr>
          <w:rFonts w:hint="eastAsia" w:ascii="宋体" w:hAnsi="宋体" w:eastAsia="宋体" w:cs="宋体"/>
          <w:color w:val="auto"/>
          <w:kern w:val="2"/>
          <w:sz w:val="24"/>
          <w:szCs w:val="24"/>
          <w:highlight w:val="none"/>
          <w:lang w:eastAsia="zh-CN"/>
        </w:rPr>
        <w:t>乙方</w:t>
      </w:r>
      <w:r>
        <w:rPr>
          <w:rFonts w:hint="eastAsia" w:ascii="宋体" w:hAnsi="宋体" w:eastAsia="宋体" w:cs="宋体"/>
          <w:color w:val="auto"/>
          <w:kern w:val="2"/>
          <w:sz w:val="24"/>
          <w:szCs w:val="24"/>
          <w:highlight w:val="none"/>
        </w:rPr>
        <w:t>承担。</w:t>
      </w:r>
    </w:p>
    <w:p w14:paraId="224C9B91">
      <w:pPr>
        <w:adjustRightInd w:val="0"/>
        <w:snapToGrid w:val="0"/>
        <w:spacing w:before="0" w:line="40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8</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质量标准和保证</w:t>
      </w:r>
    </w:p>
    <w:p w14:paraId="18785FDA">
      <w:pPr>
        <w:pStyle w:val="7"/>
        <w:adjustRightInd w:val="0"/>
        <w:snapToGrid w:val="0"/>
        <w:spacing w:before="0" w:line="400" w:lineRule="exact"/>
        <w:ind w:firstLine="480" w:firstLineChars="200"/>
        <w:jc w:val="lef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.1 质量标准</w:t>
      </w:r>
    </w:p>
    <w:p w14:paraId="79DF0F49">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w:t>
      </w:r>
      <w:r>
        <w:rPr>
          <w:rFonts w:hint="eastAsia" w:ascii="宋体" w:hAnsi="宋体" w:eastAsia="宋体" w:cs="宋体"/>
          <w:color w:val="auto"/>
          <w:sz w:val="24"/>
          <w:szCs w:val="24"/>
          <w:highlight w:val="none"/>
          <w:lang w:eastAsia="zh-CN"/>
        </w:rPr>
        <w:t>合同约</w:t>
      </w:r>
      <w:r>
        <w:rPr>
          <w:rFonts w:hint="eastAsia" w:ascii="宋体" w:hAnsi="宋体" w:eastAsia="宋体" w:cs="宋体"/>
          <w:color w:val="auto"/>
          <w:sz w:val="24"/>
          <w:szCs w:val="24"/>
          <w:highlight w:val="none"/>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4"/>
          <w:szCs w:val="24"/>
          <w:highlight w:val="none"/>
          <w:lang w:eastAsia="zh-CN"/>
        </w:rPr>
        <w:t>。</w:t>
      </w:r>
    </w:p>
    <w:p w14:paraId="42598460">
      <w:pPr>
        <w:pStyle w:val="7"/>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（2）采用中华人民共和国法定计量单位。</w:t>
      </w:r>
    </w:p>
    <w:p w14:paraId="061B9326">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的货物应符合国家有关安全、环保、卫生</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规定。</w:t>
      </w:r>
    </w:p>
    <w:p w14:paraId="5917A7E6">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（4）乙方应向甲方提交所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货物的技术文件，包括相应的中文技术文件，如：产品目录、图纸、操作手册、使用说明、维护手册或服务指南</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上述</w:t>
      </w:r>
      <w:r>
        <w:rPr>
          <w:rFonts w:hint="eastAsia" w:ascii="宋体" w:hAnsi="宋体" w:eastAsia="宋体" w:cs="宋体"/>
          <w:color w:val="auto"/>
          <w:sz w:val="24"/>
          <w:szCs w:val="24"/>
          <w:highlight w:val="none"/>
        </w:rPr>
        <w:t>文件应包装好随货物一同发运。</w:t>
      </w:r>
    </w:p>
    <w:p w14:paraId="43C031B0">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.2 保证</w:t>
      </w:r>
    </w:p>
    <w:p w14:paraId="31429EA6">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w:t>
      </w:r>
      <w:r>
        <w:rPr>
          <w:rFonts w:hint="eastAsia" w:ascii="宋体" w:hAnsi="宋体" w:eastAsia="宋体" w:cs="宋体"/>
          <w:color w:val="auto"/>
          <w:sz w:val="24"/>
          <w:szCs w:val="24"/>
          <w:highlight w:val="none"/>
          <w:lang w:eastAsia="zh-CN"/>
        </w:rPr>
        <w:t>提供的货物</w:t>
      </w:r>
      <w:r>
        <w:rPr>
          <w:rFonts w:hint="eastAsia" w:ascii="宋体" w:hAnsi="宋体" w:eastAsia="宋体" w:cs="宋体"/>
          <w:color w:val="auto"/>
          <w:sz w:val="24"/>
          <w:szCs w:val="24"/>
          <w:highlight w:val="none"/>
        </w:rPr>
        <w:t>完全符合合同规定的质量、规格和性能要求。乙方应保证货物在正确安装、正常使用和保养条件下，在其使用寿命期内具</w:t>
      </w:r>
      <w:r>
        <w:rPr>
          <w:rFonts w:hint="eastAsia" w:ascii="宋体" w:hAnsi="宋体" w:eastAsia="宋体" w:cs="宋体"/>
          <w:color w:val="auto"/>
          <w:sz w:val="24"/>
          <w:szCs w:val="24"/>
          <w:highlight w:val="none"/>
          <w:lang w:eastAsia="zh-CN"/>
        </w:rPr>
        <w:t>备合同约定</w:t>
      </w:r>
      <w:r>
        <w:rPr>
          <w:rFonts w:hint="eastAsia" w:ascii="宋体" w:hAnsi="宋体" w:eastAsia="宋体" w:cs="宋体"/>
          <w:color w:val="auto"/>
          <w:sz w:val="24"/>
          <w:szCs w:val="24"/>
          <w:highlight w:val="none"/>
        </w:rPr>
        <w:t>的性能。</w:t>
      </w:r>
      <w:r>
        <w:rPr>
          <w:rFonts w:hint="eastAsia" w:ascii="宋体" w:hAnsi="宋体" w:eastAsia="宋体" w:cs="宋体"/>
          <w:color w:val="auto"/>
          <w:sz w:val="24"/>
          <w:szCs w:val="24"/>
          <w:highlight w:val="none"/>
          <w:lang w:eastAsia="zh-CN"/>
        </w:rPr>
        <w:t>存在</w:t>
      </w:r>
      <w:r>
        <w:rPr>
          <w:rFonts w:hint="eastAsia" w:ascii="宋体" w:hAnsi="宋体" w:eastAsia="宋体" w:cs="宋体"/>
          <w:color w:val="auto"/>
          <w:sz w:val="24"/>
          <w:szCs w:val="24"/>
          <w:highlight w:val="none"/>
        </w:rPr>
        <w:t>质量保证期的，货物最终交付验收</w:t>
      </w: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后</w:t>
      </w:r>
      <w:r>
        <w:rPr>
          <w:rFonts w:hint="eastAsia" w:ascii="宋体" w:hAnsi="宋体" w:eastAsia="宋体" w:cs="宋体"/>
          <w:color w:val="auto"/>
          <w:sz w:val="24"/>
          <w:szCs w:val="24"/>
          <w:highlight w:val="none"/>
          <w:lang w:eastAsia="zh-CN"/>
        </w:rPr>
        <w:t>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规定或乙方</w:t>
      </w:r>
      <w:r>
        <w:rPr>
          <w:rFonts w:hint="eastAsia" w:ascii="宋体" w:hAnsi="宋体" w:eastAsia="宋体" w:cs="宋体"/>
          <w:color w:val="auto"/>
          <w:sz w:val="24"/>
          <w:szCs w:val="24"/>
          <w:highlight w:val="none"/>
          <w:lang w:eastAsia="zh-CN"/>
        </w:rPr>
        <w:t>书面</w:t>
      </w:r>
      <w:r>
        <w:rPr>
          <w:rFonts w:hint="eastAsia" w:ascii="宋体" w:hAnsi="宋体" w:eastAsia="宋体" w:cs="宋体"/>
          <w:color w:val="auto"/>
          <w:sz w:val="24"/>
          <w:szCs w:val="24"/>
          <w:highlight w:val="none"/>
        </w:rPr>
        <w:t>承诺（两者以较长的为准）的质量保证期内，本保证保持有效。</w:t>
      </w:r>
    </w:p>
    <w:p w14:paraId="1675C890">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（2）在质量保证期内所发现的缺陷，甲方应尽快以书面形式通知乙方。</w:t>
      </w:r>
    </w:p>
    <w:p w14:paraId="00883FFF">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（3）乙方收到通知后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规定的响应时间内以合理的速度免费维修或更换有缺陷的货物或部件。</w:t>
      </w:r>
    </w:p>
    <w:p w14:paraId="0276A64B">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.1条规定以书面形式</w:t>
      </w:r>
      <w:r>
        <w:rPr>
          <w:rFonts w:hint="eastAsia" w:ascii="宋体" w:hAnsi="宋体" w:eastAsia="宋体" w:cs="宋体"/>
          <w:color w:val="auto"/>
          <w:sz w:val="24"/>
          <w:szCs w:val="24"/>
          <w:highlight w:val="none"/>
          <w:lang w:eastAsia="zh-CN"/>
        </w:rPr>
        <w:t>追究</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的违约责任</w:t>
      </w:r>
      <w:r>
        <w:rPr>
          <w:rFonts w:hint="eastAsia" w:ascii="宋体" w:hAnsi="宋体" w:eastAsia="宋体" w:cs="宋体"/>
          <w:color w:val="auto"/>
          <w:sz w:val="24"/>
          <w:szCs w:val="24"/>
          <w:highlight w:val="none"/>
        </w:rPr>
        <w:t>。</w:t>
      </w:r>
    </w:p>
    <w:p w14:paraId="17CA30B4">
      <w:pPr>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对乙方行使的其他权利不受影响。</w:t>
      </w:r>
    </w:p>
    <w:p w14:paraId="2A1F5F24">
      <w:pPr>
        <w:adjustRightInd w:val="0"/>
        <w:snapToGrid w:val="0"/>
        <w:spacing w:before="0" w:line="400" w:lineRule="exact"/>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权利瑕疵担保</w:t>
      </w:r>
    </w:p>
    <w:p w14:paraId="1BAD445D">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.1 乙方保证对其出售的货物享有合法的权利。</w:t>
      </w:r>
    </w:p>
    <w:p w14:paraId="1FE4F33D">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.2 乙方保证在交付的货物上不存在抵押权等担保物权。</w:t>
      </w:r>
    </w:p>
    <w:p w14:paraId="516F4E7A">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.3 如甲方使用</w:t>
      </w:r>
      <w:r>
        <w:rPr>
          <w:rFonts w:hint="eastAsia" w:ascii="宋体" w:hAnsi="宋体" w:eastAsia="宋体" w:cs="宋体"/>
          <w:color w:val="auto"/>
          <w:sz w:val="24"/>
          <w:szCs w:val="24"/>
          <w:highlight w:val="none"/>
          <w:lang w:val="en-US" w:eastAsia="zh-CN"/>
        </w:rPr>
        <w:t>上述</w:t>
      </w:r>
      <w:r>
        <w:rPr>
          <w:rFonts w:hint="eastAsia" w:ascii="宋体" w:hAnsi="宋体" w:eastAsia="宋体" w:cs="宋体"/>
          <w:color w:val="auto"/>
          <w:sz w:val="24"/>
          <w:szCs w:val="24"/>
          <w:highlight w:val="none"/>
        </w:rPr>
        <w:t>货物构成</w:t>
      </w:r>
      <w:r>
        <w:rPr>
          <w:rFonts w:hint="eastAsia" w:ascii="宋体" w:hAnsi="宋体" w:eastAsia="宋体" w:cs="宋体"/>
          <w:color w:val="auto"/>
          <w:sz w:val="24"/>
          <w:szCs w:val="24"/>
          <w:highlight w:val="none"/>
          <w:lang w:val="en-US" w:eastAsia="zh-CN"/>
        </w:rPr>
        <w:t>对第三人</w:t>
      </w:r>
      <w:r>
        <w:rPr>
          <w:rFonts w:hint="eastAsia" w:ascii="宋体" w:hAnsi="宋体" w:eastAsia="宋体" w:cs="宋体"/>
          <w:color w:val="auto"/>
          <w:sz w:val="24"/>
          <w:szCs w:val="24"/>
          <w:highlight w:val="none"/>
        </w:rPr>
        <w:t>侵权的，则由乙方承担全部责任。</w:t>
      </w:r>
    </w:p>
    <w:p w14:paraId="650F1761">
      <w:pPr>
        <w:autoSpaceDE w:val="0"/>
        <w:autoSpaceDN w:val="0"/>
        <w:adjustRightInd w:val="0"/>
        <w:snapToGrid w:val="0"/>
        <w:spacing w:before="0" w:line="400" w:lineRule="exact"/>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0</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知识产权保护</w:t>
      </w:r>
    </w:p>
    <w:p w14:paraId="0197C4C7">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0</w:t>
      </w:r>
      <w:r>
        <w:rPr>
          <w:rFonts w:hint="eastAsia" w:ascii="宋体" w:hAnsi="宋体" w:eastAsia="宋体" w:cs="宋体"/>
          <w:color w:val="auto"/>
          <w:sz w:val="24"/>
          <w:szCs w:val="24"/>
          <w:highlight w:val="none"/>
        </w:rPr>
        <w:t>.1 乙方对其所销售的货物应当享有知识产权或经权利人合法授权，保证没有侵犯任何第三人的知识产权等权利。</w:t>
      </w:r>
      <w:bookmarkStart w:id="189" w:name="_Hlk163047038"/>
      <w:r>
        <w:rPr>
          <w:rFonts w:hint="eastAsia" w:ascii="宋体" w:hAnsi="宋体" w:eastAsia="宋体" w:cs="宋体"/>
          <w:color w:val="auto"/>
          <w:sz w:val="24"/>
          <w:szCs w:val="24"/>
          <w:highlight w:val="none"/>
        </w:rPr>
        <w:t>因违反前述约定对第三人构成侵权的，应当由乙方向第三人承担法律责任；甲方依法向第三人赔偿后，有权向乙方追偿。甲方有其他损失的，乙方应当赔偿</w:t>
      </w:r>
      <w:bookmarkEnd w:id="189"/>
      <w:r>
        <w:rPr>
          <w:rFonts w:hint="eastAsia" w:ascii="宋体" w:hAnsi="宋体" w:eastAsia="宋体" w:cs="宋体"/>
          <w:color w:val="auto"/>
          <w:sz w:val="24"/>
          <w:szCs w:val="24"/>
          <w:highlight w:val="none"/>
        </w:rPr>
        <w:t>。</w:t>
      </w:r>
    </w:p>
    <w:p w14:paraId="01647009">
      <w:pPr>
        <w:autoSpaceDE w:val="0"/>
        <w:autoSpaceDN w:val="0"/>
        <w:adjustRightInd w:val="0"/>
        <w:snapToGrid w:val="0"/>
        <w:spacing w:before="0" w:line="400" w:lineRule="exact"/>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保密义务</w:t>
      </w:r>
    </w:p>
    <w:p w14:paraId="687C3488">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11.1 </w:t>
      </w:r>
      <w:r>
        <w:rPr>
          <w:rFonts w:hint="eastAsia" w:ascii="宋体" w:hAnsi="宋体" w:eastAsia="宋体" w:cs="宋体"/>
          <w:color w:val="auto"/>
          <w:sz w:val="24"/>
          <w:szCs w:val="24"/>
          <w:highlight w:val="none"/>
        </w:rPr>
        <w:t>甲、乙双方</w:t>
      </w:r>
      <w:r>
        <w:rPr>
          <w:rFonts w:hint="eastAsia" w:ascii="宋体" w:hAnsi="宋体" w:eastAsia="宋体" w:cs="宋体"/>
          <w:color w:val="auto"/>
          <w:sz w:val="24"/>
          <w:szCs w:val="24"/>
          <w:highlight w:val="none"/>
          <w:lang w:eastAsia="zh-CN"/>
        </w:rPr>
        <w:t>对</w:t>
      </w:r>
      <w:r>
        <w:rPr>
          <w:rFonts w:hint="eastAsia" w:ascii="宋体" w:hAnsi="宋体" w:eastAsia="宋体" w:cs="宋体"/>
          <w:color w:val="auto"/>
          <w:sz w:val="24"/>
          <w:szCs w:val="24"/>
          <w:highlight w:val="none"/>
        </w:rPr>
        <w:t>采购和合同履行过程中所获悉的</w:t>
      </w:r>
      <w:r>
        <w:rPr>
          <w:rFonts w:hint="eastAsia" w:ascii="宋体" w:hAnsi="宋体" w:eastAsia="宋体" w:cs="宋体"/>
          <w:color w:val="auto"/>
          <w:sz w:val="24"/>
          <w:szCs w:val="24"/>
          <w:highlight w:val="none"/>
          <w:lang w:eastAsia="zh-CN"/>
        </w:rPr>
        <w:t>国家秘密、工作秘密、</w:t>
      </w:r>
      <w:r>
        <w:rPr>
          <w:rFonts w:hint="eastAsia" w:ascii="宋体" w:hAnsi="宋体" w:eastAsia="宋体" w:cs="宋体"/>
          <w:color w:val="auto"/>
          <w:sz w:val="24"/>
          <w:szCs w:val="24"/>
          <w:highlight w:val="none"/>
        </w:rPr>
        <w:t>商业秘密或者其他应当保密的信息，均有保密义务</w:t>
      </w:r>
      <w:r>
        <w:rPr>
          <w:rFonts w:hint="eastAsia" w:ascii="宋体" w:hAnsi="宋体" w:eastAsia="宋体" w:cs="宋体"/>
          <w:color w:val="auto"/>
          <w:sz w:val="24"/>
          <w:szCs w:val="24"/>
          <w:highlight w:val="none"/>
          <w:lang w:eastAsia="zh-CN"/>
        </w:rPr>
        <w:t>且不受合同有效期所限，直至该信息成为公开信息</w:t>
      </w:r>
      <w:r>
        <w:rPr>
          <w:rFonts w:hint="eastAsia" w:ascii="宋体" w:hAnsi="宋体" w:eastAsia="宋体" w:cs="宋体"/>
          <w:color w:val="auto"/>
          <w:sz w:val="24"/>
          <w:szCs w:val="24"/>
          <w:highlight w:val="none"/>
        </w:rPr>
        <w:t>。泄露、不正当地使用</w:t>
      </w:r>
      <w:r>
        <w:rPr>
          <w:rFonts w:hint="eastAsia" w:ascii="宋体" w:hAnsi="宋体" w:eastAsia="宋体" w:cs="宋体"/>
          <w:color w:val="auto"/>
          <w:sz w:val="24"/>
          <w:szCs w:val="24"/>
          <w:highlight w:val="none"/>
          <w:lang w:eastAsia="zh-CN"/>
        </w:rPr>
        <w:t>国家秘密、工作秘密、</w:t>
      </w:r>
      <w:r>
        <w:rPr>
          <w:rFonts w:hint="eastAsia" w:ascii="宋体" w:hAnsi="宋体" w:eastAsia="宋体" w:cs="宋体"/>
          <w:color w:val="auto"/>
          <w:sz w:val="24"/>
          <w:szCs w:val="24"/>
          <w:highlight w:val="none"/>
        </w:rPr>
        <w:t>商业秘密或者</w:t>
      </w:r>
      <w:r>
        <w:rPr>
          <w:rFonts w:hint="eastAsia" w:ascii="宋体" w:hAnsi="宋体" w:eastAsia="宋体" w:cs="宋体"/>
          <w:color w:val="auto"/>
          <w:sz w:val="24"/>
          <w:szCs w:val="24"/>
          <w:highlight w:val="none"/>
          <w:lang w:eastAsia="zh-CN"/>
        </w:rPr>
        <w:t>其他应当保密的</w:t>
      </w:r>
      <w:r>
        <w:rPr>
          <w:rFonts w:hint="eastAsia" w:ascii="宋体" w:hAnsi="宋体" w:eastAsia="宋体" w:cs="宋体"/>
          <w:color w:val="auto"/>
          <w:sz w:val="24"/>
          <w:szCs w:val="24"/>
          <w:highlight w:val="none"/>
        </w:rPr>
        <w:t>信息，应当承担</w:t>
      </w:r>
      <w:r>
        <w:rPr>
          <w:rFonts w:hint="eastAsia" w:ascii="宋体" w:hAnsi="宋体" w:eastAsia="宋体" w:cs="宋体"/>
          <w:color w:val="auto"/>
          <w:sz w:val="24"/>
          <w:szCs w:val="24"/>
          <w:highlight w:val="none"/>
          <w:lang w:eastAsia="zh-CN"/>
        </w:rPr>
        <w:t>相应</w:t>
      </w:r>
      <w:r>
        <w:rPr>
          <w:rFonts w:hint="eastAsia" w:ascii="宋体" w:hAnsi="宋体" w:eastAsia="宋体" w:cs="宋体"/>
          <w:color w:val="auto"/>
          <w:sz w:val="24"/>
          <w:szCs w:val="24"/>
          <w:highlight w:val="none"/>
        </w:rPr>
        <w:t>责任。其他应当保密的信息由双方在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中约定。</w:t>
      </w:r>
    </w:p>
    <w:p w14:paraId="5DE863AB">
      <w:pPr>
        <w:autoSpaceDE w:val="0"/>
        <w:autoSpaceDN w:val="0"/>
        <w:adjustRightInd w:val="0"/>
        <w:snapToGrid w:val="0"/>
        <w:spacing w:before="0" w:line="400" w:lineRule="exact"/>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合同价款支付</w:t>
      </w:r>
    </w:p>
    <w:p w14:paraId="3DC95F10">
      <w:pPr>
        <w:autoSpaceDE/>
        <w:autoSpaceDN/>
        <w:adjustRightInd w:val="0"/>
        <w:snapToGrid w:val="0"/>
        <w:spacing w:before="0" w:line="40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lang w:eastAsia="zh-CN"/>
        </w:rPr>
        <w:t>合同价款支付</w:t>
      </w:r>
      <w:r>
        <w:rPr>
          <w:rFonts w:hint="eastAsia" w:ascii="宋体" w:hAnsi="宋体" w:eastAsia="宋体" w:cs="宋体"/>
          <w:color w:val="auto"/>
          <w:sz w:val="24"/>
          <w:szCs w:val="24"/>
          <w:highlight w:val="none"/>
        </w:rPr>
        <w:t>按照国库集中支付</w:t>
      </w:r>
      <w:r>
        <w:rPr>
          <w:rFonts w:hint="eastAsia" w:ascii="宋体" w:hAnsi="宋体" w:eastAsia="宋体" w:cs="宋体"/>
          <w:color w:val="auto"/>
          <w:sz w:val="24"/>
          <w:szCs w:val="24"/>
          <w:highlight w:val="none"/>
          <w:lang w:eastAsia="zh-CN"/>
        </w:rPr>
        <w:t>制度及财政管理相关</w:t>
      </w:r>
      <w:r>
        <w:rPr>
          <w:rFonts w:hint="eastAsia" w:ascii="宋体" w:hAnsi="宋体" w:eastAsia="宋体" w:cs="宋体"/>
          <w:color w:val="auto"/>
          <w:sz w:val="24"/>
          <w:szCs w:val="24"/>
          <w:highlight w:val="none"/>
        </w:rPr>
        <w:t>规定执行。</w:t>
      </w:r>
    </w:p>
    <w:p w14:paraId="73C881D9">
      <w:pPr>
        <w:pStyle w:val="2"/>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 xml:space="preserve">12.2 </w:t>
      </w:r>
      <w:r>
        <w:rPr>
          <w:rFonts w:hint="eastAsia" w:ascii="宋体" w:hAnsi="宋体" w:eastAsia="宋体" w:cs="宋体"/>
          <w:b w:val="0"/>
          <w:bCs w:val="0"/>
          <w:color w:val="auto"/>
          <w:kern w:val="2"/>
          <w:sz w:val="24"/>
          <w:szCs w:val="24"/>
          <w:highlight w:val="none"/>
        </w:rPr>
        <w:t>对于满足合同约定支付条件的，</w:t>
      </w:r>
      <w:r>
        <w:rPr>
          <w:rFonts w:hint="eastAsia" w:ascii="宋体" w:hAnsi="宋体" w:eastAsia="宋体" w:cs="宋体"/>
          <w:b w:val="0"/>
          <w:bCs w:val="0"/>
          <w:color w:val="auto"/>
          <w:kern w:val="2"/>
          <w:sz w:val="24"/>
          <w:szCs w:val="24"/>
          <w:highlight w:val="none"/>
          <w:lang w:val="en-US" w:eastAsia="zh-CN"/>
        </w:rPr>
        <w:t>甲方</w:t>
      </w:r>
      <w:r>
        <w:rPr>
          <w:rFonts w:hint="eastAsia" w:ascii="宋体" w:hAnsi="宋体" w:eastAsia="宋体" w:cs="宋体"/>
          <w:b w:val="0"/>
          <w:bCs w:val="0"/>
          <w:i w:val="0"/>
          <w:iCs w:val="0"/>
          <w:caps w:val="0"/>
          <w:color w:val="auto"/>
          <w:spacing w:val="0"/>
          <w:sz w:val="24"/>
          <w:szCs w:val="24"/>
          <w:highlight w:val="none"/>
          <w:shd w:val="clear"/>
          <w:vertAlign w:val="baseline"/>
        </w:rPr>
        <w:t>原则上应当自收到发票后10个工作日内</w:t>
      </w:r>
      <w:r>
        <w:rPr>
          <w:rFonts w:hint="eastAsia" w:ascii="宋体" w:hAnsi="宋体" w:eastAsia="宋体" w:cs="宋体"/>
          <w:b w:val="0"/>
          <w:bCs w:val="0"/>
          <w:color w:val="auto"/>
          <w:kern w:val="2"/>
          <w:sz w:val="24"/>
          <w:szCs w:val="24"/>
          <w:highlight w:val="none"/>
        </w:rPr>
        <w:t>将资金支付到合同约定的</w:t>
      </w:r>
      <w:r>
        <w:rPr>
          <w:rFonts w:hint="eastAsia" w:ascii="宋体" w:hAnsi="宋体" w:eastAsia="宋体" w:cs="宋体"/>
          <w:b w:val="0"/>
          <w:bCs w:val="0"/>
          <w:color w:val="auto"/>
          <w:kern w:val="2"/>
          <w:sz w:val="24"/>
          <w:szCs w:val="24"/>
          <w:highlight w:val="none"/>
          <w:lang w:eastAsia="zh-CN"/>
        </w:rPr>
        <w:t>乙方</w:t>
      </w:r>
      <w:r>
        <w:rPr>
          <w:rFonts w:hint="eastAsia" w:ascii="宋体" w:hAnsi="宋体" w:eastAsia="宋体" w:cs="宋体"/>
          <w:b w:val="0"/>
          <w:bCs w:val="0"/>
          <w:color w:val="auto"/>
          <w:kern w:val="2"/>
          <w:sz w:val="24"/>
          <w:szCs w:val="24"/>
          <w:highlight w:val="none"/>
        </w:rPr>
        <w:t>账户，不得以机构变动、人员更替、政策调整等为由迟延付款，不得将采购文件和合同中未规定的义务作为向</w:t>
      </w:r>
      <w:r>
        <w:rPr>
          <w:rFonts w:hint="eastAsia" w:ascii="宋体" w:hAnsi="宋体" w:eastAsia="宋体" w:cs="宋体"/>
          <w:b w:val="0"/>
          <w:bCs w:val="0"/>
          <w:color w:val="auto"/>
          <w:kern w:val="2"/>
          <w:sz w:val="24"/>
          <w:szCs w:val="24"/>
          <w:highlight w:val="none"/>
          <w:lang w:val="en-US" w:eastAsia="zh-CN"/>
        </w:rPr>
        <w:t>乙方</w:t>
      </w:r>
      <w:r>
        <w:rPr>
          <w:rFonts w:hint="eastAsia" w:ascii="宋体" w:hAnsi="宋体" w:eastAsia="宋体" w:cs="宋体"/>
          <w:b w:val="0"/>
          <w:bCs w:val="0"/>
          <w:color w:val="auto"/>
          <w:kern w:val="2"/>
          <w:sz w:val="24"/>
          <w:szCs w:val="24"/>
          <w:highlight w:val="none"/>
        </w:rPr>
        <w:t>付款的条件。具体合同价款支付时间在【</w:t>
      </w:r>
      <w:r>
        <w:rPr>
          <w:rFonts w:hint="eastAsia" w:ascii="宋体" w:hAnsi="宋体" w:eastAsia="宋体" w:cs="宋体"/>
          <w:b/>
          <w:bCs/>
          <w:color w:val="auto"/>
          <w:kern w:val="2"/>
          <w:sz w:val="24"/>
          <w:szCs w:val="24"/>
          <w:highlight w:val="none"/>
        </w:rPr>
        <w:t>政府采购合同专用条款</w:t>
      </w:r>
      <w:r>
        <w:rPr>
          <w:rFonts w:hint="eastAsia" w:ascii="宋体" w:hAnsi="宋体" w:eastAsia="宋体" w:cs="宋体"/>
          <w:b w:val="0"/>
          <w:bCs w:val="0"/>
          <w:color w:val="auto"/>
          <w:kern w:val="2"/>
          <w:sz w:val="24"/>
          <w:szCs w:val="24"/>
          <w:highlight w:val="none"/>
        </w:rPr>
        <w:t>】中</w:t>
      </w:r>
      <w:r>
        <w:rPr>
          <w:rFonts w:hint="eastAsia" w:ascii="宋体" w:hAnsi="宋体" w:eastAsia="宋体" w:cs="宋体"/>
          <w:b w:val="0"/>
          <w:bCs w:val="0"/>
          <w:color w:val="auto"/>
          <w:kern w:val="2"/>
          <w:sz w:val="24"/>
          <w:szCs w:val="24"/>
          <w:highlight w:val="none"/>
          <w:lang w:eastAsia="zh-CN"/>
        </w:rPr>
        <w:t>约</w:t>
      </w:r>
      <w:r>
        <w:rPr>
          <w:rFonts w:hint="eastAsia" w:ascii="宋体" w:hAnsi="宋体" w:eastAsia="宋体" w:cs="宋体"/>
          <w:b w:val="0"/>
          <w:bCs w:val="0"/>
          <w:color w:val="auto"/>
          <w:kern w:val="2"/>
          <w:sz w:val="24"/>
          <w:szCs w:val="24"/>
          <w:highlight w:val="none"/>
        </w:rPr>
        <w:t>定。</w:t>
      </w:r>
    </w:p>
    <w:p w14:paraId="32E2CD36">
      <w:pPr>
        <w:pStyle w:val="4"/>
        <w:spacing w:after="0" w:line="40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履约保证金</w:t>
      </w:r>
    </w:p>
    <w:p w14:paraId="3F792AF2">
      <w:pPr>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.1 乙方应当以支票、汇票、本票或者金融机构、担保机构出具的保函等非现金形式提交。</w:t>
      </w:r>
    </w:p>
    <w:p w14:paraId="53D1DCFC">
      <w:pPr>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.2 如果乙方</w:t>
      </w:r>
      <w:r>
        <w:rPr>
          <w:rFonts w:hint="eastAsia" w:ascii="宋体" w:hAnsi="宋体" w:eastAsia="宋体" w:cs="宋体"/>
          <w:color w:val="auto"/>
          <w:sz w:val="24"/>
          <w:szCs w:val="24"/>
          <w:highlight w:val="none"/>
          <w:lang w:eastAsia="zh-CN"/>
        </w:rPr>
        <w:t>出现</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b w:val="0"/>
          <w:bCs w:val="0"/>
          <w:color w:val="auto"/>
          <w:sz w:val="24"/>
          <w:szCs w:val="24"/>
          <w:highlight w:val="none"/>
          <w:lang w:eastAsia="zh-CN"/>
        </w:rPr>
        <w:t>约定情形的</w:t>
      </w:r>
      <w:r>
        <w:rPr>
          <w:rFonts w:hint="eastAsia" w:ascii="宋体" w:hAnsi="宋体" w:eastAsia="宋体" w:cs="宋体"/>
          <w:color w:val="auto"/>
          <w:sz w:val="24"/>
          <w:szCs w:val="24"/>
          <w:highlight w:val="none"/>
        </w:rPr>
        <w:t>，履约保证金不予退还；如果乙方未能按合同约定全面履行义务，甲方有权从履约保证金中取得补偿或赔偿，</w:t>
      </w:r>
      <w:r>
        <w:rPr>
          <w:rFonts w:hint="eastAsia" w:ascii="宋体" w:hAnsi="宋体" w:eastAsia="宋体" w:cs="宋体"/>
          <w:color w:val="auto"/>
          <w:sz w:val="24"/>
          <w:szCs w:val="24"/>
          <w:highlight w:val="none"/>
          <w:lang w:eastAsia="zh-CN"/>
        </w:rPr>
        <w:t>且</w:t>
      </w:r>
      <w:r>
        <w:rPr>
          <w:rFonts w:hint="eastAsia" w:ascii="宋体" w:hAnsi="宋体" w:eastAsia="宋体" w:cs="宋体"/>
          <w:color w:val="auto"/>
          <w:sz w:val="24"/>
          <w:szCs w:val="24"/>
          <w:highlight w:val="none"/>
        </w:rPr>
        <w:t>不影响甲方要求乙方承担合同约定的超过履约保证金的违约责任的权利。</w:t>
      </w:r>
    </w:p>
    <w:p w14:paraId="47175CDB">
      <w:pPr>
        <w:spacing w:line="400" w:lineRule="exact"/>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.3 甲方在项目通过验收后按照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规定的时间内将履约保证金退还乙方；逾期退还的，乙方可要求甲方支付违约金，违约金按照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规定支付。</w:t>
      </w:r>
    </w:p>
    <w:p w14:paraId="427C3AFD">
      <w:pPr>
        <w:autoSpaceDE w:val="0"/>
        <w:autoSpaceDN w:val="0"/>
        <w:adjustRightInd w:val="0"/>
        <w:snapToGrid w:val="0"/>
        <w:spacing w:before="0" w:line="400" w:lineRule="exact"/>
        <w:jc w:val="left"/>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color w:val="auto"/>
          <w:sz w:val="24"/>
          <w:szCs w:val="24"/>
          <w:highlight w:val="none"/>
        </w:rPr>
        <w:t>售后服务</w:t>
      </w:r>
    </w:p>
    <w:p w14:paraId="45D177F3">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除项目不涉及或采购活动中明确约定无须承担外，乙方还应提供下列服务：</w:t>
      </w:r>
    </w:p>
    <w:p w14:paraId="6979D5CD">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（1）货物的现场移动、安装、调试、启动监督及技术支持；</w:t>
      </w:r>
    </w:p>
    <w:p w14:paraId="039DEBE3">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（2）提供货物组装和维修所需的专用工具和辅助材料；</w:t>
      </w:r>
    </w:p>
    <w:p w14:paraId="0DD572C0">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的期限内对所有的货物实施运行监督、维修，但前提条件是该服务并不能免除乙方在质量保证期内所承担的义务；</w:t>
      </w:r>
    </w:p>
    <w:p w14:paraId="4410910B">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（4）在制造商</w:t>
      </w:r>
      <w:r>
        <w:rPr>
          <w:rFonts w:hint="eastAsia" w:ascii="宋体" w:hAnsi="宋体" w:eastAsia="宋体" w:cs="宋体"/>
          <w:color w:val="auto"/>
          <w:sz w:val="24"/>
          <w:szCs w:val="24"/>
          <w:highlight w:val="none"/>
          <w:lang w:eastAsia="zh-CN"/>
        </w:rPr>
        <w:t>所在地</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指定</w:t>
      </w:r>
      <w:r>
        <w:rPr>
          <w:rFonts w:hint="eastAsia" w:ascii="宋体" w:hAnsi="宋体" w:eastAsia="宋体" w:cs="宋体"/>
          <w:color w:val="auto"/>
          <w:sz w:val="24"/>
          <w:szCs w:val="24"/>
          <w:highlight w:val="none"/>
        </w:rPr>
        <w:t>现场就货物的安装、启动、运营、维护</w:t>
      </w:r>
      <w:r>
        <w:rPr>
          <w:rFonts w:hint="eastAsia" w:ascii="宋体" w:hAnsi="宋体" w:eastAsia="宋体" w:cs="宋体"/>
          <w:color w:val="auto"/>
          <w:sz w:val="24"/>
          <w:szCs w:val="24"/>
          <w:highlight w:val="none"/>
          <w:lang w:eastAsia="zh-CN"/>
        </w:rPr>
        <w:t>、废弃处置等</w:t>
      </w:r>
      <w:r>
        <w:rPr>
          <w:rFonts w:hint="eastAsia" w:ascii="宋体" w:hAnsi="宋体" w:eastAsia="宋体" w:cs="宋体"/>
          <w:color w:val="auto"/>
          <w:sz w:val="24"/>
          <w:szCs w:val="24"/>
          <w:highlight w:val="none"/>
        </w:rPr>
        <w:t>对甲方操作人员进行培训</w:t>
      </w:r>
      <w:r>
        <w:rPr>
          <w:rFonts w:hint="eastAsia" w:ascii="宋体" w:hAnsi="宋体" w:eastAsia="宋体" w:cs="宋体"/>
          <w:color w:val="auto"/>
          <w:sz w:val="24"/>
          <w:szCs w:val="24"/>
          <w:highlight w:val="none"/>
          <w:lang w:eastAsia="zh-CN"/>
        </w:rPr>
        <w:t>；</w:t>
      </w:r>
    </w:p>
    <w:p w14:paraId="554405A6">
      <w:pPr>
        <w:pStyle w:val="1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（5）依照法律、行政法规的规定或者按照</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约定，货物在有效使用年限届满后应予回收的，乙方负有自行或者委托第三人对货物予以回收的义务；</w:t>
      </w:r>
    </w:p>
    <w:p w14:paraId="59DA3B6A">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规定由乙方提供的其他服务。</w:t>
      </w:r>
    </w:p>
    <w:p w14:paraId="0EB43425">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乙方提供的</w:t>
      </w:r>
      <w:r>
        <w:rPr>
          <w:rFonts w:hint="eastAsia" w:ascii="宋体" w:hAnsi="宋体" w:eastAsia="宋体" w:cs="宋体"/>
          <w:color w:val="auto"/>
          <w:sz w:val="24"/>
          <w:szCs w:val="24"/>
          <w:highlight w:val="none"/>
          <w:lang w:eastAsia="zh-CN"/>
        </w:rPr>
        <w:t>售后</w:t>
      </w:r>
      <w:r>
        <w:rPr>
          <w:rFonts w:hint="eastAsia" w:ascii="宋体" w:hAnsi="宋体" w:eastAsia="宋体" w:cs="宋体"/>
          <w:color w:val="auto"/>
          <w:sz w:val="24"/>
          <w:szCs w:val="24"/>
          <w:highlight w:val="none"/>
        </w:rPr>
        <w:t>服务的费用</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包含在合同价款中，甲方不再另行支付。</w:t>
      </w:r>
    </w:p>
    <w:p w14:paraId="3E395FEB">
      <w:pPr>
        <w:adjustRightInd w:val="0"/>
        <w:snapToGrid w:val="0"/>
        <w:spacing w:before="0" w:line="400" w:lineRule="exact"/>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违约责任</w:t>
      </w:r>
    </w:p>
    <w:p w14:paraId="5FEA93D2">
      <w:pPr>
        <w:adjustRightInd w:val="0"/>
        <w:snapToGrid w:val="0"/>
        <w:spacing w:before="0" w:line="40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.1质量瑕疵的</w:t>
      </w:r>
      <w:r>
        <w:rPr>
          <w:rFonts w:hint="eastAsia" w:ascii="宋体" w:hAnsi="宋体" w:eastAsia="宋体" w:cs="宋体"/>
          <w:bCs/>
          <w:color w:val="auto"/>
          <w:sz w:val="24"/>
          <w:szCs w:val="24"/>
          <w:highlight w:val="none"/>
          <w:lang w:eastAsia="zh-CN"/>
        </w:rPr>
        <w:t>违约责任</w:t>
      </w:r>
    </w:p>
    <w:p w14:paraId="4EE1618B">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的产品不符合</w:t>
      </w:r>
      <w:r>
        <w:rPr>
          <w:rFonts w:hint="eastAsia" w:ascii="宋体" w:hAnsi="宋体" w:eastAsia="宋体" w:cs="宋体"/>
          <w:color w:val="auto"/>
          <w:sz w:val="24"/>
          <w:szCs w:val="24"/>
          <w:highlight w:val="none"/>
          <w:lang w:eastAsia="zh-CN"/>
        </w:rPr>
        <w:t>合同约定的</w:t>
      </w:r>
      <w:r>
        <w:rPr>
          <w:rFonts w:hint="eastAsia" w:ascii="宋体" w:hAnsi="宋体" w:eastAsia="宋体" w:cs="宋体"/>
          <w:color w:val="auto"/>
          <w:sz w:val="24"/>
          <w:szCs w:val="24"/>
          <w:highlight w:val="none"/>
        </w:rPr>
        <w:t>质量标准或存在产品质量缺陷，</w:t>
      </w:r>
      <w:r>
        <w:rPr>
          <w:rFonts w:hint="eastAsia" w:ascii="宋体" w:hAnsi="宋体" w:eastAsia="宋体" w:cs="宋体"/>
          <w:color w:val="auto"/>
          <w:sz w:val="24"/>
          <w:szCs w:val="24"/>
          <w:highlight w:val="none"/>
          <w:lang w:eastAsia="zh-CN"/>
        </w:rPr>
        <w:t>甲方有权要求乙方根据</w:t>
      </w:r>
      <w:r>
        <w:rPr>
          <w:rFonts w:hint="eastAsia" w:ascii="宋体" w:hAnsi="宋体" w:eastAsia="宋体" w:cs="宋体"/>
          <w:b/>
          <w:color w:val="auto"/>
          <w:sz w:val="24"/>
          <w:szCs w:val="24"/>
          <w:highlight w:val="none"/>
        </w:rPr>
        <w:t>【政府采购合同专用条款】</w:t>
      </w:r>
      <w:r>
        <w:rPr>
          <w:rFonts w:hint="eastAsia" w:ascii="宋体" w:hAnsi="宋体" w:eastAsia="宋体" w:cs="宋体"/>
          <w:b w:val="0"/>
          <w:bCs/>
          <w:color w:val="auto"/>
          <w:sz w:val="24"/>
          <w:szCs w:val="24"/>
          <w:highlight w:val="none"/>
          <w:lang w:eastAsia="zh-CN"/>
        </w:rPr>
        <w:t>要求</w:t>
      </w:r>
      <w:r>
        <w:rPr>
          <w:rFonts w:hint="eastAsia" w:ascii="宋体" w:hAnsi="宋体" w:eastAsia="宋体" w:cs="宋体"/>
          <w:color w:val="auto"/>
          <w:sz w:val="24"/>
          <w:szCs w:val="24"/>
          <w:highlight w:val="none"/>
          <w:lang w:eastAsia="zh-CN"/>
        </w:rPr>
        <w:t>及时修理、重作、更换，并承担由此给甲</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lang w:eastAsia="zh-CN"/>
        </w:rPr>
        <w:t>造成的损失</w:t>
      </w:r>
      <w:r>
        <w:rPr>
          <w:rFonts w:hint="eastAsia" w:ascii="宋体" w:hAnsi="宋体" w:eastAsia="宋体" w:cs="宋体"/>
          <w:color w:val="auto"/>
          <w:sz w:val="24"/>
          <w:szCs w:val="24"/>
          <w:highlight w:val="none"/>
        </w:rPr>
        <w:t>。</w:t>
      </w:r>
    </w:p>
    <w:p w14:paraId="369C4473">
      <w:pPr>
        <w:autoSpaceDE w:val="0"/>
        <w:autoSpaceDN w:val="0"/>
        <w:adjustRightInd w:val="0"/>
        <w:snapToGrid w:val="0"/>
        <w:spacing w:before="0" w:line="40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.2 迟延交货的违约责任</w:t>
      </w:r>
    </w:p>
    <w:p w14:paraId="44127236">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服务。在履行合同过程中，如果乙方遇到可能</w:t>
      </w:r>
      <w:r>
        <w:rPr>
          <w:rFonts w:hint="eastAsia" w:ascii="宋体" w:hAnsi="宋体" w:eastAsia="宋体" w:cs="宋体"/>
          <w:color w:val="auto"/>
          <w:sz w:val="24"/>
          <w:szCs w:val="24"/>
          <w:highlight w:val="none"/>
          <w:lang w:eastAsia="zh-CN"/>
        </w:rPr>
        <w:t>影响</w:t>
      </w:r>
      <w:r>
        <w:rPr>
          <w:rFonts w:hint="eastAsia" w:ascii="宋体" w:hAnsi="宋体" w:eastAsia="宋体" w:cs="宋体"/>
          <w:color w:val="auto"/>
          <w:sz w:val="24"/>
          <w:szCs w:val="24"/>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4"/>
          <w:szCs w:val="24"/>
          <w:highlight w:val="none"/>
          <w:lang w:eastAsia="zh-CN"/>
        </w:rPr>
        <w:t>长</w:t>
      </w:r>
      <w:r>
        <w:rPr>
          <w:rFonts w:hint="eastAsia" w:ascii="宋体" w:hAnsi="宋体" w:eastAsia="宋体" w:cs="宋体"/>
          <w:color w:val="auto"/>
          <w:sz w:val="24"/>
          <w:szCs w:val="24"/>
          <w:highlight w:val="none"/>
        </w:rPr>
        <w:t>交货时间或延期提供服务。</w:t>
      </w:r>
    </w:p>
    <w:p w14:paraId="0C5B7A6A">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（2）如果乙方没有按照合同规定的时间交货和提供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服务，甲方有权从货款中扣除误期赔偿费而不影响合同项下的其他补救方法，赔偿费按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规定执行。如果涉及公共利益，且赔偿金额无法弥补公共利益损失，</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可要求继续履行或者</w:t>
      </w:r>
      <w:r>
        <w:rPr>
          <w:rFonts w:hint="eastAsia" w:ascii="宋体" w:hAnsi="宋体" w:eastAsia="宋体" w:cs="宋体"/>
          <w:color w:val="auto"/>
          <w:sz w:val="24"/>
          <w:szCs w:val="24"/>
          <w:highlight w:val="none"/>
          <w:lang w:eastAsia="zh-CN"/>
        </w:rPr>
        <w:t>采取其他补救措施</w:t>
      </w:r>
      <w:r>
        <w:rPr>
          <w:rFonts w:hint="eastAsia" w:ascii="宋体" w:hAnsi="宋体" w:eastAsia="宋体" w:cs="宋体"/>
          <w:color w:val="auto"/>
          <w:sz w:val="24"/>
          <w:szCs w:val="24"/>
          <w:highlight w:val="none"/>
        </w:rPr>
        <w:t>。</w:t>
      </w:r>
    </w:p>
    <w:p w14:paraId="46AAE786">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 迟延支付的违约责任</w:t>
      </w:r>
    </w:p>
    <w:p w14:paraId="4546061D">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甲方存在迟延支付乙方合同款项的，应当承担</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规定的逾期付款利息。</w:t>
      </w:r>
    </w:p>
    <w:p w14:paraId="7587B1DD">
      <w:pPr>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.4其他违约责任根据项目实际需要按</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规定执行。</w:t>
      </w:r>
    </w:p>
    <w:p w14:paraId="43473550">
      <w:pPr>
        <w:numPr>
          <w:ilvl w:val="0"/>
          <w:numId w:val="6"/>
        </w:numPr>
        <w:autoSpaceDE w:val="0"/>
        <w:autoSpaceDN w:val="0"/>
        <w:adjustRightInd w:val="0"/>
        <w:snapToGrid w:val="0"/>
        <w:spacing w:before="0" w:line="40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合同变更</w:t>
      </w:r>
      <w:r>
        <w:rPr>
          <w:rFonts w:hint="eastAsia" w:ascii="宋体" w:hAnsi="宋体" w:eastAsia="宋体" w:cs="宋体"/>
          <w:b/>
          <w:color w:val="auto"/>
          <w:sz w:val="24"/>
          <w:szCs w:val="24"/>
          <w:highlight w:val="none"/>
          <w:lang w:eastAsia="zh-CN"/>
        </w:rPr>
        <w:t>、中止与终止</w:t>
      </w:r>
    </w:p>
    <w:p w14:paraId="775A8BDE">
      <w:pPr>
        <w:autoSpaceDE/>
        <w:autoSpaceDN/>
        <w:adjustRightInd w:val="0"/>
        <w:snapToGrid w:val="0"/>
        <w:spacing w:before="0" w:line="40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.1合同的</w:t>
      </w:r>
      <w:r>
        <w:rPr>
          <w:rFonts w:hint="eastAsia" w:ascii="宋体" w:hAnsi="宋体" w:eastAsia="宋体" w:cs="宋体"/>
          <w:color w:val="auto"/>
          <w:sz w:val="24"/>
          <w:szCs w:val="24"/>
          <w:highlight w:val="none"/>
          <w:lang w:eastAsia="zh-CN"/>
        </w:rPr>
        <w:t>变更</w:t>
      </w:r>
    </w:p>
    <w:p w14:paraId="022CEA04">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政府采购合同履行中，</w:t>
      </w:r>
      <w:r>
        <w:rPr>
          <w:rFonts w:hint="eastAsia" w:ascii="宋体" w:hAnsi="宋体" w:eastAsia="宋体" w:cs="宋体"/>
          <w:color w:val="auto"/>
          <w:sz w:val="24"/>
          <w:szCs w:val="24"/>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4"/>
          <w:szCs w:val="24"/>
          <w:highlight w:val="none"/>
          <w:lang w:eastAsia="zh-CN"/>
        </w:rPr>
        <w:t>一致后</w:t>
      </w:r>
      <w:r>
        <w:rPr>
          <w:rFonts w:hint="eastAsia" w:ascii="宋体" w:hAnsi="宋体" w:eastAsia="宋体" w:cs="宋体"/>
          <w:color w:val="auto"/>
          <w:sz w:val="24"/>
          <w:szCs w:val="24"/>
          <w:highlight w:val="none"/>
        </w:rPr>
        <w:t>签订补充协议。</w:t>
      </w:r>
    </w:p>
    <w:p w14:paraId="01CAFA89">
      <w:pPr>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合同的中止</w:t>
      </w:r>
    </w:p>
    <w:p w14:paraId="48213709">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（1）合同履行过程中因供应商就采购文件、采购过程或结果提起投诉的，甲方认为有必要的，</w:t>
      </w:r>
      <w:r>
        <w:rPr>
          <w:rFonts w:hint="eastAsia" w:ascii="宋体" w:hAnsi="宋体" w:eastAsia="宋体" w:cs="宋体"/>
          <w:color w:val="auto"/>
          <w:sz w:val="24"/>
          <w:szCs w:val="24"/>
          <w:highlight w:val="none"/>
          <w:lang w:eastAsia="zh-CN"/>
        </w:rPr>
        <w:t>可以</w:t>
      </w:r>
      <w:r>
        <w:rPr>
          <w:rFonts w:hint="eastAsia" w:ascii="宋体" w:hAnsi="宋体" w:eastAsia="宋体" w:cs="宋体"/>
          <w:color w:val="auto"/>
          <w:sz w:val="24"/>
          <w:szCs w:val="24"/>
          <w:highlight w:val="none"/>
        </w:rPr>
        <w:t>中止合同的履行。</w:t>
      </w:r>
    </w:p>
    <w:p w14:paraId="447F5525">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合同履行过程中，</w:t>
      </w:r>
      <w:r>
        <w:rPr>
          <w:rFonts w:hint="eastAsia" w:ascii="宋体" w:hAnsi="宋体" w:eastAsia="宋体" w:cs="宋体"/>
          <w:color w:val="auto"/>
          <w:sz w:val="24"/>
          <w:szCs w:val="24"/>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4"/>
          <w:szCs w:val="24"/>
          <w:highlight w:val="none"/>
          <w:lang w:eastAsia="zh-CN"/>
        </w:rPr>
        <w:t>，乙方有义务及时告知甲方</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以书面形式通知乙方中止合同</w:t>
      </w:r>
      <w:r>
        <w:rPr>
          <w:rFonts w:hint="eastAsia" w:ascii="宋体" w:hAnsi="宋体" w:eastAsia="宋体" w:cs="宋体"/>
          <w:color w:val="auto"/>
          <w:sz w:val="24"/>
          <w:szCs w:val="24"/>
          <w:highlight w:val="none"/>
          <w:lang w:eastAsia="zh-CN"/>
        </w:rPr>
        <w:t>并要求乙方在合理期限内消除相关情形或者提供适当担保。</w:t>
      </w:r>
      <w:r>
        <w:rPr>
          <w:rFonts w:hint="eastAsia" w:ascii="宋体" w:hAnsi="宋体" w:eastAsia="宋体" w:cs="宋体"/>
          <w:color w:val="auto"/>
          <w:sz w:val="24"/>
          <w:szCs w:val="24"/>
          <w:highlight w:val="none"/>
        </w:rPr>
        <w:t>乙方提供适当担保的，</w:t>
      </w:r>
      <w:r>
        <w:rPr>
          <w:rFonts w:hint="eastAsia" w:ascii="宋体" w:hAnsi="宋体" w:eastAsia="宋体" w:cs="宋体"/>
          <w:color w:val="auto"/>
          <w:sz w:val="24"/>
          <w:szCs w:val="24"/>
          <w:highlight w:val="none"/>
          <w:lang w:eastAsia="zh-CN"/>
        </w:rPr>
        <w:t>合同继续</w:t>
      </w:r>
      <w:r>
        <w:rPr>
          <w:rFonts w:hint="eastAsia" w:ascii="宋体" w:hAnsi="宋体" w:eastAsia="宋体" w:cs="宋体"/>
          <w:color w:val="auto"/>
          <w:sz w:val="24"/>
          <w:szCs w:val="24"/>
          <w:highlight w:val="none"/>
        </w:rPr>
        <w:t>履行</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方在合理期限内未恢复履约能力且未提供适当担保的，视为拒绝</w:t>
      </w:r>
      <w:r>
        <w:rPr>
          <w:rFonts w:hint="eastAsia" w:ascii="宋体" w:hAnsi="宋体" w:eastAsia="宋体" w:cs="宋体"/>
          <w:color w:val="auto"/>
          <w:sz w:val="24"/>
          <w:szCs w:val="24"/>
          <w:highlight w:val="none"/>
          <w:lang w:eastAsia="zh-CN"/>
        </w:rPr>
        <w:t>继续</w:t>
      </w:r>
      <w:r>
        <w:rPr>
          <w:rFonts w:hint="eastAsia" w:ascii="宋体" w:hAnsi="宋体" w:eastAsia="宋体" w:cs="宋体"/>
          <w:color w:val="auto"/>
          <w:sz w:val="24"/>
          <w:szCs w:val="24"/>
          <w:highlight w:val="none"/>
        </w:rPr>
        <w:t>履约，甲方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解除合同并要求乙方承担</w:t>
      </w:r>
      <w:r>
        <w:rPr>
          <w:rFonts w:hint="eastAsia" w:ascii="宋体" w:hAnsi="宋体" w:eastAsia="宋体" w:cs="宋体"/>
          <w:color w:val="auto"/>
          <w:sz w:val="24"/>
          <w:szCs w:val="24"/>
          <w:highlight w:val="none"/>
          <w:lang w:eastAsia="zh-CN"/>
        </w:rPr>
        <w:t>由此给甲方造成的损失</w:t>
      </w:r>
      <w:r>
        <w:rPr>
          <w:rFonts w:hint="eastAsia" w:ascii="宋体" w:hAnsi="宋体" w:eastAsia="宋体" w:cs="宋体"/>
          <w:color w:val="auto"/>
          <w:sz w:val="24"/>
          <w:szCs w:val="24"/>
          <w:highlight w:val="none"/>
        </w:rPr>
        <w:t>。</w:t>
      </w:r>
    </w:p>
    <w:p w14:paraId="4FE87742">
      <w:pPr>
        <w:pStyle w:val="15"/>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（3）乙方分立、合并或者变更住所的，应当及时以书面形式告知甲方。乙方没有</w:t>
      </w:r>
      <w:r>
        <w:rPr>
          <w:rFonts w:hint="eastAsia" w:ascii="宋体" w:hAnsi="宋体" w:eastAsia="宋体" w:cs="宋体"/>
          <w:color w:val="auto"/>
          <w:sz w:val="24"/>
          <w:szCs w:val="24"/>
          <w:highlight w:val="none"/>
          <w:lang w:eastAsia="zh-CN"/>
        </w:rPr>
        <w:t>及时告知</w:t>
      </w:r>
      <w:r>
        <w:rPr>
          <w:rFonts w:hint="eastAsia" w:ascii="宋体" w:hAnsi="宋体" w:eastAsia="宋体" w:cs="宋体"/>
          <w:color w:val="auto"/>
          <w:sz w:val="24"/>
          <w:szCs w:val="24"/>
          <w:highlight w:val="none"/>
        </w:rPr>
        <w:t>甲方，致使</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auto"/>
          <w:sz w:val="24"/>
          <w:szCs w:val="24"/>
          <w:highlight w:val="none"/>
        </w:rPr>
        <w:t>履行发生困难的，甲方可以中止合同履行并要求乙方承担由此给甲方造成的损失。</w:t>
      </w:r>
    </w:p>
    <w:p w14:paraId="20D02C92">
      <w:pPr>
        <w:snapToGri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）甲方不得以行政区划调整、政府换届、机构或者职能调整以及相关责任人更替为由中止合同。</w:t>
      </w:r>
    </w:p>
    <w:p w14:paraId="2521546E">
      <w:pPr>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合同的终止</w:t>
      </w:r>
    </w:p>
    <w:p w14:paraId="74F6F935">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（1）合同因有效期限届满而终止；</w:t>
      </w:r>
    </w:p>
    <w:p w14:paraId="4DEDE6EA">
      <w:pPr>
        <w:snapToGrid w:val="0"/>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（2）乙方未</w:t>
      </w:r>
      <w:r>
        <w:rPr>
          <w:rFonts w:hint="eastAsia" w:ascii="宋体" w:hAnsi="宋体" w:eastAsia="宋体" w:cs="宋体"/>
          <w:color w:val="auto"/>
          <w:sz w:val="24"/>
          <w:szCs w:val="24"/>
          <w:highlight w:val="none"/>
          <w:lang w:eastAsia="zh-CN"/>
        </w:rPr>
        <w:t>按</w:t>
      </w:r>
      <w:r>
        <w:rPr>
          <w:rFonts w:hint="eastAsia" w:ascii="宋体" w:hAnsi="宋体" w:eastAsia="宋体" w:cs="宋体"/>
          <w:color w:val="auto"/>
          <w:sz w:val="24"/>
          <w:szCs w:val="24"/>
          <w:highlight w:val="none"/>
        </w:rPr>
        <w:t>合同约定履行，构成根本性违约的，甲方有权终止合同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并追究乙方的违约责</w:t>
      </w:r>
      <w:r>
        <w:rPr>
          <w:rFonts w:hint="eastAsia" w:ascii="宋体" w:hAnsi="宋体" w:eastAsia="宋体" w:cs="宋体"/>
          <w:color w:val="auto"/>
          <w:sz w:val="24"/>
          <w:szCs w:val="24"/>
          <w:highlight w:val="none"/>
          <w:lang w:val="en-US" w:eastAsia="zh-CN"/>
        </w:rPr>
        <w:t>任</w:t>
      </w:r>
      <w:r>
        <w:rPr>
          <w:rFonts w:hint="eastAsia" w:ascii="宋体" w:hAnsi="宋体" w:eastAsia="宋体" w:cs="宋体"/>
          <w:color w:val="auto"/>
          <w:sz w:val="24"/>
          <w:szCs w:val="24"/>
          <w:highlight w:val="none"/>
        </w:rPr>
        <w:t>。</w:t>
      </w:r>
    </w:p>
    <w:p w14:paraId="5F76B4E5">
      <w:pPr>
        <w:pStyle w:val="1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16.4 </w:t>
      </w:r>
      <w:r>
        <w:rPr>
          <w:rFonts w:hint="eastAsia" w:ascii="宋体" w:hAnsi="宋体" w:eastAsia="宋体" w:cs="宋体"/>
          <w:color w:val="auto"/>
          <w:kern w:val="2"/>
          <w:sz w:val="24"/>
          <w:szCs w:val="24"/>
          <w:highlight w:val="none"/>
          <w:lang w:val="en-US" w:eastAsia="zh-CN"/>
        </w:rPr>
        <w:t>涉及国家利益、社会公共利益的情形</w:t>
      </w:r>
    </w:p>
    <w:p w14:paraId="3D02E440">
      <w:pPr>
        <w:pStyle w:val="15"/>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政府采购合同继续履行将损害国家利益和社会公共利益的，双方当事人</w:t>
      </w:r>
      <w:r>
        <w:rPr>
          <w:rFonts w:hint="eastAsia" w:ascii="宋体" w:hAnsi="宋体" w:eastAsia="宋体" w:cs="宋体"/>
          <w:color w:val="auto"/>
          <w:sz w:val="24"/>
          <w:szCs w:val="24"/>
          <w:highlight w:val="none"/>
          <w:lang w:val="en-US" w:eastAsia="zh-CN"/>
        </w:rPr>
        <w:t>应当变更、</w:t>
      </w:r>
      <w:r>
        <w:rPr>
          <w:rFonts w:hint="eastAsia" w:ascii="宋体" w:hAnsi="宋体" w:eastAsia="宋体" w:cs="宋体"/>
          <w:color w:val="auto"/>
          <w:sz w:val="24"/>
          <w:szCs w:val="24"/>
          <w:highlight w:val="none"/>
        </w:rPr>
        <w:t>中止</w:t>
      </w:r>
      <w:r>
        <w:rPr>
          <w:rFonts w:hint="eastAsia" w:ascii="宋体" w:hAnsi="宋体" w:eastAsia="宋体" w:cs="宋体"/>
          <w:color w:val="auto"/>
          <w:sz w:val="24"/>
          <w:szCs w:val="24"/>
          <w:highlight w:val="none"/>
          <w:lang w:eastAsia="zh-CN"/>
        </w:rPr>
        <w:t>或者终止</w:t>
      </w:r>
      <w:r>
        <w:rPr>
          <w:rFonts w:hint="eastAsia" w:ascii="宋体" w:hAnsi="宋体" w:eastAsia="宋体" w:cs="宋体"/>
          <w:color w:val="auto"/>
          <w:sz w:val="24"/>
          <w:szCs w:val="24"/>
          <w:highlight w:val="none"/>
        </w:rPr>
        <w:t>合同。有过错的一方应当承担赔偿责任，双方都有过错的，各自承担相应的责任。</w:t>
      </w:r>
    </w:p>
    <w:p w14:paraId="3193DD12">
      <w:pPr>
        <w:autoSpaceDE w:val="0"/>
        <w:autoSpaceDN w:val="0"/>
        <w:adjustRightInd w:val="0"/>
        <w:snapToGrid w:val="0"/>
        <w:spacing w:before="0" w:line="400" w:lineRule="exact"/>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合同分包</w:t>
      </w:r>
    </w:p>
    <w:p w14:paraId="1A794D1E">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 乙方不得</w:t>
      </w:r>
      <w:r>
        <w:rPr>
          <w:rFonts w:hint="eastAsia" w:ascii="宋体" w:hAnsi="宋体" w:eastAsia="宋体" w:cs="宋体"/>
          <w:color w:val="auto"/>
          <w:sz w:val="24"/>
          <w:szCs w:val="24"/>
          <w:highlight w:val="none"/>
          <w:lang w:eastAsia="zh-CN"/>
        </w:rPr>
        <w:t>将合同转包给其他供应商。涉及合同分包的，乙方</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lang w:eastAsia="zh-CN"/>
        </w:rPr>
        <w:t>根据采购文件和投标（响应）文件规定进行</w:t>
      </w:r>
      <w:r>
        <w:rPr>
          <w:rFonts w:hint="eastAsia" w:ascii="宋体" w:hAnsi="宋体" w:eastAsia="宋体" w:cs="宋体"/>
          <w:color w:val="auto"/>
          <w:sz w:val="24"/>
          <w:szCs w:val="24"/>
          <w:highlight w:val="none"/>
        </w:rPr>
        <w:t>合同分包。</w:t>
      </w:r>
    </w:p>
    <w:p w14:paraId="20543D5C">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 乙方执行政府采购政策向中小企业依法分包的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乙方应当按采购文件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投标（响应）文件签订分包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协议属于本合同组成部分。</w:t>
      </w:r>
    </w:p>
    <w:p w14:paraId="4447142C">
      <w:pPr>
        <w:autoSpaceDE w:val="0"/>
        <w:autoSpaceDN w:val="0"/>
        <w:adjustRightInd w:val="0"/>
        <w:snapToGrid w:val="0"/>
        <w:spacing w:before="0" w:line="400" w:lineRule="exact"/>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不可抗力</w:t>
      </w:r>
    </w:p>
    <w:p w14:paraId="5D914A55">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 不可抗力是指合同双方不能预见、不能避免且不能克服的客观情况。</w:t>
      </w:r>
    </w:p>
    <w:p w14:paraId="2F160FC4">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 任何一方对由于不可抗力造成的部分或全部不能履行合同不承担违约责任。但迟延履行后发生不可抗力的，不能免除责任。</w:t>
      </w:r>
    </w:p>
    <w:p w14:paraId="4CC2E8E8">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 遇有不可抗力的一方，应及时将事件情况以书面形式</w:t>
      </w:r>
      <w:r>
        <w:rPr>
          <w:rFonts w:hint="eastAsia" w:ascii="宋体" w:hAnsi="宋体" w:eastAsia="宋体" w:cs="宋体"/>
          <w:color w:val="auto"/>
          <w:sz w:val="24"/>
          <w:szCs w:val="24"/>
          <w:highlight w:val="none"/>
          <w:lang w:eastAsia="zh-CN"/>
        </w:rPr>
        <w:t>告</w:t>
      </w:r>
      <w:r>
        <w:rPr>
          <w:rFonts w:hint="eastAsia" w:ascii="宋体" w:hAnsi="宋体" w:eastAsia="宋体" w:cs="宋体"/>
          <w:color w:val="auto"/>
          <w:sz w:val="24"/>
          <w:szCs w:val="24"/>
          <w:highlight w:val="none"/>
        </w:rPr>
        <w:t>知另一方，并在事件发生后及时向另一方提交合同不能履行或部分不能履行或需要延期履行</w:t>
      </w:r>
      <w:r>
        <w:rPr>
          <w:rFonts w:hint="eastAsia" w:ascii="宋体" w:hAnsi="宋体" w:eastAsia="宋体" w:cs="宋体"/>
          <w:color w:val="auto"/>
          <w:sz w:val="24"/>
          <w:szCs w:val="24"/>
          <w:highlight w:val="none"/>
          <w:lang w:eastAsia="zh-CN"/>
        </w:rPr>
        <w:t>的详细</w:t>
      </w:r>
      <w:r>
        <w:rPr>
          <w:rFonts w:hint="eastAsia" w:ascii="宋体" w:hAnsi="宋体" w:eastAsia="宋体" w:cs="宋体"/>
          <w:color w:val="auto"/>
          <w:sz w:val="24"/>
          <w:szCs w:val="24"/>
          <w:highlight w:val="none"/>
        </w:rPr>
        <w:t>报告</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lang w:val="en-US" w:eastAsia="zh-CN"/>
        </w:rPr>
        <w:t>及证明不可抗力发生及其持续时间的证据</w:t>
      </w:r>
      <w:r>
        <w:rPr>
          <w:rFonts w:hint="eastAsia" w:ascii="宋体" w:hAnsi="宋体" w:eastAsia="宋体" w:cs="宋体"/>
          <w:color w:val="auto"/>
          <w:sz w:val="24"/>
          <w:szCs w:val="24"/>
          <w:highlight w:val="none"/>
        </w:rPr>
        <w:t>。</w:t>
      </w:r>
    </w:p>
    <w:p w14:paraId="379BE842">
      <w:pPr>
        <w:autoSpaceDE w:val="0"/>
        <w:autoSpaceDN w:val="0"/>
        <w:adjustRightInd w:val="0"/>
        <w:snapToGrid w:val="0"/>
        <w:spacing w:before="0" w:line="400" w:lineRule="exact"/>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解决争议的方法</w:t>
      </w:r>
    </w:p>
    <w:p w14:paraId="55BD5775">
      <w:pPr>
        <w:pStyle w:val="15"/>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.1 因本合同及合同有关事项发生的争议，由</w:t>
      </w:r>
      <w:r>
        <w:rPr>
          <w:rFonts w:hint="eastAsia" w:ascii="宋体" w:hAnsi="宋体" w:eastAsia="宋体" w:cs="宋体"/>
          <w:color w:val="auto"/>
          <w:sz w:val="24"/>
          <w:szCs w:val="24"/>
          <w:highlight w:val="none"/>
          <w:lang w:eastAsia="zh-CN"/>
        </w:rPr>
        <w:t>甲乙双</w:t>
      </w:r>
      <w:r>
        <w:rPr>
          <w:rFonts w:hint="eastAsia" w:ascii="宋体" w:hAnsi="宋体" w:eastAsia="宋体" w:cs="宋体"/>
          <w:color w:val="auto"/>
          <w:sz w:val="24"/>
          <w:szCs w:val="24"/>
          <w:highlight w:val="none"/>
        </w:rPr>
        <w:t>方友好协商解决。协商不成时，可以</w:t>
      </w:r>
      <w:r>
        <w:rPr>
          <w:rFonts w:hint="eastAsia" w:ascii="宋体" w:hAnsi="宋体" w:eastAsia="宋体" w:cs="宋体"/>
          <w:color w:val="auto"/>
          <w:sz w:val="24"/>
          <w:szCs w:val="24"/>
          <w:highlight w:val="none"/>
          <w:lang w:eastAsia="zh-CN"/>
        </w:rPr>
        <w:t>向有关组织申请</w:t>
      </w:r>
      <w:r>
        <w:rPr>
          <w:rFonts w:hint="eastAsia" w:ascii="宋体" w:hAnsi="宋体" w:eastAsia="宋体" w:cs="宋体"/>
          <w:color w:val="auto"/>
          <w:sz w:val="24"/>
          <w:szCs w:val="24"/>
          <w:highlight w:val="none"/>
        </w:rPr>
        <w:t>调解。合同一方或</w:t>
      </w:r>
      <w:r>
        <w:rPr>
          <w:rFonts w:hint="eastAsia" w:ascii="宋体" w:hAnsi="宋体" w:eastAsia="宋体" w:cs="宋体"/>
          <w:color w:val="auto"/>
          <w:sz w:val="24"/>
          <w:szCs w:val="24"/>
          <w:highlight w:val="none"/>
          <w:lang w:eastAsia="zh-CN"/>
        </w:rPr>
        <w:t>双</w:t>
      </w:r>
      <w:r>
        <w:rPr>
          <w:rFonts w:hint="eastAsia" w:ascii="宋体" w:hAnsi="宋体" w:eastAsia="宋体" w:cs="宋体"/>
          <w:color w:val="auto"/>
          <w:sz w:val="24"/>
          <w:szCs w:val="24"/>
          <w:highlight w:val="none"/>
        </w:rPr>
        <w:t>方不愿调解或调解不成的，可以通过仲裁或诉讼的方式解决争议。</w:t>
      </w:r>
    </w:p>
    <w:p w14:paraId="799B3606">
      <w:pPr>
        <w:pStyle w:val="15"/>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.2 选择仲裁的，应在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中明确仲裁机构及仲裁地；通过诉讼方式解决的，可以在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中进一步约定选择与争议有实际联系的地点的人民法院管辖，但管辖法院的约定不得违反级别管辖和专属管辖的规定。</w:t>
      </w:r>
    </w:p>
    <w:p w14:paraId="44945148">
      <w:pPr>
        <w:pStyle w:val="15"/>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.3 如</w:t>
      </w:r>
      <w:r>
        <w:rPr>
          <w:rFonts w:hint="eastAsia" w:ascii="宋体" w:hAnsi="宋体" w:eastAsia="宋体" w:cs="宋体"/>
          <w:color w:val="auto"/>
          <w:sz w:val="24"/>
          <w:szCs w:val="24"/>
          <w:highlight w:val="none"/>
          <w:lang w:eastAsia="zh-CN"/>
        </w:rPr>
        <w:t>甲乙双方</w:t>
      </w:r>
      <w:r>
        <w:rPr>
          <w:rFonts w:hint="eastAsia" w:ascii="宋体" w:hAnsi="宋体" w:eastAsia="宋体" w:cs="宋体"/>
          <w:color w:val="auto"/>
          <w:sz w:val="24"/>
          <w:szCs w:val="24"/>
          <w:highlight w:val="none"/>
        </w:rPr>
        <w:t>有争议的事项不影响合同其他部分的履行，在争议解决期间，合同其他部分应</w:t>
      </w:r>
      <w:r>
        <w:rPr>
          <w:rFonts w:hint="eastAsia" w:ascii="宋体" w:hAnsi="宋体" w:eastAsia="宋体" w:cs="宋体"/>
          <w:color w:val="auto"/>
          <w:sz w:val="24"/>
          <w:szCs w:val="24"/>
          <w:highlight w:val="none"/>
          <w:lang w:eastAsia="zh-CN"/>
        </w:rPr>
        <w:t>当</w:t>
      </w:r>
      <w:r>
        <w:rPr>
          <w:rFonts w:hint="eastAsia" w:ascii="宋体" w:hAnsi="宋体" w:eastAsia="宋体" w:cs="宋体"/>
          <w:color w:val="auto"/>
          <w:sz w:val="24"/>
          <w:szCs w:val="24"/>
          <w:highlight w:val="none"/>
        </w:rPr>
        <w:t>继续履行。</w:t>
      </w:r>
    </w:p>
    <w:p w14:paraId="3A5E59A3">
      <w:pPr>
        <w:autoSpaceDE w:val="0"/>
        <w:autoSpaceDN w:val="0"/>
        <w:adjustRightInd w:val="0"/>
        <w:snapToGrid w:val="0"/>
        <w:spacing w:before="0" w:line="400" w:lineRule="exact"/>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政府采购政策</w:t>
      </w:r>
    </w:p>
    <w:p w14:paraId="731D0339">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20.1 </w:t>
      </w:r>
      <w:r>
        <w:rPr>
          <w:rFonts w:hint="eastAsia" w:ascii="宋体" w:hAnsi="宋体" w:eastAsia="宋体" w:cs="宋体"/>
          <w:color w:val="auto"/>
          <w:sz w:val="24"/>
          <w:szCs w:val="24"/>
          <w:highlight w:val="none"/>
          <w:lang w:val="en-GB"/>
        </w:rPr>
        <w:t>本合同应当按照规定执行政府采购政策。</w:t>
      </w:r>
    </w:p>
    <w:p w14:paraId="4A9EC07B">
      <w:pPr>
        <w:autoSpaceDE w:val="0"/>
        <w:autoSpaceDN w:val="0"/>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本合同依法执行政府采购政策的方式和内容，属于合同履约验收的范围。</w:t>
      </w:r>
      <w:r>
        <w:rPr>
          <w:rFonts w:hint="eastAsia" w:ascii="宋体" w:hAnsi="宋体" w:eastAsia="宋体" w:cs="宋体"/>
          <w:color w:val="auto"/>
          <w:sz w:val="24"/>
          <w:szCs w:val="24"/>
          <w:highlight w:val="none"/>
          <w:lang w:eastAsia="zh-CN"/>
        </w:rPr>
        <w:t>甲乙双方</w:t>
      </w:r>
      <w:r>
        <w:rPr>
          <w:rFonts w:hint="eastAsia" w:ascii="宋体" w:hAnsi="宋体" w:eastAsia="宋体" w:cs="宋体"/>
          <w:color w:val="auto"/>
          <w:sz w:val="24"/>
          <w:szCs w:val="24"/>
          <w:highlight w:val="none"/>
          <w:lang w:val="en-GB"/>
        </w:rPr>
        <w:t>未按规定要求执行政府采购政策造成损失的</w:t>
      </w:r>
      <w:r>
        <w:rPr>
          <w:rFonts w:hint="eastAsia" w:ascii="宋体" w:hAnsi="宋体" w:eastAsia="宋体" w:cs="宋体"/>
          <w:color w:val="auto"/>
          <w:sz w:val="24"/>
          <w:szCs w:val="24"/>
          <w:highlight w:val="none"/>
        </w:rPr>
        <w:t>，有过错的一方应当承担赔偿责任，双方都有过错的，各自承担相应的责任。</w:t>
      </w:r>
    </w:p>
    <w:p w14:paraId="1F53047C">
      <w:pPr>
        <w:pStyle w:val="4"/>
        <w:spacing w:after="0"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对于</w:t>
      </w:r>
      <w:r>
        <w:rPr>
          <w:rFonts w:hint="eastAsia" w:ascii="宋体" w:hAnsi="宋体" w:eastAsia="宋体" w:cs="宋体"/>
          <w:color w:val="auto"/>
          <w:sz w:val="24"/>
          <w:szCs w:val="24"/>
          <w:highlight w:val="none"/>
          <w:lang w:eastAsia="zh-CN"/>
        </w:rPr>
        <w:t>为落实中小企业支持政策，</w:t>
      </w:r>
      <w:r>
        <w:rPr>
          <w:rFonts w:hint="eastAsia" w:ascii="宋体" w:hAnsi="宋体" w:eastAsia="宋体" w:cs="宋体"/>
          <w:color w:val="auto"/>
          <w:sz w:val="24"/>
          <w:szCs w:val="24"/>
          <w:highlight w:val="none"/>
        </w:rPr>
        <w:t>通过采购项目</w:t>
      </w:r>
      <w:r>
        <w:rPr>
          <w:rFonts w:hint="eastAsia" w:ascii="宋体" w:hAnsi="宋体" w:eastAsia="宋体" w:cs="宋体"/>
          <w:color w:val="auto"/>
          <w:sz w:val="24"/>
          <w:szCs w:val="24"/>
          <w:highlight w:val="none"/>
          <w:lang w:eastAsia="zh-CN"/>
        </w:rPr>
        <w:t>整体</w:t>
      </w:r>
      <w:r>
        <w:rPr>
          <w:rFonts w:hint="eastAsia" w:ascii="宋体" w:hAnsi="宋体" w:eastAsia="宋体" w:cs="宋体"/>
          <w:color w:val="auto"/>
          <w:sz w:val="24"/>
          <w:szCs w:val="24"/>
          <w:highlight w:val="none"/>
        </w:rPr>
        <w:t>预留、</w:t>
      </w:r>
      <w:r>
        <w:rPr>
          <w:rFonts w:hint="eastAsia" w:ascii="宋体" w:hAnsi="宋体" w:eastAsia="宋体" w:cs="宋体"/>
          <w:color w:val="auto"/>
          <w:sz w:val="24"/>
          <w:szCs w:val="24"/>
          <w:highlight w:val="none"/>
          <w:lang w:eastAsia="zh-CN"/>
        </w:rPr>
        <w:t>设置</w:t>
      </w:r>
      <w:r>
        <w:rPr>
          <w:rFonts w:hint="eastAsia" w:ascii="宋体" w:hAnsi="宋体" w:eastAsia="宋体" w:cs="宋体"/>
          <w:color w:val="auto"/>
          <w:sz w:val="24"/>
          <w:szCs w:val="24"/>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22D76D8C">
      <w:pPr>
        <w:autoSpaceDE w:val="0"/>
        <w:autoSpaceDN w:val="0"/>
        <w:adjustRightInd w:val="0"/>
        <w:snapToGrid w:val="0"/>
        <w:spacing w:before="0" w:line="40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法律适用</w:t>
      </w:r>
    </w:p>
    <w:p w14:paraId="1D32B19D">
      <w:pPr>
        <w:pStyle w:val="15"/>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 本合同的订立、生效、解释、履行及与本合同有关的争议解决，均适用法律、行政法规。</w:t>
      </w:r>
    </w:p>
    <w:p w14:paraId="1DA2C3CF">
      <w:pPr>
        <w:pStyle w:val="15"/>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 本合同条款与法律、行政法规的强制性规定不一致的，双方当事人应按照法律、行政法规的强制性规定修改本合同的相关条款。</w:t>
      </w:r>
    </w:p>
    <w:p w14:paraId="047549DC">
      <w:pPr>
        <w:numPr>
          <w:ilvl w:val="-1"/>
          <w:numId w:val="0"/>
        </w:numPr>
        <w:autoSpaceDE w:val="0"/>
        <w:autoSpaceDN w:val="0"/>
        <w:adjustRightInd w:val="0"/>
        <w:snapToGrid w:val="0"/>
        <w:spacing w:before="0" w:line="40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22. </w:t>
      </w:r>
      <w:r>
        <w:rPr>
          <w:rFonts w:hint="eastAsia" w:ascii="宋体" w:hAnsi="宋体" w:eastAsia="宋体" w:cs="宋体"/>
          <w:b/>
          <w:color w:val="auto"/>
          <w:sz w:val="24"/>
          <w:szCs w:val="24"/>
          <w:highlight w:val="none"/>
        </w:rPr>
        <w:t>通知</w:t>
      </w:r>
    </w:p>
    <w:p w14:paraId="202E66A6">
      <w:pPr>
        <w:pStyle w:val="15"/>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本合同任何一方向对方发出的通知、信件、数据电文等，应当发送至本合同第一部分《政府采购合同协议书》所约定的通讯地址、联系人、联系电话或电子邮箱。</w:t>
      </w:r>
    </w:p>
    <w:p w14:paraId="7E299867">
      <w:pPr>
        <w:pStyle w:val="15"/>
        <w:ind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一方当事人变更名称、</w:t>
      </w:r>
      <w:r>
        <w:rPr>
          <w:rFonts w:hint="eastAsia" w:ascii="宋体" w:hAnsi="宋体" w:eastAsia="宋体" w:cs="宋体"/>
          <w:color w:val="auto"/>
          <w:sz w:val="24"/>
          <w:szCs w:val="24"/>
          <w:highlight w:val="none"/>
          <w:lang w:eastAsia="zh-CN"/>
        </w:rPr>
        <w:t>住所</w:t>
      </w:r>
      <w:r>
        <w:rPr>
          <w:rFonts w:hint="eastAsia" w:ascii="宋体" w:hAnsi="宋体" w:eastAsia="宋体" w:cs="宋体"/>
          <w:color w:val="auto"/>
          <w:sz w:val="24"/>
          <w:szCs w:val="24"/>
          <w:highlight w:val="none"/>
        </w:rPr>
        <w:t>、联系人、联系电话或电子邮箱</w:t>
      </w:r>
      <w:r>
        <w:rPr>
          <w:rFonts w:hint="eastAsia" w:ascii="宋体" w:hAnsi="宋体" w:eastAsia="宋体" w:cs="宋体"/>
          <w:color w:val="auto"/>
          <w:sz w:val="24"/>
          <w:szCs w:val="24"/>
          <w:highlight w:val="none"/>
          <w:lang w:eastAsia="zh-CN"/>
        </w:rPr>
        <w:t>等信息</w:t>
      </w:r>
      <w:r>
        <w:rPr>
          <w:rFonts w:hint="eastAsia" w:ascii="宋体" w:hAnsi="宋体" w:eastAsia="宋体" w:cs="宋体"/>
          <w:color w:val="auto"/>
          <w:sz w:val="24"/>
          <w:szCs w:val="24"/>
          <w:highlight w:val="none"/>
        </w:rPr>
        <w:t>的，应当在变更后3日内及时书面通知对方，对方实际收到变更通知前的送达仍为有效送达。</w:t>
      </w:r>
    </w:p>
    <w:p w14:paraId="7BA96163">
      <w:pPr>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本合同一方给另一方的通知均应采用书面形式，传真或快递送到本合同中规定的对方的地址和办理签收手续。</w:t>
      </w:r>
    </w:p>
    <w:p w14:paraId="7116CB68">
      <w:pPr>
        <w:adjustRightInd w:val="0"/>
        <w:snapToGrid w:val="0"/>
        <w:spacing w:before="0"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通知以送达之日或通知书中规定的生效之日起生效，两者中以较迟之日为准。</w:t>
      </w:r>
    </w:p>
    <w:p w14:paraId="25219A66">
      <w:pPr>
        <w:numPr>
          <w:ilvl w:val="0"/>
          <w:numId w:val="7"/>
        </w:numPr>
        <w:adjustRightInd w:val="0"/>
        <w:snapToGrid w:val="0"/>
        <w:spacing w:before="0" w:line="400" w:lineRule="exact"/>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合同未尽事项</w:t>
      </w:r>
    </w:p>
    <w:p w14:paraId="0A6C209B">
      <w:pPr>
        <w:adjustRightInd w:val="0"/>
        <w:snapToGrid w:val="0"/>
        <w:spacing w:before="0" w:line="400" w:lineRule="exact"/>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.1合同未尽事项见</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w:t>
      </w:r>
    </w:p>
    <w:p w14:paraId="1881B3D2">
      <w:pPr>
        <w:adjustRightInd w:val="0"/>
        <w:snapToGrid w:val="0"/>
        <w:spacing w:line="40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 xml:space="preserve">    23.2 合同附件与合同正文具有同等的法律效力。</w:t>
      </w:r>
    </w:p>
    <w:p w14:paraId="51B9F664">
      <w:pPr>
        <w:pStyle w:val="4"/>
        <w:rPr>
          <w:rFonts w:hint="eastAsia" w:ascii="宋体" w:hAnsi="宋体" w:cs="宋体"/>
          <w:b/>
          <w:bCs/>
          <w:color w:val="auto"/>
          <w:sz w:val="24"/>
          <w:szCs w:val="24"/>
          <w:highlight w:val="none"/>
        </w:rPr>
        <w:sectPr>
          <w:footerReference r:id="rId12" w:type="first"/>
          <w:footerReference r:id="rId11" w:type="default"/>
          <w:pgSz w:w="11906" w:h="16838"/>
          <w:pgMar w:top="1440" w:right="1417" w:bottom="1417" w:left="1417" w:header="851" w:footer="851" w:gutter="0"/>
          <w:pgNumType w:fmt="decimal"/>
          <w:cols w:space="720" w:num="1"/>
          <w:titlePg/>
          <w:docGrid w:linePitch="312" w:charSpace="0"/>
        </w:sectPr>
      </w:pPr>
    </w:p>
    <w:p w14:paraId="3B3720F6">
      <w:pPr>
        <w:pStyle w:val="4"/>
        <w:rPr>
          <w:rFonts w:hint="eastAsia"/>
          <w:color w:val="auto"/>
          <w:highlight w:val="none"/>
        </w:rPr>
      </w:pPr>
    </w:p>
    <w:p w14:paraId="7AE4FAF5">
      <w:pPr>
        <w:pStyle w:val="3"/>
        <w:numPr>
          <w:ilvl w:val="0"/>
          <w:numId w:val="8"/>
        </w:numPr>
        <w:bidi w:val="0"/>
        <w:jc w:val="center"/>
        <w:outlineLvl w:val="0"/>
        <w:rPr>
          <w:rFonts w:hint="eastAsia"/>
          <w:color w:val="auto"/>
          <w:highlight w:val="none"/>
        </w:rPr>
      </w:pPr>
      <w:bookmarkStart w:id="190" w:name="_Toc21666"/>
      <w:bookmarkStart w:id="191" w:name="_Toc29042"/>
      <w:bookmarkStart w:id="192" w:name="_Toc25875"/>
      <w:r>
        <w:rPr>
          <w:rFonts w:hint="eastAsia"/>
          <w:color w:val="auto"/>
          <w:highlight w:val="none"/>
        </w:rPr>
        <w:t>技术参数</w:t>
      </w:r>
      <w:bookmarkEnd w:id="190"/>
      <w:bookmarkEnd w:id="191"/>
      <w:bookmarkEnd w:id="192"/>
    </w:p>
    <w:bookmarkEnd w:id="19"/>
    <w:bookmarkEnd w:id="20"/>
    <w:bookmarkEnd w:id="21"/>
    <w:bookmarkEnd w:id="22"/>
    <w:bookmarkEnd w:id="23"/>
    <w:bookmarkEnd w:id="24"/>
    <w:bookmarkEnd w:id="25"/>
    <w:tbl>
      <w:tblPr>
        <w:tblStyle w:val="13"/>
        <w:tblpPr w:leftFromText="180" w:rightFromText="180" w:vertAnchor="text" w:horzAnchor="page" w:tblpX="1048" w:tblpY="336"/>
        <w:tblOverlap w:val="never"/>
        <w:tblW w:w="9618"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93"/>
        <w:gridCol w:w="7762"/>
        <w:gridCol w:w="1063"/>
      </w:tblGrid>
      <w:tr w14:paraId="3847A9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trPr>
        <w:tc>
          <w:tcPr>
            <w:tcW w:w="8555" w:type="dxa"/>
            <w:gridSpan w:val="2"/>
            <w:tcBorders>
              <w:top w:val="single" w:color="auto" w:sz="2" w:space="0"/>
              <w:left w:val="single" w:color="auto" w:sz="2" w:space="0"/>
              <w:bottom w:val="single" w:color="auto" w:sz="2" w:space="0"/>
              <w:right w:val="single" w:color="auto" w:sz="2" w:space="0"/>
            </w:tcBorders>
            <w:noWrap w:val="0"/>
            <w:vAlign w:val="top"/>
          </w:tcPr>
          <w:p w14:paraId="6404C292">
            <w:pPr>
              <w:pStyle w:val="17"/>
              <w:spacing w:before="35" w:line="217" w:lineRule="auto"/>
              <w:ind w:left="126"/>
              <w:jc w:val="center"/>
              <w:rPr>
                <w:sz w:val="20"/>
                <w:szCs w:val="20"/>
                <w:highlight w:val="none"/>
              </w:rPr>
            </w:pPr>
            <w:r>
              <w:rPr>
                <w:b/>
                <w:bCs/>
                <w:spacing w:val="6"/>
                <w:sz w:val="20"/>
                <w:szCs w:val="20"/>
                <w:highlight w:val="none"/>
              </w:rPr>
              <w:t>水泵技术参数</w:t>
            </w:r>
          </w:p>
        </w:tc>
        <w:tc>
          <w:tcPr>
            <w:tcW w:w="1063" w:type="dxa"/>
            <w:tcBorders>
              <w:top w:val="single" w:color="auto" w:sz="2" w:space="0"/>
              <w:left w:val="single" w:color="auto" w:sz="2" w:space="0"/>
              <w:bottom w:val="single" w:color="auto" w:sz="2" w:space="0"/>
              <w:right w:val="single" w:color="auto" w:sz="2" w:space="0"/>
            </w:tcBorders>
            <w:noWrap w:val="0"/>
            <w:vAlign w:val="top"/>
          </w:tcPr>
          <w:p w14:paraId="30A9C16F">
            <w:pPr>
              <w:pStyle w:val="17"/>
              <w:spacing w:before="35" w:line="217" w:lineRule="auto"/>
              <w:ind w:left="117"/>
              <w:jc w:val="center"/>
              <w:rPr>
                <w:rFonts w:hint="eastAsia" w:eastAsia="宋体"/>
                <w:sz w:val="20"/>
                <w:szCs w:val="20"/>
                <w:highlight w:val="none"/>
                <w:lang w:eastAsia="zh-CN"/>
              </w:rPr>
            </w:pPr>
            <w:r>
              <w:rPr>
                <w:b/>
                <w:bCs/>
                <w:spacing w:val="3"/>
                <w:sz w:val="20"/>
                <w:szCs w:val="20"/>
                <w:highlight w:val="none"/>
              </w:rPr>
              <w:t>数量</w:t>
            </w:r>
            <w:r>
              <w:rPr>
                <w:rFonts w:hint="eastAsia"/>
                <w:b/>
                <w:bCs/>
                <w:spacing w:val="3"/>
                <w:sz w:val="20"/>
                <w:szCs w:val="20"/>
                <w:highlight w:val="none"/>
                <w:lang w:eastAsia="zh-CN"/>
              </w:rPr>
              <w:t>（台）</w:t>
            </w:r>
          </w:p>
        </w:tc>
      </w:tr>
      <w:tr w14:paraId="0A8207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35" w:hRule="atLeast"/>
        </w:trPr>
        <w:tc>
          <w:tcPr>
            <w:tcW w:w="793" w:type="dxa"/>
            <w:tcBorders>
              <w:top w:val="single" w:color="auto" w:sz="2" w:space="0"/>
              <w:left w:val="single" w:color="auto" w:sz="2" w:space="0"/>
              <w:bottom w:val="single" w:color="auto" w:sz="2" w:space="0"/>
              <w:right w:val="single" w:color="auto" w:sz="2" w:space="0"/>
            </w:tcBorders>
            <w:noWrap w:val="0"/>
            <w:vAlign w:val="top"/>
          </w:tcPr>
          <w:p w14:paraId="3B93D063">
            <w:pPr>
              <w:spacing w:before="60" w:line="203" w:lineRule="auto"/>
              <w:jc w:val="center"/>
              <w:rPr>
                <w:rFonts w:ascii="Arial" w:hAnsi="Arial" w:eastAsia="Arial" w:cs="Arial"/>
                <w:sz w:val="20"/>
                <w:szCs w:val="20"/>
                <w:highlight w:val="none"/>
              </w:rPr>
            </w:pPr>
            <w:r>
              <w:rPr>
                <w:rFonts w:ascii="Arial" w:hAnsi="Arial" w:eastAsia="Arial" w:cs="Arial"/>
                <w:sz w:val="20"/>
                <w:szCs w:val="20"/>
                <w:highlight w:val="none"/>
              </w:rPr>
              <w:t>1</w:t>
            </w:r>
          </w:p>
        </w:tc>
        <w:tc>
          <w:tcPr>
            <w:tcW w:w="7762" w:type="dxa"/>
            <w:tcBorders>
              <w:top w:val="single" w:color="auto" w:sz="2" w:space="0"/>
              <w:left w:val="single" w:color="auto" w:sz="2" w:space="0"/>
              <w:bottom w:val="single" w:color="auto" w:sz="2" w:space="0"/>
              <w:right w:val="single" w:color="auto" w:sz="2" w:space="0"/>
            </w:tcBorders>
            <w:noWrap w:val="0"/>
            <w:vAlign w:val="center"/>
          </w:tcPr>
          <w:p w14:paraId="396E73C6">
            <w:pPr>
              <w:pStyle w:val="17"/>
              <w:spacing w:before="32" w:line="216" w:lineRule="auto"/>
              <w:ind w:left="115"/>
              <w:jc w:val="left"/>
              <w:rPr>
                <w:sz w:val="20"/>
                <w:szCs w:val="20"/>
                <w:highlight w:val="none"/>
              </w:rPr>
            </w:pPr>
            <w:r>
              <w:rPr>
                <w:b/>
                <w:bCs/>
                <w:spacing w:val="8"/>
                <w:sz w:val="20"/>
                <w:szCs w:val="20"/>
                <w:highlight w:val="none"/>
              </w:rPr>
              <w:t>水泵类型：</w:t>
            </w:r>
            <w:r>
              <w:rPr>
                <w:rFonts w:hint="eastAsia"/>
                <w:b/>
                <w:bCs/>
                <w:spacing w:val="8"/>
                <w:sz w:val="20"/>
                <w:szCs w:val="20"/>
                <w:highlight w:val="none"/>
                <w:lang w:eastAsia="zh-CN"/>
              </w:rPr>
              <w:t>小型潜水电泵</w:t>
            </w:r>
          </w:p>
        </w:tc>
        <w:tc>
          <w:tcPr>
            <w:tcW w:w="1063" w:type="dxa"/>
            <w:tcBorders>
              <w:top w:val="single" w:color="auto" w:sz="2" w:space="0"/>
              <w:left w:val="single" w:color="auto" w:sz="2" w:space="0"/>
              <w:bottom w:val="single" w:color="auto" w:sz="2" w:space="0"/>
              <w:right w:val="single" w:color="auto" w:sz="2" w:space="0"/>
            </w:tcBorders>
            <w:noWrap w:val="0"/>
            <w:vAlign w:val="center"/>
          </w:tcPr>
          <w:p w14:paraId="513FA284">
            <w:pPr>
              <w:spacing w:line="243" w:lineRule="auto"/>
              <w:jc w:val="center"/>
              <w:rPr>
                <w:rFonts w:hint="default"/>
                <w:spacing w:val="6"/>
                <w:position w:val="1"/>
                <w:sz w:val="20"/>
                <w:szCs w:val="20"/>
                <w:highlight w:val="none"/>
                <w:lang w:val="en-US" w:eastAsia="zh-CN"/>
              </w:rPr>
            </w:pPr>
          </w:p>
        </w:tc>
      </w:tr>
      <w:tr w14:paraId="4A1516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32" w:hRule="atLeast"/>
        </w:trPr>
        <w:tc>
          <w:tcPr>
            <w:tcW w:w="793" w:type="dxa"/>
            <w:tcBorders>
              <w:top w:val="single" w:color="auto" w:sz="2" w:space="0"/>
              <w:left w:val="single" w:color="auto" w:sz="2" w:space="0"/>
              <w:bottom w:val="single" w:color="auto" w:sz="2" w:space="0"/>
              <w:right w:val="single" w:color="auto" w:sz="2" w:space="0"/>
            </w:tcBorders>
            <w:noWrap w:val="0"/>
            <w:vAlign w:val="top"/>
          </w:tcPr>
          <w:p w14:paraId="5BBFF7E1">
            <w:pPr>
              <w:spacing w:before="58" w:line="203" w:lineRule="auto"/>
              <w:jc w:val="center"/>
              <w:rPr>
                <w:rFonts w:ascii="Arial" w:hAnsi="Arial" w:eastAsia="Arial" w:cs="Arial"/>
                <w:sz w:val="20"/>
                <w:szCs w:val="20"/>
                <w:highlight w:val="none"/>
              </w:rPr>
            </w:pPr>
            <w:r>
              <w:rPr>
                <w:rFonts w:ascii="Arial" w:hAnsi="Arial" w:eastAsia="Arial" w:cs="Arial"/>
                <w:sz w:val="20"/>
                <w:szCs w:val="20"/>
                <w:highlight w:val="none"/>
              </w:rPr>
              <w:t>2</w:t>
            </w:r>
          </w:p>
        </w:tc>
        <w:tc>
          <w:tcPr>
            <w:tcW w:w="7762" w:type="dxa"/>
            <w:tcBorders>
              <w:top w:val="single" w:color="auto" w:sz="2" w:space="0"/>
              <w:left w:val="single" w:color="auto" w:sz="2" w:space="0"/>
              <w:bottom w:val="single" w:color="auto" w:sz="2" w:space="0"/>
              <w:right w:val="single" w:color="auto" w:sz="2" w:space="0"/>
            </w:tcBorders>
            <w:noWrap w:val="0"/>
            <w:vAlign w:val="center"/>
          </w:tcPr>
          <w:p w14:paraId="23D07273">
            <w:pPr>
              <w:pStyle w:val="17"/>
              <w:spacing w:line="266" w:lineRule="exact"/>
              <w:ind w:left="115"/>
              <w:jc w:val="left"/>
              <w:rPr>
                <w:sz w:val="20"/>
                <w:szCs w:val="20"/>
                <w:highlight w:val="none"/>
              </w:rPr>
            </w:pPr>
            <w:r>
              <w:rPr>
                <w:spacing w:val="6"/>
                <w:position w:val="1"/>
                <w:sz w:val="20"/>
                <w:szCs w:val="20"/>
                <w:highlight w:val="none"/>
              </w:rPr>
              <w:t>流量</w:t>
            </w:r>
            <w:r>
              <w:rPr>
                <w:rFonts w:ascii="Arial" w:hAnsi="Arial" w:eastAsia="Arial" w:cs="Arial"/>
                <w:spacing w:val="6"/>
                <w:position w:val="1"/>
                <w:sz w:val="20"/>
                <w:szCs w:val="20"/>
                <w:highlight w:val="none"/>
              </w:rPr>
              <w:t>1</w:t>
            </w:r>
            <w:r>
              <w:rPr>
                <w:rFonts w:hint="default" w:ascii="Arial" w:hAnsi="Arial" w:eastAsia="Arial" w:cs="Arial"/>
                <w:spacing w:val="6"/>
                <w:position w:val="1"/>
                <w:sz w:val="20"/>
                <w:szCs w:val="20"/>
                <w:highlight w:val="none"/>
                <w:lang w:val="en-US"/>
              </w:rPr>
              <w:t>5</w:t>
            </w:r>
            <w:r>
              <w:rPr>
                <w:rFonts w:ascii="Arial" w:hAnsi="Arial" w:eastAsia="Arial" w:cs="Arial"/>
                <w:spacing w:val="6"/>
                <w:position w:val="1"/>
                <w:sz w:val="20"/>
                <w:szCs w:val="20"/>
                <w:highlight w:val="none"/>
              </w:rPr>
              <w:t>m³/h</w:t>
            </w:r>
            <w:r>
              <w:rPr>
                <w:spacing w:val="6"/>
                <w:position w:val="1"/>
                <w:sz w:val="20"/>
                <w:szCs w:val="20"/>
                <w:highlight w:val="none"/>
              </w:rPr>
              <w:t>，扬程</w:t>
            </w:r>
            <w:r>
              <w:rPr>
                <w:rFonts w:ascii="Arial" w:hAnsi="Arial" w:eastAsia="Arial" w:cs="Arial"/>
                <w:spacing w:val="5"/>
                <w:sz w:val="20"/>
                <w:szCs w:val="20"/>
                <w:highlight w:val="none"/>
              </w:rPr>
              <w:t>≥</w:t>
            </w:r>
            <w:r>
              <w:rPr>
                <w:rFonts w:hint="default" w:ascii="Arial" w:hAnsi="Arial" w:cs="Arial"/>
                <w:spacing w:val="6"/>
                <w:position w:val="1"/>
                <w:sz w:val="20"/>
                <w:szCs w:val="20"/>
                <w:highlight w:val="none"/>
                <w:lang w:val="en-US" w:eastAsia="zh-CN"/>
              </w:rPr>
              <w:t>80</w:t>
            </w:r>
            <w:r>
              <w:rPr>
                <w:rFonts w:hint="eastAsia" w:ascii="Arial" w:hAnsi="Arial" w:cs="Arial"/>
                <w:spacing w:val="6"/>
                <w:position w:val="1"/>
                <w:sz w:val="20"/>
                <w:szCs w:val="20"/>
                <w:highlight w:val="none"/>
                <w:lang w:val="en-US" w:eastAsia="zh-CN"/>
              </w:rPr>
              <w:t>m，</w:t>
            </w:r>
            <w:r>
              <w:rPr>
                <w:spacing w:val="7"/>
                <w:sz w:val="20"/>
                <w:szCs w:val="20"/>
                <w:highlight w:val="none"/>
              </w:rPr>
              <w:t>功率</w:t>
            </w:r>
            <w:r>
              <w:rPr>
                <w:rFonts w:hint="eastAsia"/>
                <w:spacing w:val="7"/>
                <w:sz w:val="20"/>
                <w:szCs w:val="20"/>
                <w:highlight w:val="none"/>
                <w:lang w:val="en-US" w:eastAsia="zh-CN"/>
              </w:rPr>
              <w:t>:</w:t>
            </w:r>
            <w:r>
              <w:rPr>
                <w:rFonts w:hint="default"/>
                <w:spacing w:val="7"/>
                <w:sz w:val="20"/>
                <w:szCs w:val="20"/>
                <w:highlight w:val="none"/>
                <w:lang w:val="en-US" w:eastAsia="zh-CN"/>
              </w:rPr>
              <w:t>4</w:t>
            </w:r>
            <w:r>
              <w:rPr>
                <w:rFonts w:ascii="Arial" w:hAnsi="Arial" w:eastAsia="Arial" w:cs="Arial"/>
                <w:sz w:val="20"/>
                <w:szCs w:val="20"/>
                <w:highlight w:val="none"/>
              </w:rPr>
              <w:t>k</w:t>
            </w:r>
            <w:r>
              <w:rPr>
                <w:rFonts w:hint="eastAsia" w:ascii="Arial" w:hAnsi="Arial" w:cs="Arial"/>
                <w:sz w:val="20"/>
                <w:szCs w:val="20"/>
                <w:highlight w:val="none"/>
                <w:lang w:val="en-US" w:eastAsia="zh-CN"/>
              </w:rPr>
              <w:t>W</w:t>
            </w:r>
            <w:r>
              <w:rPr>
                <w:spacing w:val="6"/>
                <w:position w:val="1"/>
                <w:sz w:val="20"/>
                <w:szCs w:val="20"/>
                <w:highlight w:val="none"/>
              </w:rPr>
              <w:t>；</w:t>
            </w:r>
          </w:p>
        </w:tc>
        <w:tc>
          <w:tcPr>
            <w:tcW w:w="1063" w:type="dxa"/>
            <w:tcBorders>
              <w:top w:val="single" w:color="auto" w:sz="2" w:space="0"/>
              <w:left w:val="single" w:color="auto" w:sz="2" w:space="0"/>
              <w:bottom w:val="single" w:color="auto" w:sz="2" w:space="0"/>
              <w:right w:val="single" w:color="auto" w:sz="2" w:space="0"/>
            </w:tcBorders>
            <w:noWrap w:val="0"/>
            <w:vAlign w:val="center"/>
          </w:tcPr>
          <w:p w14:paraId="20D4EDCC">
            <w:pPr>
              <w:jc w:val="center"/>
              <w:rPr>
                <w:rFonts w:hint="default" w:ascii="Arial" w:eastAsia="宋体"/>
                <w:sz w:val="21"/>
                <w:highlight w:val="none"/>
                <w:lang w:val="en-US" w:eastAsia="zh-CN"/>
              </w:rPr>
            </w:pPr>
            <w:r>
              <w:rPr>
                <w:rFonts w:hint="eastAsia" w:eastAsia="宋体"/>
                <w:sz w:val="21"/>
                <w:highlight w:val="none"/>
                <w:lang w:val="en-US" w:eastAsia="zh-CN"/>
              </w:rPr>
              <w:t>50</w:t>
            </w:r>
          </w:p>
        </w:tc>
      </w:tr>
      <w:tr w14:paraId="0DBD50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35" w:hRule="atLeast"/>
        </w:trPr>
        <w:tc>
          <w:tcPr>
            <w:tcW w:w="793" w:type="dxa"/>
            <w:tcBorders>
              <w:top w:val="single" w:color="auto" w:sz="2" w:space="0"/>
              <w:left w:val="single" w:color="auto" w:sz="2" w:space="0"/>
              <w:bottom w:val="single" w:color="auto" w:sz="2" w:space="0"/>
              <w:right w:val="single" w:color="auto" w:sz="2" w:space="0"/>
            </w:tcBorders>
            <w:noWrap w:val="0"/>
            <w:vAlign w:val="top"/>
          </w:tcPr>
          <w:p w14:paraId="624E1959">
            <w:pPr>
              <w:spacing w:before="60" w:line="203" w:lineRule="auto"/>
              <w:jc w:val="center"/>
              <w:rPr>
                <w:rFonts w:ascii="Arial" w:hAnsi="Arial" w:eastAsia="Arial" w:cs="Arial"/>
                <w:sz w:val="20"/>
                <w:szCs w:val="20"/>
                <w:highlight w:val="none"/>
              </w:rPr>
            </w:pPr>
            <w:r>
              <w:rPr>
                <w:rFonts w:ascii="Arial" w:hAnsi="Arial" w:eastAsia="Arial" w:cs="Arial"/>
                <w:sz w:val="20"/>
                <w:szCs w:val="20"/>
                <w:highlight w:val="none"/>
              </w:rPr>
              <w:t>3</w:t>
            </w:r>
          </w:p>
        </w:tc>
        <w:tc>
          <w:tcPr>
            <w:tcW w:w="7762" w:type="dxa"/>
            <w:tcBorders>
              <w:top w:val="single" w:color="auto" w:sz="2" w:space="0"/>
              <w:left w:val="single" w:color="auto" w:sz="2" w:space="0"/>
              <w:bottom w:val="single" w:color="auto" w:sz="2" w:space="0"/>
              <w:right w:val="single" w:color="auto" w:sz="2" w:space="0"/>
            </w:tcBorders>
            <w:noWrap w:val="0"/>
            <w:vAlign w:val="center"/>
          </w:tcPr>
          <w:p w14:paraId="7DB206BE">
            <w:pPr>
              <w:pStyle w:val="17"/>
              <w:spacing w:before="2" w:line="266" w:lineRule="exact"/>
              <w:ind w:left="115"/>
              <w:jc w:val="left"/>
              <w:rPr>
                <w:sz w:val="20"/>
                <w:szCs w:val="20"/>
                <w:highlight w:val="none"/>
              </w:rPr>
            </w:pPr>
            <w:r>
              <w:rPr>
                <w:spacing w:val="6"/>
                <w:position w:val="1"/>
                <w:sz w:val="20"/>
                <w:szCs w:val="20"/>
                <w:highlight w:val="none"/>
              </w:rPr>
              <w:t>流量</w:t>
            </w:r>
            <w:r>
              <w:rPr>
                <w:rFonts w:hint="eastAsia"/>
                <w:spacing w:val="6"/>
                <w:position w:val="1"/>
                <w:sz w:val="20"/>
                <w:szCs w:val="20"/>
                <w:highlight w:val="none"/>
                <w:lang w:val="en-US" w:eastAsia="zh-CN"/>
              </w:rPr>
              <w:t>15</w:t>
            </w:r>
            <w:r>
              <w:rPr>
                <w:rFonts w:ascii="Arial" w:hAnsi="Arial" w:eastAsia="Arial" w:cs="Arial"/>
                <w:spacing w:val="6"/>
                <w:position w:val="1"/>
                <w:sz w:val="20"/>
                <w:szCs w:val="20"/>
                <w:highlight w:val="none"/>
              </w:rPr>
              <w:t>m³/h</w:t>
            </w:r>
            <w:r>
              <w:rPr>
                <w:spacing w:val="6"/>
                <w:position w:val="1"/>
                <w:sz w:val="20"/>
                <w:szCs w:val="20"/>
                <w:highlight w:val="none"/>
              </w:rPr>
              <w:t>，扬程</w:t>
            </w:r>
            <w:r>
              <w:rPr>
                <w:rFonts w:ascii="Arial" w:hAnsi="Arial" w:eastAsia="Arial" w:cs="Arial"/>
                <w:spacing w:val="5"/>
                <w:sz w:val="20"/>
                <w:szCs w:val="20"/>
                <w:highlight w:val="none"/>
              </w:rPr>
              <w:t>≥</w:t>
            </w:r>
            <w:r>
              <w:rPr>
                <w:rFonts w:hint="eastAsia" w:ascii="Arial" w:hAnsi="Arial" w:cs="Arial"/>
                <w:spacing w:val="6"/>
                <w:position w:val="1"/>
                <w:sz w:val="20"/>
                <w:szCs w:val="20"/>
                <w:highlight w:val="none"/>
                <w:lang w:val="en-US" w:eastAsia="zh-CN"/>
              </w:rPr>
              <w:t>120m，</w:t>
            </w:r>
            <w:r>
              <w:rPr>
                <w:spacing w:val="7"/>
                <w:sz w:val="20"/>
                <w:szCs w:val="20"/>
                <w:highlight w:val="none"/>
              </w:rPr>
              <w:t>功率</w:t>
            </w:r>
            <w:r>
              <w:rPr>
                <w:rFonts w:hint="eastAsia"/>
                <w:spacing w:val="7"/>
                <w:sz w:val="20"/>
                <w:szCs w:val="20"/>
                <w:highlight w:val="none"/>
                <w:lang w:val="en-US" w:eastAsia="zh-CN"/>
              </w:rPr>
              <w:t>:</w:t>
            </w:r>
            <w:r>
              <w:rPr>
                <w:rFonts w:hint="eastAsia" w:ascii="Arial" w:hAnsi="Arial" w:cs="Arial"/>
                <w:spacing w:val="7"/>
                <w:sz w:val="20"/>
                <w:szCs w:val="20"/>
                <w:highlight w:val="none"/>
                <w:lang w:val="en-US" w:eastAsia="zh-CN"/>
              </w:rPr>
              <w:t>7.5</w:t>
            </w:r>
            <w:r>
              <w:rPr>
                <w:rFonts w:ascii="Arial" w:hAnsi="Arial" w:eastAsia="Arial" w:cs="Arial"/>
                <w:sz w:val="20"/>
                <w:szCs w:val="20"/>
                <w:highlight w:val="none"/>
              </w:rPr>
              <w:t>k</w:t>
            </w:r>
            <w:r>
              <w:rPr>
                <w:rFonts w:hint="eastAsia" w:ascii="Arial" w:hAnsi="Arial" w:cs="Arial"/>
                <w:sz w:val="20"/>
                <w:szCs w:val="20"/>
                <w:highlight w:val="none"/>
                <w:lang w:val="en-US" w:eastAsia="zh-CN"/>
              </w:rPr>
              <w:t>W</w:t>
            </w:r>
            <w:r>
              <w:rPr>
                <w:spacing w:val="6"/>
                <w:position w:val="1"/>
                <w:sz w:val="20"/>
                <w:szCs w:val="20"/>
                <w:highlight w:val="none"/>
              </w:rPr>
              <w:t>；</w:t>
            </w:r>
          </w:p>
        </w:tc>
        <w:tc>
          <w:tcPr>
            <w:tcW w:w="1063" w:type="dxa"/>
            <w:tcBorders>
              <w:top w:val="single" w:color="auto" w:sz="2" w:space="0"/>
              <w:left w:val="single" w:color="auto" w:sz="2" w:space="0"/>
              <w:bottom w:val="single" w:color="auto" w:sz="2" w:space="0"/>
              <w:right w:val="single" w:color="auto" w:sz="2" w:space="0"/>
            </w:tcBorders>
            <w:noWrap w:val="0"/>
            <w:vAlign w:val="center"/>
          </w:tcPr>
          <w:p w14:paraId="58CE53D7">
            <w:pPr>
              <w:jc w:val="center"/>
              <w:rPr>
                <w:rFonts w:hint="default" w:ascii="Arial" w:eastAsia="宋体"/>
                <w:sz w:val="21"/>
                <w:highlight w:val="none"/>
                <w:lang w:val="en-US" w:eastAsia="zh-CN"/>
              </w:rPr>
            </w:pPr>
            <w:r>
              <w:rPr>
                <w:rFonts w:hint="eastAsia"/>
                <w:sz w:val="21"/>
                <w:highlight w:val="none"/>
                <w:lang w:val="en-US" w:eastAsia="zh-CN"/>
              </w:rPr>
              <w:t>30</w:t>
            </w:r>
          </w:p>
        </w:tc>
      </w:tr>
      <w:tr w14:paraId="07258A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35" w:hRule="atLeast"/>
        </w:trPr>
        <w:tc>
          <w:tcPr>
            <w:tcW w:w="793" w:type="dxa"/>
            <w:tcBorders>
              <w:top w:val="single" w:color="auto" w:sz="2" w:space="0"/>
              <w:left w:val="single" w:color="auto" w:sz="2" w:space="0"/>
              <w:bottom w:val="single" w:color="auto" w:sz="2" w:space="0"/>
              <w:right w:val="single" w:color="auto" w:sz="2" w:space="0"/>
            </w:tcBorders>
            <w:noWrap w:val="0"/>
            <w:vAlign w:val="top"/>
          </w:tcPr>
          <w:p w14:paraId="357B5937">
            <w:pPr>
              <w:spacing w:before="60" w:line="203" w:lineRule="auto"/>
              <w:jc w:val="center"/>
              <w:rPr>
                <w:rFonts w:hint="eastAsia" w:ascii="Arial" w:hAnsi="Arial" w:eastAsia="宋体" w:cs="Arial"/>
                <w:sz w:val="20"/>
                <w:szCs w:val="20"/>
                <w:highlight w:val="none"/>
                <w:lang w:val="en-US" w:eastAsia="zh-CN"/>
              </w:rPr>
            </w:pPr>
            <w:r>
              <w:rPr>
                <w:rFonts w:hint="eastAsia" w:ascii="Arial" w:hAnsi="Arial" w:cs="Arial"/>
                <w:sz w:val="20"/>
                <w:szCs w:val="20"/>
                <w:highlight w:val="none"/>
                <w:lang w:val="en-US" w:eastAsia="zh-CN"/>
              </w:rPr>
              <w:t>4</w:t>
            </w:r>
          </w:p>
        </w:tc>
        <w:tc>
          <w:tcPr>
            <w:tcW w:w="7762" w:type="dxa"/>
            <w:tcBorders>
              <w:top w:val="single" w:color="auto" w:sz="2" w:space="0"/>
              <w:left w:val="single" w:color="auto" w:sz="2" w:space="0"/>
              <w:bottom w:val="single" w:color="auto" w:sz="2" w:space="0"/>
              <w:right w:val="single" w:color="auto" w:sz="2" w:space="0"/>
            </w:tcBorders>
            <w:noWrap w:val="0"/>
            <w:vAlign w:val="center"/>
          </w:tcPr>
          <w:p w14:paraId="0B95D9A3">
            <w:pPr>
              <w:pStyle w:val="17"/>
              <w:spacing w:before="2" w:line="266" w:lineRule="exact"/>
              <w:ind w:left="115"/>
              <w:jc w:val="left"/>
              <w:rPr>
                <w:spacing w:val="8"/>
                <w:sz w:val="20"/>
                <w:szCs w:val="20"/>
                <w:highlight w:val="none"/>
              </w:rPr>
            </w:pPr>
            <w:r>
              <w:rPr>
                <w:spacing w:val="6"/>
                <w:position w:val="1"/>
                <w:sz w:val="20"/>
                <w:szCs w:val="20"/>
                <w:highlight w:val="none"/>
              </w:rPr>
              <w:t>流量</w:t>
            </w:r>
            <w:r>
              <w:rPr>
                <w:rFonts w:hint="eastAsia"/>
                <w:spacing w:val="6"/>
                <w:position w:val="1"/>
                <w:sz w:val="20"/>
                <w:szCs w:val="20"/>
                <w:highlight w:val="none"/>
                <w:lang w:val="en-US" w:eastAsia="zh-CN"/>
              </w:rPr>
              <w:t>20</w:t>
            </w:r>
            <w:r>
              <w:rPr>
                <w:rFonts w:ascii="Arial" w:hAnsi="Arial" w:eastAsia="Arial" w:cs="Arial"/>
                <w:spacing w:val="6"/>
                <w:position w:val="1"/>
                <w:sz w:val="20"/>
                <w:szCs w:val="20"/>
                <w:highlight w:val="none"/>
              </w:rPr>
              <w:t>m³/h</w:t>
            </w:r>
            <w:r>
              <w:rPr>
                <w:spacing w:val="6"/>
                <w:position w:val="1"/>
                <w:sz w:val="20"/>
                <w:szCs w:val="20"/>
                <w:highlight w:val="none"/>
              </w:rPr>
              <w:t>，扬程</w:t>
            </w:r>
            <w:r>
              <w:rPr>
                <w:rFonts w:ascii="Arial" w:hAnsi="Arial" w:eastAsia="Arial" w:cs="Arial"/>
                <w:spacing w:val="5"/>
                <w:sz w:val="20"/>
                <w:szCs w:val="20"/>
                <w:highlight w:val="none"/>
              </w:rPr>
              <w:t>≥</w:t>
            </w:r>
            <w:r>
              <w:rPr>
                <w:rFonts w:hint="eastAsia" w:ascii="Arial" w:hAnsi="Arial" w:cs="Arial"/>
                <w:spacing w:val="6"/>
                <w:position w:val="1"/>
                <w:sz w:val="20"/>
                <w:szCs w:val="20"/>
                <w:highlight w:val="none"/>
                <w:lang w:val="en-US" w:eastAsia="zh-CN"/>
              </w:rPr>
              <w:t>50m，</w:t>
            </w:r>
            <w:r>
              <w:rPr>
                <w:spacing w:val="7"/>
                <w:sz w:val="20"/>
                <w:szCs w:val="20"/>
                <w:highlight w:val="none"/>
              </w:rPr>
              <w:t>功率</w:t>
            </w:r>
            <w:r>
              <w:rPr>
                <w:rFonts w:hint="eastAsia"/>
                <w:spacing w:val="7"/>
                <w:sz w:val="20"/>
                <w:szCs w:val="20"/>
                <w:highlight w:val="none"/>
                <w:lang w:val="en-US" w:eastAsia="zh-CN"/>
              </w:rPr>
              <w:t>:</w:t>
            </w:r>
            <w:r>
              <w:rPr>
                <w:rFonts w:hint="eastAsia" w:ascii="Arial" w:hAnsi="Arial" w:cs="Arial"/>
                <w:spacing w:val="7"/>
                <w:sz w:val="20"/>
                <w:szCs w:val="20"/>
                <w:highlight w:val="none"/>
                <w:lang w:val="en-US" w:eastAsia="zh-CN"/>
              </w:rPr>
              <w:t>5.5</w:t>
            </w:r>
            <w:r>
              <w:rPr>
                <w:rFonts w:ascii="Arial" w:hAnsi="Arial" w:eastAsia="Arial" w:cs="Arial"/>
                <w:sz w:val="20"/>
                <w:szCs w:val="20"/>
                <w:highlight w:val="none"/>
              </w:rPr>
              <w:t>k</w:t>
            </w:r>
            <w:r>
              <w:rPr>
                <w:rFonts w:hint="eastAsia" w:ascii="Arial" w:hAnsi="Arial" w:cs="Arial"/>
                <w:sz w:val="20"/>
                <w:szCs w:val="20"/>
                <w:highlight w:val="none"/>
                <w:lang w:val="en-US" w:eastAsia="zh-CN"/>
              </w:rPr>
              <w:t>W</w:t>
            </w:r>
            <w:r>
              <w:rPr>
                <w:spacing w:val="6"/>
                <w:position w:val="1"/>
                <w:sz w:val="20"/>
                <w:szCs w:val="20"/>
                <w:highlight w:val="none"/>
              </w:rPr>
              <w:t>；</w:t>
            </w:r>
          </w:p>
        </w:tc>
        <w:tc>
          <w:tcPr>
            <w:tcW w:w="1063" w:type="dxa"/>
            <w:tcBorders>
              <w:top w:val="single" w:color="auto" w:sz="2" w:space="0"/>
              <w:left w:val="single" w:color="auto" w:sz="2" w:space="0"/>
              <w:bottom w:val="single" w:color="auto" w:sz="2" w:space="0"/>
              <w:right w:val="single" w:color="auto" w:sz="2" w:space="0"/>
            </w:tcBorders>
            <w:noWrap w:val="0"/>
            <w:vAlign w:val="center"/>
          </w:tcPr>
          <w:p w14:paraId="34F83BB1">
            <w:pPr>
              <w:jc w:val="center"/>
              <w:rPr>
                <w:rFonts w:hint="eastAsia" w:eastAsia="宋体"/>
                <w:sz w:val="21"/>
                <w:highlight w:val="none"/>
                <w:lang w:val="en-US" w:eastAsia="zh-CN"/>
              </w:rPr>
            </w:pPr>
            <w:r>
              <w:rPr>
                <w:rFonts w:hint="eastAsia" w:eastAsia="宋体"/>
                <w:sz w:val="21"/>
                <w:highlight w:val="none"/>
                <w:lang w:val="en-US" w:eastAsia="zh-CN"/>
              </w:rPr>
              <w:t>50</w:t>
            </w:r>
          </w:p>
        </w:tc>
      </w:tr>
      <w:tr w14:paraId="360A3F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35" w:hRule="atLeast"/>
        </w:trPr>
        <w:tc>
          <w:tcPr>
            <w:tcW w:w="793" w:type="dxa"/>
            <w:tcBorders>
              <w:top w:val="single" w:color="auto" w:sz="2" w:space="0"/>
              <w:left w:val="single" w:color="auto" w:sz="2" w:space="0"/>
              <w:bottom w:val="single" w:color="auto" w:sz="2" w:space="0"/>
              <w:right w:val="single" w:color="auto" w:sz="2" w:space="0"/>
            </w:tcBorders>
            <w:noWrap w:val="0"/>
            <w:vAlign w:val="top"/>
          </w:tcPr>
          <w:p w14:paraId="0EADCAAB">
            <w:pPr>
              <w:spacing w:before="60" w:line="203" w:lineRule="auto"/>
              <w:jc w:val="center"/>
              <w:rPr>
                <w:rFonts w:hint="eastAsia" w:ascii="Arial" w:hAnsi="Arial" w:eastAsia="宋体" w:cs="Arial"/>
                <w:sz w:val="20"/>
                <w:szCs w:val="20"/>
                <w:highlight w:val="none"/>
                <w:lang w:eastAsia="zh-CN"/>
              </w:rPr>
            </w:pPr>
            <w:r>
              <w:rPr>
                <w:rFonts w:hint="eastAsia" w:ascii="Arial" w:hAnsi="Arial" w:cs="Arial"/>
                <w:spacing w:val="2"/>
                <w:sz w:val="20"/>
                <w:szCs w:val="20"/>
                <w:highlight w:val="none"/>
                <w:lang w:val="en-US" w:eastAsia="zh-CN"/>
              </w:rPr>
              <w:t>5</w:t>
            </w:r>
          </w:p>
        </w:tc>
        <w:tc>
          <w:tcPr>
            <w:tcW w:w="7762" w:type="dxa"/>
            <w:tcBorders>
              <w:top w:val="single" w:color="auto" w:sz="2" w:space="0"/>
              <w:left w:val="single" w:color="auto" w:sz="2" w:space="0"/>
              <w:bottom w:val="single" w:color="auto" w:sz="2" w:space="0"/>
              <w:right w:val="single" w:color="auto" w:sz="2" w:space="0"/>
            </w:tcBorders>
            <w:noWrap w:val="0"/>
            <w:vAlign w:val="center"/>
          </w:tcPr>
          <w:p w14:paraId="7437DA43">
            <w:pPr>
              <w:pStyle w:val="17"/>
              <w:spacing w:before="2" w:line="264" w:lineRule="exact"/>
              <w:ind w:left="115"/>
              <w:jc w:val="left"/>
              <w:rPr>
                <w:rFonts w:hint="eastAsia" w:ascii="Arial" w:hAnsi="Arial" w:eastAsia="宋体" w:cs="Arial"/>
                <w:sz w:val="20"/>
                <w:szCs w:val="20"/>
                <w:highlight w:val="none"/>
                <w:lang w:eastAsia="zh-CN"/>
              </w:rPr>
            </w:pPr>
            <w:r>
              <w:rPr>
                <w:spacing w:val="5"/>
                <w:sz w:val="20"/>
                <w:szCs w:val="20"/>
                <w:highlight w:val="none"/>
              </w:rPr>
              <w:t>出水口口径</w:t>
            </w:r>
            <w:r>
              <w:rPr>
                <w:rFonts w:hint="eastAsia"/>
                <w:spacing w:val="5"/>
                <w:sz w:val="20"/>
                <w:szCs w:val="20"/>
                <w:highlight w:val="none"/>
                <w:lang w:eastAsia="zh-CN"/>
              </w:rPr>
              <w:t>：</w:t>
            </w:r>
            <w:r>
              <w:rPr>
                <w:rFonts w:hint="eastAsia" w:ascii="Arial" w:hAnsi="Arial" w:cs="Arial"/>
                <w:spacing w:val="5"/>
                <w:sz w:val="20"/>
                <w:szCs w:val="20"/>
                <w:highlight w:val="none"/>
                <w:lang w:val="en-US" w:eastAsia="zh-CN"/>
              </w:rPr>
              <w:t>50</w:t>
            </w:r>
            <w:r>
              <w:rPr>
                <w:rFonts w:ascii="Arial" w:hAnsi="Arial" w:eastAsia="Arial" w:cs="Arial"/>
                <w:sz w:val="20"/>
                <w:szCs w:val="20"/>
                <w:highlight w:val="none"/>
              </w:rPr>
              <w:t>mm</w:t>
            </w:r>
            <w:r>
              <w:rPr>
                <w:rFonts w:hint="eastAsia" w:ascii="Arial" w:hAnsi="Arial" w:cs="Arial"/>
                <w:sz w:val="20"/>
                <w:szCs w:val="20"/>
                <w:highlight w:val="none"/>
                <w:lang w:eastAsia="zh-CN"/>
              </w:rPr>
              <w:t>；</w:t>
            </w:r>
          </w:p>
        </w:tc>
        <w:tc>
          <w:tcPr>
            <w:tcW w:w="1063" w:type="dxa"/>
            <w:tcBorders>
              <w:top w:val="single" w:color="auto" w:sz="2" w:space="0"/>
              <w:left w:val="single" w:color="auto" w:sz="2" w:space="0"/>
              <w:bottom w:val="single" w:color="auto" w:sz="2" w:space="0"/>
              <w:right w:val="single" w:color="auto" w:sz="2" w:space="0"/>
            </w:tcBorders>
            <w:noWrap w:val="0"/>
            <w:vAlign w:val="center"/>
          </w:tcPr>
          <w:p w14:paraId="416457B8">
            <w:pPr>
              <w:jc w:val="center"/>
              <w:rPr>
                <w:rFonts w:ascii="Arial"/>
                <w:sz w:val="21"/>
                <w:highlight w:val="none"/>
              </w:rPr>
            </w:pPr>
          </w:p>
        </w:tc>
      </w:tr>
      <w:tr w14:paraId="5CA1EA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37" w:hRule="atLeast"/>
        </w:trPr>
        <w:tc>
          <w:tcPr>
            <w:tcW w:w="793" w:type="dxa"/>
            <w:tcBorders>
              <w:top w:val="single" w:color="auto" w:sz="2" w:space="0"/>
              <w:left w:val="single" w:color="auto" w:sz="2" w:space="0"/>
              <w:bottom w:val="single" w:color="auto" w:sz="2" w:space="0"/>
              <w:right w:val="single" w:color="auto" w:sz="2" w:space="0"/>
            </w:tcBorders>
            <w:noWrap w:val="0"/>
            <w:vAlign w:val="top"/>
          </w:tcPr>
          <w:p w14:paraId="74416580">
            <w:pPr>
              <w:spacing w:before="61" w:line="200" w:lineRule="auto"/>
              <w:jc w:val="center"/>
              <w:rPr>
                <w:rFonts w:hint="eastAsia" w:ascii="Arial" w:hAnsi="Arial" w:eastAsia="宋体" w:cs="Arial"/>
                <w:sz w:val="20"/>
                <w:szCs w:val="20"/>
                <w:highlight w:val="none"/>
                <w:lang w:eastAsia="zh-CN"/>
              </w:rPr>
            </w:pPr>
            <w:r>
              <w:rPr>
                <w:rFonts w:hint="eastAsia" w:ascii="Arial" w:hAnsi="Arial" w:cs="Arial"/>
                <w:sz w:val="20"/>
                <w:szCs w:val="20"/>
                <w:highlight w:val="none"/>
                <w:lang w:val="en-US" w:eastAsia="zh-CN"/>
              </w:rPr>
              <w:t>6</w:t>
            </w:r>
          </w:p>
        </w:tc>
        <w:tc>
          <w:tcPr>
            <w:tcW w:w="7762" w:type="dxa"/>
            <w:tcBorders>
              <w:top w:val="single" w:color="auto" w:sz="2" w:space="0"/>
              <w:left w:val="single" w:color="auto" w:sz="2" w:space="0"/>
              <w:bottom w:val="single" w:color="auto" w:sz="2" w:space="0"/>
              <w:right w:val="single" w:color="auto" w:sz="2" w:space="0"/>
            </w:tcBorders>
            <w:noWrap w:val="0"/>
            <w:vAlign w:val="center"/>
          </w:tcPr>
          <w:p w14:paraId="49F947AB">
            <w:pPr>
              <w:pStyle w:val="17"/>
              <w:spacing w:before="2" w:line="264" w:lineRule="exact"/>
              <w:ind w:left="115" w:leftChars="0"/>
              <w:jc w:val="left"/>
              <w:rPr>
                <w:rFonts w:ascii="宋体" w:hAnsi="宋体" w:eastAsia="宋体" w:cs="宋体"/>
                <w:snapToGrid w:val="0"/>
                <w:color w:val="000000"/>
                <w:kern w:val="0"/>
                <w:sz w:val="20"/>
                <w:szCs w:val="20"/>
                <w:highlight w:val="none"/>
                <w:lang w:val="en-US" w:eastAsia="en-US" w:bidi="ar-SA"/>
              </w:rPr>
            </w:pPr>
            <w:r>
              <w:rPr>
                <w:spacing w:val="6"/>
                <w:position w:val="1"/>
                <w:sz w:val="20"/>
                <w:szCs w:val="20"/>
                <w:highlight w:val="none"/>
              </w:rPr>
              <w:t>电泵机组效率：</w:t>
            </w:r>
            <w:r>
              <w:rPr>
                <w:rFonts w:ascii="Arial" w:hAnsi="Arial" w:eastAsia="Arial" w:cs="Arial"/>
                <w:spacing w:val="6"/>
                <w:position w:val="1"/>
                <w:sz w:val="20"/>
                <w:szCs w:val="20"/>
                <w:highlight w:val="none"/>
              </w:rPr>
              <w:t>≥</w:t>
            </w:r>
            <w:r>
              <w:rPr>
                <w:rFonts w:hint="eastAsia" w:ascii="Arial" w:hAnsi="Arial" w:cs="Arial"/>
                <w:spacing w:val="6"/>
                <w:position w:val="1"/>
                <w:sz w:val="20"/>
                <w:szCs w:val="20"/>
                <w:highlight w:val="none"/>
                <w:lang w:val="en-US" w:eastAsia="zh-CN"/>
              </w:rPr>
              <w:t>37</w:t>
            </w:r>
            <w:r>
              <w:rPr>
                <w:rFonts w:ascii="Arial" w:hAnsi="Arial" w:eastAsia="Arial" w:cs="Arial"/>
                <w:spacing w:val="6"/>
                <w:position w:val="1"/>
                <w:sz w:val="20"/>
                <w:szCs w:val="20"/>
                <w:highlight w:val="none"/>
              </w:rPr>
              <w:t>%</w:t>
            </w:r>
            <w:r>
              <w:rPr>
                <w:spacing w:val="6"/>
                <w:position w:val="1"/>
                <w:sz w:val="20"/>
                <w:szCs w:val="20"/>
                <w:highlight w:val="none"/>
              </w:rPr>
              <w:t>；</w:t>
            </w:r>
          </w:p>
        </w:tc>
        <w:tc>
          <w:tcPr>
            <w:tcW w:w="1063" w:type="dxa"/>
            <w:tcBorders>
              <w:top w:val="single" w:color="auto" w:sz="2" w:space="0"/>
              <w:left w:val="single" w:color="auto" w:sz="2" w:space="0"/>
              <w:bottom w:val="single" w:color="auto" w:sz="2" w:space="0"/>
              <w:right w:val="single" w:color="auto" w:sz="2" w:space="0"/>
            </w:tcBorders>
            <w:noWrap w:val="0"/>
            <w:vAlign w:val="center"/>
          </w:tcPr>
          <w:p w14:paraId="1E264B01">
            <w:pPr>
              <w:jc w:val="center"/>
              <w:rPr>
                <w:rFonts w:ascii="Arial"/>
                <w:sz w:val="21"/>
                <w:highlight w:val="none"/>
              </w:rPr>
            </w:pPr>
          </w:p>
        </w:tc>
      </w:tr>
      <w:tr w14:paraId="7197D4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35" w:hRule="atLeast"/>
        </w:trPr>
        <w:tc>
          <w:tcPr>
            <w:tcW w:w="793" w:type="dxa"/>
            <w:tcBorders>
              <w:top w:val="single" w:color="auto" w:sz="2" w:space="0"/>
              <w:left w:val="single" w:color="auto" w:sz="2" w:space="0"/>
              <w:bottom w:val="single" w:color="auto" w:sz="2" w:space="0"/>
              <w:right w:val="single" w:color="auto" w:sz="2" w:space="0"/>
            </w:tcBorders>
            <w:noWrap w:val="0"/>
            <w:vAlign w:val="top"/>
          </w:tcPr>
          <w:p w14:paraId="653500A4">
            <w:pPr>
              <w:spacing w:before="60" w:line="203" w:lineRule="auto"/>
              <w:jc w:val="center"/>
              <w:rPr>
                <w:rFonts w:hint="eastAsia" w:ascii="Arial" w:hAnsi="Arial" w:eastAsia="宋体" w:cs="Arial"/>
                <w:sz w:val="20"/>
                <w:szCs w:val="20"/>
                <w:highlight w:val="none"/>
                <w:lang w:eastAsia="zh-CN"/>
              </w:rPr>
            </w:pPr>
            <w:r>
              <w:rPr>
                <w:rFonts w:hint="eastAsia" w:ascii="Arial" w:hAnsi="Arial" w:cs="Arial"/>
                <w:sz w:val="20"/>
                <w:szCs w:val="20"/>
                <w:highlight w:val="none"/>
                <w:lang w:val="en-US" w:eastAsia="zh-CN"/>
              </w:rPr>
              <w:t>7</w:t>
            </w:r>
          </w:p>
        </w:tc>
        <w:tc>
          <w:tcPr>
            <w:tcW w:w="7762" w:type="dxa"/>
            <w:tcBorders>
              <w:top w:val="single" w:color="auto" w:sz="2" w:space="0"/>
              <w:left w:val="single" w:color="auto" w:sz="2" w:space="0"/>
              <w:bottom w:val="single" w:color="auto" w:sz="2" w:space="0"/>
              <w:right w:val="single" w:color="auto" w:sz="2" w:space="0"/>
            </w:tcBorders>
            <w:noWrap w:val="0"/>
            <w:vAlign w:val="center"/>
          </w:tcPr>
          <w:p w14:paraId="154D8145">
            <w:pPr>
              <w:pStyle w:val="17"/>
              <w:spacing w:before="34" w:line="216" w:lineRule="auto"/>
              <w:ind w:left="137" w:leftChars="0"/>
              <w:jc w:val="left"/>
              <w:rPr>
                <w:rFonts w:hint="eastAsia" w:ascii="宋体" w:hAnsi="宋体" w:eastAsia="宋体" w:cs="宋体"/>
                <w:snapToGrid w:val="0"/>
                <w:color w:val="000000"/>
                <w:kern w:val="0"/>
                <w:sz w:val="20"/>
                <w:szCs w:val="20"/>
                <w:highlight w:val="none"/>
                <w:lang w:val="en-US" w:eastAsia="zh-CN" w:bidi="ar-SA"/>
              </w:rPr>
            </w:pPr>
            <w:r>
              <w:rPr>
                <w:spacing w:val="5"/>
                <w:sz w:val="20"/>
                <w:szCs w:val="20"/>
                <w:highlight w:val="none"/>
              </w:rPr>
              <w:t>电机冷态绝缘电阻：</w:t>
            </w:r>
            <w:r>
              <w:rPr>
                <w:rFonts w:ascii="Arial" w:hAnsi="Arial" w:eastAsia="Arial" w:cs="Arial"/>
                <w:spacing w:val="5"/>
                <w:sz w:val="20"/>
                <w:szCs w:val="20"/>
                <w:highlight w:val="none"/>
              </w:rPr>
              <w:t>≥</w:t>
            </w:r>
            <w:r>
              <w:rPr>
                <w:rFonts w:hint="eastAsia" w:ascii="Arial" w:hAnsi="Arial" w:cs="Arial"/>
                <w:spacing w:val="5"/>
                <w:sz w:val="20"/>
                <w:szCs w:val="20"/>
                <w:highlight w:val="none"/>
                <w:lang w:val="en-US" w:eastAsia="zh-CN"/>
              </w:rPr>
              <w:t>15</w:t>
            </w:r>
            <w:r>
              <w:rPr>
                <w:rFonts w:ascii="Arial" w:hAnsi="Arial" w:eastAsia="Arial" w:cs="Arial"/>
                <w:spacing w:val="5"/>
                <w:sz w:val="20"/>
                <w:szCs w:val="20"/>
                <w:highlight w:val="none"/>
              </w:rPr>
              <w:t>0MΏ</w:t>
            </w:r>
            <w:r>
              <w:rPr>
                <w:rFonts w:hint="eastAsia" w:ascii="Arial" w:hAnsi="Arial" w:cs="Arial"/>
                <w:spacing w:val="5"/>
                <w:sz w:val="20"/>
                <w:szCs w:val="20"/>
                <w:highlight w:val="none"/>
                <w:lang w:eastAsia="zh-CN"/>
              </w:rPr>
              <w:t>；</w:t>
            </w:r>
          </w:p>
        </w:tc>
        <w:tc>
          <w:tcPr>
            <w:tcW w:w="1063" w:type="dxa"/>
            <w:tcBorders>
              <w:top w:val="single" w:color="auto" w:sz="2" w:space="0"/>
              <w:left w:val="single" w:color="auto" w:sz="2" w:space="0"/>
              <w:bottom w:val="single" w:color="auto" w:sz="2" w:space="0"/>
              <w:right w:val="single" w:color="auto" w:sz="2" w:space="0"/>
            </w:tcBorders>
            <w:noWrap w:val="0"/>
            <w:vAlign w:val="center"/>
          </w:tcPr>
          <w:p w14:paraId="0A6772F0">
            <w:pPr>
              <w:jc w:val="center"/>
              <w:rPr>
                <w:rFonts w:ascii="Arial"/>
                <w:sz w:val="21"/>
                <w:highlight w:val="none"/>
              </w:rPr>
            </w:pPr>
          </w:p>
        </w:tc>
      </w:tr>
      <w:tr w14:paraId="25E264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trPr>
        <w:tc>
          <w:tcPr>
            <w:tcW w:w="793" w:type="dxa"/>
            <w:tcBorders>
              <w:top w:val="single" w:color="auto" w:sz="2" w:space="0"/>
              <w:left w:val="single" w:color="auto" w:sz="2" w:space="0"/>
              <w:bottom w:val="single" w:color="auto" w:sz="2" w:space="0"/>
              <w:right w:val="single" w:color="auto" w:sz="2" w:space="0"/>
            </w:tcBorders>
            <w:noWrap w:val="0"/>
            <w:vAlign w:val="top"/>
          </w:tcPr>
          <w:p w14:paraId="05CA4948">
            <w:pPr>
              <w:spacing w:before="63" w:line="201" w:lineRule="auto"/>
              <w:jc w:val="center"/>
              <w:rPr>
                <w:rFonts w:hint="eastAsia" w:ascii="Arial" w:hAnsi="Arial" w:eastAsia="宋体" w:cs="Arial"/>
                <w:sz w:val="20"/>
                <w:szCs w:val="20"/>
                <w:highlight w:val="none"/>
                <w:lang w:eastAsia="zh-CN"/>
              </w:rPr>
            </w:pPr>
            <w:r>
              <w:rPr>
                <w:rFonts w:hint="eastAsia" w:ascii="Arial" w:hAnsi="Arial" w:cs="Arial"/>
                <w:sz w:val="20"/>
                <w:szCs w:val="20"/>
                <w:highlight w:val="none"/>
                <w:lang w:val="en-US" w:eastAsia="zh-CN"/>
              </w:rPr>
              <w:t>8</w:t>
            </w:r>
          </w:p>
        </w:tc>
        <w:tc>
          <w:tcPr>
            <w:tcW w:w="7762" w:type="dxa"/>
            <w:tcBorders>
              <w:top w:val="single" w:color="auto" w:sz="2" w:space="0"/>
              <w:left w:val="single" w:color="auto" w:sz="2" w:space="0"/>
              <w:bottom w:val="single" w:color="auto" w:sz="2" w:space="0"/>
              <w:right w:val="single" w:color="auto" w:sz="2" w:space="0"/>
            </w:tcBorders>
            <w:noWrap w:val="0"/>
            <w:vAlign w:val="center"/>
          </w:tcPr>
          <w:p w14:paraId="413A2B4F">
            <w:pPr>
              <w:pStyle w:val="17"/>
              <w:spacing w:before="34" w:line="215" w:lineRule="auto"/>
              <w:ind w:left="115"/>
              <w:jc w:val="left"/>
              <w:rPr>
                <w:rFonts w:hint="eastAsia" w:eastAsia="宋体"/>
                <w:sz w:val="20"/>
                <w:szCs w:val="20"/>
                <w:highlight w:val="none"/>
                <w:lang w:eastAsia="zh-CN"/>
              </w:rPr>
            </w:pPr>
            <w:r>
              <w:rPr>
                <w:spacing w:val="8"/>
                <w:sz w:val="20"/>
                <w:szCs w:val="20"/>
                <w:highlight w:val="none"/>
              </w:rPr>
              <w:t>运行转速：</w:t>
            </w:r>
            <w:r>
              <w:rPr>
                <w:rFonts w:hint="eastAsia" w:ascii="Arial" w:hAnsi="Arial" w:cs="Arial"/>
                <w:spacing w:val="8"/>
                <w:sz w:val="20"/>
                <w:szCs w:val="20"/>
                <w:highlight w:val="none"/>
                <w:lang w:val="en-US" w:eastAsia="zh-CN"/>
              </w:rPr>
              <w:t>2860</w:t>
            </w:r>
            <w:r>
              <w:rPr>
                <w:rFonts w:hint="eastAsia" w:ascii="Arial" w:hAnsi="Arial" w:cs="Arial"/>
                <w:sz w:val="20"/>
                <w:szCs w:val="20"/>
                <w:highlight w:val="none"/>
                <w:lang w:val="en-US" w:eastAsia="zh-CN"/>
              </w:rPr>
              <w:t>r/min</w:t>
            </w:r>
            <w:r>
              <w:rPr>
                <w:rFonts w:hint="eastAsia" w:ascii="Arial" w:hAnsi="Arial" w:cs="Arial"/>
                <w:sz w:val="20"/>
                <w:szCs w:val="20"/>
                <w:highlight w:val="none"/>
                <w:lang w:eastAsia="zh-CN"/>
              </w:rPr>
              <w:t>；</w:t>
            </w:r>
          </w:p>
        </w:tc>
        <w:tc>
          <w:tcPr>
            <w:tcW w:w="1063" w:type="dxa"/>
            <w:tcBorders>
              <w:top w:val="single" w:color="auto" w:sz="2" w:space="0"/>
              <w:left w:val="single" w:color="auto" w:sz="2" w:space="0"/>
              <w:bottom w:val="single" w:color="auto" w:sz="2" w:space="0"/>
              <w:right w:val="single" w:color="auto" w:sz="2" w:space="0"/>
            </w:tcBorders>
            <w:noWrap w:val="0"/>
            <w:vAlign w:val="center"/>
          </w:tcPr>
          <w:p w14:paraId="79AC6E7F">
            <w:pPr>
              <w:jc w:val="center"/>
              <w:rPr>
                <w:rFonts w:ascii="Arial"/>
                <w:sz w:val="21"/>
                <w:highlight w:val="none"/>
              </w:rPr>
            </w:pPr>
          </w:p>
        </w:tc>
      </w:tr>
      <w:tr w14:paraId="4B6496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35" w:hRule="atLeast"/>
        </w:trPr>
        <w:tc>
          <w:tcPr>
            <w:tcW w:w="793" w:type="dxa"/>
            <w:tcBorders>
              <w:top w:val="single" w:color="auto" w:sz="2" w:space="0"/>
              <w:left w:val="single" w:color="auto" w:sz="2" w:space="0"/>
              <w:bottom w:val="single" w:color="auto" w:sz="2" w:space="0"/>
              <w:right w:val="single" w:color="auto" w:sz="2" w:space="0"/>
            </w:tcBorders>
            <w:noWrap w:val="0"/>
            <w:vAlign w:val="top"/>
          </w:tcPr>
          <w:p w14:paraId="1762831D">
            <w:pPr>
              <w:spacing w:before="60" w:line="203" w:lineRule="auto"/>
              <w:jc w:val="center"/>
              <w:rPr>
                <w:rFonts w:hint="eastAsia" w:ascii="Arial" w:hAnsi="Arial" w:eastAsia="宋体" w:cs="Arial"/>
                <w:sz w:val="20"/>
                <w:szCs w:val="20"/>
                <w:highlight w:val="none"/>
                <w:lang w:eastAsia="zh-CN"/>
              </w:rPr>
            </w:pPr>
            <w:r>
              <w:rPr>
                <w:rFonts w:hint="eastAsia" w:ascii="Arial" w:hAnsi="Arial" w:cs="Arial"/>
                <w:sz w:val="20"/>
                <w:szCs w:val="20"/>
                <w:highlight w:val="none"/>
                <w:lang w:val="en-US" w:eastAsia="zh-CN"/>
              </w:rPr>
              <w:t>9</w:t>
            </w:r>
          </w:p>
        </w:tc>
        <w:tc>
          <w:tcPr>
            <w:tcW w:w="7762" w:type="dxa"/>
            <w:tcBorders>
              <w:top w:val="single" w:color="auto" w:sz="2" w:space="0"/>
              <w:left w:val="single" w:color="auto" w:sz="2" w:space="0"/>
              <w:bottom w:val="single" w:color="auto" w:sz="2" w:space="0"/>
              <w:right w:val="single" w:color="auto" w:sz="2" w:space="0"/>
            </w:tcBorders>
            <w:noWrap w:val="0"/>
            <w:vAlign w:val="center"/>
          </w:tcPr>
          <w:p w14:paraId="26A11A23">
            <w:pPr>
              <w:pStyle w:val="17"/>
              <w:spacing w:before="2" w:line="264" w:lineRule="exact"/>
              <w:ind w:left="115"/>
              <w:jc w:val="left"/>
              <w:rPr>
                <w:rFonts w:hint="default" w:eastAsia="宋体"/>
                <w:sz w:val="20"/>
                <w:szCs w:val="20"/>
                <w:highlight w:val="none"/>
                <w:lang w:val="en-US" w:eastAsia="zh-CN"/>
              </w:rPr>
            </w:pPr>
            <w:r>
              <w:rPr>
                <w:spacing w:val="7"/>
                <w:sz w:val="20"/>
                <w:szCs w:val="20"/>
                <w:highlight w:val="none"/>
              </w:rPr>
              <w:t>泵绝缘等级：</w:t>
            </w:r>
            <w:r>
              <w:rPr>
                <w:rFonts w:hint="eastAsia"/>
                <w:spacing w:val="7"/>
                <w:sz w:val="20"/>
                <w:szCs w:val="20"/>
                <w:highlight w:val="none"/>
                <w:lang w:eastAsia="zh-CN"/>
              </w:rPr>
              <w:t>聚乙烯级；</w:t>
            </w:r>
          </w:p>
        </w:tc>
        <w:tc>
          <w:tcPr>
            <w:tcW w:w="1063" w:type="dxa"/>
            <w:tcBorders>
              <w:top w:val="single" w:color="auto" w:sz="2" w:space="0"/>
              <w:left w:val="single" w:color="auto" w:sz="2" w:space="0"/>
              <w:bottom w:val="single" w:color="auto" w:sz="2" w:space="0"/>
              <w:right w:val="single" w:color="auto" w:sz="2" w:space="0"/>
            </w:tcBorders>
            <w:noWrap w:val="0"/>
            <w:vAlign w:val="center"/>
          </w:tcPr>
          <w:p w14:paraId="58CF86B5">
            <w:pPr>
              <w:jc w:val="center"/>
              <w:rPr>
                <w:rFonts w:ascii="Arial"/>
                <w:sz w:val="21"/>
                <w:highlight w:val="none"/>
              </w:rPr>
            </w:pPr>
          </w:p>
        </w:tc>
      </w:tr>
      <w:tr w14:paraId="387497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37" w:hRule="atLeast"/>
        </w:trPr>
        <w:tc>
          <w:tcPr>
            <w:tcW w:w="793" w:type="dxa"/>
            <w:tcBorders>
              <w:top w:val="single" w:color="auto" w:sz="2" w:space="0"/>
              <w:left w:val="single" w:color="auto" w:sz="2" w:space="0"/>
              <w:bottom w:val="single" w:color="auto" w:sz="2" w:space="0"/>
              <w:right w:val="single" w:color="auto" w:sz="2" w:space="0"/>
            </w:tcBorders>
            <w:noWrap w:val="0"/>
            <w:vAlign w:val="top"/>
          </w:tcPr>
          <w:p w14:paraId="45B1B3FF">
            <w:pPr>
              <w:spacing w:before="61" w:line="203" w:lineRule="auto"/>
              <w:jc w:val="center"/>
              <w:rPr>
                <w:rFonts w:hint="eastAsia" w:ascii="Arial" w:hAnsi="Arial" w:eastAsia="宋体" w:cs="Arial"/>
                <w:sz w:val="20"/>
                <w:szCs w:val="20"/>
                <w:highlight w:val="none"/>
                <w:lang w:eastAsia="zh-CN"/>
              </w:rPr>
            </w:pPr>
            <w:r>
              <w:rPr>
                <w:rFonts w:hint="eastAsia" w:ascii="Arial" w:hAnsi="Arial" w:cs="Arial"/>
                <w:sz w:val="20"/>
                <w:szCs w:val="20"/>
                <w:highlight w:val="none"/>
                <w:lang w:val="en-US" w:eastAsia="zh-CN"/>
              </w:rPr>
              <w:t>10</w:t>
            </w:r>
          </w:p>
        </w:tc>
        <w:tc>
          <w:tcPr>
            <w:tcW w:w="7762" w:type="dxa"/>
            <w:tcBorders>
              <w:top w:val="single" w:color="auto" w:sz="2" w:space="0"/>
              <w:left w:val="single" w:color="auto" w:sz="2" w:space="0"/>
              <w:bottom w:val="single" w:color="auto" w:sz="2" w:space="0"/>
              <w:right w:val="single" w:color="auto" w:sz="2" w:space="0"/>
            </w:tcBorders>
            <w:noWrap w:val="0"/>
            <w:vAlign w:val="center"/>
          </w:tcPr>
          <w:p w14:paraId="228BF562">
            <w:pPr>
              <w:pStyle w:val="17"/>
              <w:spacing w:before="34" w:line="216" w:lineRule="auto"/>
              <w:ind w:left="137"/>
              <w:jc w:val="left"/>
              <w:rPr>
                <w:rFonts w:hint="eastAsia" w:eastAsia="宋体"/>
                <w:sz w:val="20"/>
                <w:szCs w:val="20"/>
                <w:highlight w:val="none"/>
                <w:lang w:eastAsia="zh-CN"/>
              </w:rPr>
            </w:pPr>
            <w:r>
              <w:rPr>
                <w:spacing w:val="8"/>
                <w:sz w:val="20"/>
                <w:szCs w:val="20"/>
                <w:highlight w:val="none"/>
              </w:rPr>
              <w:t>电泵防护等级：</w:t>
            </w:r>
            <w:r>
              <w:rPr>
                <w:rFonts w:ascii="Arial" w:hAnsi="Arial" w:eastAsia="Arial" w:cs="Arial"/>
                <w:sz w:val="20"/>
                <w:szCs w:val="20"/>
                <w:highlight w:val="none"/>
              </w:rPr>
              <w:t>IP</w:t>
            </w:r>
            <w:r>
              <w:rPr>
                <w:rFonts w:ascii="Arial" w:hAnsi="Arial" w:eastAsia="Arial" w:cs="Arial"/>
                <w:spacing w:val="8"/>
                <w:sz w:val="20"/>
                <w:szCs w:val="20"/>
                <w:highlight w:val="none"/>
              </w:rPr>
              <w:t>68</w:t>
            </w:r>
            <w:r>
              <w:rPr>
                <w:rFonts w:hint="eastAsia" w:ascii="Arial" w:hAnsi="Arial" w:cs="Arial"/>
                <w:spacing w:val="8"/>
                <w:sz w:val="20"/>
                <w:szCs w:val="20"/>
                <w:highlight w:val="none"/>
                <w:lang w:eastAsia="zh-CN"/>
              </w:rPr>
              <w:t>；</w:t>
            </w:r>
          </w:p>
        </w:tc>
        <w:tc>
          <w:tcPr>
            <w:tcW w:w="1063" w:type="dxa"/>
            <w:tcBorders>
              <w:top w:val="single" w:color="auto" w:sz="2" w:space="0"/>
              <w:left w:val="single" w:color="auto" w:sz="2" w:space="0"/>
              <w:bottom w:val="single" w:color="auto" w:sz="2" w:space="0"/>
              <w:right w:val="single" w:color="auto" w:sz="2" w:space="0"/>
            </w:tcBorders>
            <w:noWrap w:val="0"/>
            <w:vAlign w:val="center"/>
          </w:tcPr>
          <w:p w14:paraId="78C436F5">
            <w:pPr>
              <w:jc w:val="center"/>
              <w:rPr>
                <w:rFonts w:ascii="Arial"/>
                <w:sz w:val="21"/>
                <w:highlight w:val="none"/>
              </w:rPr>
            </w:pPr>
          </w:p>
        </w:tc>
      </w:tr>
      <w:tr w14:paraId="28FADA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37" w:hRule="atLeast"/>
        </w:trPr>
        <w:tc>
          <w:tcPr>
            <w:tcW w:w="793" w:type="dxa"/>
            <w:tcBorders>
              <w:top w:val="single" w:color="auto" w:sz="2" w:space="0"/>
              <w:left w:val="single" w:color="auto" w:sz="2" w:space="0"/>
              <w:bottom w:val="single" w:color="auto" w:sz="2" w:space="0"/>
              <w:right w:val="single" w:color="auto" w:sz="2" w:space="0"/>
            </w:tcBorders>
            <w:noWrap w:val="0"/>
            <w:vAlign w:val="top"/>
          </w:tcPr>
          <w:p w14:paraId="5F894DD9">
            <w:pPr>
              <w:spacing w:before="61" w:line="203" w:lineRule="auto"/>
              <w:jc w:val="center"/>
              <w:rPr>
                <w:rFonts w:ascii="Arial" w:hAnsi="Arial" w:eastAsia="Arial" w:cs="Arial"/>
                <w:sz w:val="20"/>
                <w:szCs w:val="20"/>
                <w:highlight w:val="none"/>
              </w:rPr>
            </w:pPr>
            <w:r>
              <w:rPr>
                <w:rFonts w:ascii="Arial" w:hAnsi="Arial" w:eastAsia="Arial" w:cs="Arial"/>
                <w:spacing w:val="-7"/>
                <w:sz w:val="20"/>
                <w:szCs w:val="20"/>
                <w:highlight w:val="none"/>
              </w:rPr>
              <w:t>1</w:t>
            </w:r>
            <w:r>
              <w:rPr>
                <w:rFonts w:hint="eastAsia" w:ascii="Arial" w:hAnsi="Arial" w:cs="Arial"/>
                <w:spacing w:val="-7"/>
                <w:sz w:val="20"/>
                <w:szCs w:val="20"/>
                <w:highlight w:val="none"/>
                <w:lang w:val="en-US" w:eastAsia="zh-CN"/>
              </w:rPr>
              <w:t>1</w:t>
            </w:r>
          </w:p>
        </w:tc>
        <w:tc>
          <w:tcPr>
            <w:tcW w:w="7762" w:type="dxa"/>
            <w:tcBorders>
              <w:top w:val="single" w:color="auto" w:sz="2" w:space="0"/>
              <w:left w:val="single" w:color="auto" w:sz="2" w:space="0"/>
              <w:bottom w:val="single" w:color="auto" w:sz="2" w:space="0"/>
              <w:right w:val="single" w:color="auto" w:sz="2" w:space="0"/>
            </w:tcBorders>
            <w:noWrap w:val="0"/>
            <w:vAlign w:val="center"/>
          </w:tcPr>
          <w:p w14:paraId="7058E8E0">
            <w:pPr>
              <w:pStyle w:val="17"/>
              <w:spacing w:before="34" w:line="215" w:lineRule="auto"/>
              <w:ind w:left="115"/>
              <w:jc w:val="left"/>
              <w:rPr>
                <w:rFonts w:hint="default" w:eastAsia="宋体"/>
                <w:sz w:val="20"/>
                <w:szCs w:val="20"/>
                <w:highlight w:val="none"/>
                <w:lang w:val="en-US" w:eastAsia="zh-CN"/>
              </w:rPr>
            </w:pPr>
            <w:r>
              <w:rPr>
                <w:rFonts w:hint="eastAsia"/>
                <w:sz w:val="20"/>
                <w:szCs w:val="20"/>
                <w:highlight w:val="none"/>
                <w:lang w:val="en-US" w:eastAsia="zh-CN"/>
              </w:rPr>
              <w:t>引出电缆不少于5m；</w:t>
            </w:r>
          </w:p>
        </w:tc>
        <w:tc>
          <w:tcPr>
            <w:tcW w:w="1063" w:type="dxa"/>
            <w:tcBorders>
              <w:top w:val="single" w:color="auto" w:sz="2" w:space="0"/>
              <w:left w:val="single" w:color="auto" w:sz="2" w:space="0"/>
              <w:bottom w:val="single" w:color="auto" w:sz="2" w:space="0"/>
              <w:right w:val="single" w:color="auto" w:sz="2" w:space="0"/>
            </w:tcBorders>
            <w:noWrap w:val="0"/>
            <w:vAlign w:val="center"/>
          </w:tcPr>
          <w:p w14:paraId="3313711F">
            <w:pPr>
              <w:jc w:val="center"/>
              <w:rPr>
                <w:rFonts w:ascii="Arial"/>
                <w:sz w:val="21"/>
                <w:highlight w:val="none"/>
              </w:rPr>
            </w:pPr>
          </w:p>
        </w:tc>
      </w:tr>
      <w:tr w14:paraId="3EE35A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3" w:hRule="atLeast"/>
        </w:trPr>
        <w:tc>
          <w:tcPr>
            <w:tcW w:w="793" w:type="dxa"/>
            <w:tcBorders>
              <w:top w:val="single" w:color="auto" w:sz="2" w:space="0"/>
              <w:left w:val="single" w:color="auto" w:sz="2" w:space="0"/>
              <w:bottom w:val="single" w:color="auto" w:sz="2" w:space="0"/>
              <w:right w:val="single" w:color="auto" w:sz="2" w:space="0"/>
            </w:tcBorders>
            <w:noWrap w:val="0"/>
            <w:vAlign w:val="center"/>
          </w:tcPr>
          <w:p w14:paraId="6082F8CE">
            <w:pPr>
              <w:spacing w:before="60" w:line="203" w:lineRule="auto"/>
              <w:jc w:val="center"/>
              <w:rPr>
                <w:rFonts w:ascii="Arial" w:hAnsi="Arial" w:eastAsia="Arial" w:cs="Arial"/>
                <w:sz w:val="20"/>
                <w:szCs w:val="20"/>
                <w:highlight w:val="none"/>
              </w:rPr>
            </w:pPr>
            <w:r>
              <w:rPr>
                <w:rFonts w:ascii="Arial" w:hAnsi="Arial" w:eastAsia="Arial" w:cs="Arial"/>
                <w:spacing w:val="-7"/>
                <w:sz w:val="20"/>
                <w:szCs w:val="20"/>
                <w:highlight w:val="none"/>
              </w:rPr>
              <w:t>1</w:t>
            </w:r>
            <w:r>
              <w:rPr>
                <w:rFonts w:hint="eastAsia" w:ascii="Arial" w:hAnsi="Arial" w:cs="Arial"/>
                <w:spacing w:val="-7"/>
                <w:sz w:val="20"/>
                <w:szCs w:val="20"/>
                <w:highlight w:val="none"/>
                <w:lang w:val="en-US" w:eastAsia="zh-CN"/>
              </w:rPr>
              <w:t>2</w:t>
            </w:r>
          </w:p>
        </w:tc>
        <w:tc>
          <w:tcPr>
            <w:tcW w:w="7762" w:type="dxa"/>
            <w:tcBorders>
              <w:top w:val="single" w:color="auto" w:sz="2" w:space="0"/>
              <w:left w:val="single" w:color="auto" w:sz="2" w:space="0"/>
              <w:bottom w:val="single" w:color="auto" w:sz="2" w:space="0"/>
              <w:right w:val="single" w:color="auto" w:sz="2" w:space="0"/>
            </w:tcBorders>
            <w:noWrap w:val="0"/>
            <w:vAlign w:val="center"/>
          </w:tcPr>
          <w:p w14:paraId="00B602C9">
            <w:pPr>
              <w:pStyle w:val="17"/>
              <w:spacing w:line="266" w:lineRule="exact"/>
              <w:ind w:left="115" w:leftChars="0"/>
              <w:jc w:val="left"/>
              <w:rPr>
                <w:rFonts w:hint="eastAsia" w:eastAsia="宋体"/>
                <w:sz w:val="20"/>
                <w:szCs w:val="20"/>
                <w:highlight w:val="none"/>
                <w:lang w:eastAsia="zh-CN"/>
              </w:rPr>
            </w:pPr>
            <w:r>
              <w:rPr>
                <w:spacing w:val="8"/>
                <w:sz w:val="20"/>
                <w:szCs w:val="20"/>
                <w:highlight w:val="none"/>
                <w:lang w:val="en-US"/>
              </w:rPr>
              <w:t>泵体材质不锈钢201；</w:t>
            </w:r>
            <w:r>
              <w:rPr>
                <w:rFonts w:hint="eastAsia"/>
                <w:sz w:val="20"/>
                <w:szCs w:val="20"/>
                <w:highlight w:val="none"/>
                <w:lang w:eastAsia="zh-CN"/>
              </w:rPr>
              <w:t>铸件为消失模铸造，叶轮导叶材质为高分子塑料；电磁线为全铜线</w:t>
            </w:r>
          </w:p>
        </w:tc>
        <w:tc>
          <w:tcPr>
            <w:tcW w:w="1063" w:type="dxa"/>
            <w:tcBorders>
              <w:top w:val="single" w:color="auto" w:sz="2" w:space="0"/>
              <w:left w:val="single" w:color="auto" w:sz="2" w:space="0"/>
              <w:bottom w:val="single" w:color="auto" w:sz="2" w:space="0"/>
              <w:right w:val="single" w:color="auto" w:sz="2" w:space="0"/>
            </w:tcBorders>
            <w:noWrap w:val="0"/>
            <w:vAlign w:val="center"/>
          </w:tcPr>
          <w:p w14:paraId="0CB4A6C9">
            <w:pPr>
              <w:jc w:val="center"/>
              <w:rPr>
                <w:rFonts w:ascii="Arial"/>
                <w:sz w:val="21"/>
                <w:highlight w:val="none"/>
              </w:rPr>
            </w:pPr>
          </w:p>
        </w:tc>
      </w:tr>
      <w:tr w14:paraId="556E66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141" w:hRule="atLeast"/>
        </w:trPr>
        <w:tc>
          <w:tcPr>
            <w:tcW w:w="793" w:type="dxa"/>
            <w:tcBorders>
              <w:top w:val="single" w:color="auto" w:sz="2" w:space="0"/>
              <w:left w:val="single" w:color="auto" w:sz="2" w:space="0"/>
              <w:bottom w:val="single" w:color="auto" w:sz="2" w:space="0"/>
              <w:right w:val="single" w:color="auto" w:sz="2" w:space="0"/>
            </w:tcBorders>
            <w:noWrap w:val="0"/>
            <w:vAlign w:val="center"/>
          </w:tcPr>
          <w:p w14:paraId="190D1070">
            <w:pPr>
              <w:spacing w:before="60" w:line="203" w:lineRule="auto"/>
              <w:jc w:val="center"/>
              <w:rPr>
                <w:rFonts w:hint="default" w:ascii="Arial" w:hAnsi="Arial" w:eastAsia="宋体" w:cs="Arial"/>
                <w:spacing w:val="-7"/>
                <w:sz w:val="20"/>
                <w:szCs w:val="20"/>
                <w:highlight w:val="none"/>
                <w:lang w:val="en-US" w:eastAsia="zh-CN"/>
              </w:rPr>
            </w:pPr>
            <w:r>
              <w:rPr>
                <w:rFonts w:hint="eastAsia" w:eastAsia="宋体" w:cs="Arial"/>
                <w:spacing w:val="-7"/>
                <w:sz w:val="20"/>
                <w:szCs w:val="20"/>
                <w:highlight w:val="none"/>
                <w:lang w:val="en-US" w:eastAsia="zh-CN"/>
              </w:rPr>
              <w:t>1</w:t>
            </w:r>
            <w:r>
              <w:rPr>
                <w:rFonts w:hint="eastAsia" w:cs="Arial"/>
                <w:spacing w:val="-7"/>
                <w:sz w:val="20"/>
                <w:szCs w:val="20"/>
                <w:highlight w:val="none"/>
                <w:lang w:val="en-US" w:eastAsia="zh-CN"/>
              </w:rPr>
              <w:t>3</w:t>
            </w:r>
          </w:p>
        </w:tc>
        <w:tc>
          <w:tcPr>
            <w:tcW w:w="7762" w:type="dxa"/>
            <w:tcBorders>
              <w:top w:val="single" w:color="auto" w:sz="2" w:space="0"/>
              <w:left w:val="single" w:color="auto" w:sz="2" w:space="0"/>
              <w:bottom w:val="single" w:color="auto" w:sz="2" w:space="0"/>
              <w:right w:val="single" w:color="auto" w:sz="2" w:space="0"/>
            </w:tcBorders>
            <w:noWrap w:val="0"/>
            <w:vAlign w:val="center"/>
          </w:tcPr>
          <w:p w14:paraId="3522E8BA">
            <w:pPr>
              <w:pStyle w:val="17"/>
              <w:spacing w:line="266" w:lineRule="exact"/>
              <w:ind w:left="115" w:leftChars="0"/>
              <w:jc w:val="left"/>
              <w:rPr>
                <w:rFonts w:hint="eastAsia"/>
                <w:sz w:val="20"/>
                <w:szCs w:val="20"/>
                <w:highlight w:val="none"/>
                <w:lang w:eastAsia="zh-CN"/>
              </w:rPr>
            </w:pPr>
            <w:r>
              <w:rPr>
                <w:rFonts w:hint="eastAsia"/>
                <w:sz w:val="20"/>
                <w:szCs w:val="20"/>
                <w:highlight w:val="none"/>
                <w:lang w:eastAsia="zh-CN"/>
              </w:rPr>
              <w:t>潜水电泵应设有过载保护装置，</w:t>
            </w:r>
            <w:r>
              <w:rPr>
                <w:rFonts w:hint="eastAsia"/>
                <w:sz w:val="20"/>
                <w:szCs w:val="20"/>
                <w:highlight w:val="none"/>
                <w:lang w:val="en-US" w:eastAsia="zh-CN"/>
              </w:rPr>
              <w:t>1）</w:t>
            </w:r>
            <w:r>
              <w:rPr>
                <w:rFonts w:hint="eastAsia"/>
                <w:sz w:val="20"/>
                <w:szCs w:val="20"/>
                <w:highlight w:val="none"/>
                <w:lang w:eastAsia="zh-CN"/>
              </w:rPr>
              <w:t>在正常运转情况下，过载保护装置不应动作。</w:t>
            </w:r>
            <w:r>
              <w:rPr>
                <w:rFonts w:hint="eastAsia"/>
                <w:sz w:val="20"/>
                <w:szCs w:val="20"/>
                <w:highlight w:val="none"/>
                <w:lang w:val="en-US" w:eastAsia="zh-CN"/>
              </w:rPr>
              <w:t>2）</w:t>
            </w:r>
            <w:r>
              <w:rPr>
                <w:rFonts w:hint="eastAsia"/>
                <w:sz w:val="20"/>
                <w:szCs w:val="20"/>
                <w:highlight w:val="none"/>
                <w:lang w:eastAsia="zh-CN"/>
              </w:rPr>
              <w:t>过载发生时，过载保护装置动作。外配过载保护装置的产品，应在使用说明书中写明。</w:t>
            </w:r>
          </w:p>
        </w:tc>
        <w:tc>
          <w:tcPr>
            <w:tcW w:w="1063" w:type="dxa"/>
            <w:tcBorders>
              <w:top w:val="single" w:color="auto" w:sz="2" w:space="0"/>
              <w:left w:val="single" w:color="auto" w:sz="2" w:space="0"/>
              <w:bottom w:val="single" w:color="auto" w:sz="2" w:space="0"/>
              <w:right w:val="single" w:color="auto" w:sz="2" w:space="0"/>
            </w:tcBorders>
            <w:noWrap w:val="0"/>
            <w:vAlign w:val="center"/>
          </w:tcPr>
          <w:p w14:paraId="1AE4609B">
            <w:pPr>
              <w:jc w:val="center"/>
              <w:rPr>
                <w:rFonts w:ascii="Arial"/>
                <w:sz w:val="21"/>
                <w:highlight w:val="none"/>
              </w:rPr>
            </w:pPr>
          </w:p>
        </w:tc>
      </w:tr>
      <w:tr w14:paraId="219278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6" w:hRule="atLeast"/>
        </w:trPr>
        <w:tc>
          <w:tcPr>
            <w:tcW w:w="793" w:type="dxa"/>
            <w:tcBorders>
              <w:top w:val="single" w:color="auto" w:sz="2" w:space="0"/>
              <w:left w:val="single" w:color="auto" w:sz="2" w:space="0"/>
              <w:bottom w:val="single" w:color="auto" w:sz="2" w:space="0"/>
              <w:right w:val="single" w:color="auto" w:sz="2" w:space="0"/>
            </w:tcBorders>
            <w:noWrap w:val="0"/>
            <w:vAlign w:val="center"/>
          </w:tcPr>
          <w:p w14:paraId="3695F01D">
            <w:pPr>
              <w:spacing w:before="61" w:line="203" w:lineRule="auto"/>
              <w:jc w:val="center"/>
              <w:rPr>
                <w:rFonts w:ascii="Arial" w:hAnsi="Arial" w:eastAsia="Arial" w:cs="Arial"/>
                <w:snapToGrid w:val="0"/>
                <w:color w:val="000000"/>
                <w:kern w:val="0"/>
                <w:sz w:val="20"/>
                <w:szCs w:val="20"/>
                <w:highlight w:val="none"/>
                <w:lang w:val="en-US" w:eastAsia="en-US" w:bidi="ar-SA"/>
              </w:rPr>
            </w:pPr>
            <w:r>
              <w:rPr>
                <w:rFonts w:ascii="Arial" w:hAnsi="Arial" w:eastAsia="Arial" w:cs="Arial"/>
                <w:spacing w:val="-7"/>
                <w:sz w:val="20"/>
                <w:szCs w:val="20"/>
                <w:highlight w:val="none"/>
              </w:rPr>
              <w:t>1</w:t>
            </w:r>
            <w:r>
              <w:rPr>
                <w:rFonts w:hint="eastAsia" w:ascii="Arial" w:hAnsi="Arial" w:cs="Arial"/>
                <w:spacing w:val="-7"/>
                <w:sz w:val="20"/>
                <w:szCs w:val="20"/>
                <w:highlight w:val="none"/>
                <w:lang w:val="en-US" w:eastAsia="zh-CN"/>
              </w:rPr>
              <w:t>4</w:t>
            </w:r>
          </w:p>
        </w:tc>
        <w:tc>
          <w:tcPr>
            <w:tcW w:w="7762" w:type="dxa"/>
            <w:tcBorders>
              <w:top w:val="single" w:color="auto" w:sz="2" w:space="0"/>
              <w:left w:val="single" w:color="auto" w:sz="2" w:space="0"/>
              <w:bottom w:val="single" w:color="auto" w:sz="2" w:space="0"/>
              <w:right w:val="single" w:color="auto" w:sz="2" w:space="0"/>
            </w:tcBorders>
            <w:noWrap w:val="0"/>
            <w:vAlign w:val="center"/>
          </w:tcPr>
          <w:p w14:paraId="55A45181">
            <w:pPr>
              <w:pStyle w:val="17"/>
              <w:spacing w:before="2" w:line="266" w:lineRule="exact"/>
              <w:ind w:left="115" w:leftChars="0"/>
              <w:jc w:val="left"/>
              <w:rPr>
                <w:rFonts w:hint="eastAsia" w:eastAsia="宋体"/>
                <w:spacing w:val="8"/>
                <w:sz w:val="20"/>
                <w:szCs w:val="20"/>
                <w:highlight w:val="none"/>
                <w:lang w:val="en-US" w:eastAsia="zh-CN"/>
              </w:rPr>
            </w:pPr>
            <w:r>
              <w:rPr>
                <w:rFonts w:hint="eastAsia"/>
                <w:spacing w:val="8"/>
                <w:sz w:val="20"/>
                <w:szCs w:val="20"/>
                <w:highlight w:val="none"/>
              </w:rPr>
              <w:t>电泵引出电缆应采取绝缘保护、适当固定、夹持等，以防止因受到拉力作用、位移、磨损等导致危险事故</w:t>
            </w:r>
            <w:r>
              <w:rPr>
                <w:rFonts w:hint="eastAsia"/>
                <w:spacing w:val="8"/>
                <w:sz w:val="20"/>
                <w:szCs w:val="20"/>
                <w:highlight w:val="none"/>
                <w:lang w:val="en-US" w:eastAsia="zh-CN"/>
              </w:rPr>
              <w:t>;</w:t>
            </w:r>
          </w:p>
        </w:tc>
        <w:tc>
          <w:tcPr>
            <w:tcW w:w="1063" w:type="dxa"/>
            <w:tcBorders>
              <w:top w:val="single" w:color="auto" w:sz="2" w:space="0"/>
              <w:left w:val="single" w:color="auto" w:sz="2" w:space="0"/>
              <w:bottom w:val="single" w:color="auto" w:sz="2" w:space="0"/>
              <w:right w:val="single" w:color="auto" w:sz="2" w:space="0"/>
            </w:tcBorders>
            <w:noWrap w:val="0"/>
            <w:vAlign w:val="center"/>
          </w:tcPr>
          <w:p w14:paraId="77189395">
            <w:pPr>
              <w:jc w:val="center"/>
              <w:rPr>
                <w:rFonts w:ascii="Arial"/>
                <w:sz w:val="21"/>
                <w:highlight w:val="none"/>
              </w:rPr>
            </w:pPr>
          </w:p>
        </w:tc>
      </w:tr>
      <w:tr w14:paraId="58AF6C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35" w:hRule="atLeast"/>
        </w:trPr>
        <w:tc>
          <w:tcPr>
            <w:tcW w:w="793" w:type="dxa"/>
            <w:tcBorders>
              <w:top w:val="single" w:color="auto" w:sz="2" w:space="0"/>
              <w:left w:val="single" w:color="auto" w:sz="2" w:space="0"/>
              <w:bottom w:val="single" w:color="auto" w:sz="2" w:space="0"/>
              <w:right w:val="single" w:color="auto" w:sz="2" w:space="0"/>
            </w:tcBorders>
            <w:noWrap w:val="0"/>
            <w:vAlign w:val="top"/>
          </w:tcPr>
          <w:p w14:paraId="40A381A5">
            <w:pPr>
              <w:spacing w:before="60" w:line="203" w:lineRule="auto"/>
              <w:jc w:val="center"/>
              <w:rPr>
                <w:rFonts w:ascii="Arial" w:hAnsi="Arial" w:eastAsia="Arial" w:cs="Arial"/>
                <w:snapToGrid w:val="0"/>
                <w:color w:val="000000"/>
                <w:kern w:val="0"/>
                <w:sz w:val="20"/>
                <w:szCs w:val="20"/>
                <w:highlight w:val="none"/>
                <w:lang w:val="en-US" w:eastAsia="en-US" w:bidi="ar-SA"/>
              </w:rPr>
            </w:pPr>
            <w:r>
              <w:rPr>
                <w:rFonts w:ascii="Arial" w:hAnsi="Arial" w:eastAsia="Arial" w:cs="Arial"/>
                <w:spacing w:val="-7"/>
                <w:sz w:val="20"/>
                <w:szCs w:val="20"/>
                <w:highlight w:val="none"/>
              </w:rPr>
              <w:t>1</w:t>
            </w:r>
            <w:r>
              <w:rPr>
                <w:rFonts w:hint="eastAsia" w:ascii="Arial" w:hAnsi="Arial" w:cs="Arial"/>
                <w:spacing w:val="-7"/>
                <w:sz w:val="20"/>
                <w:szCs w:val="20"/>
                <w:highlight w:val="none"/>
                <w:lang w:val="en-US" w:eastAsia="zh-CN"/>
              </w:rPr>
              <w:t>5</w:t>
            </w:r>
          </w:p>
        </w:tc>
        <w:tc>
          <w:tcPr>
            <w:tcW w:w="7762" w:type="dxa"/>
            <w:tcBorders>
              <w:top w:val="single" w:color="auto" w:sz="2" w:space="0"/>
              <w:left w:val="single" w:color="auto" w:sz="2" w:space="0"/>
              <w:bottom w:val="single" w:color="auto" w:sz="2" w:space="0"/>
              <w:right w:val="single" w:color="auto" w:sz="2" w:space="0"/>
            </w:tcBorders>
            <w:noWrap w:val="0"/>
            <w:vAlign w:val="center"/>
          </w:tcPr>
          <w:p w14:paraId="7FBC28AE">
            <w:pPr>
              <w:pStyle w:val="17"/>
              <w:spacing w:before="2" w:line="266" w:lineRule="exact"/>
              <w:ind w:left="115" w:leftChars="0"/>
              <w:jc w:val="left"/>
              <w:rPr>
                <w:rFonts w:hint="eastAsia" w:eastAsia="宋体"/>
                <w:sz w:val="20"/>
                <w:szCs w:val="20"/>
                <w:highlight w:val="none"/>
                <w:lang w:eastAsia="zh-CN"/>
              </w:rPr>
            </w:pPr>
            <w:r>
              <w:rPr>
                <w:rFonts w:hint="eastAsia"/>
                <w:sz w:val="20"/>
                <w:szCs w:val="20"/>
                <w:highlight w:val="none"/>
              </w:rPr>
              <w:t>潜水电泵上应贴有安全标志</w:t>
            </w:r>
            <w:r>
              <w:rPr>
                <w:rFonts w:hint="eastAsia"/>
                <w:sz w:val="20"/>
                <w:szCs w:val="20"/>
                <w:highlight w:val="none"/>
                <w:lang w:eastAsia="zh-CN"/>
              </w:rPr>
              <w:t>；</w:t>
            </w:r>
          </w:p>
        </w:tc>
        <w:tc>
          <w:tcPr>
            <w:tcW w:w="1063" w:type="dxa"/>
            <w:tcBorders>
              <w:top w:val="single" w:color="auto" w:sz="2" w:space="0"/>
              <w:left w:val="single" w:color="auto" w:sz="2" w:space="0"/>
              <w:bottom w:val="single" w:color="auto" w:sz="2" w:space="0"/>
              <w:right w:val="single" w:color="auto" w:sz="2" w:space="0"/>
            </w:tcBorders>
            <w:noWrap w:val="0"/>
            <w:vAlign w:val="center"/>
          </w:tcPr>
          <w:p w14:paraId="1C0AFE25">
            <w:pPr>
              <w:jc w:val="center"/>
              <w:rPr>
                <w:rFonts w:ascii="Arial"/>
                <w:sz w:val="21"/>
                <w:highlight w:val="none"/>
              </w:rPr>
            </w:pPr>
          </w:p>
        </w:tc>
      </w:tr>
      <w:tr w14:paraId="58D850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37" w:hRule="atLeast"/>
        </w:trPr>
        <w:tc>
          <w:tcPr>
            <w:tcW w:w="793" w:type="dxa"/>
            <w:tcBorders>
              <w:top w:val="single" w:color="auto" w:sz="2" w:space="0"/>
              <w:left w:val="single" w:color="auto" w:sz="2" w:space="0"/>
              <w:bottom w:val="single" w:color="auto" w:sz="2" w:space="0"/>
              <w:right w:val="single" w:color="auto" w:sz="2" w:space="0"/>
            </w:tcBorders>
            <w:noWrap w:val="0"/>
            <w:vAlign w:val="top"/>
          </w:tcPr>
          <w:p w14:paraId="441C1558">
            <w:pPr>
              <w:spacing w:before="61" w:line="203" w:lineRule="auto"/>
              <w:jc w:val="center"/>
              <w:rPr>
                <w:rFonts w:ascii="Arial" w:hAnsi="Arial" w:eastAsia="Arial" w:cs="Arial"/>
                <w:snapToGrid w:val="0"/>
                <w:color w:val="000000"/>
                <w:kern w:val="0"/>
                <w:sz w:val="20"/>
                <w:szCs w:val="20"/>
                <w:highlight w:val="none"/>
                <w:lang w:val="en-US" w:eastAsia="en-US" w:bidi="ar-SA"/>
              </w:rPr>
            </w:pPr>
            <w:r>
              <w:rPr>
                <w:rFonts w:hint="eastAsia" w:eastAsia="宋体" w:cs="Arial"/>
                <w:spacing w:val="-7"/>
                <w:sz w:val="20"/>
                <w:szCs w:val="20"/>
                <w:highlight w:val="none"/>
                <w:lang w:val="en-US" w:eastAsia="zh-CN"/>
              </w:rPr>
              <w:t>1</w:t>
            </w:r>
            <w:r>
              <w:rPr>
                <w:rFonts w:hint="eastAsia" w:cs="Arial"/>
                <w:spacing w:val="-7"/>
                <w:sz w:val="20"/>
                <w:szCs w:val="20"/>
                <w:highlight w:val="none"/>
                <w:lang w:val="en-US" w:eastAsia="zh-CN"/>
              </w:rPr>
              <w:t>6</w:t>
            </w:r>
          </w:p>
        </w:tc>
        <w:tc>
          <w:tcPr>
            <w:tcW w:w="7762" w:type="dxa"/>
            <w:tcBorders>
              <w:top w:val="single" w:color="auto" w:sz="2" w:space="0"/>
              <w:left w:val="single" w:color="auto" w:sz="2" w:space="0"/>
              <w:bottom w:val="single" w:color="auto" w:sz="2" w:space="0"/>
              <w:right w:val="single" w:color="auto" w:sz="2" w:space="0"/>
            </w:tcBorders>
            <w:noWrap w:val="0"/>
            <w:vAlign w:val="center"/>
          </w:tcPr>
          <w:p w14:paraId="55BA4C18">
            <w:pPr>
              <w:pStyle w:val="17"/>
              <w:spacing w:before="2" w:line="264" w:lineRule="exact"/>
              <w:ind w:left="115" w:leftChars="0"/>
              <w:jc w:val="left"/>
              <w:rPr>
                <w:rFonts w:hint="default" w:eastAsia="宋体"/>
                <w:sz w:val="20"/>
                <w:szCs w:val="20"/>
                <w:highlight w:val="none"/>
                <w:lang w:val="en-US" w:eastAsia="zh-CN"/>
              </w:rPr>
            </w:pPr>
            <w:r>
              <w:rPr>
                <w:rFonts w:hint="eastAsia"/>
                <w:sz w:val="20"/>
                <w:szCs w:val="20"/>
                <w:highlight w:val="none"/>
                <w:lang w:eastAsia="zh-CN"/>
              </w:rPr>
              <w:t>温升限值：</w:t>
            </w:r>
            <w:r>
              <w:rPr>
                <w:rFonts w:ascii="Arial" w:hAnsi="Arial" w:eastAsia="Arial" w:cs="Arial"/>
                <w:spacing w:val="7"/>
                <w:sz w:val="20"/>
                <w:szCs w:val="20"/>
                <w:highlight w:val="none"/>
              </w:rPr>
              <w:t>≤</w:t>
            </w:r>
            <w:r>
              <w:rPr>
                <w:rFonts w:hint="eastAsia" w:ascii="Arial" w:hAnsi="Arial" w:cs="Arial"/>
                <w:spacing w:val="7"/>
                <w:sz w:val="20"/>
                <w:szCs w:val="20"/>
                <w:highlight w:val="none"/>
                <w:lang w:val="en-US" w:eastAsia="zh-CN"/>
              </w:rPr>
              <w:t>25K；</w:t>
            </w:r>
          </w:p>
        </w:tc>
        <w:tc>
          <w:tcPr>
            <w:tcW w:w="1063" w:type="dxa"/>
            <w:tcBorders>
              <w:top w:val="single" w:color="auto" w:sz="2" w:space="0"/>
              <w:left w:val="single" w:color="auto" w:sz="2" w:space="0"/>
              <w:bottom w:val="single" w:color="auto" w:sz="2" w:space="0"/>
              <w:right w:val="single" w:color="auto" w:sz="2" w:space="0"/>
            </w:tcBorders>
            <w:noWrap w:val="0"/>
            <w:vAlign w:val="center"/>
          </w:tcPr>
          <w:p w14:paraId="1058CBA1">
            <w:pPr>
              <w:jc w:val="center"/>
              <w:rPr>
                <w:rFonts w:ascii="Arial"/>
                <w:sz w:val="21"/>
                <w:highlight w:val="none"/>
              </w:rPr>
            </w:pPr>
          </w:p>
        </w:tc>
      </w:tr>
      <w:tr w14:paraId="2E7F56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34" w:hRule="atLeast"/>
        </w:trPr>
        <w:tc>
          <w:tcPr>
            <w:tcW w:w="793" w:type="dxa"/>
            <w:tcBorders>
              <w:top w:val="single" w:color="auto" w:sz="2" w:space="0"/>
              <w:left w:val="single" w:color="auto" w:sz="2" w:space="0"/>
              <w:bottom w:val="single" w:color="auto" w:sz="2" w:space="0"/>
              <w:right w:val="single" w:color="auto" w:sz="2" w:space="0"/>
            </w:tcBorders>
            <w:noWrap w:val="0"/>
            <w:vAlign w:val="top"/>
          </w:tcPr>
          <w:p w14:paraId="74F83A66">
            <w:pPr>
              <w:spacing w:before="59" w:line="203" w:lineRule="auto"/>
              <w:jc w:val="center"/>
              <w:rPr>
                <w:rFonts w:hint="default" w:ascii="Arial" w:hAnsi="Arial" w:eastAsia="宋体" w:cs="Arial"/>
                <w:snapToGrid w:val="0"/>
                <w:color w:val="000000"/>
                <w:spacing w:val="-7"/>
                <w:kern w:val="0"/>
                <w:sz w:val="20"/>
                <w:szCs w:val="20"/>
                <w:highlight w:val="none"/>
                <w:lang w:val="en-US" w:eastAsia="zh-CN" w:bidi="ar-SA"/>
              </w:rPr>
            </w:pPr>
            <w:r>
              <w:rPr>
                <w:rFonts w:ascii="Arial" w:hAnsi="Arial" w:eastAsia="Arial" w:cs="Arial"/>
                <w:spacing w:val="-7"/>
                <w:sz w:val="20"/>
                <w:szCs w:val="20"/>
                <w:highlight w:val="none"/>
              </w:rPr>
              <w:t>1</w:t>
            </w:r>
            <w:r>
              <w:rPr>
                <w:rFonts w:hint="eastAsia" w:ascii="Arial" w:hAnsi="Arial" w:cs="Arial"/>
                <w:spacing w:val="-7"/>
                <w:sz w:val="20"/>
                <w:szCs w:val="20"/>
                <w:highlight w:val="none"/>
                <w:lang w:val="en-US" w:eastAsia="zh-CN"/>
              </w:rPr>
              <w:t>7</w:t>
            </w:r>
          </w:p>
        </w:tc>
        <w:tc>
          <w:tcPr>
            <w:tcW w:w="7762" w:type="dxa"/>
            <w:tcBorders>
              <w:top w:val="single" w:color="auto" w:sz="2" w:space="0"/>
              <w:left w:val="single" w:color="auto" w:sz="2" w:space="0"/>
              <w:bottom w:val="single" w:color="auto" w:sz="2" w:space="0"/>
              <w:right w:val="single" w:color="auto" w:sz="2" w:space="0"/>
            </w:tcBorders>
            <w:noWrap w:val="0"/>
            <w:vAlign w:val="center"/>
          </w:tcPr>
          <w:p w14:paraId="3E6B143B">
            <w:pPr>
              <w:pStyle w:val="17"/>
              <w:spacing w:before="2" w:line="264" w:lineRule="exact"/>
              <w:ind w:left="115" w:leftChars="0"/>
              <w:jc w:val="left"/>
              <w:rPr>
                <w:rFonts w:hint="eastAsia" w:eastAsia="宋体"/>
                <w:sz w:val="20"/>
                <w:szCs w:val="20"/>
                <w:highlight w:val="none"/>
                <w:lang w:eastAsia="zh-CN"/>
              </w:rPr>
            </w:pPr>
            <w:r>
              <w:rPr>
                <w:rFonts w:hint="eastAsia"/>
                <w:sz w:val="20"/>
                <w:szCs w:val="20"/>
                <w:highlight w:val="none"/>
              </w:rPr>
              <w:t>标牌应牢靠、标牌材料及数据刻印方法应保证使用期内不易磨灭</w:t>
            </w:r>
            <w:r>
              <w:rPr>
                <w:rFonts w:hint="eastAsia"/>
                <w:sz w:val="20"/>
                <w:szCs w:val="20"/>
                <w:highlight w:val="none"/>
                <w:lang w:eastAsia="zh-CN"/>
              </w:rPr>
              <w:t>；</w:t>
            </w:r>
          </w:p>
        </w:tc>
        <w:tc>
          <w:tcPr>
            <w:tcW w:w="1063" w:type="dxa"/>
            <w:tcBorders>
              <w:top w:val="single" w:color="auto" w:sz="2" w:space="0"/>
              <w:left w:val="single" w:color="auto" w:sz="2" w:space="0"/>
              <w:bottom w:val="single" w:color="auto" w:sz="2" w:space="0"/>
              <w:right w:val="single" w:color="auto" w:sz="2" w:space="0"/>
            </w:tcBorders>
            <w:noWrap w:val="0"/>
            <w:vAlign w:val="center"/>
          </w:tcPr>
          <w:p w14:paraId="25A71B8E">
            <w:pPr>
              <w:jc w:val="center"/>
              <w:rPr>
                <w:rFonts w:ascii="Arial"/>
                <w:sz w:val="21"/>
                <w:highlight w:val="none"/>
              </w:rPr>
            </w:pPr>
          </w:p>
        </w:tc>
      </w:tr>
    </w:tbl>
    <w:p w14:paraId="305154DC">
      <w:pPr>
        <w:pStyle w:val="3"/>
        <w:bidi w:val="0"/>
        <w:jc w:val="center"/>
        <w:outlineLvl w:val="0"/>
        <w:rPr>
          <w:rFonts w:hint="eastAsia"/>
          <w:color w:val="auto"/>
          <w:highlight w:val="none"/>
        </w:rPr>
      </w:pPr>
      <w:bookmarkStart w:id="193" w:name="_Toc20992"/>
    </w:p>
    <w:p w14:paraId="5256FA23">
      <w:pPr>
        <w:rPr>
          <w:rFonts w:hint="eastAsia"/>
          <w:color w:val="auto"/>
          <w:highlight w:val="none"/>
        </w:rPr>
      </w:pPr>
    </w:p>
    <w:p w14:paraId="6E5CF1A5">
      <w:pPr>
        <w:rPr>
          <w:rFonts w:hint="eastAsia"/>
          <w:color w:val="auto"/>
          <w:highlight w:val="none"/>
        </w:rPr>
      </w:pPr>
    </w:p>
    <w:p w14:paraId="100B79BB">
      <w:pPr>
        <w:rPr>
          <w:rFonts w:hint="eastAsia"/>
          <w:color w:val="auto"/>
          <w:highlight w:val="none"/>
        </w:rPr>
      </w:pPr>
    </w:p>
    <w:p w14:paraId="09A3A2CF">
      <w:pPr>
        <w:rPr>
          <w:rFonts w:hint="eastAsia"/>
          <w:color w:val="auto"/>
          <w:highlight w:val="none"/>
        </w:rPr>
      </w:pPr>
    </w:p>
    <w:p w14:paraId="4BE22A20">
      <w:pPr>
        <w:rPr>
          <w:rFonts w:hint="eastAsia"/>
          <w:color w:val="auto"/>
          <w:highlight w:val="none"/>
        </w:rPr>
      </w:pPr>
    </w:p>
    <w:p w14:paraId="7A873284">
      <w:pPr>
        <w:rPr>
          <w:rFonts w:hint="eastAsia"/>
          <w:color w:val="auto"/>
          <w:highlight w:val="none"/>
        </w:rPr>
      </w:pPr>
    </w:p>
    <w:p w14:paraId="124AB502">
      <w:pPr>
        <w:rPr>
          <w:rFonts w:hint="eastAsia"/>
          <w:color w:val="auto"/>
          <w:highlight w:val="none"/>
        </w:rPr>
      </w:pPr>
    </w:p>
    <w:p w14:paraId="342EDA04">
      <w:pPr>
        <w:rPr>
          <w:rFonts w:hint="eastAsia"/>
          <w:color w:val="auto"/>
          <w:highlight w:val="none"/>
        </w:rPr>
      </w:pPr>
    </w:p>
    <w:p w14:paraId="216BC31E">
      <w:pPr>
        <w:rPr>
          <w:rFonts w:hint="eastAsia"/>
          <w:color w:val="auto"/>
          <w:highlight w:val="none"/>
        </w:rPr>
      </w:pPr>
    </w:p>
    <w:p w14:paraId="0E46DFC5">
      <w:pPr>
        <w:rPr>
          <w:rFonts w:hint="eastAsia"/>
          <w:color w:val="auto"/>
          <w:highlight w:val="none"/>
        </w:rPr>
      </w:pPr>
    </w:p>
    <w:p w14:paraId="5D45DEA0">
      <w:pPr>
        <w:rPr>
          <w:rFonts w:hint="eastAsia"/>
          <w:color w:val="auto"/>
          <w:highlight w:val="none"/>
        </w:rPr>
      </w:pPr>
    </w:p>
    <w:p w14:paraId="068E2C90">
      <w:pPr>
        <w:pStyle w:val="3"/>
        <w:bidi w:val="0"/>
        <w:jc w:val="center"/>
        <w:outlineLvl w:val="0"/>
        <w:rPr>
          <w:rFonts w:hint="eastAsia"/>
          <w:color w:val="auto"/>
          <w:highlight w:val="none"/>
        </w:rPr>
      </w:pPr>
    </w:p>
    <w:p w14:paraId="6B24AE1E">
      <w:pPr>
        <w:pStyle w:val="3"/>
        <w:bidi w:val="0"/>
        <w:jc w:val="center"/>
        <w:outlineLvl w:val="0"/>
        <w:rPr>
          <w:color w:val="auto"/>
          <w:highlight w:val="none"/>
        </w:rPr>
      </w:pPr>
      <w:r>
        <w:rPr>
          <w:rFonts w:hint="eastAsia"/>
          <w:color w:val="auto"/>
          <w:highlight w:val="none"/>
        </w:rPr>
        <w:t>第六章  响应性文件格式</w:t>
      </w:r>
      <w:bookmarkEnd w:id="193"/>
    </w:p>
    <w:p w14:paraId="28C0A1C4">
      <w:pPr>
        <w:widowControl/>
        <w:ind w:firstLine="360"/>
        <w:jc w:val="center"/>
        <w:rPr>
          <w:rFonts w:ascii="宋体" w:hAnsi="宋体" w:eastAsia="宋体" w:cs="宋体"/>
          <w:b/>
          <w:color w:val="auto"/>
          <w:kern w:val="0"/>
          <w:sz w:val="24"/>
          <w:highlight w:val="none"/>
        </w:rPr>
      </w:pPr>
      <w:bookmarkStart w:id="194" w:name="_Toc528078066"/>
      <w:bookmarkEnd w:id="194"/>
      <w:bookmarkStart w:id="195" w:name="_Toc394651921"/>
      <w:bookmarkEnd w:id="195"/>
      <w:bookmarkStart w:id="196" w:name="_Toc27687"/>
      <w:bookmarkEnd w:id="196"/>
      <w:bookmarkStart w:id="197" w:name="_Toc19996"/>
    </w:p>
    <w:p w14:paraId="5161D878">
      <w:pPr>
        <w:widowControl/>
        <w:ind w:firstLine="360"/>
        <w:jc w:val="center"/>
        <w:rPr>
          <w:rFonts w:ascii="宋体" w:hAnsi="宋体" w:eastAsia="宋体" w:cs="宋体"/>
          <w:b/>
          <w:color w:val="auto"/>
          <w:kern w:val="0"/>
          <w:sz w:val="24"/>
          <w:highlight w:val="none"/>
        </w:rPr>
      </w:pPr>
    </w:p>
    <w:p w14:paraId="05D7D525">
      <w:pPr>
        <w:widowControl/>
        <w:ind w:firstLine="360"/>
        <w:jc w:val="center"/>
        <w:rPr>
          <w:rFonts w:ascii="宋体" w:hAnsi="宋体" w:eastAsia="宋体" w:cs="宋体"/>
          <w:b/>
          <w:color w:val="auto"/>
          <w:kern w:val="0"/>
          <w:sz w:val="24"/>
          <w:highlight w:val="none"/>
        </w:rPr>
      </w:pPr>
    </w:p>
    <w:p w14:paraId="024A066C">
      <w:pPr>
        <w:widowControl/>
        <w:ind w:firstLine="360"/>
        <w:jc w:val="center"/>
        <w:rPr>
          <w:rFonts w:ascii="宋体" w:hAnsi="宋体" w:eastAsia="宋体" w:cs="宋体"/>
          <w:b/>
          <w:color w:val="auto"/>
          <w:kern w:val="0"/>
          <w:sz w:val="24"/>
          <w:highlight w:val="none"/>
          <w:u w:val="single"/>
        </w:rPr>
      </w:pPr>
    </w:p>
    <w:p w14:paraId="0759767D">
      <w:pPr>
        <w:widowControl/>
        <w:ind w:firstLine="360"/>
        <w:jc w:val="center"/>
        <w:rPr>
          <w:rFonts w:ascii="宋体" w:hAnsi="宋体" w:eastAsia="宋体" w:cs="宋体"/>
          <w:b/>
          <w:color w:val="auto"/>
          <w:kern w:val="0"/>
          <w:sz w:val="24"/>
          <w:highlight w:val="none"/>
        </w:rPr>
      </w:pPr>
      <w:r>
        <w:rPr>
          <w:rFonts w:hint="eastAsia" w:ascii="宋体" w:hAnsi="宋体" w:eastAsia="宋体" w:cs="宋体"/>
          <w:b/>
          <w:color w:val="auto"/>
          <w:kern w:val="0"/>
          <w:sz w:val="24"/>
          <w:highlight w:val="none"/>
          <w:u w:val="single"/>
        </w:rPr>
        <w:t xml:space="preserve">                     </w:t>
      </w:r>
      <w:r>
        <w:rPr>
          <w:rFonts w:hint="eastAsia" w:ascii="宋体" w:hAnsi="宋体" w:eastAsia="宋体" w:cs="宋体"/>
          <w:b/>
          <w:color w:val="auto"/>
          <w:kern w:val="0"/>
          <w:sz w:val="24"/>
          <w:highlight w:val="none"/>
        </w:rPr>
        <w:t>（项目名称）</w:t>
      </w:r>
    </w:p>
    <w:p w14:paraId="60BC039F">
      <w:pPr>
        <w:widowControl/>
        <w:ind w:firstLine="360"/>
        <w:jc w:val="center"/>
        <w:rPr>
          <w:rFonts w:ascii="宋体" w:hAnsi="宋体" w:eastAsia="宋体" w:cs="宋体"/>
          <w:b/>
          <w:color w:val="auto"/>
          <w:kern w:val="0"/>
          <w:sz w:val="24"/>
          <w:highlight w:val="none"/>
        </w:rPr>
      </w:pPr>
    </w:p>
    <w:p w14:paraId="67BDF819">
      <w:pPr>
        <w:widowControl/>
        <w:ind w:firstLine="3132" w:firstLineChars="1300"/>
        <w:jc w:val="left"/>
        <w:rPr>
          <w:rFonts w:ascii="宋体" w:hAnsi="宋体" w:eastAsia="宋体" w:cs="宋体"/>
          <w:b/>
          <w:color w:val="auto"/>
          <w:kern w:val="0"/>
          <w:sz w:val="24"/>
          <w:highlight w:val="none"/>
        </w:rPr>
      </w:pPr>
      <w:r>
        <w:rPr>
          <w:rFonts w:hint="eastAsia" w:ascii="宋体" w:hAnsi="宋体" w:eastAsia="宋体" w:cs="宋体"/>
          <w:b/>
          <w:color w:val="auto"/>
          <w:kern w:val="0"/>
          <w:sz w:val="24"/>
          <w:highlight w:val="none"/>
        </w:rPr>
        <w:t>项目编号：</w:t>
      </w:r>
    </w:p>
    <w:p w14:paraId="0A03BB1B">
      <w:pPr>
        <w:widowControl/>
        <w:ind w:firstLine="360"/>
        <w:jc w:val="center"/>
        <w:rPr>
          <w:rFonts w:ascii="宋体" w:hAnsi="宋体" w:eastAsia="宋体" w:cs="宋体"/>
          <w:b/>
          <w:color w:val="auto"/>
          <w:kern w:val="0"/>
          <w:sz w:val="24"/>
          <w:highlight w:val="none"/>
        </w:rPr>
      </w:pPr>
    </w:p>
    <w:p w14:paraId="362ACEF5">
      <w:pPr>
        <w:widowControl/>
        <w:ind w:firstLine="360"/>
        <w:jc w:val="center"/>
        <w:rPr>
          <w:rFonts w:ascii="宋体" w:hAnsi="宋体" w:eastAsia="宋体" w:cs="宋体"/>
          <w:b/>
          <w:color w:val="auto"/>
          <w:kern w:val="0"/>
          <w:sz w:val="24"/>
          <w:highlight w:val="none"/>
        </w:rPr>
      </w:pPr>
    </w:p>
    <w:p w14:paraId="077BA882">
      <w:pPr>
        <w:widowControl/>
        <w:ind w:firstLine="360"/>
        <w:jc w:val="center"/>
        <w:rPr>
          <w:rFonts w:ascii="宋体" w:hAnsi="宋体" w:eastAsia="宋体" w:cs="宋体"/>
          <w:b/>
          <w:color w:val="auto"/>
          <w:kern w:val="0"/>
          <w:sz w:val="24"/>
          <w:highlight w:val="none"/>
        </w:rPr>
      </w:pPr>
    </w:p>
    <w:p w14:paraId="5153E7E6">
      <w:pPr>
        <w:widowControl/>
        <w:ind w:firstLine="360"/>
        <w:jc w:val="center"/>
        <w:rPr>
          <w:rFonts w:ascii="宋体" w:hAnsi="宋体" w:eastAsia="宋体" w:cs="宋体"/>
          <w:b/>
          <w:color w:val="auto"/>
          <w:kern w:val="0"/>
          <w:sz w:val="24"/>
          <w:highlight w:val="none"/>
        </w:rPr>
      </w:pPr>
    </w:p>
    <w:p w14:paraId="7F0CD5B7">
      <w:pPr>
        <w:widowControl/>
        <w:ind w:firstLine="360"/>
        <w:jc w:val="center"/>
        <w:rPr>
          <w:rFonts w:ascii="宋体" w:hAnsi="宋体" w:eastAsia="宋体" w:cs="宋体"/>
          <w:b/>
          <w:color w:val="auto"/>
          <w:kern w:val="0"/>
          <w:sz w:val="24"/>
          <w:highlight w:val="none"/>
        </w:rPr>
      </w:pPr>
    </w:p>
    <w:p w14:paraId="364E4AAC">
      <w:pPr>
        <w:widowControl/>
        <w:ind w:firstLine="360"/>
        <w:jc w:val="center"/>
        <w:rPr>
          <w:rFonts w:ascii="宋体" w:hAnsi="宋体" w:eastAsia="宋体" w:cs="宋体"/>
          <w:b/>
          <w:color w:val="auto"/>
          <w:kern w:val="0"/>
          <w:sz w:val="28"/>
          <w:szCs w:val="24"/>
          <w:highlight w:val="none"/>
        </w:rPr>
      </w:pPr>
    </w:p>
    <w:p w14:paraId="5A90D98D">
      <w:pPr>
        <w:widowControl/>
        <w:ind w:firstLine="360"/>
        <w:jc w:val="center"/>
        <w:rPr>
          <w:rFonts w:ascii="宋体" w:hAnsi="宋体" w:eastAsia="宋体" w:cs="宋体"/>
          <w:b/>
          <w:color w:val="auto"/>
          <w:kern w:val="0"/>
          <w:sz w:val="72"/>
          <w:szCs w:val="72"/>
          <w:highlight w:val="none"/>
        </w:rPr>
      </w:pPr>
      <w:r>
        <w:rPr>
          <w:rFonts w:hint="eastAsia" w:ascii="宋体" w:hAnsi="宋体" w:eastAsia="宋体" w:cs="宋体"/>
          <w:b/>
          <w:color w:val="auto"/>
          <w:kern w:val="0"/>
          <w:sz w:val="72"/>
          <w:szCs w:val="72"/>
          <w:highlight w:val="none"/>
        </w:rPr>
        <w:t>响</w:t>
      </w:r>
      <w:r>
        <w:rPr>
          <w:rFonts w:hint="eastAsia" w:ascii="宋体" w:hAnsi="宋体" w:eastAsia="宋体" w:cs="宋体"/>
          <w:b/>
          <w:color w:val="auto"/>
          <w:kern w:val="0"/>
          <w:sz w:val="72"/>
          <w:szCs w:val="72"/>
          <w:highlight w:val="none"/>
          <w:lang w:val="en-US" w:eastAsia="zh-CN"/>
        </w:rPr>
        <w:t xml:space="preserve"> </w:t>
      </w:r>
      <w:r>
        <w:rPr>
          <w:rFonts w:hint="eastAsia" w:ascii="宋体" w:hAnsi="宋体" w:eastAsia="宋体" w:cs="宋体"/>
          <w:b/>
          <w:color w:val="auto"/>
          <w:kern w:val="0"/>
          <w:sz w:val="72"/>
          <w:szCs w:val="72"/>
          <w:highlight w:val="none"/>
        </w:rPr>
        <w:t>应</w:t>
      </w:r>
      <w:r>
        <w:rPr>
          <w:rFonts w:hint="eastAsia" w:ascii="宋体" w:hAnsi="宋体" w:eastAsia="宋体" w:cs="宋体"/>
          <w:b/>
          <w:color w:val="auto"/>
          <w:kern w:val="0"/>
          <w:sz w:val="72"/>
          <w:szCs w:val="72"/>
          <w:highlight w:val="none"/>
          <w:lang w:val="en-US" w:eastAsia="zh-CN"/>
        </w:rPr>
        <w:t xml:space="preserve"> </w:t>
      </w:r>
      <w:r>
        <w:rPr>
          <w:rFonts w:hint="eastAsia" w:ascii="宋体" w:hAnsi="宋体" w:eastAsia="宋体" w:cs="宋体"/>
          <w:b/>
          <w:color w:val="auto"/>
          <w:kern w:val="0"/>
          <w:sz w:val="72"/>
          <w:szCs w:val="72"/>
          <w:highlight w:val="none"/>
        </w:rPr>
        <w:t>性</w:t>
      </w:r>
      <w:r>
        <w:rPr>
          <w:rFonts w:hint="eastAsia" w:ascii="宋体" w:hAnsi="宋体" w:eastAsia="宋体" w:cs="宋体"/>
          <w:b/>
          <w:color w:val="auto"/>
          <w:kern w:val="0"/>
          <w:sz w:val="72"/>
          <w:szCs w:val="72"/>
          <w:highlight w:val="none"/>
          <w:lang w:val="en-US" w:eastAsia="zh-CN"/>
        </w:rPr>
        <w:t xml:space="preserve"> </w:t>
      </w:r>
      <w:r>
        <w:rPr>
          <w:rFonts w:hint="eastAsia" w:ascii="宋体" w:hAnsi="宋体" w:eastAsia="宋体" w:cs="宋体"/>
          <w:b/>
          <w:color w:val="auto"/>
          <w:kern w:val="0"/>
          <w:sz w:val="72"/>
          <w:szCs w:val="72"/>
          <w:highlight w:val="none"/>
        </w:rPr>
        <w:t>文</w:t>
      </w:r>
      <w:r>
        <w:rPr>
          <w:rFonts w:hint="eastAsia" w:ascii="宋体" w:hAnsi="宋体" w:eastAsia="宋体" w:cs="宋体"/>
          <w:b/>
          <w:color w:val="auto"/>
          <w:kern w:val="0"/>
          <w:sz w:val="72"/>
          <w:szCs w:val="72"/>
          <w:highlight w:val="none"/>
          <w:lang w:val="en-US" w:eastAsia="zh-CN"/>
        </w:rPr>
        <w:t xml:space="preserve"> </w:t>
      </w:r>
      <w:r>
        <w:rPr>
          <w:rFonts w:hint="eastAsia" w:ascii="宋体" w:hAnsi="宋体" w:eastAsia="宋体" w:cs="宋体"/>
          <w:b/>
          <w:color w:val="auto"/>
          <w:kern w:val="0"/>
          <w:sz w:val="72"/>
          <w:szCs w:val="72"/>
          <w:highlight w:val="none"/>
        </w:rPr>
        <w:t>件</w:t>
      </w:r>
    </w:p>
    <w:p w14:paraId="693F13D7">
      <w:pPr>
        <w:widowControl/>
        <w:ind w:firstLine="360"/>
        <w:jc w:val="center"/>
        <w:rPr>
          <w:rFonts w:ascii="宋体" w:hAnsi="宋体" w:eastAsia="宋体" w:cs="宋体"/>
          <w:b/>
          <w:color w:val="auto"/>
          <w:kern w:val="0"/>
          <w:sz w:val="24"/>
          <w:highlight w:val="none"/>
        </w:rPr>
      </w:pPr>
    </w:p>
    <w:p w14:paraId="02671F5D">
      <w:pPr>
        <w:widowControl/>
        <w:spacing w:line="360" w:lineRule="auto"/>
        <w:ind w:firstLine="840" w:firstLineChars="350"/>
        <w:jc w:val="left"/>
        <w:rPr>
          <w:rFonts w:ascii="Calibri" w:hAnsi="Calibri" w:eastAsia="宋体" w:cs="Times New Roman"/>
          <w:color w:val="auto"/>
          <w:kern w:val="0"/>
          <w:sz w:val="24"/>
          <w:highlight w:val="none"/>
        </w:rPr>
      </w:pPr>
    </w:p>
    <w:p w14:paraId="01D0F9E8">
      <w:pPr>
        <w:widowControl/>
        <w:spacing w:line="360" w:lineRule="auto"/>
        <w:ind w:firstLine="840" w:firstLineChars="350"/>
        <w:jc w:val="left"/>
        <w:rPr>
          <w:rFonts w:ascii="Calibri" w:hAnsi="Calibri" w:eastAsia="宋体" w:cs="Times New Roman"/>
          <w:color w:val="auto"/>
          <w:kern w:val="0"/>
          <w:sz w:val="24"/>
          <w:highlight w:val="none"/>
        </w:rPr>
      </w:pPr>
    </w:p>
    <w:p w14:paraId="2765E494">
      <w:pPr>
        <w:widowControl/>
        <w:spacing w:line="360" w:lineRule="auto"/>
        <w:ind w:firstLine="840" w:firstLineChars="350"/>
        <w:jc w:val="left"/>
        <w:rPr>
          <w:rFonts w:ascii="Calibri" w:hAnsi="Calibri" w:eastAsia="宋体" w:cs="Times New Roman"/>
          <w:color w:val="auto"/>
          <w:kern w:val="0"/>
          <w:sz w:val="24"/>
          <w:highlight w:val="none"/>
        </w:rPr>
      </w:pPr>
    </w:p>
    <w:p w14:paraId="6593D0E9">
      <w:pPr>
        <w:widowControl/>
        <w:spacing w:line="360" w:lineRule="auto"/>
        <w:ind w:firstLine="840" w:firstLineChars="350"/>
        <w:jc w:val="left"/>
        <w:rPr>
          <w:rFonts w:ascii="Calibri" w:hAnsi="Calibri" w:eastAsia="宋体" w:cs="Times New Roman"/>
          <w:color w:val="auto"/>
          <w:kern w:val="0"/>
          <w:sz w:val="24"/>
          <w:highlight w:val="none"/>
        </w:rPr>
      </w:pPr>
    </w:p>
    <w:p w14:paraId="20117226">
      <w:pPr>
        <w:widowControl/>
        <w:spacing w:line="360" w:lineRule="auto"/>
        <w:ind w:firstLine="840" w:firstLineChars="350"/>
        <w:jc w:val="left"/>
        <w:rPr>
          <w:rFonts w:ascii="Calibri" w:hAnsi="Calibri" w:eastAsia="宋体" w:cs="Times New Roman"/>
          <w:color w:val="auto"/>
          <w:kern w:val="0"/>
          <w:sz w:val="24"/>
          <w:highlight w:val="none"/>
        </w:rPr>
      </w:pPr>
    </w:p>
    <w:p w14:paraId="2FCEB351">
      <w:pPr>
        <w:widowControl/>
        <w:spacing w:line="360" w:lineRule="auto"/>
        <w:ind w:firstLine="840" w:firstLineChars="350"/>
        <w:jc w:val="left"/>
        <w:rPr>
          <w:rFonts w:ascii="Calibri" w:hAnsi="Calibri" w:eastAsia="宋体" w:cs="Times New Roman"/>
          <w:color w:val="auto"/>
          <w:kern w:val="0"/>
          <w:sz w:val="24"/>
          <w:highlight w:val="none"/>
        </w:rPr>
      </w:pPr>
    </w:p>
    <w:p w14:paraId="3FC5B4FC">
      <w:pPr>
        <w:widowControl/>
        <w:spacing w:line="360" w:lineRule="auto"/>
        <w:ind w:firstLine="840" w:firstLineChars="350"/>
        <w:jc w:val="left"/>
        <w:rPr>
          <w:rFonts w:ascii="Calibri" w:hAnsi="Calibri" w:eastAsia="宋体" w:cs="Times New Roman"/>
          <w:color w:val="auto"/>
          <w:kern w:val="0"/>
          <w:sz w:val="24"/>
          <w:highlight w:val="none"/>
        </w:rPr>
      </w:pPr>
    </w:p>
    <w:p w14:paraId="67C95CFC">
      <w:pPr>
        <w:widowControl/>
        <w:spacing w:line="360" w:lineRule="auto"/>
        <w:ind w:firstLine="1446" w:firstLineChars="600"/>
        <w:jc w:val="left"/>
        <w:rPr>
          <w:rFonts w:ascii="Calibri" w:hAnsi="Calibri" w:eastAsia="宋体" w:cs="Times New Roman"/>
          <w:b/>
          <w:color w:val="auto"/>
          <w:kern w:val="0"/>
          <w:sz w:val="24"/>
          <w:highlight w:val="none"/>
        </w:rPr>
      </w:pPr>
      <w:r>
        <w:rPr>
          <w:rFonts w:hint="eastAsia" w:ascii="Calibri" w:hAnsi="Calibri" w:eastAsia="宋体" w:cs="Times New Roman"/>
          <w:b/>
          <w:color w:val="auto"/>
          <w:kern w:val="0"/>
          <w:sz w:val="24"/>
          <w:highlight w:val="none"/>
        </w:rPr>
        <w:t>供应商：</w:t>
      </w:r>
      <w:r>
        <w:rPr>
          <w:rFonts w:hint="eastAsia" w:ascii="Calibri" w:hAnsi="Calibri" w:eastAsia="宋体" w:cs="Times New Roman"/>
          <w:b/>
          <w:color w:val="auto"/>
          <w:kern w:val="0"/>
          <w:sz w:val="24"/>
          <w:highlight w:val="none"/>
          <w:u w:val="single"/>
        </w:rPr>
        <w:t xml:space="preserve">                                  </w:t>
      </w:r>
      <w:r>
        <w:rPr>
          <w:rFonts w:hint="eastAsia" w:ascii="Calibri" w:hAnsi="Calibri" w:eastAsia="宋体" w:cs="Times New Roman"/>
          <w:b/>
          <w:color w:val="auto"/>
          <w:kern w:val="0"/>
          <w:sz w:val="24"/>
          <w:highlight w:val="none"/>
        </w:rPr>
        <w:t>（盖单位章）</w:t>
      </w:r>
    </w:p>
    <w:p w14:paraId="713000AA">
      <w:pPr>
        <w:widowControl/>
        <w:spacing w:line="360" w:lineRule="auto"/>
        <w:ind w:firstLine="1446" w:firstLineChars="600"/>
        <w:jc w:val="left"/>
        <w:rPr>
          <w:rFonts w:ascii="Calibri" w:hAnsi="Calibri" w:eastAsia="宋体" w:cs="Times New Roman"/>
          <w:b/>
          <w:color w:val="auto"/>
          <w:kern w:val="0"/>
          <w:sz w:val="24"/>
          <w:highlight w:val="none"/>
        </w:rPr>
      </w:pPr>
      <w:r>
        <w:rPr>
          <w:rFonts w:hint="eastAsia" w:ascii="Calibri" w:hAnsi="Calibri" w:eastAsia="宋体" w:cs="Times New Roman"/>
          <w:b/>
          <w:color w:val="auto"/>
          <w:kern w:val="0"/>
          <w:sz w:val="24"/>
          <w:highlight w:val="none"/>
        </w:rPr>
        <w:t>法定代表人：</w:t>
      </w:r>
      <w:r>
        <w:rPr>
          <w:rFonts w:hint="eastAsia" w:ascii="Calibri" w:hAnsi="Calibri" w:eastAsia="宋体" w:cs="Times New Roman"/>
          <w:b/>
          <w:color w:val="auto"/>
          <w:kern w:val="0"/>
          <w:sz w:val="24"/>
          <w:highlight w:val="none"/>
          <w:u w:val="single"/>
        </w:rPr>
        <w:t xml:space="preserve">                </w:t>
      </w:r>
      <w:r>
        <w:rPr>
          <w:rFonts w:hint="eastAsia" w:ascii="Calibri" w:hAnsi="Calibri" w:eastAsia="宋体" w:cs="Times New Roman"/>
          <w:b/>
          <w:color w:val="auto"/>
          <w:kern w:val="0"/>
          <w:sz w:val="24"/>
          <w:highlight w:val="none"/>
        </w:rPr>
        <w:t>（电子签章）</w:t>
      </w:r>
    </w:p>
    <w:p w14:paraId="41ED541A">
      <w:pPr>
        <w:widowControl/>
        <w:spacing w:line="360" w:lineRule="auto"/>
        <w:ind w:firstLine="843" w:firstLineChars="350"/>
        <w:jc w:val="left"/>
        <w:rPr>
          <w:rFonts w:ascii="Calibri" w:hAnsi="Calibri" w:eastAsia="宋体" w:cs="Times New Roman"/>
          <w:b/>
          <w:color w:val="auto"/>
          <w:kern w:val="0"/>
          <w:sz w:val="24"/>
          <w:highlight w:val="none"/>
        </w:rPr>
      </w:pPr>
      <w:r>
        <w:rPr>
          <w:rFonts w:hint="eastAsia" w:ascii="Calibri" w:hAnsi="Calibri" w:eastAsia="宋体" w:cs="Times New Roman"/>
          <w:b/>
          <w:color w:val="auto"/>
          <w:kern w:val="0"/>
          <w:sz w:val="24"/>
          <w:highlight w:val="none"/>
        </w:rPr>
        <w:t xml:space="preserve">        </w:t>
      </w:r>
      <w:r>
        <w:rPr>
          <w:rFonts w:hint="eastAsia" w:ascii="Calibri" w:hAnsi="Calibri" w:eastAsia="宋体" w:cs="Times New Roman"/>
          <w:b/>
          <w:color w:val="auto"/>
          <w:kern w:val="0"/>
          <w:sz w:val="24"/>
          <w:highlight w:val="none"/>
          <w:u w:val="single"/>
        </w:rPr>
        <w:t xml:space="preserve">            </w:t>
      </w:r>
      <w:r>
        <w:rPr>
          <w:rFonts w:hint="eastAsia" w:ascii="Calibri" w:hAnsi="Calibri" w:eastAsia="宋体" w:cs="Times New Roman"/>
          <w:b/>
          <w:color w:val="auto"/>
          <w:kern w:val="0"/>
          <w:sz w:val="24"/>
          <w:highlight w:val="none"/>
        </w:rPr>
        <w:t xml:space="preserve"> 年</w:t>
      </w:r>
      <w:r>
        <w:rPr>
          <w:rFonts w:hint="eastAsia" w:ascii="Calibri" w:hAnsi="Calibri" w:eastAsia="宋体" w:cs="Times New Roman"/>
          <w:b/>
          <w:color w:val="auto"/>
          <w:kern w:val="0"/>
          <w:sz w:val="24"/>
          <w:highlight w:val="none"/>
          <w:u w:val="single"/>
        </w:rPr>
        <w:t xml:space="preserve">        </w:t>
      </w:r>
      <w:r>
        <w:rPr>
          <w:rFonts w:hint="eastAsia" w:ascii="Calibri" w:hAnsi="Calibri" w:eastAsia="宋体" w:cs="Times New Roman"/>
          <w:b/>
          <w:color w:val="auto"/>
          <w:kern w:val="0"/>
          <w:sz w:val="24"/>
          <w:highlight w:val="none"/>
        </w:rPr>
        <w:t xml:space="preserve">月 </w:t>
      </w:r>
      <w:r>
        <w:rPr>
          <w:rFonts w:hint="eastAsia" w:ascii="Calibri" w:hAnsi="Calibri" w:eastAsia="宋体" w:cs="Times New Roman"/>
          <w:b/>
          <w:color w:val="auto"/>
          <w:kern w:val="0"/>
          <w:sz w:val="24"/>
          <w:highlight w:val="none"/>
          <w:u w:val="single"/>
        </w:rPr>
        <w:t xml:space="preserve">       </w:t>
      </w:r>
      <w:r>
        <w:rPr>
          <w:rFonts w:hint="eastAsia" w:ascii="Calibri" w:hAnsi="Calibri" w:eastAsia="宋体" w:cs="Times New Roman"/>
          <w:b/>
          <w:color w:val="auto"/>
          <w:kern w:val="0"/>
          <w:sz w:val="24"/>
          <w:highlight w:val="none"/>
        </w:rPr>
        <w:t>日</w:t>
      </w:r>
    </w:p>
    <w:p w14:paraId="015C48A7">
      <w:pPr>
        <w:widowControl/>
        <w:jc w:val="left"/>
        <w:rPr>
          <w:rFonts w:asciiTheme="minorEastAsia" w:hAnsiTheme="minorEastAsia" w:cstheme="minorEastAsia"/>
          <w:b/>
          <w:color w:val="auto"/>
          <w:sz w:val="28"/>
          <w:szCs w:val="28"/>
          <w:highlight w:val="none"/>
        </w:rPr>
      </w:pPr>
      <w:r>
        <w:rPr>
          <w:rFonts w:asciiTheme="minorEastAsia" w:hAnsiTheme="minorEastAsia" w:cstheme="minorEastAsia"/>
          <w:b/>
          <w:color w:val="auto"/>
          <w:sz w:val="28"/>
          <w:szCs w:val="28"/>
          <w:highlight w:val="none"/>
        </w:rPr>
        <w:br w:type="page"/>
      </w:r>
    </w:p>
    <w:p w14:paraId="6D215754">
      <w:pPr>
        <w:spacing w:line="560" w:lineRule="exact"/>
        <w:jc w:val="center"/>
        <w:rPr>
          <w:rFonts w:asciiTheme="minorEastAsia" w:hAnsiTheme="minorEastAsia" w:cstheme="minorEastAsia"/>
          <w:b/>
          <w:color w:val="auto"/>
          <w:sz w:val="28"/>
          <w:szCs w:val="28"/>
          <w:highlight w:val="none"/>
        </w:rPr>
      </w:pPr>
      <w:r>
        <w:rPr>
          <w:rFonts w:hint="eastAsia" w:asciiTheme="minorEastAsia" w:hAnsiTheme="minorEastAsia" w:cstheme="minorEastAsia"/>
          <w:b/>
          <w:color w:val="auto"/>
          <w:sz w:val="28"/>
          <w:szCs w:val="28"/>
          <w:highlight w:val="none"/>
        </w:rPr>
        <w:t>目  录</w:t>
      </w:r>
    </w:p>
    <w:p w14:paraId="7F055A92">
      <w:pPr>
        <w:spacing w:line="560" w:lineRule="exact"/>
        <w:jc w:val="center"/>
        <w:rPr>
          <w:rFonts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（自拟）</w:t>
      </w:r>
    </w:p>
    <w:p w14:paraId="5395C7ED">
      <w:pPr>
        <w:spacing w:line="560" w:lineRule="exact"/>
        <w:rPr>
          <w:rFonts w:asciiTheme="minorEastAsia" w:hAnsiTheme="minorEastAsia" w:cstheme="minorEastAsia"/>
          <w:b/>
          <w:color w:val="auto"/>
          <w:sz w:val="28"/>
          <w:szCs w:val="28"/>
          <w:highlight w:val="none"/>
        </w:rPr>
      </w:pPr>
    </w:p>
    <w:p w14:paraId="7973B385">
      <w:pPr>
        <w:widowControl/>
        <w:spacing w:line="560" w:lineRule="exact"/>
        <w:jc w:val="left"/>
        <w:rPr>
          <w:rFonts w:asciiTheme="minorEastAsia" w:hAnsiTheme="minorEastAsia" w:cstheme="minorEastAsia"/>
          <w:b/>
          <w:color w:val="auto"/>
          <w:sz w:val="28"/>
          <w:szCs w:val="28"/>
          <w:highlight w:val="none"/>
        </w:rPr>
      </w:pPr>
      <w:r>
        <w:rPr>
          <w:rFonts w:hint="eastAsia" w:asciiTheme="minorEastAsia" w:hAnsiTheme="minorEastAsia" w:cstheme="minorEastAsia"/>
          <w:bCs/>
          <w:color w:val="auto"/>
          <w:sz w:val="28"/>
          <w:szCs w:val="28"/>
          <w:highlight w:val="none"/>
        </w:rPr>
        <w:br w:type="page"/>
      </w:r>
    </w:p>
    <w:bookmarkEnd w:id="197"/>
    <w:p w14:paraId="78328B64">
      <w:pPr>
        <w:pStyle w:val="3"/>
        <w:jc w:val="center"/>
        <w:rPr>
          <w:color w:val="auto"/>
          <w:highlight w:val="none"/>
        </w:rPr>
      </w:pPr>
      <w:r>
        <w:rPr>
          <w:rFonts w:hint="eastAsia"/>
          <w:color w:val="auto"/>
          <w:highlight w:val="none"/>
        </w:rPr>
        <w:t>一、投标函</w:t>
      </w:r>
      <w:bookmarkStart w:id="198" w:name="_Toc247085875"/>
      <w:bookmarkEnd w:id="198"/>
      <w:bookmarkStart w:id="199" w:name="_Toc144974858"/>
      <w:bookmarkEnd w:id="199"/>
      <w:bookmarkStart w:id="200" w:name="_Toc394651922"/>
      <w:bookmarkEnd w:id="200"/>
      <w:bookmarkStart w:id="201" w:name="_Toc246996357"/>
      <w:bookmarkEnd w:id="201"/>
      <w:bookmarkStart w:id="202" w:name="_Toc152042578"/>
      <w:bookmarkEnd w:id="202"/>
      <w:bookmarkStart w:id="203" w:name="_Toc246997100"/>
      <w:bookmarkEnd w:id="203"/>
      <w:bookmarkStart w:id="204" w:name="_Toc152045789"/>
      <w:bookmarkEnd w:id="204"/>
      <w:bookmarkStart w:id="205" w:name="_Toc19389"/>
      <w:bookmarkEnd w:id="205"/>
      <w:bookmarkStart w:id="206" w:name="_Toc179632809"/>
      <w:bookmarkEnd w:id="206"/>
      <w:r>
        <w:rPr>
          <w:rFonts w:hint="eastAsia"/>
          <w:color w:val="auto"/>
          <w:highlight w:val="none"/>
        </w:rPr>
        <w:t>及投标函附录</w:t>
      </w:r>
    </w:p>
    <w:p w14:paraId="234396E6">
      <w:pPr>
        <w:spacing w:line="560" w:lineRule="exact"/>
        <w:ind w:left="420"/>
        <w:jc w:val="center"/>
        <w:rPr>
          <w:rFonts w:asciiTheme="minorEastAsia" w:hAnsiTheme="minorEastAsia" w:cstheme="minorEastAsia"/>
          <w:b/>
          <w:color w:val="auto"/>
          <w:sz w:val="28"/>
          <w:szCs w:val="28"/>
          <w:highlight w:val="none"/>
        </w:rPr>
      </w:pPr>
      <w:r>
        <w:rPr>
          <w:rFonts w:hint="eastAsia" w:asciiTheme="minorEastAsia" w:hAnsiTheme="minorEastAsia" w:cstheme="minorEastAsia"/>
          <w:b/>
          <w:color w:val="auto"/>
          <w:sz w:val="28"/>
          <w:szCs w:val="28"/>
          <w:highlight w:val="none"/>
        </w:rPr>
        <w:t>（1）投标函</w:t>
      </w:r>
    </w:p>
    <w:p w14:paraId="03FEE11E">
      <w:pPr>
        <w:rPr>
          <w:color w:val="auto"/>
          <w:highlight w:val="none"/>
        </w:rPr>
      </w:pPr>
    </w:p>
    <w:p w14:paraId="6A217C19">
      <w:pPr>
        <w:spacing w:line="480" w:lineRule="exact"/>
        <w:rPr>
          <w:rFonts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（采购人名称） ： </w:t>
      </w:r>
    </w:p>
    <w:p w14:paraId="6C41C114">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1．我方已仔细研究了</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（项目名称 ）</w:t>
      </w:r>
      <w:r>
        <w:rPr>
          <w:rFonts w:hint="eastAsia" w:ascii="宋体" w:hAnsi="宋体" w:cs="宋体"/>
          <w:color w:val="auto"/>
          <w:spacing w:val="-2"/>
          <w:sz w:val="24"/>
          <w:szCs w:val="24"/>
          <w:highlight w:val="none"/>
        </w:rPr>
        <w:t>竞争性磋商文件</w:t>
      </w:r>
      <w:r>
        <w:rPr>
          <w:rFonts w:hint="eastAsia" w:ascii="宋体" w:hAnsi="宋体" w:cs="宋体"/>
          <w:color w:val="auto"/>
          <w:sz w:val="24"/>
          <w:szCs w:val="24"/>
          <w:highlight w:val="none"/>
        </w:rPr>
        <w:t>的全部内容</w:t>
      </w:r>
      <w:r>
        <w:rPr>
          <w:rFonts w:hint="eastAsia" w:ascii="宋体" w:hAnsi="宋体" w:cs="宋体"/>
          <w:color w:val="auto"/>
          <w:spacing w:val="-2"/>
          <w:sz w:val="24"/>
          <w:szCs w:val="24"/>
          <w:highlight w:val="none"/>
        </w:rPr>
        <w:t>，按照竞争性磋商文件要求交付本次采购项目设备的投标报价为：(大写)</w:t>
      </w:r>
      <w:r>
        <w:rPr>
          <w:rFonts w:hint="eastAsia" w:ascii="宋体" w:hAnsi="宋体" w:cs="宋体"/>
          <w:color w:val="auto"/>
          <w:spacing w:val="-2"/>
          <w:sz w:val="24"/>
          <w:szCs w:val="24"/>
          <w:highlight w:val="none"/>
          <w:u w:val="single"/>
        </w:rPr>
        <w:t xml:space="preserve">      </w:t>
      </w:r>
      <w:r>
        <w:rPr>
          <w:rFonts w:hint="eastAsia" w:ascii="宋体" w:hAnsi="宋体" w:cs="宋体"/>
          <w:color w:val="auto"/>
          <w:spacing w:val="-2"/>
          <w:sz w:val="24"/>
          <w:szCs w:val="24"/>
          <w:highlight w:val="none"/>
          <w:u w:val="none"/>
        </w:rPr>
        <w:t>元 ；</w:t>
      </w:r>
      <w:r>
        <w:rPr>
          <w:rFonts w:hint="eastAsia" w:ascii="宋体" w:hAnsi="宋体" w:cs="宋体"/>
          <w:color w:val="auto"/>
          <w:spacing w:val="-2"/>
          <w:sz w:val="24"/>
          <w:szCs w:val="24"/>
          <w:highlight w:val="none"/>
          <w:u w:val="single"/>
        </w:rPr>
        <w:t xml:space="preserve">   小写：      </w:t>
      </w:r>
      <w:r>
        <w:rPr>
          <w:rFonts w:hint="eastAsia" w:ascii="宋体" w:hAnsi="宋体" w:cs="宋体"/>
          <w:color w:val="auto"/>
          <w:spacing w:val="-2"/>
          <w:sz w:val="24"/>
          <w:szCs w:val="24"/>
          <w:highlight w:val="none"/>
        </w:rPr>
        <w:t>元，</w:t>
      </w:r>
      <w:r>
        <w:rPr>
          <w:rFonts w:hint="eastAsia" w:ascii="宋体" w:hAnsi="宋体" w:cs="宋体"/>
          <w:color w:val="auto"/>
          <w:sz w:val="24"/>
          <w:szCs w:val="24"/>
          <w:highlight w:val="none"/>
        </w:rPr>
        <w:t>供货期</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，质保期</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2A0805DA">
      <w:pPr>
        <w:spacing w:line="480" w:lineRule="exact"/>
        <w:ind w:firstLine="480" w:firstLineChars="200"/>
        <w:rPr>
          <w:rFonts w:cs="宋体"/>
          <w:color w:val="auto"/>
          <w:sz w:val="24"/>
          <w:szCs w:val="24"/>
          <w:highlight w:val="none"/>
        </w:rPr>
      </w:pPr>
      <w:r>
        <w:rPr>
          <w:rFonts w:hint="eastAsia" w:cs="宋体"/>
          <w:color w:val="auto"/>
          <w:sz w:val="24"/>
          <w:szCs w:val="24"/>
          <w:highlight w:val="none"/>
        </w:rPr>
        <w:t>2．我方承诺在竞争性磋商文件规定的投标有效期内不修改、撤销响应文件。</w:t>
      </w:r>
    </w:p>
    <w:p w14:paraId="56490CC1">
      <w:pPr>
        <w:spacing w:line="480" w:lineRule="exact"/>
        <w:ind w:firstLine="480" w:firstLineChars="200"/>
        <w:outlineLvl w:val="2"/>
        <w:rPr>
          <w:rFonts w:cs="宋体"/>
          <w:color w:val="auto"/>
          <w:sz w:val="24"/>
          <w:szCs w:val="24"/>
          <w:highlight w:val="none"/>
        </w:rPr>
      </w:pPr>
      <w:r>
        <w:rPr>
          <w:rFonts w:hint="eastAsia" w:cs="宋体"/>
          <w:color w:val="auto"/>
          <w:sz w:val="24"/>
          <w:szCs w:val="24"/>
          <w:highlight w:val="none"/>
        </w:rPr>
        <w:t>3．如我方中标：</w:t>
      </w:r>
    </w:p>
    <w:p w14:paraId="6182044C">
      <w:pPr>
        <w:spacing w:line="480" w:lineRule="exact"/>
        <w:ind w:firstLine="818" w:firstLineChars="341"/>
        <w:rPr>
          <w:rFonts w:cs="宋体"/>
          <w:color w:val="auto"/>
          <w:sz w:val="24"/>
          <w:szCs w:val="24"/>
          <w:highlight w:val="none"/>
        </w:rPr>
      </w:pPr>
      <w:r>
        <w:rPr>
          <w:rFonts w:hint="eastAsia" w:cs="宋体"/>
          <w:color w:val="auto"/>
          <w:sz w:val="24"/>
          <w:szCs w:val="24"/>
          <w:highlight w:val="none"/>
        </w:rPr>
        <w:t>（1）我方承诺在收到中标通知书后，在中标通知书规定的期限内与你方签订合同。</w:t>
      </w:r>
    </w:p>
    <w:p w14:paraId="5A11525F">
      <w:pPr>
        <w:spacing w:line="480" w:lineRule="exact"/>
        <w:ind w:firstLine="818" w:firstLineChars="341"/>
        <w:rPr>
          <w:rFonts w:cs="宋体"/>
          <w:color w:val="auto"/>
          <w:sz w:val="24"/>
          <w:szCs w:val="24"/>
          <w:highlight w:val="none"/>
        </w:rPr>
      </w:pPr>
      <w:r>
        <w:rPr>
          <w:rFonts w:hint="eastAsia" w:cs="宋体"/>
          <w:color w:val="auto"/>
          <w:sz w:val="24"/>
          <w:szCs w:val="24"/>
          <w:highlight w:val="none"/>
        </w:rPr>
        <w:t>（2）随同本投标函递交的投标函附录属于合同文件的组成部分。</w:t>
      </w:r>
    </w:p>
    <w:p w14:paraId="35A8ED6B">
      <w:pPr>
        <w:spacing w:line="480" w:lineRule="exact"/>
        <w:ind w:firstLine="818" w:firstLineChars="341"/>
        <w:rPr>
          <w:rFonts w:cs="宋体"/>
          <w:color w:val="auto"/>
          <w:sz w:val="24"/>
          <w:szCs w:val="24"/>
          <w:highlight w:val="none"/>
        </w:rPr>
      </w:pPr>
      <w:r>
        <w:rPr>
          <w:rFonts w:hint="eastAsia" w:cs="宋体"/>
          <w:color w:val="auto"/>
          <w:sz w:val="24"/>
          <w:szCs w:val="24"/>
          <w:highlight w:val="none"/>
        </w:rPr>
        <w:t>（3）我方承诺按照竞争性磋商文件规定向你方递交履约担保。</w:t>
      </w:r>
    </w:p>
    <w:p w14:paraId="37B27699">
      <w:pPr>
        <w:spacing w:line="480" w:lineRule="exact"/>
        <w:ind w:firstLine="818" w:firstLineChars="341"/>
        <w:rPr>
          <w:rFonts w:cs="宋体"/>
          <w:color w:val="auto"/>
          <w:sz w:val="24"/>
          <w:szCs w:val="24"/>
          <w:highlight w:val="none"/>
        </w:rPr>
      </w:pPr>
      <w:r>
        <w:rPr>
          <w:rFonts w:hint="eastAsia" w:cs="宋体"/>
          <w:color w:val="auto"/>
          <w:sz w:val="24"/>
          <w:szCs w:val="24"/>
          <w:highlight w:val="none"/>
        </w:rPr>
        <w:t>（4）我方承诺在合同约定的期限内完成并移交全部合同工程。</w:t>
      </w:r>
    </w:p>
    <w:p w14:paraId="21AC6D9C">
      <w:pPr>
        <w:spacing w:line="480" w:lineRule="exact"/>
        <w:rPr>
          <w:rFonts w:cs="宋体"/>
          <w:color w:val="auto"/>
          <w:sz w:val="24"/>
          <w:szCs w:val="24"/>
          <w:highlight w:val="none"/>
        </w:rPr>
      </w:pPr>
      <w:r>
        <w:rPr>
          <w:rFonts w:hint="eastAsia" w:cs="宋体"/>
          <w:color w:val="auto"/>
          <w:sz w:val="24"/>
          <w:szCs w:val="24"/>
          <w:highlight w:val="none"/>
        </w:rPr>
        <w:t xml:space="preserve">    4．我方在此声明，所递交的响应文件及有关资料内容完整、真实和准确。</w:t>
      </w:r>
    </w:p>
    <w:p w14:paraId="4008522E">
      <w:pPr>
        <w:spacing w:line="480" w:lineRule="exact"/>
        <w:ind w:firstLine="480" w:firstLineChars="200"/>
        <w:rPr>
          <w:rFonts w:cs="宋体"/>
          <w:color w:val="auto"/>
          <w:sz w:val="24"/>
          <w:szCs w:val="24"/>
          <w:highlight w:val="none"/>
        </w:rPr>
      </w:pPr>
      <w:r>
        <w:rPr>
          <w:rFonts w:hint="eastAsia" w:cs="宋体"/>
          <w:color w:val="auto"/>
          <w:sz w:val="24"/>
          <w:szCs w:val="24"/>
          <w:highlight w:val="none"/>
        </w:rPr>
        <w:t>5．（其他补充说明）。</w:t>
      </w:r>
    </w:p>
    <w:p w14:paraId="187CFB3B">
      <w:pPr>
        <w:spacing w:line="480" w:lineRule="exact"/>
        <w:ind w:firstLine="4200" w:firstLineChars="1750"/>
        <w:rPr>
          <w:rFonts w:ascii="宋体" w:hAnsi="宋体" w:cs="宋体"/>
          <w:color w:val="auto"/>
          <w:sz w:val="24"/>
          <w:highlight w:val="none"/>
        </w:rPr>
      </w:pPr>
    </w:p>
    <w:p w14:paraId="30F9B697">
      <w:pPr>
        <w:spacing w:line="480" w:lineRule="exact"/>
        <w:ind w:firstLine="4200" w:firstLineChars="1750"/>
        <w:rPr>
          <w:rFonts w:ascii="宋体" w:hAnsi="宋体" w:cs="宋体"/>
          <w:color w:val="auto"/>
          <w:sz w:val="24"/>
          <w:highlight w:val="none"/>
        </w:rPr>
      </w:pPr>
    </w:p>
    <w:p w14:paraId="693EB2F6">
      <w:pPr>
        <w:spacing w:line="540" w:lineRule="exact"/>
        <w:jc w:val="right"/>
        <w:rPr>
          <w:rFonts w:ascii="Calibri" w:hAnsi="Calibri" w:eastAsia="宋体" w:cs="Times New Roman"/>
          <w:color w:val="auto"/>
          <w:kern w:val="0"/>
          <w:sz w:val="24"/>
          <w:highlight w:val="none"/>
          <w:u w:val="single"/>
        </w:rPr>
      </w:pPr>
      <w:r>
        <w:rPr>
          <w:rFonts w:hint="eastAsia" w:asciiTheme="minorEastAsia" w:hAnsiTheme="minorEastAsia" w:cstheme="minorEastAsia"/>
          <w:color w:val="auto"/>
          <w:sz w:val="28"/>
          <w:szCs w:val="28"/>
          <w:highlight w:val="none"/>
        </w:rPr>
        <w:t xml:space="preserve">                       </w:t>
      </w:r>
      <w:r>
        <w:rPr>
          <w:rFonts w:hint="eastAsia" w:ascii="Calibri" w:hAnsi="Calibri" w:eastAsia="宋体" w:cs="Times New Roman"/>
          <w:color w:val="auto"/>
          <w:kern w:val="0"/>
          <w:sz w:val="24"/>
          <w:highlight w:val="none"/>
        </w:rPr>
        <w:t>供应商</w:t>
      </w:r>
      <w:r>
        <w:rPr>
          <w:rFonts w:ascii="Calibri" w:hAnsi="Calibri" w:eastAsia="宋体" w:cs="Times New Roman"/>
          <w:color w:val="auto"/>
          <w:kern w:val="0"/>
          <w:sz w:val="24"/>
          <w:highlight w:val="none"/>
        </w:rPr>
        <w:t>：</w:t>
      </w:r>
      <w:r>
        <w:rPr>
          <w:rFonts w:ascii="Calibri" w:hAnsi="Calibri" w:eastAsia="宋体" w:cs="Times New Roman"/>
          <w:color w:val="auto"/>
          <w:kern w:val="0"/>
          <w:sz w:val="24"/>
          <w:highlight w:val="none"/>
          <w:u w:val="single"/>
        </w:rPr>
        <w:t xml:space="preserve">                      （</w:t>
      </w:r>
      <w:r>
        <w:rPr>
          <w:rFonts w:hint="eastAsia" w:ascii="Calibri" w:hAnsi="Calibri" w:eastAsia="宋体" w:cs="Times New Roman"/>
          <w:color w:val="auto"/>
          <w:kern w:val="0"/>
          <w:sz w:val="24"/>
          <w:highlight w:val="none"/>
          <w:u w:val="single"/>
        </w:rPr>
        <w:t>盖单位公章</w:t>
      </w:r>
      <w:r>
        <w:rPr>
          <w:rFonts w:ascii="Calibri" w:hAnsi="Calibri" w:eastAsia="宋体" w:cs="Times New Roman"/>
          <w:color w:val="auto"/>
          <w:kern w:val="0"/>
          <w:sz w:val="24"/>
          <w:highlight w:val="none"/>
          <w:u w:val="single"/>
        </w:rPr>
        <w:t>）</w:t>
      </w:r>
    </w:p>
    <w:p w14:paraId="4A430D11">
      <w:pPr>
        <w:widowControl/>
        <w:spacing w:line="540" w:lineRule="exact"/>
        <w:ind w:firstLine="360"/>
        <w:jc w:val="right"/>
        <w:rPr>
          <w:rFonts w:ascii="Calibri" w:hAnsi="Calibri" w:eastAsia="宋体" w:cs="Times New Roman"/>
          <w:color w:val="auto"/>
          <w:kern w:val="0"/>
          <w:sz w:val="24"/>
          <w:highlight w:val="none"/>
          <w:u w:val="single"/>
        </w:rPr>
      </w:pPr>
      <w:r>
        <w:rPr>
          <w:rFonts w:ascii="Calibri" w:hAnsi="Calibri" w:eastAsia="宋体" w:cs="Times New Roman"/>
          <w:color w:val="auto"/>
          <w:kern w:val="0"/>
          <w:sz w:val="24"/>
          <w:highlight w:val="none"/>
        </w:rPr>
        <w:t xml:space="preserve">法定代表人： </w:t>
      </w:r>
      <w:r>
        <w:rPr>
          <w:rFonts w:ascii="Calibri" w:hAnsi="Calibri" w:eastAsia="宋体" w:cs="Times New Roman"/>
          <w:color w:val="auto"/>
          <w:kern w:val="0"/>
          <w:sz w:val="24"/>
          <w:highlight w:val="none"/>
          <w:u w:val="single"/>
        </w:rPr>
        <w:t xml:space="preserve">             （</w:t>
      </w:r>
      <w:r>
        <w:rPr>
          <w:rFonts w:hint="eastAsia" w:ascii="Calibri" w:hAnsi="Calibri" w:eastAsia="宋体" w:cs="Times New Roman"/>
          <w:color w:val="auto"/>
          <w:kern w:val="0"/>
          <w:sz w:val="24"/>
          <w:highlight w:val="none"/>
          <w:u w:val="single"/>
        </w:rPr>
        <w:t>电子签章</w:t>
      </w:r>
      <w:r>
        <w:rPr>
          <w:rFonts w:ascii="Calibri" w:hAnsi="Calibri" w:eastAsia="宋体" w:cs="Times New Roman"/>
          <w:color w:val="auto"/>
          <w:kern w:val="0"/>
          <w:sz w:val="24"/>
          <w:highlight w:val="none"/>
          <w:u w:val="single"/>
        </w:rPr>
        <w:t>）</w:t>
      </w:r>
    </w:p>
    <w:p w14:paraId="55662C51">
      <w:pPr>
        <w:widowControl/>
        <w:spacing w:line="540" w:lineRule="exact"/>
        <w:ind w:firstLine="360"/>
        <w:jc w:val="right"/>
        <w:rPr>
          <w:rFonts w:ascii="Calibri" w:hAnsi="Calibri" w:eastAsia="宋体" w:cs="Times New Roman"/>
          <w:color w:val="auto"/>
          <w:kern w:val="0"/>
          <w:sz w:val="24"/>
          <w:highlight w:val="none"/>
        </w:rPr>
      </w:pPr>
      <w:r>
        <w:rPr>
          <w:rFonts w:ascii="Calibri" w:hAnsi="Calibri" w:eastAsia="宋体" w:cs="Times New Roman"/>
          <w:color w:val="auto"/>
          <w:kern w:val="0"/>
          <w:sz w:val="24"/>
          <w:highlight w:val="none"/>
        </w:rPr>
        <w:t>日期：</w:t>
      </w:r>
      <w:r>
        <w:rPr>
          <w:rFonts w:ascii="Calibri" w:hAnsi="Calibri" w:eastAsia="宋体" w:cs="Times New Roman"/>
          <w:color w:val="auto"/>
          <w:kern w:val="0"/>
          <w:sz w:val="24"/>
          <w:highlight w:val="none"/>
          <w:u w:val="single"/>
        </w:rPr>
        <w:t xml:space="preserve">        </w:t>
      </w:r>
      <w:r>
        <w:rPr>
          <w:rFonts w:ascii="Calibri" w:hAnsi="Calibri" w:eastAsia="宋体" w:cs="Times New Roman"/>
          <w:color w:val="auto"/>
          <w:kern w:val="0"/>
          <w:sz w:val="24"/>
          <w:highlight w:val="none"/>
        </w:rPr>
        <w:t>年</w:t>
      </w:r>
      <w:r>
        <w:rPr>
          <w:rFonts w:ascii="Calibri" w:hAnsi="Calibri" w:eastAsia="宋体" w:cs="Times New Roman"/>
          <w:color w:val="auto"/>
          <w:kern w:val="0"/>
          <w:sz w:val="24"/>
          <w:highlight w:val="none"/>
          <w:u w:val="single"/>
        </w:rPr>
        <w:t xml:space="preserve">      </w:t>
      </w:r>
      <w:r>
        <w:rPr>
          <w:rFonts w:ascii="Calibri" w:hAnsi="Calibri" w:eastAsia="宋体" w:cs="Times New Roman"/>
          <w:color w:val="auto"/>
          <w:kern w:val="0"/>
          <w:sz w:val="24"/>
          <w:highlight w:val="none"/>
        </w:rPr>
        <w:t>月</w:t>
      </w:r>
      <w:r>
        <w:rPr>
          <w:rFonts w:ascii="Calibri" w:hAnsi="Calibri" w:eastAsia="宋体" w:cs="Times New Roman"/>
          <w:color w:val="auto"/>
          <w:kern w:val="0"/>
          <w:sz w:val="24"/>
          <w:highlight w:val="none"/>
          <w:u w:val="single"/>
        </w:rPr>
        <w:t xml:space="preserve">      </w:t>
      </w:r>
      <w:r>
        <w:rPr>
          <w:rFonts w:ascii="Calibri" w:hAnsi="Calibri" w:eastAsia="宋体" w:cs="Times New Roman"/>
          <w:color w:val="auto"/>
          <w:kern w:val="0"/>
          <w:sz w:val="24"/>
          <w:highlight w:val="none"/>
        </w:rPr>
        <w:t>日</w:t>
      </w:r>
    </w:p>
    <w:p w14:paraId="1D6232B4">
      <w:pPr>
        <w:jc w:val="center"/>
        <w:rPr>
          <w:rFonts w:ascii="宋体" w:hAnsi="宋体" w:cs="宋体"/>
          <w:b/>
          <w:bCs/>
          <w:color w:val="auto"/>
          <w:sz w:val="24"/>
          <w:highlight w:val="none"/>
        </w:rPr>
      </w:pPr>
      <w:r>
        <w:rPr>
          <w:rFonts w:hint="eastAsia" w:ascii="宋体" w:hAnsi="宋体" w:cs="宋体"/>
          <w:b/>
          <w:bCs/>
          <w:color w:val="auto"/>
          <w:sz w:val="24"/>
          <w:highlight w:val="none"/>
        </w:rPr>
        <w:br w:type="page"/>
      </w:r>
      <w:bookmarkStart w:id="207" w:name="_Toc528078068"/>
      <w:bookmarkEnd w:id="207"/>
      <w:r>
        <w:rPr>
          <w:rFonts w:hint="eastAsia" w:ascii="宋体" w:hAnsi="宋体" w:cs="宋体"/>
          <w:b/>
          <w:bCs/>
          <w:color w:val="auto"/>
          <w:sz w:val="24"/>
          <w:highlight w:val="none"/>
        </w:rPr>
        <w:t>（2）投标函附录</w:t>
      </w:r>
    </w:p>
    <w:tbl>
      <w:tblPr>
        <w:tblStyle w:val="13"/>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1632"/>
        <w:gridCol w:w="7432"/>
      </w:tblGrid>
      <w:tr w14:paraId="42E33C2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59" w:hRule="atLeast"/>
        </w:trPr>
        <w:tc>
          <w:tcPr>
            <w:tcW w:w="1632" w:type="dxa"/>
            <w:tcBorders>
              <w:top w:val="single" w:color="auto" w:sz="4" w:space="0"/>
              <w:left w:val="single" w:color="auto" w:sz="4" w:space="0"/>
              <w:bottom w:val="single" w:color="auto" w:sz="4" w:space="0"/>
              <w:right w:val="single" w:color="auto" w:sz="4" w:space="0"/>
            </w:tcBorders>
            <w:vAlign w:val="center"/>
          </w:tcPr>
          <w:p w14:paraId="03B0964F">
            <w:pPr>
              <w:spacing w:line="480" w:lineRule="exact"/>
              <w:jc w:val="center"/>
              <w:rPr>
                <w:rFonts w:cs="宋体"/>
                <w:color w:val="auto"/>
                <w:sz w:val="24"/>
                <w:szCs w:val="24"/>
                <w:highlight w:val="none"/>
              </w:rPr>
            </w:pPr>
            <w:r>
              <w:rPr>
                <w:rFonts w:hint="eastAsia" w:cs="宋体"/>
                <w:color w:val="auto"/>
                <w:sz w:val="24"/>
                <w:szCs w:val="24"/>
                <w:highlight w:val="none"/>
              </w:rPr>
              <w:t>项目名称</w:t>
            </w:r>
          </w:p>
        </w:tc>
        <w:tc>
          <w:tcPr>
            <w:tcW w:w="7432" w:type="dxa"/>
            <w:tcBorders>
              <w:top w:val="single" w:color="auto" w:sz="4" w:space="0"/>
              <w:left w:val="nil"/>
              <w:bottom w:val="single" w:color="auto" w:sz="4" w:space="0"/>
              <w:right w:val="single" w:color="auto" w:sz="4" w:space="0"/>
            </w:tcBorders>
            <w:vAlign w:val="center"/>
          </w:tcPr>
          <w:p w14:paraId="62CA885D">
            <w:pPr>
              <w:spacing w:line="480" w:lineRule="exact"/>
              <w:ind w:firstLine="818" w:firstLineChars="341"/>
              <w:rPr>
                <w:rFonts w:cs="宋体"/>
                <w:color w:val="auto"/>
                <w:sz w:val="24"/>
                <w:szCs w:val="24"/>
                <w:highlight w:val="none"/>
              </w:rPr>
            </w:pPr>
          </w:p>
        </w:tc>
      </w:tr>
      <w:tr w14:paraId="65768B7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59" w:hRule="atLeast"/>
        </w:trPr>
        <w:tc>
          <w:tcPr>
            <w:tcW w:w="1632" w:type="dxa"/>
            <w:tcBorders>
              <w:top w:val="single" w:color="auto" w:sz="4" w:space="0"/>
              <w:left w:val="single" w:color="auto" w:sz="4" w:space="0"/>
              <w:bottom w:val="single" w:color="auto" w:sz="4" w:space="0"/>
              <w:right w:val="single" w:color="auto" w:sz="4" w:space="0"/>
            </w:tcBorders>
            <w:vAlign w:val="center"/>
          </w:tcPr>
          <w:p w14:paraId="71B22F87">
            <w:pPr>
              <w:spacing w:line="480" w:lineRule="exact"/>
              <w:jc w:val="center"/>
              <w:rPr>
                <w:rFonts w:cs="宋体"/>
                <w:color w:val="auto"/>
                <w:sz w:val="24"/>
                <w:szCs w:val="24"/>
                <w:highlight w:val="none"/>
              </w:rPr>
            </w:pPr>
            <w:r>
              <w:rPr>
                <w:rFonts w:hint="eastAsia" w:cs="宋体"/>
                <w:color w:val="auto"/>
                <w:sz w:val="24"/>
                <w:szCs w:val="24"/>
                <w:highlight w:val="none"/>
              </w:rPr>
              <w:t>供应商名称</w:t>
            </w:r>
          </w:p>
        </w:tc>
        <w:tc>
          <w:tcPr>
            <w:tcW w:w="7432" w:type="dxa"/>
            <w:tcBorders>
              <w:top w:val="single" w:color="auto" w:sz="4" w:space="0"/>
              <w:left w:val="nil"/>
              <w:bottom w:val="single" w:color="auto" w:sz="4" w:space="0"/>
              <w:right w:val="single" w:color="auto" w:sz="4" w:space="0"/>
            </w:tcBorders>
            <w:vAlign w:val="center"/>
          </w:tcPr>
          <w:p w14:paraId="11DF0B9E">
            <w:pPr>
              <w:spacing w:line="480" w:lineRule="exact"/>
              <w:ind w:firstLine="818" w:firstLineChars="341"/>
              <w:rPr>
                <w:rFonts w:cs="宋体"/>
                <w:color w:val="auto"/>
                <w:sz w:val="24"/>
                <w:szCs w:val="24"/>
                <w:highlight w:val="none"/>
              </w:rPr>
            </w:pPr>
          </w:p>
        </w:tc>
      </w:tr>
      <w:tr w14:paraId="374F3C7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59" w:hRule="atLeast"/>
        </w:trPr>
        <w:tc>
          <w:tcPr>
            <w:tcW w:w="1632" w:type="dxa"/>
            <w:tcBorders>
              <w:top w:val="single" w:color="auto" w:sz="4" w:space="0"/>
              <w:left w:val="single" w:color="auto" w:sz="4" w:space="0"/>
              <w:bottom w:val="single" w:color="auto" w:sz="4" w:space="0"/>
              <w:right w:val="single" w:color="auto" w:sz="4" w:space="0"/>
            </w:tcBorders>
            <w:vAlign w:val="center"/>
          </w:tcPr>
          <w:p w14:paraId="305CAC1D">
            <w:pPr>
              <w:spacing w:line="480" w:lineRule="exact"/>
              <w:jc w:val="center"/>
              <w:rPr>
                <w:rFonts w:cs="宋体"/>
                <w:color w:val="auto"/>
                <w:sz w:val="24"/>
                <w:szCs w:val="24"/>
                <w:highlight w:val="none"/>
              </w:rPr>
            </w:pPr>
            <w:r>
              <w:rPr>
                <w:rFonts w:hint="eastAsia" w:cs="宋体"/>
                <w:color w:val="auto"/>
                <w:sz w:val="24"/>
                <w:szCs w:val="24"/>
                <w:highlight w:val="none"/>
              </w:rPr>
              <w:t>供应商地址</w:t>
            </w:r>
          </w:p>
        </w:tc>
        <w:tc>
          <w:tcPr>
            <w:tcW w:w="7432" w:type="dxa"/>
            <w:tcBorders>
              <w:top w:val="single" w:color="auto" w:sz="4" w:space="0"/>
              <w:left w:val="nil"/>
              <w:bottom w:val="single" w:color="auto" w:sz="4" w:space="0"/>
              <w:right w:val="single" w:color="auto" w:sz="4" w:space="0"/>
            </w:tcBorders>
            <w:vAlign w:val="center"/>
          </w:tcPr>
          <w:p w14:paraId="77165698">
            <w:pPr>
              <w:spacing w:line="480" w:lineRule="exact"/>
              <w:ind w:firstLine="818" w:firstLineChars="341"/>
              <w:rPr>
                <w:rFonts w:cs="宋体"/>
                <w:color w:val="auto"/>
                <w:sz w:val="24"/>
                <w:szCs w:val="24"/>
                <w:highlight w:val="none"/>
              </w:rPr>
            </w:pPr>
          </w:p>
        </w:tc>
      </w:tr>
      <w:tr w14:paraId="2C8E4F7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59" w:hRule="atLeast"/>
        </w:trPr>
        <w:tc>
          <w:tcPr>
            <w:tcW w:w="1632" w:type="dxa"/>
            <w:tcBorders>
              <w:top w:val="single" w:color="auto" w:sz="4" w:space="0"/>
              <w:left w:val="single" w:color="auto" w:sz="4" w:space="0"/>
              <w:bottom w:val="single" w:color="auto" w:sz="4" w:space="0"/>
              <w:right w:val="single" w:color="auto" w:sz="4" w:space="0"/>
            </w:tcBorders>
            <w:vAlign w:val="center"/>
          </w:tcPr>
          <w:p w14:paraId="505423B0">
            <w:pPr>
              <w:spacing w:line="480" w:lineRule="exact"/>
              <w:jc w:val="center"/>
              <w:rPr>
                <w:rFonts w:cs="宋体"/>
                <w:color w:val="auto"/>
                <w:sz w:val="24"/>
                <w:szCs w:val="24"/>
                <w:highlight w:val="none"/>
              </w:rPr>
            </w:pPr>
            <w:r>
              <w:rPr>
                <w:rFonts w:hint="eastAsia" w:cs="宋体"/>
                <w:color w:val="auto"/>
                <w:sz w:val="24"/>
                <w:szCs w:val="24"/>
                <w:highlight w:val="none"/>
              </w:rPr>
              <w:t>供应商统一社会信用代码</w:t>
            </w:r>
          </w:p>
        </w:tc>
        <w:tc>
          <w:tcPr>
            <w:tcW w:w="7432" w:type="dxa"/>
            <w:tcBorders>
              <w:top w:val="single" w:color="auto" w:sz="4" w:space="0"/>
              <w:left w:val="nil"/>
              <w:bottom w:val="single" w:color="auto" w:sz="4" w:space="0"/>
              <w:right w:val="single" w:color="auto" w:sz="4" w:space="0"/>
            </w:tcBorders>
            <w:vAlign w:val="center"/>
          </w:tcPr>
          <w:p w14:paraId="7FEA7E1A">
            <w:pPr>
              <w:spacing w:line="480" w:lineRule="exact"/>
              <w:ind w:firstLine="818" w:firstLineChars="341"/>
              <w:rPr>
                <w:rFonts w:cs="宋体"/>
                <w:color w:val="auto"/>
                <w:sz w:val="24"/>
                <w:szCs w:val="24"/>
                <w:highlight w:val="none"/>
              </w:rPr>
            </w:pPr>
          </w:p>
        </w:tc>
      </w:tr>
      <w:tr w14:paraId="0893988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60" w:hRule="atLeast"/>
        </w:trPr>
        <w:tc>
          <w:tcPr>
            <w:tcW w:w="1632" w:type="dxa"/>
            <w:tcBorders>
              <w:top w:val="single" w:color="auto" w:sz="4" w:space="0"/>
              <w:left w:val="single" w:color="auto" w:sz="4" w:space="0"/>
              <w:bottom w:val="nil"/>
              <w:right w:val="single" w:color="auto" w:sz="4" w:space="0"/>
            </w:tcBorders>
            <w:vAlign w:val="center"/>
          </w:tcPr>
          <w:p w14:paraId="2DF0C3E6">
            <w:pPr>
              <w:spacing w:line="480" w:lineRule="exact"/>
              <w:jc w:val="center"/>
              <w:rPr>
                <w:rFonts w:cs="宋体"/>
                <w:color w:val="auto"/>
                <w:sz w:val="24"/>
                <w:szCs w:val="24"/>
                <w:highlight w:val="none"/>
              </w:rPr>
            </w:pPr>
            <w:r>
              <w:rPr>
                <w:rFonts w:hint="eastAsia" w:cs="宋体"/>
                <w:color w:val="auto"/>
                <w:sz w:val="24"/>
                <w:szCs w:val="24"/>
                <w:highlight w:val="none"/>
              </w:rPr>
              <w:t>投标报价</w:t>
            </w:r>
          </w:p>
        </w:tc>
        <w:tc>
          <w:tcPr>
            <w:tcW w:w="7432" w:type="dxa"/>
            <w:tcBorders>
              <w:top w:val="single" w:color="auto" w:sz="4" w:space="0"/>
              <w:left w:val="nil"/>
              <w:bottom w:val="single" w:color="auto" w:sz="4" w:space="0"/>
              <w:right w:val="single" w:color="auto" w:sz="4" w:space="0"/>
            </w:tcBorders>
            <w:vAlign w:val="center"/>
          </w:tcPr>
          <w:p w14:paraId="5FEEF326">
            <w:pPr>
              <w:spacing w:line="480" w:lineRule="exact"/>
              <w:ind w:firstLine="818" w:firstLineChars="341"/>
              <w:rPr>
                <w:rFonts w:cs="宋体"/>
                <w:color w:val="auto"/>
                <w:sz w:val="24"/>
                <w:szCs w:val="24"/>
                <w:highlight w:val="none"/>
              </w:rPr>
            </w:pPr>
            <w:r>
              <w:rPr>
                <w:rFonts w:hint="eastAsia" w:cs="宋体"/>
                <w:color w:val="auto"/>
                <w:sz w:val="24"/>
                <w:szCs w:val="24"/>
                <w:highlight w:val="none"/>
              </w:rPr>
              <w:t>（大写）     ，    （小写）    元</w:t>
            </w:r>
          </w:p>
        </w:tc>
      </w:tr>
      <w:tr w14:paraId="5C4DDC9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08" w:hRule="atLeast"/>
        </w:trPr>
        <w:tc>
          <w:tcPr>
            <w:tcW w:w="1632" w:type="dxa"/>
            <w:tcBorders>
              <w:top w:val="single" w:color="auto" w:sz="4" w:space="0"/>
              <w:left w:val="single" w:color="auto" w:sz="4" w:space="0"/>
              <w:bottom w:val="nil"/>
              <w:right w:val="single" w:color="auto" w:sz="4" w:space="0"/>
            </w:tcBorders>
            <w:vAlign w:val="center"/>
          </w:tcPr>
          <w:p w14:paraId="4707B31F">
            <w:pPr>
              <w:spacing w:line="480" w:lineRule="exact"/>
              <w:jc w:val="center"/>
              <w:rPr>
                <w:rFonts w:cs="宋体"/>
                <w:color w:val="auto"/>
                <w:sz w:val="24"/>
                <w:szCs w:val="24"/>
                <w:highlight w:val="none"/>
              </w:rPr>
            </w:pPr>
            <w:r>
              <w:rPr>
                <w:rFonts w:hint="eastAsia" w:cs="宋体"/>
                <w:color w:val="auto"/>
                <w:sz w:val="24"/>
                <w:szCs w:val="24"/>
                <w:highlight w:val="none"/>
              </w:rPr>
              <w:t>供货期</w:t>
            </w:r>
          </w:p>
        </w:tc>
        <w:tc>
          <w:tcPr>
            <w:tcW w:w="7432" w:type="dxa"/>
            <w:tcBorders>
              <w:top w:val="single" w:color="auto" w:sz="4" w:space="0"/>
              <w:left w:val="nil"/>
              <w:bottom w:val="single" w:color="auto" w:sz="4" w:space="0"/>
              <w:right w:val="single" w:color="auto" w:sz="4" w:space="0"/>
            </w:tcBorders>
            <w:vAlign w:val="center"/>
          </w:tcPr>
          <w:p w14:paraId="3E68B6D0">
            <w:pPr>
              <w:spacing w:line="480" w:lineRule="exact"/>
              <w:rPr>
                <w:rFonts w:cs="宋体"/>
                <w:color w:val="auto"/>
                <w:sz w:val="24"/>
                <w:szCs w:val="24"/>
                <w:highlight w:val="none"/>
              </w:rPr>
            </w:pPr>
          </w:p>
        </w:tc>
      </w:tr>
      <w:tr w14:paraId="6615507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923" w:hRule="atLeast"/>
        </w:trPr>
        <w:tc>
          <w:tcPr>
            <w:tcW w:w="1632" w:type="dxa"/>
            <w:tcBorders>
              <w:top w:val="single" w:color="auto" w:sz="4" w:space="0"/>
              <w:left w:val="single" w:color="auto" w:sz="4" w:space="0"/>
              <w:bottom w:val="single" w:color="auto" w:sz="4" w:space="0"/>
              <w:right w:val="single" w:color="auto" w:sz="4" w:space="0"/>
            </w:tcBorders>
            <w:vAlign w:val="center"/>
          </w:tcPr>
          <w:p w14:paraId="02298950">
            <w:pPr>
              <w:spacing w:line="480" w:lineRule="exact"/>
              <w:jc w:val="center"/>
              <w:rPr>
                <w:rFonts w:cs="宋体"/>
                <w:color w:val="auto"/>
                <w:sz w:val="24"/>
                <w:szCs w:val="24"/>
                <w:highlight w:val="none"/>
              </w:rPr>
            </w:pPr>
            <w:r>
              <w:rPr>
                <w:rFonts w:hint="eastAsia" w:cs="宋体"/>
                <w:color w:val="auto"/>
                <w:sz w:val="24"/>
                <w:szCs w:val="24"/>
                <w:highlight w:val="none"/>
              </w:rPr>
              <w:t>质保期</w:t>
            </w:r>
          </w:p>
        </w:tc>
        <w:tc>
          <w:tcPr>
            <w:tcW w:w="7432" w:type="dxa"/>
            <w:tcBorders>
              <w:top w:val="single" w:color="auto" w:sz="4" w:space="0"/>
              <w:left w:val="nil"/>
              <w:bottom w:val="single" w:color="auto" w:sz="4" w:space="0"/>
              <w:right w:val="single" w:color="auto" w:sz="4" w:space="0"/>
            </w:tcBorders>
            <w:vAlign w:val="center"/>
          </w:tcPr>
          <w:p w14:paraId="50E197D6">
            <w:pPr>
              <w:spacing w:line="480" w:lineRule="exact"/>
              <w:ind w:firstLine="818" w:firstLineChars="341"/>
              <w:rPr>
                <w:rFonts w:cs="宋体"/>
                <w:color w:val="auto"/>
                <w:sz w:val="24"/>
                <w:szCs w:val="24"/>
                <w:highlight w:val="none"/>
              </w:rPr>
            </w:pPr>
          </w:p>
        </w:tc>
      </w:tr>
      <w:tr w14:paraId="733D1E3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923" w:hRule="atLeast"/>
        </w:trPr>
        <w:tc>
          <w:tcPr>
            <w:tcW w:w="1632" w:type="dxa"/>
            <w:tcBorders>
              <w:top w:val="single" w:color="auto" w:sz="4" w:space="0"/>
              <w:left w:val="single" w:color="auto" w:sz="4" w:space="0"/>
              <w:bottom w:val="single" w:color="auto" w:sz="4" w:space="0"/>
              <w:right w:val="single" w:color="auto" w:sz="4" w:space="0"/>
            </w:tcBorders>
            <w:vAlign w:val="center"/>
          </w:tcPr>
          <w:p w14:paraId="11CF99D7">
            <w:pPr>
              <w:spacing w:line="480" w:lineRule="exact"/>
              <w:jc w:val="center"/>
              <w:rPr>
                <w:rFonts w:cs="宋体"/>
                <w:color w:val="auto"/>
                <w:sz w:val="24"/>
                <w:szCs w:val="24"/>
                <w:highlight w:val="none"/>
              </w:rPr>
            </w:pPr>
            <w:r>
              <w:rPr>
                <w:rFonts w:hint="eastAsia" w:cs="宋体"/>
                <w:color w:val="auto"/>
                <w:sz w:val="24"/>
                <w:szCs w:val="24"/>
                <w:highlight w:val="none"/>
              </w:rPr>
              <w:t>质量要求</w:t>
            </w:r>
          </w:p>
        </w:tc>
        <w:tc>
          <w:tcPr>
            <w:tcW w:w="7432" w:type="dxa"/>
            <w:tcBorders>
              <w:top w:val="single" w:color="auto" w:sz="4" w:space="0"/>
              <w:left w:val="nil"/>
              <w:bottom w:val="single" w:color="auto" w:sz="4" w:space="0"/>
              <w:right w:val="single" w:color="auto" w:sz="4" w:space="0"/>
            </w:tcBorders>
            <w:vAlign w:val="center"/>
          </w:tcPr>
          <w:p w14:paraId="71A5C60E">
            <w:pPr>
              <w:spacing w:line="480" w:lineRule="exact"/>
              <w:ind w:firstLine="818" w:firstLineChars="341"/>
              <w:rPr>
                <w:rFonts w:cs="宋体"/>
                <w:color w:val="auto"/>
                <w:sz w:val="24"/>
                <w:szCs w:val="24"/>
                <w:highlight w:val="none"/>
              </w:rPr>
            </w:pPr>
          </w:p>
        </w:tc>
      </w:tr>
      <w:tr w14:paraId="4F92D87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923" w:hRule="atLeast"/>
        </w:trPr>
        <w:tc>
          <w:tcPr>
            <w:tcW w:w="1632" w:type="dxa"/>
            <w:tcBorders>
              <w:top w:val="single" w:color="auto" w:sz="4" w:space="0"/>
              <w:left w:val="single" w:color="auto" w:sz="4" w:space="0"/>
              <w:bottom w:val="single" w:color="auto" w:sz="4" w:space="0"/>
              <w:right w:val="single" w:color="auto" w:sz="4" w:space="0"/>
            </w:tcBorders>
            <w:vAlign w:val="center"/>
          </w:tcPr>
          <w:p w14:paraId="47326797">
            <w:pPr>
              <w:spacing w:line="480" w:lineRule="exact"/>
              <w:jc w:val="center"/>
              <w:rPr>
                <w:rFonts w:cs="宋体"/>
                <w:color w:val="auto"/>
                <w:sz w:val="24"/>
                <w:szCs w:val="24"/>
                <w:highlight w:val="none"/>
              </w:rPr>
            </w:pPr>
            <w:r>
              <w:rPr>
                <w:rFonts w:hint="eastAsia" w:cs="宋体"/>
                <w:color w:val="auto"/>
                <w:sz w:val="24"/>
                <w:szCs w:val="24"/>
                <w:highlight w:val="none"/>
              </w:rPr>
              <w:t>投标有效期</w:t>
            </w:r>
          </w:p>
        </w:tc>
        <w:tc>
          <w:tcPr>
            <w:tcW w:w="7432" w:type="dxa"/>
            <w:tcBorders>
              <w:top w:val="single" w:color="auto" w:sz="4" w:space="0"/>
              <w:left w:val="nil"/>
              <w:bottom w:val="single" w:color="auto" w:sz="4" w:space="0"/>
              <w:right w:val="single" w:color="auto" w:sz="4" w:space="0"/>
            </w:tcBorders>
            <w:vAlign w:val="center"/>
          </w:tcPr>
          <w:p w14:paraId="54D16C0F">
            <w:pPr>
              <w:spacing w:line="480" w:lineRule="exact"/>
              <w:ind w:firstLine="818" w:firstLineChars="341"/>
              <w:rPr>
                <w:rFonts w:cs="宋体"/>
                <w:color w:val="auto"/>
                <w:sz w:val="24"/>
                <w:szCs w:val="24"/>
                <w:highlight w:val="none"/>
              </w:rPr>
            </w:pPr>
          </w:p>
        </w:tc>
      </w:tr>
      <w:tr w14:paraId="0316BB2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923" w:hRule="atLeast"/>
        </w:trPr>
        <w:tc>
          <w:tcPr>
            <w:tcW w:w="1632" w:type="dxa"/>
            <w:tcBorders>
              <w:top w:val="single" w:color="auto" w:sz="4" w:space="0"/>
              <w:left w:val="single" w:color="auto" w:sz="4" w:space="0"/>
              <w:bottom w:val="single" w:color="auto" w:sz="4" w:space="0"/>
              <w:right w:val="single" w:color="auto" w:sz="4" w:space="0"/>
            </w:tcBorders>
            <w:vAlign w:val="center"/>
          </w:tcPr>
          <w:p w14:paraId="7CE4B3C4">
            <w:pPr>
              <w:spacing w:line="480" w:lineRule="exact"/>
              <w:jc w:val="center"/>
              <w:rPr>
                <w:rFonts w:cs="宋体"/>
                <w:color w:val="auto"/>
                <w:sz w:val="24"/>
                <w:szCs w:val="24"/>
                <w:highlight w:val="none"/>
              </w:rPr>
            </w:pPr>
            <w:r>
              <w:rPr>
                <w:rFonts w:hint="eastAsia" w:cs="宋体"/>
                <w:color w:val="auto"/>
                <w:sz w:val="24"/>
                <w:szCs w:val="24"/>
                <w:highlight w:val="none"/>
              </w:rPr>
              <w:t>项目负责人及联系方式</w:t>
            </w:r>
          </w:p>
        </w:tc>
        <w:tc>
          <w:tcPr>
            <w:tcW w:w="7432" w:type="dxa"/>
            <w:tcBorders>
              <w:top w:val="single" w:color="auto" w:sz="4" w:space="0"/>
              <w:left w:val="nil"/>
              <w:bottom w:val="single" w:color="auto" w:sz="4" w:space="0"/>
              <w:right w:val="single" w:color="auto" w:sz="4" w:space="0"/>
            </w:tcBorders>
            <w:vAlign w:val="center"/>
          </w:tcPr>
          <w:p w14:paraId="45B45C3E">
            <w:pPr>
              <w:spacing w:line="480" w:lineRule="exact"/>
              <w:ind w:firstLine="818" w:firstLineChars="341"/>
              <w:rPr>
                <w:rFonts w:cs="宋体"/>
                <w:color w:val="auto"/>
                <w:sz w:val="24"/>
                <w:szCs w:val="24"/>
                <w:highlight w:val="none"/>
              </w:rPr>
            </w:pPr>
          </w:p>
        </w:tc>
      </w:tr>
      <w:tr w14:paraId="65D519F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13" w:hRule="atLeast"/>
        </w:trPr>
        <w:tc>
          <w:tcPr>
            <w:tcW w:w="9064" w:type="dxa"/>
            <w:gridSpan w:val="2"/>
            <w:tcBorders>
              <w:top w:val="single" w:color="auto" w:sz="4" w:space="0"/>
              <w:left w:val="single" w:color="auto" w:sz="4" w:space="0"/>
              <w:bottom w:val="single" w:color="auto" w:sz="4" w:space="0"/>
              <w:right w:val="single" w:color="auto" w:sz="4" w:space="0"/>
            </w:tcBorders>
          </w:tcPr>
          <w:p w14:paraId="07533A8E">
            <w:pPr>
              <w:spacing w:line="480" w:lineRule="exact"/>
              <w:ind w:firstLine="818" w:firstLineChars="341"/>
              <w:rPr>
                <w:rFonts w:cs="宋体"/>
                <w:color w:val="auto"/>
                <w:sz w:val="24"/>
                <w:szCs w:val="24"/>
                <w:highlight w:val="none"/>
              </w:rPr>
            </w:pPr>
            <w:r>
              <w:rPr>
                <w:rFonts w:hint="eastAsia" w:cs="宋体"/>
                <w:color w:val="auto"/>
                <w:sz w:val="24"/>
                <w:szCs w:val="24"/>
                <w:highlight w:val="none"/>
              </w:rPr>
              <w:t>补充（如有）</w:t>
            </w:r>
          </w:p>
        </w:tc>
      </w:tr>
    </w:tbl>
    <w:p w14:paraId="06D46BA8">
      <w:pPr>
        <w:spacing w:line="540" w:lineRule="exact"/>
        <w:jc w:val="right"/>
        <w:rPr>
          <w:rFonts w:hint="eastAsia" w:asciiTheme="minorEastAsia" w:hAnsiTheme="minorEastAsia" w:cstheme="minorEastAsia"/>
          <w:color w:val="auto"/>
          <w:sz w:val="28"/>
          <w:szCs w:val="28"/>
          <w:highlight w:val="none"/>
        </w:rPr>
      </w:pPr>
      <w:r>
        <w:rPr>
          <w:rFonts w:hint="eastAsia" w:asciiTheme="minorEastAsia" w:hAnsiTheme="minorEastAsia" w:cstheme="minorEastAsia"/>
          <w:color w:val="auto"/>
          <w:sz w:val="28"/>
          <w:szCs w:val="28"/>
          <w:highlight w:val="none"/>
        </w:rPr>
        <w:t xml:space="preserve">                      </w:t>
      </w:r>
    </w:p>
    <w:p w14:paraId="7A5C5681">
      <w:pPr>
        <w:wordWrap w:val="0"/>
        <w:spacing w:line="540" w:lineRule="exact"/>
        <w:jc w:val="right"/>
        <w:rPr>
          <w:rFonts w:hint="default" w:ascii="Calibri" w:hAnsi="Calibri" w:eastAsia="宋体" w:cs="Times New Roman"/>
          <w:color w:val="auto"/>
          <w:kern w:val="0"/>
          <w:sz w:val="24"/>
          <w:highlight w:val="none"/>
          <w:u w:val="single"/>
          <w:lang w:val="en-US" w:eastAsia="zh-CN"/>
        </w:rPr>
      </w:pPr>
      <w:r>
        <w:rPr>
          <w:rFonts w:hint="eastAsia" w:asciiTheme="minorEastAsia" w:hAnsiTheme="minorEastAsia" w:cstheme="minorEastAsia"/>
          <w:color w:val="auto"/>
          <w:sz w:val="28"/>
          <w:szCs w:val="28"/>
          <w:highlight w:val="none"/>
        </w:rPr>
        <w:t xml:space="preserve"> </w:t>
      </w:r>
      <w:r>
        <w:rPr>
          <w:rFonts w:hint="eastAsia" w:ascii="Calibri" w:hAnsi="Calibri" w:eastAsia="宋体" w:cs="Times New Roman"/>
          <w:color w:val="auto"/>
          <w:kern w:val="0"/>
          <w:sz w:val="24"/>
          <w:highlight w:val="none"/>
        </w:rPr>
        <w:t>供应商</w:t>
      </w:r>
      <w:r>
        <w:rPr>
          <w:rFonts w:ascii="Calibri" w:hAnsi="Calibri" w:eastAsia="宋体" w:cs="Times New Roman"/>
          <w:color w:val="auto"/>
          <w:kern w:val="0"/>
          <w:sz w:val="24"/>
          <w:highlight w:val="none"/>
        </w:rPr>
        <w:t>：</w:t>
      </w:r>
      <w:r>
        <w:rPr>
          <w:rFonts w:ascii="Calibri" w:hAnsi="Calibri" w:eastAsia="宋体" w:cs="Times New Roman"/>
          <w:color w:val="auto"/>
          <w:kern w:val="0"/>
          <w:sz w:val="24"/>
          <w:highlight w:val="none"/>
          <w:u w:val="single"/>
        </w:rPr>
        <w:t xml:space="preserve">                      </w:t>
      </w:r>
      <w:r>
        <w:rPr>
          <w:rFonts w:ascii="Calibri" w:hAnsi="Calibri" w:eastAsia="宋体" w:cs="Times New Roman"/>
          <w:color w:val="auto"/>
          <w:kern w:val="0"/>
          <w:sz w:val="24"/>
          <w:highlight w:val="none"/>
          <w:u w:val="none"/>
        </w:rPr>
        <w:t>（</w:t>
      </w:r>
      <w:r>
        <w:rPr>
          <w:rFonts w:hint="eastAsia" w:ascii="Calibri" w:hAnsi="Calibri" w:eastAsia="宋体" w:cs="Times New Roman"/>
          <w:color w:val="auto"/>
          <w:kern w:val="0"/>
          <w:sz w:val="24"/>
          <w:highlight w:val="none"/>
          <w:u w:val="none"/>
        </w:rPr>
        <w:t>盖单位公章</w:t>
      </w:r>
      <w:r>
        <w:rPr>
          <w:rFonts w:ascii="Calibri" w:hAnsi="Calibri" w:eastAsia="宋体" w:cs="Times New Roman"/>
          <w:color w:val="auto"/>
          <w:kern w:val="0"/>
          <w:sz w:val="24"/>
          <w:highlight w:val="none"/>
          <w:u w:val="none"/>
        </w:rPr>
        <w:t>）</w:t>
      </w:r>
      <w:r>
        <w:rPr>
          <w:rFonts w:hint="eastAsia" w:ascii="Calibri" w:hAnsi="Calibri" w:eastAsia="宋体" w:cs="Times New Roman"/>
          <w:color w:val="auto"/>
          <w:kern w:val="0"/>
          <w:sz w:val="24"/>
          <w:highlight w:val="none"/>
          <w:u w:val="none"/>
          <w:lang w:val="en-US" w:eastAsia="zh-CN"/>
        </w:rPr>
        <w:t xml:space="preserve">     </w:t>
      </w:r>
    </w:p>
    <w:p w14:paraId="53DE6414">
      <w:pPr>
        <w:widowControl/>
        <w:wordWrap w:val="0"/>
        <w:spacing w:line="540" w:lineRule="exact"/>
        <w:ind w:firstLine="360"/>
        <w:jc w:val="right"/>
        <w:rPr>
          <w:rFonts w:hint="default" w:ascii="Calibri" w:hAnsi="Calibri" w:eastAsia="宋体" w:cs="Times New Roman"/>
          <w:color w:val="auto"/>
          <w:kern w:val="0"/>
          <w:sz w:val="24"/>
          <w:highlight w:val="none"/>
          <w:u w:val="single"/>
          <w:lang w:val="en-US" w:eastAsia="zh-CN"/>
        </w:rPr>
      </w:pPr>
      <w:r>
        <w:rPr>
          <w:rFonts w:ascii="Calibri" w:hAnsi="Calibri" w:eastAsia="宋体" w:cs="Times New Roman"/>
          <w:color w:val="auto"/>
          <w:kern w:val="0"/>
          <w:sz w:val="24"/>
          <w:highlight w:val="none"/>
        </w:rPr>
        <w:t xml:space="preserve">法定代表人： </w:t>
      </w:r>
      <w:r>
        <w:rPr>
          <w:rFonts w:ascii="Calibri" w:hAnsi="Calibri" w:eastAsia="宋体" w:cs="Times New Roman"/>
          <w:color w:val="auto"/>
          <w:kern w:val="0"/>
          <w:sz w:val="24"/>
          <w:highlight w:val="none"/>
          <w:u w:val="single"/>
        </w:rPr>
        <w:t xml:space="preserve">             </w:t>
      </w:r>
      <w:r>
        <w:rPr>
          <w:rFonts w:ascii="Calibri" w:hAnsi="Calibri" w:eastAsia="宋体" w:cs="Times New Roman"/>
          <w:color w:val="auto"/>
          <w:kern w:val="0"/>
          <w:sz w:val="24"/>
          <w:highlight w:val="none"/>
          <w:u w:val="none"/>
        </w:rPr>
        <w:t>（</w:t>
      </w:r>
      <w:r>
        <w:rPr>
          <w:rFonts w:hint="eastAsia" w:ascii="Calibri" w:hAnsi="Calibri" w:eastAsia="宋体" w:cs="Times New Roman"/>
          <w:color w:val="auto"/>
          <w:kern w:val="0"/>
          <w:sz w:val="24"/>
          <w:highlight w:val="none"/>
          <w:u w:val="none"/>
        </w:rPr>
        <w:t>电子签章</w:t>
      </w:r>
      <w:r>
        <w:rPr>
          <w:rFonts w:ascii="Calibri" w:hAnsi="Calibri" w:eastAsia="宋体" w:cs="Times New Roman"/>
          <w:color w:val="auto"/>
          <w:kern w:val="0"/>
          <w:sz w:val="24"/>
          <w:highlight w:val="none"/>
          <w:u w:val="none"/>
        </w:rPr>
        <w:t>）</w:t>
      </w:r>
      <w:r>
        <w:rPr>
          <w:rFonts w:hint="eastAsia" w:ascii="Calibri" w:hAnsi="Calibri" w:eastAsia="宋体" w:cs="Times New Roman"/>
          <w:color w:val="auto"/>
          <w:kern w:val="0"/>
          <w:sz w:val="24"/>
          <w:highlight w:val="none"/>
          <w:u w:val="none"/>
          <w:lang w:val="en-US" w:eastAsia="zh-CN"/>
        </w:rPr>
        <w:t xml:space="preserve">           </w:t>
      </w:r>
    </w:p>
    <w:p w14:paraId="4CDFF813">
      <w:pPr>
        <w:widowControl/>
        <w:wordWrap w:val="0"/>
        <w:spacing w:line="540" w:lineRule="exact"/>
        <w:ind w:firstLine="360"/>
        <w:jc w:val="right"/>
        <w:rPr>
          <w:rFonts w:hint="default" w:ascii="Calibri" w:hAnsi="Calibri" w:eastAsia="宋体" w:cs="Times New Roman"/>
          <w:color w:val="auto"/>
          <w:kern w:val="0"/>
          <w:sz w:val="24"/>
          <w:highlight w:val="none"/>
          <w:lang w:val="en-US" w:eastAsia="zh-CN"/>
        </w:rPr>
      </w:pPr>
      <w:r>
        <w:rPr>
          <w:rFonts w:ascii="Calibri" w:hAnsi="Calibri" w:eastAsia="宋体" w:cs="Times New Roman"/>
          <w:color w:val="auto"/>
          <w:kern w:val="0"/>
          <w:sz w:val="24"/>
          <w:highlight w:val="none"/>
        </w:rPr>
        <w:t>日期：</w:t>
      </w:r>
      <w:r>
        <w:rPr>
          <w:rFonts w:ascii="Calibri" w:hAnsi="Calibri" w:eastAsia="宋体" w:cs="Times New Roman"/>
          <w:color w:val="auto"/>
          <w:kern w:val="0"/>
          <w:sz w:val="24"/>
          <w:highlight w:val="none"/>
          <w:u w:val="single"/>
        </w:rPr>
        <w:t xml:space="preserve">        </w:t>
      </w:r>
      <w:r>
        <w:rPr>
          <w:rFonts w:ascii="Calibri" w:hAnsi="Calibri" w:eastAsia="宋体" w:cs="Times New Roman"/>
          <w:color w:val="auto"/>
          <w:kern w:val="0"/>
          <w:sz w:val="24"/>
          <w:highlight w:val="none"/>
        </w:rPr>
        <w:t>年</w:t>
      </w:r>
      <w:r>
        <w:rPr>
          <w:rFonts w:ascii="Calibri" w:hAnsi="Calibri" w:eastAsia="宋体" w:cs="Times New Roman"/>
          <w:color w:val="auto"/>
          <w:kern w:val="0"/>
          <w:sz w:val="24"/>
          <w:highlight w:val="none"/>
          <w:u w:val="single"/>
        </w:rPr>
        <w:t xml:space="preserve">      </w:t>
      </w:r>
      <w:r>
        <w:rPr>
          <w:rFonts w:ascii="Calibri" w:hAnsi="Calibri" w:eastAsia="宋体" w:cs="Times New Roman"/>
          <w:color w:val="auto"/>
          <w:kern w:val="0"/>
          <w:sz w:val="24"/>
          <w:highlight w:val="none"/>
        </w:rPr>
        <w:t>月</w:t>
      </w:r>
      <w:r>
        <w:rPr>
          <w:rFonts w:ascii="Calibri" w:hAnsi="Calibri" w:eastAsia="宋体" w:cs="Times New Roman"/>
          <w:color w:val="auto"/>
          <w:kern w:val="0"/>
          <w:sz w:val="24"/>
          <w:highlight w:val="none"/>
          <w:u w:val="single"/>
        </w:rPr>
        <w:t xml:space="preserve">      </w:t>
      </w:r>
      <w:r>
        <w:rPr>
          <w:rFonts w:ascii="Calibri" w:hAnsi="Calibri" w:eastAsia="宋体" w:cs="Times New Roman"/>
          <w:color w:val="auto"/>
          <w:kern w:val="0"/>
          <w:sz w:val="24"/>
          <w:highlight w:val="none"/>
        </w:rPr>
        <w:t>日</w:t>
      </w:r>
      <w:r>
        <w:rPr>
          <w:rFonts w:hint="eastAsia" w:ascii="Calibri" w:hAnsi="Calibri" w:eastAsia="宋体" w:cs="Times New Roman"/>
          <w:color w:val="auto"/>
          <w:kern w:val="0"/>
          <w:sz w:val="24"/>
          <w:highlight w:val="none"/>
          <w:lang w:val="en-US" w:eastAsia="zh-CN"/>
        </w:rPr>
        <w:t xml:space="preserve">             </w:t>
      </w:r>
    </w:p>
    <w:p w14:paraId="2AB4DD69">
      <w:pPr>
        <w:pStyle w:val="3"/>
        <w:jc w:val="center"/>
        <w:rPr>
          <w:color w:val="auto"/>
          <w:highlight w:val="none"/>
        </w:rPr>
      </w:pPr>
      <w:r>
        <w:rPr>
          <w:rFonts w:hint="eastAsia" w:ascii="宋体" w:hAnsi="宋体" w:cs="宋体"/>
          <w:color w:val="auto"/>
          <w:szCs w:val="24"/>
          <w:highlight w:val="none"/>
        </w:rPr>
        <w:br w:type="page"/>
      </w:r>
      <w:bookmarkStart w:id="208" w:name="_Toc26862"/>
      <w:bookmarkEnd w:id="208"/>
      <w:r>
        <w:rPr>
          <w:rFonts w:hint="eastAsia"/>
          <w:color w:val="auto"/>
          <w:highlight w:val="none"/>
        </w:rPr>
        <w:t>二、法定代表人身份证明</w:t>
      </w:r>
    </w:p>
    <w:p w14:paraId="5A1FB64E">
      <w:pPr>
        <w:spacing w:line="560" w:lineRule="exact"/>
        <w:ind w:right="420" w:rightChars="200" w:firstLine="480" w:firstLineChars="200"/>
        <w:rPr>
          <w:rFonts w:asciiTheme="minorEastAsia" w:hAnsiTheme="minorEastAsia" w:cstheme="minorEastAsia"/>
          <w:color w:val="auto"/>
          <w:sz w:val="24"/>
          <w:szCs w:val="28"/>
          <w:highlight w:val="none"/>
        </w:rPr>
      </w:pPr>
      <w:r>
        <w:rPr>
          <w:rFonts w:hint="eastAsia" w:asciiTheme="minorEastAsia" w:hAnsiTheme="minorEastAsia" w:cstheme="minorEastAsia"/>
          <w:color w:val="auto"/>
          <w:sz w:val="24"/>
          <w:szCs w:val="28"/>
          <w:highlight w:val="none"/>
        </w:rPr>
        <w:t>供应商名称：</w:t>
      </w:r>
      <w:r>
        <w:rPr>
          <w:rFonts w:hint="eastAsia" w:asciiTheme="minorEastAsia" w:hAnsiTheme="minorEastAsia" w:cstheme="minorEastAsia"/>
          <w:color w:val="auto"/>
          <w:sz w:val="24"/>
          <w:szCs w:val="28"/>
          <w:highlight w:val="none"/>
          <w:u w:val="single"/>
        </w:rPr>
        <w:t xml:space="preserve">                       </w:t>
      </w:r>
      <w:r>
        <w:rPr>
          <w:rFonts w:hint="eastAsia" w:asciiTheme="minorEastAsia" w:hAnsiTheme="minorEastAsia" w:cstheme="minorEastAsia"/>
          <w:color w:val="auto"/>
          <w:sz w:val="24"/>
          <w:szCs w:val="28"/>
          <w:highlight w:val="none"/>
        </w:rPr>
        <w:t xml:space="preserve"> </w:t>
      </w:r>
    </w:p>
    <w:p w14:paraId="4BD90E49">
      <w:pPr>
        <w:spacing w:line="560" w:lineRule="exact"/>
        <w:ind w:right="420" w:rightChars="200" w:firstLine="480" w:firstLineChars="200"/>
        <w:rPr>
          <w:rFonts w:asciiTheme="minorEastAsia" w:hAnsiTheme="minorEastAsia" w:cstheme="minorEastAsia"/>
          <w:color w:val="auto"/>
          <w:sz w:val="24"/>
          <w:szCs w:val="28"/>
          <w:highlight w:val="none"/>
        </w:rPr>
      </w:pPr>
      <w:r>
        <w:rPr>
          <w:rFonts w:hint="eastAsia" w:asciiTheme="minorEastAsia" w:hAnsiTheme="minorEastAsia" w:cstheme="minorEastAsia"/>
          <w:color w:val="auto"/>
          <w:sz w:val="24"/>
          <w:szCs w:val="28"/>
          <w:highlight w:val="none"/>
        </w:rPr>
        <w:t>单位性质：</w:t>
      </w:r>
      <w:r>
        <w:rPr>
          <w:rFonts w:hint="eastAsia" w:asciiTheme="minorEastAsia" w:hAnsiTheme="minorEastAsia" w:cstheme="minorEastAsia"/>
          <w:color w:val="auto"/>
          <w:sz w:val="24"/>
          <w:szCs w:val="28"/>
          <w:highlight w:val="none"/>
          <w:u w:val="single"/>
        </w:rPr>
        <w:t xml:space="preserve">                        </w:t>
      </w:r>
    </w:p>
    <w:p w14:paraId="52F053F0">
      <w:pPr>
        <w:spacing w:line="560" w:lineRule="exact"/>
        <w:ind w:right="420" w:rightChars="200" w:firstLine="480" w:firstLineChars="200"/>
        <w:rPr>
          <w:rFonts w:asciiTheme="minorEastAsia" w:hAnsiTheme="minorEastAsia" w:cstheme="minorEastAsia"/>
          <w:color w:val="auto"/>
          <w:sz w:val="24"/>
          <w:szCs w:val="28"/>
          <w:highlight w:val="none"/>
        </w:rPr>
      </w:pPr>
      <w:r>
        <w:rPr>
          <w:rFonts w:hint="eastAsia" w:asciiTheme="minorEastAsia" w:hAnsiTheme="minorEastAsia" w:cstheme="minorEastAsia"/>
          <w:color w:val="auto"/>
          <w:sz w:val="24"/>
          <w:szCs w:val="28"/>
          <w:highlight w:val="none"/>
        </w:rPr>
        <w:t>地址：</w:t>
      </w:r>
      <w:r>
        <w:rPr>
          <w:rFonts w:hint="eastAsia" w:asciiTheme="minorEastAsia" w:hAnsiTheme="minorEastAsia" w:cstheme="minorEastAsia"/>
          <w:color w:val="auto"/>
          <w:sz w:val="24"/>
          <w:szCs w:val="28"/>
          <w:highlight w:val="none"/>
          <w:u w:val="single"/>
        </w:rPr>
        <w:t xml:space="preserve">                        </w:t>
      </w:r>
    </w:p>
    <w:p w14:paraId="1DC5EAEE">
      <w:pPr>
        <w:spacing w:line="560" w:lineRule="exact"/>
        <w:ind w:right="420" w:rightChars="200" w:firstLine="480" w:firstLineChars="200"/>
        <w:rPr>
          <w:rFonts w:asciiTheme="minorEastAsia" w:hAnsiTheme="minorEastAsia" w:cstheme="minorEastAsia"/>
          <w:color w:val="auto"/>
          <w:sz w:val="24"/>
          <w:szCs w:val="28"/>
          <w:highlight w:val="none"/>
        </w:rPr>
      </w:pPr>
      <w:r>
        <w:rPr>
          <w:rFonts w:hint="eastAsia" w:asciiTheme="minorEastAsia" w:hAnsiTheme="minorEastAsia" w:cstheme="minorEastAsia"/>
          <w:color w:val="auto"/>
          <w:sz w:val="24"/>
          <w:szCs w:val="28"/>
          <w:highlight w:val="none"/>
        </w:rPr>
        <w:t>成立时间：</w:t>
      </w:r>
      <w:r>
        <w:rPr>
          <w:rFonts w:hint="eastAsia" w:asciiTheme="minorEastAsia" w:hAnsiTheme="minorEastAsia" w:cstheme="minorEastAsia"/>
          <w:color w:val="auto"/>
          <w:sz w:val="24"/>
          <w:szCs w:val="28"/>
          <w:highlight w:val="none"/>
          <w:u w:val="single"/>
        </w:rPr>
        <w:t xml:space="preserve">     </w:t>
      </w:r>
      <w:r>
        <w:rPr>
          <w:rFonts w:hint="eastAsia" w:asciiTheme="minorEastAsia" w:hAnsiTheme="minorEastAsia" w:cstheme="minorEastAsia"/>
          <w:color w:val="auto"/>
          <w:sz w:val="24"/>
          <w:szCs w:val="28"/>
          <w:highlight w:val="none"/>
        </w:rPr>
        <w:t>年</w:t>
      </w:r>
      <w:r>
        <w:rPr>
          <w:rFonts w:hint="eastAsia" w:asciiTheme="minorEastAsia" w:hAnsiTheme="minorEastAsia" w:cstheme="minorEastAsia"/>
          <w:color w:val="auto"/>
          <w:sz w:val="24"/>
          <w:szCs w:val="28"/>
          <w:highlight w:val="none"/>
          <w:u w:val="single"/>
        </w:rPr>
        <w:t xml:space="preserve">       </w:t>
      </w:r>
      <w:r>
        <w:rPr>
          <w:rFonts w:hint="eastAsia" w:asciiTheme="minorEastAsia" w:hAnsiTheme="minorEastAsia" w:cstheme="minorEastAsia"/>
          <w:color w:val="auto"/>
          <w:sz w:val="24"/>
          <w:szCs w:val="28"/>
          <w:highlight w:val="none"/>
        </w:rPr>
        <w:t>月</w:t>
      </w:r>
      <w:r>
        <w:rPr>
          <w:rFonts w:hint="eastAsia" w:asciiTheme="minorEastAsia" w:hAnsiTheme="minorEastAsia" w:cstheme="minorEastAsia"/>
          <w:color w:val="auto"/>
          <w:sz w:val="24"/>
          <w:szCs w:val="28"/>
          <w:highlight w:val="none"/>
          <w:u w:val="single"/>
        </w:rPr>
        <w:t xml:space="preserve">      </w:t>
      </w:r>
      <w:r>
        <w:rPr>
          <w:rFonts w:hint="eastAsia" w:asciiTheme="minorEastAsia" w:hAnsiTheme="minorEastAsia" w:cstheme="minorEastAsia"/>
          <w:color w:val="auto"/>
          <w:sz w:val="24"/>
          <w:szCs w:val="28"/>
          <w:highlight w:val="none"/>
        </w:rPr>
        <w:t>日</w:t>
      </w:r>
    </w:p>
    <w:p w14:paraId="569315B2">
      <w:pPr>
        <w:spacing w:line="560" w:lineRule="exact"/>
        <w:ind w:right="420" w:rightChars="200" w:firstLine="480" w:firstLineChars="200"/>
        <w:rPr>
          <w:rFonts w:asciiTheme="minorEastAsia" w:hAnsiTheme="minorEastAsia" w:cstheme="minorEastAsia"/>
          <w:color w:val="auto"/>
          <w:sz w:val="24"/>
          <w:szCs w:val="28"/>
          <w:highlight w:val="none"/>
        </w:rPr>
      </w:pPr>
      <w:r>
        <w:rPr>
          <w:rFonts w:hint="eastAsia" w:asciiTheme="minorEastAsia" w:hAnsiTheme="minorEastAsia" w:cstheme="minorEastAsia"/>
          <w:color w:val="auto"/>
          <w:sz w:val="24"/>
          <w:szCs w:val="28"/>
          <w:highlight w:val="none"/>
        </w:rPr>
        <w:t>经营期限：</w:t>
      </w:r>
      <w:r>
        <w:rPr>
          <w:rFonts w:hint="eastAsia" w:asciiTheme="minorEastAsia" w:hAnsiTheme="minorEastAsia" w:cstheme="minorEastAsia"/>
          <w:color w:val="auto"/>
          <w:sz w:val="24"/>
          <w:szCs w:val="28"/>
          <w:highlight w:val="none"/>
          <w:u w:val="single"/>
        </w:rPr>
        <w:t xml:space="preserve">                        </w:t>
      </w:r>
    </w:p>
    <w:p w14:paraId="19D5A3EB">
      <w:pPr>
        <w:spacing w:line="560" w:lineRule="exact"/>
        <w:ind w:right="420" w:rightChars="200" w:firstLine="480" w:firstLineChars="200"/>
        <w:rPr>
          <w:rFonts w:asciiTheme="minorEastAsia" w:hAnsiTheme="minorEastAsia" w:cstheme="minorEastAsia"/>
          <w:color w:val="auto"/>
          <w:sz w:val="24"/>
          <w:szCs w:val="28"/>
          <w:highlight w:val="none"/>
        </w:rPr>
      </w:pPr>
      <w:r>
        <w:rPr>
          <w:rFonts w:hint="eastAsia" w:asciiTheme="minorEastAsia" w:hAnsiTheme="minorEastAsia" w:cstheme="minorEastAsia"/>
          <w:color w:val="auto"/>
          <w:sz w:val="24"/>
          <w:szCs w:val="28"/>
          <w:highlight w:val="none"/>
        </w:rPr>
        <w:t>姓名：</w:t>
      </w:r>
      <w:r>
        <w:rPr>
          <w:rFonts w:hint="eastAsia" w:asciiTheme="minorEastAsia" w:hAnsiTheme="minorEastAsia" w:cstheme="minorEastAsia"/>
          <w:color w:val="auto"/>
          <w:sz w:val="24"/>
          <w:szCs w:val="28"/>
          <w:highlight w:val="none"/>
          <w:u w:val="single"/>
        </w:rPr>
        <w:t xml:space="preserve">                </w:t>
      </w:r>
      <w:r>
        <w:rPr>
          <w:rFonts w:hint="eastAsia" w:asciiTheme="minorEastAsia" w:hAnsiTheme="minorEastAsia" w:cstheme="minorEastAsia"/>
          <w:color w:val="auto"/>
          <w:sz w:val="24"/>
          <w:szCs w:val="28"/>
          <w:highlight w:val="none"/>
        </w:rPr>
        <w:t>；性别：</w:t>
      </w:r>
      <w:r>
        <w:rPr>
          <w:rFonts w:hint="eastAsia" w:asciiTheme="minorEastAsia" w:hAnsiTheme="minorEastAsia" w:cstheme="minorEastAsia"/>
          <w:color w:val="auto"/>
          <w:sz w:val="24"/>
          <w:szCs w:val="28"/>
          <w:highlight w:val="none"/>
          <w:u w:val="single"/>
        </w:rPr>
        <w:t xml:space="preserve">                </w:t>
      </w:r>
      <w:r>
        <w:rPr>
          <w:rFonts w:hint="eastAsia" w:asciiTheme="minorEastAsia" w:hAnsiTheme="minorEastAsia" w:cstheme="minorEastAsia"/>
          <w:color w:val="auto"/>
          <w:sz w:val="24"/>
          <w:szCs w:val="28"/>
          <w:highlight w:val="none"/>
        </w:rPr>
        <w:t>；</w:t>
      </w:r>
    </w:p>
    <w:p w14:paraId="0359781E">
      <w:pPr>
        <w:spacing w:line="560" w:lineRule="exact"/>
        <w:ind w:right="420" w:rightChars="200" w:firstLine="480" w:firstLineChars="200"/>
        <w:rPr>
          <w:rFonts w:asciiTheme="minorEastAsia" w:hAnsiTheme="minorEastAsia" w:cstheme="minorEastAsia"/>
          <w:color w:val="auto"/>
          <w:sz w:val="24"/>
          <w:szCs w:val="28"/>
          <w:highlight w:val="none"/>
        </w:rPr>
      </w:pPr>
      <w:r>
        <w:rPr>
          <w:rFonts w:hint="eastAsia" w:asciiTheme="minorEastAsia" w:hAnsiTheme="minorEastAsia" w:cstheme="minorEastAsia"/>
          <w:color w:val="auto"/>
          <w:sz w:val="24"/>
          <w:szCs w:val="28"/>
          <w:highlight w:val="none"/>
        </w:rPr>
        <w:t>年龄：</w:t>
      </w:r>
      <w:r>
        <w:rPr>
          <w:rFonts w:hint="eastAsia" w:asciiTheme="minorEastAsia" w:hAnsiTheme="minorEastAsia" w:cstheme="minorEastAsia"/>
          <w:color w:val="auto"/>
          <w:sz w:val="24"/>
          <w:szCs w:val="28"/>
          <w:highlight w:val="none"/>
          <w:u w:val="single"/>
        </w:rPr>
        <w:t xml:space="preserve">                </w:t>
      </w:r>
      <w:r>
        <w:rPr>
          <w:rFonts w:hint="eastAsia" w:asciiTheme="minorEastAsia" w:hAnsiTheme="minorEastAsia" w:cstheme="minorEastAsia"/>
          <w:color w:val="auto"/>
          <w:sz w:val="24"/>
          <w:szCs w:val="28"/>
          <w:highlight w:val="none"/>
        </w:rPr>
        <w:t>；职务：</w:t>
      </w:r>
      <w:r>
        <w:rPr>
          <w:rFonts w:hint="eastAsia" w:asciiTheme="minorEastAsia" w:hAnsiTheme="minorEastAsia" w:cstheme="minorEastAsia"/>
          <w:color w:val="auto"/>
          <w:sz w:val="24"/>
          <w:szCs w:val="28"/>
          <w:highlight w:val="none"/>
          <w:u w:val="single"/>
        </w:rPr>
        <w:t xml:space="preserve">                </w:t>
      </w:r>
      <w:r>
        <w:rPr>
          <w:rFonts w:hint="eastAsia" w:asciiTheme="minorEastAsia" w:hAnsiTheme="minorEastAsia" w:cstheme="minorEastAsia"/>
          <w:color w:val="auto"/>
          <w:sz w:val="24"/>
          <w:szCs w:val="28"/>
          <w:highlight w:val="none"/>
        </w:rPr>
        <w:t>；</w:t>
      </w:r>
    </w:p>
    <w:p w14:paraId="09BEB14F">
      <w:pPr>
        <w:spacing w:line="560" w:lineRule="exact"/>
        <w:ind w:right="420" w:rightChars="200" w:firstLine="480" w:firstLineChars="200"/>
        <w:rPr>
          <w:rFonts w:asciiTheme="minorEastAsia" w:hAnsiTheme="minorEastAsia" w:cstheme="minorEastAsia"/>
          <w:color w:val="auto"/>
          <w:sz w:val="24"/>
          <w:szCs w:val="28"/>
          <w:highlight w:val="none"/>
        </w:rPr>
      </w:pPr>
      <w:r>
        <w:rPr>
          <w:rFonts w:hint="eastAsia" w:asciiTheme="minorEastAsia" w:hAnsiTheme="minorEastAsia" w:cstheme="minorEastAsia"/>
          <w:color w:val="auto"/>
          <w:sz w:val="24"/>
          <w:szCs w:val="28"/>
          <w:highlight w:val="none"/>
        </w:rPr>
        <w:t>身份证号码：</w:t>
      </w:r>
      <w:r>
        <w:rPr>
          <w:rFonts w:hint="eastAsia" w:asciiTheme="minorEastAsia" w:hAnsiTheme="minorEastAsia" w:cstheme="minorEastAsia"/>
          <w:color w:val="auto"/>
          <w:sz w:val="24"/>
          <w:szCs w:val="28"/>
          <w:highlight w:val="none"/>
          <w:u w:val="single"/>
        </w:rPr>
        <w:t xml:space="preserve">                       </w:t>
      </w:r>
      <w:r>
        <w:rPr>
          <w:rFonts w:hint="eastAsia" w:asciiTheme="minorEastAsia" w:hAnsiTheme="minorEastAsia" w:cstheme="minorEastAsia"/>
          <w:color w:val="auto"/>
          <w:sz w:val="24"/>
          <w:szCs w:val="28"/>
          <w:highlight w:val="none"/>
        </w:rPr>
        <w:t>，系</w:t>
      </w:r>
      <w:r>
        <w:rPr>
          <w:rFonts w:hint="eastAsia" w:asciiTheme="minorEastAsia" w:hAnsiTheme="minorEastAsia" w:cstheme="minorEastAsia"/>
          <w:color w:val="auto"/>
          <w:sz w:val="24"/>
          <w:szCs w:val="28"/>
          <w:highlight w:val="none"/>
          <w:u w:val="single"/>
        </w:rPr>
        <w:t xml:space="preserve">                  </w:t>
      </w:r>
      <w:r>
        <w:rPr>
          <w:rFonts w:hint="eastAsia" w:asciiTheme="minorEastAsia" w:hAnsiTheme="minorEastAsia" w:cstheme="minorEastAsia"/>
          <w:color w:val="auto"/>
          <w:sz w:val="24"/>
          <w:szCs w:val="28"/>
          <w:highlight w:val="none"/>
        </w:rPr>
        <w:t>（供应商名称）的法定代表人。</w:t>
      </w:r>
    </w:p>
    <w:p w14:paraId="06797A84">
      <w:pPr>
        <w:spacing w:line="560" w:lineRule="exact"/>
        <w:ind w:right="420" w:rightChars="200" w:firstLine="480" w:firstLineChars="200"/>
        <w:rPr>
          <w:rFonts w:asciiTheme="minorEastAsia" w:hAnsiTheme="minorEastAsia" w:cstheme="minorEastAsia"/>
          <w:color w:val="auto"/>
          <w:sz w:val="24"/>
          <w:szCs w:val="28"/>
          <w:highlight w:val="none"/>
        </w:rPr>
      </w:pPr>
      <w:r>
        <w:rPr>
          <w:rFonts w:hint="eastAsia" w:asciiTheme="minorEastAsia" w:hAnsiTheme="minorEastAsia" w:cstheme="minorEastAsia"/>
          <w:color w:val="auto"/>
          <w:sz w:val="24"/>
          <w:szCs w:val="28"/>
          <w:highlight w:val="none"/>
        </w:rPr>
        <w:t>特此证明。</w:t>
      </w:r>
    </w:p>
    <w:p w14:paraId="50FD1847">
      <w:pPr>
        <w:spacing w:line="560" w:lineRule="exact"/>
        <w:ind w:right="420" w:rightChars="200" w:firstLine="480" w:firstLineChars="200"/>
        <w:rPr>
          <w:rFonts w:asciiTheme="minorEastAsia" w:hAnsiTheme="minorEastAsia" w:cstheme="minorEastAsia"/>
          <w:color w:val="auto"/>
          <w:sz w:val="24"/>
          <w:szCs w:val="28"/>
          <w:highlight w:val="none"/>
        </w:rPr>
      </w:pPr>
      <w:r>
        <w:rPr>
          <w:rFonts w:hint="eastAsia" w:asciiTheme="minorEastAsia" w:hAnsiTheme="minorEastAsia" w:cstheme="minorEastAsia"/>
          <w:color w:val="auto"/>
          <w:sz w:val="24"/>
          <w:szCs w:val="28"/>
          <w:highlight w:val="none"/>
        </w:rPr>
        <w:t>附：法定代表人身份证扫描件，加盖公章。</w:t>
      </w:r>
    </w:p>
    <w:p w14:paraId="12BD5E03">
      <w:pPr>
        <w:spacing w:line="560" w:lineRule="exact"/>
        <w:ind w:left="170" w:firstLine="480" w:firstLineChars="200"/>
        <w:rPr>
          <w:rFonts w:asciiTheme="minorEastAsia" w:hAnsiTheme="minorEastAsia" w:cstheme="minorEastAsia"/>
          <w:color w:val="auto"/>
          <w:sz w:val="24"/>
          <w:szCs w:val="28"/>
          <w:highlight w:val="none"/>
        </w:rPr>
      </w:pPr>
    </w:p>
    <w:p w14:paraId="332B0C67">
      <w:pPr>
        <w:autoSpaceDE w:val="0"/>
        <w:autoSpaceDN w:val="0"/>
        <w:adjustRightInd w:val="0"/>
        <w:spacing w:line="560" w:lineRule="exact"/>
        <w:ind w:firstLine="3084" w:firstLineChars="1285"/>
        <w:jc w:val="right"/>
        <w:rPr>
          <w:rFonts w:asciiTheme="minorEastAsia" w:hAnsiTheme="minorEastAsia" w:cstheme="minorEastAsia"/>
          <w:color w:val="auto"/>
          <w:kern w:val="0"/>
          <w:sz w:val="24"/>
          <w:szCs w:val="28"/>
          <w:highlight w:val="none"/>
        </w:rPr>
      </w:pPr>
    </w:p>
    <w:p w14:paraId="2A4EC879">
      <w:pPr>
        <w:autoSpaceDE w:val="0"/>
        <w:autoSpaceDN w:val="0"/>
        <w:adjustRightInd w:val="0"/>
        <w:spacing w:line="560" w:lineRule="exact"/>
        <w:ind w:firstLine="3084" w:firstLineChars="1285"/>
        <w:jc w:val="center"/>
        <w:rPr>
          <w:rFonts w:asciiTheme="minorEastAsia" w:hAnsiTheme="minorEastAsia" w:cstheme="minorEastAsia"/>
          <w:color w:val="auto"/>
          <w:kern w:val="0"/>
          <w:sz w:val="24"/>
          <w:szCs w:val="28"/>
          <w:highlight w:val="none"/>
        </w:rPr>
      </w:pPr>
      <w:r>
        <w:rPr>
          <w:rFonts w:hint="eastAsia" w:asciiTheme="minorEastAsia" w:hAnsiTheme="minorEastAsia" w:cstheme="minorEastAsia"/>
          <w:color w:val="auto"/>
          <w:kern w:val="0"/>
          <w:sz w:val="24"/>
          <w:szCs w:val="28"/>
          <w:highlight w:val="none"/>
        </w:rPr>
        <w:t>供应商：</w:t>
      </w:r>
      <w:r>
        <w:rPr>
          <w:rFonts w:hint="eastAsia" w:asciiTheme="minorEastAsia" w:hAnsiTheme="minorEastAsia" w:cstheme="minorEastAsia"/>
          <w:color w:val="auto"/>
          <w:sz w:val="24"/>
          <w:szCs w:val="28"/>
          <w:highlight w:val="none"/>
          <w:u w:val="single"/>
        </w:rPr>
        <w:t xml:space="preserve">                  </w:t>
      </w:r>
      <w:r>
        <w:rPr>
          <w:rFonts w:hint="eastAsia" w:asciiTheme="minorEastAsia" w:hAnsiTheme="minorEastAsia" w:cstheme="minorEastAsia"/>
          <w:color w:val="auto"/>
          <w:kern w:val="0"/>
          <w:sz w:val="24"/>
          <w:szCs w:val="28"/>
          <w:highlight w:val="none"/>
        </w:rPr>
        <w:t>（盖单位公章）</w:t>
      </w:r>
    </w:p>
    <w:p w14:paraId="4E2B5FC2">
      <w:pPr>
        <w:autoSpaceDE w:val="0"/>
        <w:autoSpaceDN w:val="0"/>
        <w:adjustRightInd w:val="0"/>
        <w:spacing w:line="560" w:lineRule="exact"/>
        <w:ind w:right="420" w:firstLine="4080" w:firstLineChars="1700"/>
        <w:rPr>
          <w:rFonts w:asciiTheme="minorEastAsia" w:hAnsiTheme="minorEastAsia" w:cstheme="minorEastAsia"/>
          <w:color w:val="auto"/>
          <w:kern w:val="0"/>
          <w:sz w:val="24"/>
          <w:szCs w:val="28"/>
          <w:highlight w:val="none"/>
        </w:rPr>
      </w:pPr>
      <w:r>
        <w:rPr>
          <w:rFonts w:hint="eastAsia" w:asciiTheme="minorEastAsia" w:hAnsiTheme="minorEastAsia" w:cstheme="minorEastAsia"/>
          <w:color w:val="auto"/>
          <w:kern w:val="0"/>
          <w:sz w:val="24"/>
          <w:szCs w:val="28"/>
          <w:highlight w:val="none"/>
        </w:rPr>
        <w:t>日期：</w:t>
      </w:r>
      <w:r>
        <w:rPr>
          <w:rFonts w:hint="eastAsia" w:asciiTheme="minorEastAsia" w:hAnsiTheme="minorEastAsia" w:cstheme="minorEastAsia"/>
          <w:color w:val="auto"/>
          <w:kern w:val="0"/>
          <w:sz w:val="24"/>
          <w:szCs w:val="28"/>
          <w:highlight w:val="none"/>
          <w:u w:val="single"/>
        </w:rPr>
        <w:t xml:space="preserve">      </w:t>
      </w:r>
      <w:r>
        <w:rPr>
          <w:rFonts w:hint="eastAsia" w:asciiTheme="minorEastAsia" w:hAnsiTheme="minorEastAsia" w:cstheme="minorEastAsia"/>
          <w:color w:val="auto"/>
          <w:kern w:val="0"/>
          <w:sz w:val="24"/>
          <w:szCs w:val="28"/>
          <w:highlight w:val="none"/>
          <w:u w:val="none"/>
        </w:rPr>
        <w:t>年</w:t>
      </w:r>
      <w:r>
        <w:rPr>
          <w:rFonts w:hint="eastAsia" w:asciiTheme="minorEastAsia" w:hAnsiTheme="minorEastAsia" w:cstheme="minorEastAsia"/>
          <w:color w:val="auto"/>
          <w:kern w:val="0"/>
          <w:sz w:val="24"/>
          <w:szCs w:val="28"/>
          <w:highlight w:val="none"/>
          <w:u w:val="single"/>
        </w:rPr>
        <w:t xml:space="preserve">       </w:t>
      </w:r>
      <w:r>
        <w:rPr>
          <w:rFonts w:hint="eastAsia" w:asciiTheme="minorEastAsia" w:hAnsiTheme="minorEastAsia" w:cstheme="minorEastAsia"/>
          <w:color w:val="auto"/>
          <w:kern w:val="0"/>
          <w:sz w:val="24"/>
          <w:szCs w:val="28"/>
          <w:highlight w:val="none"/>
          <w:u w:val="none"/>
        </w:rPr>
        <w:t>月</w:t>
      </w:r>
      <w:r>
        <w:rPr>
          <w:rFonts w:hint="eastAsia" w:asciiTheme="minorEastAsia" w:hAnsiTheme="minorEastAsia" w:cstheme="minorEastAsia"/>
          <w:color w:val="auto"/>
          <w:kern w:val="0"/>
          <w:sz w:val="24"/>
          <w:szCs w:val="28"/>
          <w:highlight w:val="none"/>
          <w:u w:val="single"/>
        </w:rPr>
        <w:t xml:space="preserve">      </w:t>
      </w:r>
      <w:r>
        <w:rPr>
          <w:rFonts w:hint="eastAsia" w:asciiTheme="minorEastAsia" w:hAnsiTheme="minorEastAsia" w:cstheme="minorEastAsia"/>
          <w:color w:val="auto"/>
          <w:kern w:val="0"/>
          <w:sz w:val="24"/>
          <w:szCs w:val="28"/>
          <w:highlight w:val="none"/>
          <w:u w:val="none"/>
        </w:rPr>
        <w:t>日</w:t>
      </w:r>
    </w:p>
    <w:p w14:paraId="5B49D4AC">
      <w:pPr>
        <w:pStyle w:val="3"/>
        <w:jc w:val="center"/>
        <w:rPr>
          <w:color w:val="auto"/>
          <w:highlight w:val="none"/>
        </w:rPr>
      </w:pPr>
      <w:r>
        <w:rPr>
          <w:rFonts w:hint="eastAsia" w:ascii="宋体" w:hAnsi="宋体" w:cs="宋体"/>
          <w:color w:val="auto"/>
          <w:szCs w:val="24"/>
          <w:highlight w:val="none"/>
        </w:rPr>
        <w:br w:type="page"/>
      </w:r>
      <w:bookmarkStart w:id="209" w:name="_Toc528078069"/>
      <w:bookmarkEnd w:id="209"/>
      <w:bookmarkStart w:id="210" w:name="_Toc23204"/>
      <w:r>
        <w:rPr>
          <w:rFonts w:hint="eastAsia"/>
          <w:color w:val="auto"/>
          <w:highlight w:val="none"/>
        </w:rPr>
        <w:t>三、授权委托书</w:t>
      </w:r>
      <w:bookmarkEnd w:id="210"/>
    </w:p>
    <w:p w14:paraId="0CD49B1F">
      <w:pPr>
        <w:spacing w:line="500" w:lineRule="exact"/>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本人</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（姓名）系</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（供应商名称）的法定代表人，现委托</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（姓名）为我方代理人。代理人根据授权，以我方名义签署、澄清、说明、补正、递交、撤回、修改</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（项目名称）投标文件、签订合同和处理有关事宜，其法律后果由我方承担。</w:t>
      </w:r>
    </w:p>
    <w:p w14:paraId="0AFFCBA9">
      <w:pPr>
        <w:spacing w:line="500" w:lineRule="exact"/>
        <w:ind w:firstLine="480" w:firstLineChars="20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委托期限：</w:t>
      </w:r>
      <w:r>
        <w:rPr>
          <w:rFonts w:hint="eastAsia" w:ascii="宋体" w:hAnsi="宋体" w:eastAsia="宋体" w:cs="Times New Roman"/>
          <w:color w:val="auto"/>
          <w:sz w:val="24"/>
          <w:szCs w:val="24"/>
          <w:highlight w:val="none"/>
          <w:u w:val="single"/>
        </w:rPr>
        <w:t xml:space="preserve">                        </w:t>
      </w:r>
    </w:p>
    <w:p w14:paraId="6F7861C7">
      <w:pPr>
        <w:spacing w:line="500" w:lineRule="exact"/>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代理人无转委托权。</w:t>
      </w:r>
    </w:p>
    <w:p w14:paraId="66CE5DD3">
      <w:pPr>
        <w:spacing w:line="500" w:lineRule="exact"/>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附：法定代表人身份证复印件、被授权委托人身份证复印件</w:t>
      </w:r>
    </w:p>
    <w:p w14:paraId="0697955A">
      <w:pPr>
        <w:spacing w:line="50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w:t>
      </w:r>
    </w:p>
    <w:p w14:paraId="774117DF">
      <w:pPr>
        <w:suppressAutoHyphens/>
        <w:spacing w:line="360" w:lineRule="auto"/>
        <w:ind w:firstLine="3120" w:firstLineChars="1300"/>
        <w:rPr>
          <w:rFonts w:ascii="宋体" w:hAnsi="宋体" w:eastAsia="宋体" w:cs="Times New Roman"/>
          <w:color w:val="auto"/>
          <w:kern w:val="1"/>
          <w:sz w:val="24"/>
          <w:szCs w:val="24"/>
          <w:highlight w:val="none"/>
        </w:rPr>
      </w:pPr>
    </w:p>
    <w:p w14:paraId="5C59D21C">
      <w:pPr>
        <w:suppressAutoHyphens/>
        <w:spacing w:line="360" w:lineRule="auto"/>
        <w:ind w:firstLine="3120" w:firstLineChars="1300"/>
        <w:rPr>
          <w:rFonts w:ascii="宋体" w:hAnsi="宋体" w:eastAsia="宋体" w:cs="Times New Roman"/>
          <w:color w:val="auto"/>
          <w:kern w:val="1"/>
          <w:sz w:val="24"/>
          <w:szCs w:val="24"/>
          <w:highlight w:val="none"/>
        </w:rPr>
      </w:pPr>
    </w:p>
    <w:p w14:paraId="7AB13327">
      <w:pPr>
        <w:suppressAutoHyphens/>
        <w:spacing w:line="480" w:lineRule="auto"/>
        <w:ind w:firstLine="3120" w:firstLineChars="1300"/>
        <w:rPr>
          <w:rFonts w:ascii="宋体" w:hAnsi="宋体" w:eastAsia="宋体" w:cs="Times New Roman"/>
          <w:color w:val="auto"/>
          <w:kern w:val="1"/>
          <w:sz w:val="24"/>
          <w:szCs w:val="24"/>
          <w:highlight w:val="none"/>
        </w:rPr>
      </w:pPr>
      <w:r>
        <w:rPr>
          <w:rFonts w:hint="eastAsia" w:ascii="宋体" w:hAnsi="宋体" w:eastAsia="宋体" w:cs="Times New Roman"/>
          <w:color w:val="auto"/>
          <w:kern w:val="1"/>
          <w:sz w:val="24"/>
          <w:szCs w:val="24"/>
          <w:highlight w:val="none"/>
        </w:rPr>
        <w:t>供应商：</w:t>
      </w:r>
      <w:r>
        <w:rPr>
          <w:rFonts w:hint="eastAsia" w:ascii="宋体" w:hAnsi="宋体" w:eastAsia="宋体" w:cs="Times New Roman"/>
          <w:color w:val="auto"/>
          <w:kern w:val="1"/>
          <w:sz w:val="24"/>
          <w:szCs w:val="24"/>
          <w:highlight w:val="none"/>
          <w:u w:val="single"/>
        </w:rPr>
        <w:t xml:space="preserve">                        </w:t>
      </w:r>
      <w:r>
        <w:rPr>
          <w:rFonts w:hint="eastAsia" w:ascii="宋体" w:hAnsi="宋体" w:eastAsia="宋体" w:cs="Times New Roman"/>
          <w:color w:val="auto"/>
          <w:kern w:val="1"/>
          <w:sz w:val="24"/>
          <w:szCs w:val="24"/>
          <w:highlight w:val="none"/>
        </w:rPr>
        <w:t>（盖单位公章）</w:t>
      </w:r>
    </w:p>
    <w:p w14:paraId="662BB118">
      <w:pPr>
        <w:suppressAutoHyphens/>
        <w:spacing w:line="480" w:lineRule="auto"/>
        <w:ind w:firstLine="3120" w:firstLineChars="1300"/>
        <w:rPr>
          <w:rFonts w:ascii="宋体" w:hAnsi="宋体" w:eastAsia="宋体" w:cs="Times New Roman"/>
          <w:color w:val="auto"/>
          <w:kern w:val="1"/>
          <w:sz w:val="24"/>
          <w:szCs w:val="24"/>
          <w:highlight w:val="none"/>
        </w:rPr>
      </w:pPr>
      <w:r>
        <w:rPr>
          <w:rFonts w:hint="eastAsia" w:ascii="宋体" w:hAnsi="宋体" w:eastAsia="宋体" w:cs="Times New Roman"/>
          <w:color w:val="auto"/>
          <w:kern w:val="1"/>
          <w:sz w:val="24"/>
          <w:szCs w:val="24"/>
          <w:highlight w:val="none"/>
        </w:rPr>
        <w:t>法定代表人：</w:t>
      </w:r>
      <w:r>
        <w:rPr>
          <w:rFonts w:hint="eastAsia" w:ascii="宋体" w:hAnsi="宋体" w:eastAsia="宋体" w:cs="Times New Roman"/>
          <w:color w:val="auto"/>
          <w:kern w:val="1"/>
          <w:sz w:val="24"/>
          <w:szCs w:val="24"/>
          <w:highlight w:val="none"/>
          <w:u w:val="single"/>
        </w:rPr>
        <w:t xml:space="preserve">                   </w:t>
      </w:r>
      <w:r>
        <w:rPr>
          <w:rFonts w:hint="eastAsia" w:ascii="宋体" w:hAnsi="宋体" w:eastAsia="宋体" w:cs="Times New Roman"/>
          <w:color w:val="auto"/>
          <w:kern w:val="1"/>
          <w:sz w:val="24"/>
          <w:szCs w:val="24"/>
          <w:highlight w:val="none"/>
        </w:rPr>
        <w:t>（</w:t>
      </w:r>
      <w:r>
        <w:rPr>
          <w:rFonts w:hint="eastAsia" w:ascii="宋体" w:hAnsi="宋体" w:eastAsia="宋体" w:cs="黑体"/>
          <w:bCs/>
          <w:color w:val="auto"/>
          <w:kern w:val="0"/>
          <w:sz w:val="24"/>
          <w:szCs w:val="21"/>
          <w:highlight w:val="none"/>
        </w:rPr>
        <w:t>电子签章</w:t>
      </w:r>
      <w:r>
        <w:rPr>
          <w:rFonts w:hint="eastAsia" w:ascii="宋体" w:hAnsi="宋体" w:eastAsia="宋体" w:cs="Times New Roman"/>
          <w:color w:val="auto"/>
          <w:kern w:val="1"/>
          <w:sz w:val="24"/>
          <w:szCs w:val="24"/>
          <w:highlight w:val="none"/>
        </w:rPr>
        <w:t>）</w:t>
      </w:r>
    </w:p>
    <w:p w14:paraId="235EAF03">
      <w:pPr>
        <w:suppressAutoHyphens/>
        <w:spacing w:line="480" w:lineRule="auto"/>
        <w:ind w:firstLine="3120" w:firstLineChars="1300"/>
        <w:rPr>
          <w:rFonts w:hint="eastAsia" w:ascii="宋体" w:hAnsi="宋体" w:eastAsia="宋体" w:cs="Times New Roman"/>
          <w:color w:val="auto"/>
          <w:kern w:val="1"/>
          <w:sz w:val="24"/>
          <w:szCs w:val="24"/>
          <w:highlight w:val="none"/>
          <w:u w:val="single"/>
        </w:rPr>
      </w:pPr>
      <w:r>
        <w:rPr>
          <w:rFonts w:hint="eastAsia" w:ascii="宋体" w:hAnsi="宋体" w:eastAsia="宋体" w:cs="仿宋_GB2312"/>
          <w:color w:val="auto"/>
          <w:kern w:val="0"/>
          <w:sz w:val="24"/>
          <w:szCs w:val="24"/>
          <w:highlight w:val="none"/>
        </w:rPr>
        <w:t>身份证号码：</w:t>
      </w:r>
      <w:r>
        <w:rPr>
          <w:rFonts w:hint="eastAsia" w:ascii="宋体" w:hAnsi="宋体" w:eastAsia="宋体" w:cs="仿宋_GB2312"/>
          <w:color w:val="auto"/>
          <w:kern w:val="0"/>
          <w:sz w:val="24"/>
          <w:szCs w:val="24"/>
          <w:highlight w:val="none"/>
          <w:u w:val="single"/>
        </w:rPr>
        <w:t xml:space="preserve">                  </w:t>
      </w:r>
      <w:r>
        <w:rPr>
          <w:rFonts w:hint="eastAsia" w:ascii="宋体" w:hAnsi="宋体" w:eastAsia="宋体" w:cs="Times New Roman"/>
          <w:color w:val="auto"/>
          <w:kern w:val="1"/>
          <w:sz w:val="24"/>
          <w:szCs w:val="24"/>
          <w:highlight w:val="none"/>
          <w:u w:val="single"/>
        </w:rPr>
        <w:t xml:space="preserve">   </w:t>
      </w:r>
    </w:p>
    <w:p w14:paraId="106DC51E">
      <w:pPr>
        <w:suppressAutoHyphens/>
        <w:spacing w:line="480" w:lineRule="auto"/>
        <w:ind w:firstLine="3120" w:firstLineChars="1300"/>
        <w:rPr>
          <w:rFonts w:hint="eastAsia" w:ascii="宋体" w:hAnsi="宋体" w:eastAsia="宋体" w:cs="Times New Roman"/>
          <w:color w:val="auto"/>
          <w:kern w:val="1"/>
          <w:sz w:val="24"/>
          <w:szCs w:val="24"/>
          <w:highlight w:val="none"/>
          <w:u w:val="single"/>
          <w:lang w:val="en-US" w:eastAsia="zh-CN"/>
        </w:rPr>
      </w:pPr>
      <w:r>
        <w:rPr>
          <w:rFonts w:hint="eastAsia" w:ascii="宋体" w:hAnsi="宋体" w:eastAsia="宋体" w:cs="Times New Roman"/>
          <w:color w:val="auto"/>
          <w:kern w:val="1"/>
          <w:sz w:val="24"/>
          <w:szCs w:val="24"/>
          <w:highlight w:val="none"/>
          <w:u w:val="none"/>
          <w:lang w:val="en-US" w:eastAsia="zh-CN"/>
        </w:rPr>
        <w:t>联系电话：</w:t>
      </w:r>
      <w:r>
        <w:rPr>
          <w:rFonts w:hint="eastAsia" w:ascii="宋体" w:hAnsi="宋体" w:eastAsia="宋体" w:cs="仿宋_GB2312"/>
          <w:color w:val="auto"/>
          <w:kern w:val="0"/>
          <w:sz w:val="24"/>
          <w:szCs w:val="24"/>
          <w:highlight w:val="none"/>
          <w:u w:val="single"/>
        </w:rPr>
        <w:t xml:space="preserve">                  </w:t>
      </w:r>
      <w:r>
        <w:rPr>
          <w:rFonts w:hint="eastAsia" w:ascii="宋体" w:hAnsi="宋体" w:eastAsia="宋体" w:cs="Times New Roman"/>
          <w:color w:val="auto"/>
          <w:kern w:val="1"/>
          <w:sz w:val="24"/>
          <w:szCs w:val="24"/>
          <w:highlight w:val="none"/>
          <w:u w:val="single"/>
        </w:rPr>
        <w:t xml:space="preserve">   </w:t>
      </w:r>
    </w:p>
    <w:p w14:paraId="505F2625">
      <w:pPr>
        <w:suppressAutoHyphens/>
        <w:spacing w:line="480" w:lineRule="auto"/>
        <w:ind w:firstLine="3120" w:firstLineChars="1300"/>
        <w:rPr>
          <w:rFonts w:ascii="宋体" w:hAnsi="宋体" w:eastAsia="宋体" w:cs="Times New Roman"/>
          <w:color w:val="auto"/>
          <w:kern w:val="1"/>
          <w:sz w:val="24"/>
          <w:szCs w:val="24"/>
          <w:highlight w:val="none"/>
        </w:rPr>
      </w:pPr>
      <w:r>
        <w:rPr>
          <w:rFonts w:hint="eastAsia" w:ascii="宋体" w:hAnsi="宋体" w:eastAsia="宋体" w:cs="Times New Roman"/>
          <w:color w:val="auto"/>
          <w:kern w:val="1"/>
          <w:sz w:val="24"/>
          <w:szCs w:val="24"/>
          <w:highlight w:val="none"/>
        </w:rPr>
        <w:t>委托代理人：</w:t>
      </w:r>
      <w:r>
        <w:rPr>
          <w:rFonts w:hint="eastAsia" w:ascii="宋体" w:hAnsi="宋体" w:eastAsia="宋体" w:cs="Times New Roman"/>
          <w:color w:val="auto"/>
          <w:kern w:val="1"/>
          <w:sz w:val="24"/>
          <w:szCs w:val="24"/>
          <w:highlight w:val="none"/>
          <w:u w:val="single"/>
        </w:rPr>
        <w:t xml:space="preserve">                   </w:t>
      </w:r>
      <w:r>
        <w:rPr>
          <w:rFonts w:hint="eastAsia" w:ascii="宋体" w:hAnsi="宋体" w:eastAsia="宋体" w:cs="Times New Roman"/>
          <w:color w:val="auto"/>
          <w:kern w:val="1"/>
          <w:sz w:val="24"/>
          <w:szCs w:val="24"/>
          <w:highlight w:val="none"/>
        </w:rPr>
        <w:t xml:space="preserve">（签字） </w:t>
      </w:r>
    </w:p>
    <w:p w14:paraId="7A370319">
      <w:pPr>
        <w:suppressAutoHyphens/>
        <w:spacing w:line="480" w:lineRule="auto"/>
        <w:ind w:firstLine="3120" w:firstLineChars="1300"/>
        <w:rPr>
          <w:rFonts w:hint="eastAsia" w:ascii="宋体" w:hAnsi="宋体" w:eastAsia="宋体" w:cs="Times New Roman"/>
          <w:color w:val="auto"/>
          <w:kern w:val="1"/>
          <w:sz w:val="24"/>
          <w:szCs w:val="24"/>
          <w:highlight w:val="none"/>
          <w:u w:val="single"/>
        </w:rPr>
      </w:pPr>
      <w:r>
        <w:rPr>
          <w:rFonts w:hint="eastAsia" w:ascii="宋体" w:hAnsi="宋体" w:eastAsia="宋体" w:cs="Times New Roman"/>
          <w:color w:val="auto"/>
          <w:kern w:val="1"/>
          <w:sz w:val="24"/>
          <w:szCs w:val="24"/>
          <w:highlight w:val="none"/>
        </w:rPr>
        <w:t>身份证号码：</w:t>
      </w:r>
      <w:r>
        <w:rPr>
          <w:rFonts w:hint="eastAsia" w:ascii="宋体" w:hAnsi="宋体" w:eastAsia="宋体" w:cs="Times New Roman"/>
          <w:color w:val="auto"/>
          <w:kern w:val="1"/>
          <w:sz w:val="24"/>
          <w:szCs w:val="24"/>
          <w:highlight w:val="none"/>
          <w:u w:val="single"/>
        </w:rPr>
        <w:t xml:space="preserve">                      </w:t>
      </w:r>
    </w:p>
    <w:p w14:paraId="00CA1972">
      <w:pPr>
        <w:suppressAutoHyphens/>
        <w:spacing w:line="480" w:lineRule="auto"/>
        <w:ind w:firstLine="3120" w:firstLineChars="1300"/>
        <w:rPr>
          <w:rFonts w:hint="eastAsia" w:ascii="宋体" w:hAnsi="宋体" w:eastAsia="宋体" w:cs="Times New Roman"/>
          <w:color w:val="auto"/>
          <w:kern w:val="1"/>
          <w:sz w:val="24"/>
          <w:szCs w:val="24"/>
          <w:highlight w:val="none"/>
          <w:u w:val="single"/>
          <w:lang w:val="en-US" w:eastAsia="zh-CN"/>
        </w:rPr>
      </w:pPr>
      <w:r>
        <w:rPr>
          <w:rFonts w:hint="eastAsia" w:ascii="宋体" w:hAnsi="宋体" w:eastAsia="宋体" w:cs="Times New Roman"/>
          <w:color w:val="auto"/>
          <w:kern w:val="1"/>
          <w:sz w:val="24"/>
          <w:szCs w:val="24"/>
          <w:highlight w:val="none"/>
          <w:u w:val="none"/>
          <w:lang w:val="en-US" w:eastAsia="zh-CN"/>
        </w:rPr>
        <w:t>联系电话：</w:t>
      </w:r>
      <w:r>
        <w:rPr>
          <w:rFonts w:hint="eastAsia" w:ascii="宋体" w:hAnsi="宋体" w:eastAsia="宋体" w:cs="仿宋_GB2312"/>
          <w:color w:val="auto"/>
          <w:kern w:val="0"/>
          <w:sz w:val="24"/>
          <w:szCs w:val="24"/>
          <w:highlight w:val="none"/>
          <w:u w:val="single"/>
        </w:rPr>
        <w:t xml:space="preserve">                  </w:t>
      </w:r>
      <w:r>
        <w:rPr>
          <w:rFonts w:hint="eastAsia" w:ascii="宋体" w:hAnsi="宋体" w:eastAsia="宋体" w:cs="Times New Roman"/>
          <w:color w:val="auto"/>
          <w:kern w:val="1"/>
          <w:sz w:val="24"/>
          <w:szCs w:val="24"/>
          <w:highlight w:val="none"/>
          <w:u w:val="single"/>
        </w:rPr>
        <w:t xml:space="preserve">  </w:t>
      </w:r>
      <w:r>
        <w:rPr>
          <w:rFonts w:hint="eastAsia" w:ascii="宋体" w:hAnsi="宋体" w:eastAsia="宋体" w:cs="Times New Roman"/>
          <w:color w:val="auto"/>
          <w:kern w:val="1"/>
          <w:sz w:val="24"/>
          <w:szCs w:val="24"/>
          <w:highlight w:val="none"/>
          <w:u w:val="single"/>
          <w:lang w:val="en-US" w:eastAsia="zh-CN"/>
        </w:rPr>
        <w:t xml:space="preserve">   </w:t>
      </w:r>
      <w:r>
        <w:rPr>
          <w:rFonts w:hint="eastAsia" w:ascii="宋体" w:hAnsi="宋体" w:eastAsia="宋体" w:cs="Times New Roman"/>
          <w:color w:val="auto"/>
          <w:kern w:val="1"/>
          <w:sz w:val="24"/>
          <w:szCs w:val="24"/>
          <w:highlight w:val="none"/>
          <w:u w:val="single"/>
        </w:rPr>
        <w:t xml:space="preserve"> </w:t>
      </w:r>
    </w:p>
    <w:p w14:paraId="0EEFF423">
      <w:pPr>
        <w:suppressAutoHyphens/>
        <w:spacing w:line="360" w:lineRule="auto"/>
        <w:ind w:firstLine="3120" w:firstLineChars="1300"/>
        <w:rPr>
          <w:rFonts w:ascii="宋体" w:hAnsi="宋体" w:eastAsia="宋体" w:cs="Times New Roman"/>
          <w:color w:val="auto"/>
          <w:kern w:val="1"/>
          <w:sz w:val="24"/>
          <w:szCs w:val="24"/>
          <w:highlight w:val="none"/>
        </w:rPr>
      </w:pPr>
    </w:p>
    <w:p w14:paraId="63FCEB75">
      <w:pPr>
        <w:suppressAutoHyphens/>
        <w:spacing w:line="360" w:lineRule="auto"/>
        <w:ind w:firstLine="4920" w:firstLineChars="2050"/>
        <w:rPr>
          <w:rFonts w:ascii="宋体" w:hAnsi="宋体" w:eastAsia="宋体" w:cs="Times New Roman"/>
          <w:color w:val="auto"/>
          <w:kern w:val="1"/>
          <w:sz w:val="24"/>
          <w:szCs w:val="24"/>
          <w:highlight w:val="none"/>
        </w:rPr>
      </w:pPr>
      <w:r>
        <w:rPr>
          <w:rFonts w:hint="eastAsia" w:ascii="宋体" w:hAnsi="宋体" w:eastAsia="宋体" w:cs="Times New Roman"/>
          <w:color w:val="auto"/>
          <w:kern w:val="1"/>
          <w:sz w:val="24"/>
          <w:szCs w:val="24"/>
          <w:highlight w:val="none"/>
          <w:u w:val="single"/>
        </w:rPr>
        <w:t xml:space="preserve">       </w:t>
      </w:r>
      <w:r>
        <w:rPr>
          <w:rFonts w:hint="eastAsia" w:ascii="宋体" w:hAnsi="宋体" w:eastAsia="宋体" w:cs="Times New Roman"/>
          <w:color w:val="auto"/>
          <w:kern w:val="1"/>
          <w:sz w:val="24"/>
          <w:szCs w:val="24"/>
          <w:highlight w:val="none"/>
        </w:rPr>
        <w:t>年</w:t>
      </w:r>
      <w:r>
        <w:rPr>
          <w:rFonts w:hint="eastAsia" w:ascii="宋体" w:hAnsi="宋体" w:eastAsia="宋体" w:cs="Times New Roman"/>
          <w:color w:val="auto"/>
          <w:kern w:val="1"/>
          <w:sz w:val="24"/>
          <w:szCs w:val="24"/>
          <w:highlight w:val="none"/>
          <w:u w:val="single"/>
        </w:rPr>
        <w:t xml:space="preserve">       </w:t>
      </w:r>
      <w:r>
        <w:rPr>
          <w:rFonts w:hint="eastAsia" w:ascii="宋体" w:hAnsi="宋体" w:eastAsia="宋体" w:cs="Times New Roman"/>
          <w:color w:val="auto"/>
          <w:kern w:val="1"/>
          <w:sz w:val="24"/>
          <w:szCs w:val="24"/>
          <w:highlight w:val="none"/>
        </w:rPr>
        <w:t>月</w:t>
      </w:r>
      <w:r>
        <w:rPr>
          <w:rFonts w:hint="eastAsia" w:ascii="宋体" w:hAnsi="宋体" w:eastAsia="宋体" w:cs="Times New Roman"/>
          <w:color w:val="auto"/>
          <w:kern w:val="1"/>
          <w:sz w:val="24"/>
          <w:szCs w:val="24"/>
          <w:highlight w:val="none"/>
          <w:u w:val="single"/>
        </w:rPr>
        <w:t xml:space="preserve">       </w:t>
      </w:r>
      <w:r>
        <w:rPr>
          <w:rFonts w:hint="eastAsia" w:ascii="宋体" w:hAnsi="宋体" w:eastAsia="宋体" w:cs="Times New Roman"/>
          <w:color w:val="auto"/>
          <w:kern w:val="1"/>
          <w:sz w:val="24"/>
          <w:szCs w:val="24"/>
          <w:highlight w:val="none"/>
        </w:rPr>
        <w:t>日</w:t>
      </w:r>
    </w:p>
    <w:p w14:paraId="26602CB4">
      <w:pPr>
        <w:widowControl/>
        <w:jc w:val="left"/>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 xml:space="preserve"> </w:t>
      </w:r>
    </w:p>
    <w:p w14:paraId="4BD2202E">
      <w:pPr>
        <w:widowControl/>
        <w:jc w:val="left"/>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 xml:space="preserve"> </w:t>
      </w:r>
    </w:p>
    <w:p w14:paraId="06FFFC3D">
      <w:pPr>
        <w:widowControl/>
        <w:jc w:val="left"/>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 xml:space="preserve"> </w:t>
      </w:r>
    </w:p>
    <w:p w14:paraId="60686530">
      <w:pPr>
        <w:widowControl/>
        <w:ind w:firstLine="360"/>
        <w:jc w:val="left"/>
        <w:rPr>
          <w:rFonts w:ascii="宋体" w:hAnsi="宋体" w:eastAsia="宋体" w:cs="宋体"/>
          <w:b/>
          <w:bCs/>
          <w:color w:val="auto"/>
          <w:spacing w:val="10"/>
          <w:kern w:val="0"/>
          <w:sz w:val="24"/>
          <w:highlight w:val="none"/>
        </w:rPr>
      </w:pPr>
    </w:p>
    <w:p w14:paraId="74D88BF3">
      <w:pPr>
        <w:spacing w:line="560" w:lineRule="exact"/>
        <w:rPr>
          <w:rFonts w:asciiTheme="minorEastAsia" w:hAnsiTheme="minorEastAsia" w:cstheme="minorEastAsia"/>
          <w:b/>
          <w:bCs/>
          <w:color w:val="auto"/>
          <w:kern w:val="0"/>
          <w:sz w:val="28"/>
          <w:szCs w:val="28"/>
          <w:highlight w:val="none"/>
        </w:rPr>
      </w:pPr>
    </w:p>
    <w:p w14:paraId="469CFB6F">
      <w:pPr>
        <w:rPr>
          <w:rFonts w:ascii="宋体" w:hAnsi="宋体" w:cs="宋体"/>
          <w:b/>
          <w:bCs/>
          <w:color w:val="auto"/>
          <w:sz w:val="24"/>
          <w:highlight w:val="none"/>
        </w:rPr>
      </w:pPr>
      <w:r>
        <w:rPr>
          <w:rFonts w:hint="eastAsia" w:ascii="宋体" w:hAnsi="宋体" w:cs="宋体"/>
          <w:b/>
          <w:bCs/>
          <w:color w:val="auto"/>
          <w:sz w:val="24"/>
          <w:highlight w:val="none"/>
        </w:rPr>
        <w:t xml:space="preserve"> </w:t>
      </w:r>
    </w:p>
    <w:p w14:paraId="798C72EB">
      <w:pPr>
        <w:pStyle w:val="3"/>
        <w:jc w:val="center"/>
        <w:rPr>
          <w:color w:val="auto"/>
          <w:highlight w:val="none"/>
        </w:rPr>
      </w:pPr>
      <w:bookmarkStart w:id="211" w:name="_Toc10352"/>
      <w:bookmarkEnd w:id="211"/>
      <w:r>
        <w:rPr>
          <w:rFonts w:hint="eastAsia" w:ascii="宋体" w:hAnsi="宋体" w:cs="宋体"/>
          <w:color w:val="auto"/>
          <w:szCs w:val="24"/>
          <w:highlight w:val="none"/>
        </w:rPr>
        <w:br w:type="page"/>
      </w:r>
      <w:r>
        <w:rPr>
          <w:rFonts w:hint="eastAsia"/>
          <w:color w:val="auto"/>
          <w:highlight w:val="none"/>
        </w:rPr>
        <w:t>四、投标承诺函</w:t>
      </w:r>
    </w:p>
    <w:p w14:paraId="1AA6B847">
      <w:pPr>
        <w:spacing w:line="360" w:lineRule="auto"/>
        <w:ind w:firstLine="480" w:firstLineChars="200"/>
        <w:rPr>
          <w:color w:val="auto"/>
          <w:sz w:val="24"/>
          <w:szCs w:val="28"/>
          <w:highlight w:val="none"/>
        </w:rPr>
      </w:pPr>
      <w:r>
        <w:rPr>
          <w:rFonts w:hint="eastAsia"/>
          <w:color w:val="auto"/>
          <w:sz w:val="24"/>
          <w:szCs w:val="28"/>
          <w:highlight w:val="none"/>
        </w:rPr>
        <w:t xml:space="preserve">致 （招标人）：                     </w:t>
      </w:r>
    </w:p>
    <w:p w14:paraId="5E77EBF3">
      <w:pPr>
        <w:spacing w:line="360" w:lineRule="auto"/>
        <w:ind w:firstLine="480" w:firstLineChars="200"/>
        <w:rPr>
          <w:color w:val="auto"/>
          <w:sz w:val="24"/>
          <w:szCs w:val="28"/>
          <w:highlight w:val="none"/>
        </w:rPr>
      </w:pPr>
      <w:r>
        <w:rPr>
          <w:rFonts w:hint="eastAsia"/>
          <w:color w:val="auto"/>
          <w:sz w:val="24"/>
          <w:szCs w:val="28"/>
          <w:highlight w:val="none"/>
        </w:rPr>
        <w:t>我公司作为本次采购项目的供应商，根据招标文件要求，现郑重承诺如下：</w:t>
      </w:r>
    </w:p>
    <w:p w14:paraId="742EFB4A">
      <w:pPr>
        <w:spacing w:line="360" w:lineRule="auto"/>
        <w:ind w:firstLine="480" w:firstLineChars="200"/>
        <w:rPr>
          <w:color w:val="auto"/>
          <w:sz w:val="24"/>
          <w:szCs w:val="28"/>
          <w:highlight w:val="none"/>
        </w:rPr>
      </w:pPr>
      <w:r>
        <w:rPr>
          <w:rFonts w:hint="eastAsia"/>
          <w:color w:val="auto"/>
          <w:sz w:val="24"/>
          <w:szCs w:val="28"/>
          <w:highlight w:val="none"/>
        </w:rPr>
        <w:t>一、具备《中华人民共和国政府采购法》第二十二条第一款和本项目规定的条件：</w:t>
      </w:r>
    </w:p>
    <w:p w14:paraId="71792EBC">
      <w:pPr>
        <w:spacing w:line="360" w:lineRule="auto"/>
        <w:ind w:firstLine="480" w:firstLineChars="200"/>
        <w:rPr>
          <w:color w:val="auto"/>
          <w:sz w:val="24"/>
          <w:szCs w:val="28"/>
          <w:highlight w:val="none"/>
        </w:rPr>
      </w:pPr>
      <w:r>
        <w:rPr>
          <w:rFonts w:hint="eastAsia"/>
          <w:color w:val="auto"/>
          <w:sz w:val="24"/>
          <w:szCs w:val="28"/>
          <w:highlight w:val="none"/>
        </w:rPr>
        <w:t>（一）具有独立承担民事责任的能力；</w:t>
      </w:r>
    </w:p>
    <w:p w14:paraId="7F539455">
      <w:pPr>
        <w:spacing w:line="360" w:lineRule="auto"/>
        <w:ind w:firstLine="480" w:firstLineChars="200"/>
        <w:rPr>
          <w:color w:val="auto"/>
          <w:sz w:val="24"/>
          <w:szCs w:val="28"/>
          <w:highlight w:val="none"/>
        </w:rPr>
      </w:pPr>
      <w:r>
        <w:rPr>
          <w:rFonts w:hint="eastAsia"/>
          <w:color w:val="auto"/>
          <w:sz w:val="24"/>
          <w:szCs w:val="28"/>
          <w:highlight w:val="none"/>
        </w:rPr>
        <w:t>（二）具有良好的商业信誉和健全的财务会计制度；</w:t>
      </w:r>
    </w:p>
    <w:p w14:paraId="365799C4">
      <w:pPr>
        <w:spacing w:line="360" w:lineRule="auto"/>
        <w:ind w:firstLine="480" w:firstLineChars="200"/>
        <w:rPr>
          <w:color w:val="auto"/>
          <w:sz w:val="24"/>
          <w:szCs w:val="28"/>
          <w:highlight w:val="none"/>
        </w:rPr>
      </w:pPr>
      <w:r>
        <w:rPr>
          <w:rFonts w:hint="eastAsia"/>
          <w:color w:val="auto"/>
          <w:sz w:val="24"/>
          <w:szCs w:val="28"/>
          <w:highlight w:val="none"/>
        </w:rPr>
        <w:t>（三）具有履行合同所必需的设备和专业技术能力；</w:t>
      </w:r>
    </w:p>
    <w:p w14:paraId="23C1242F">
      <w:pPr>
        <w:spacing w:line="360" w:lineRule="auto"/>
        <w:ind w:firstLine="480" w:firstLineChars="200"/>
        <w:rPr>
          <w:color w:val="auto"/>
          <w:sz w:val="24"/>
          <w:szCs w:val="28"/>
          <w:highlight w:val="none"/>
        </w:rPr>
      </w:pPr>
      <w:r>
        <w:rPr>
          <w:rFonts w:hint="eastAsia"/>
          <w:color w:val="auto"/>
          <w:sz w:val="24"/>
          <w:szCs w:val="28"/>
          <w:highlight w:val="none"/>
        </w:rPr>
        <w:t>（四）有依法缴纳税收的良好记录；</w:t>
      </w:r>
    </w:p>
    <w:p w14:paraId="3222A9DD">
      <w:pPr>
        <w:spacing w:line="360" w:lineRule="auto"/>
        <w:ind w:firstLine="480" w:firstLineChars="200"/>
        <w:rPr>
          <w:color w:val="auto"/>
          <w:sz w:val="24"/>
          <w:szCs w:val="28"/>
          <w:highlight w:val="none"/>
        </w:rPr>
      </w:pPr>
      <w:r>
        <w:rPr>
          <w:rFonts w:hint="eastAsia"/>
          <w:color w:val="auto"/>
          <w:sz w:val="24"/>
          <w:szCs w:val="28"/>
          <w:highlight w:val="none"/>
        </w:rPr>
        <w:t>（五）参加政府采购活动前三年内，在经营活动中没有重大违法记录；</w:t>
      </w:r>
    </w:p>
    <w:p w14:paraId="544D8B98">
      <w:pPr>
        <w:spacing w:line="360" w:lineRule="auto"/>
        <w:ind w:firstLine="480" w:firstLineChars="200"/>
        <w:rPr>
          <w:color w:val="auto"/>
          <w:sz w:val="24"/>
          <w:szCs w:val="28"/>
          <w:highlight w:val="none"/>
        </w:rPr>
      </w:pPr>
      <w:r>
        <w:rPr>
          <w:rFonts w:hint="eastAsia"/>
          <w:color w:val="auto"/>
          <w:sz w:val="24"/>
          <w:szCs w:val="28"/>
          <w:highlight w:val="none"/>
        </w:rPr>
        <w:t>（六）法律、行政法规规定的其他条件；</w:t>
      </w:r>
    </w:p>
    <w:p w14:paraId="5F91D877">
      <w:pPr>
        <w:spacing w:line="360" w:lineRule="auto"/>
        <w:ind w:firstLine="480" w:firstLineChars="200"/>
        <w:rPr>
          <w:color w:val="auto"/>
          <w:sz w:val="24"/>
          <w:szCs w:val="28"/>
          <w:highlight w:val="none"/>
        </w:rPr>
      </w:pPr>
      <w:r>
        <w:rPr>
          <w:rFonts w:hint="eastAsia"/>
          <w:color w:val="auto"/>
          <w:sz w:val="24"/>
          <w:szCs w:val="28"/>
          <w:highlight w:val="none"/>
        </w:rPr>
        <w:t>（七）根据采购项目提出的特殊条件。</w:t>
      </w:r>
    </w:p>
    <w:p w14:paraId="78BA3674">
      <w:pPr>
        <w:spacing w:line="360" w:lineRule="auto"/>
        <w:ind w:firstLine="480" w:firstLineChars="200"/>
        <w:rPr>
          <w:color w:val="auto"/>
          <w:sz w:val="24"/>
          <w:szCs w:val="28"/>
          <w:highlight w:val="none"/>
        </w:rPr>
      </w:pPr>
      <w:r>
        <w:rPr>
          <w:rFonts w:hint="eastAsia"/>
          <w:color w:val="auto"/>
          <w:sz w:val="24"/>
          <w:szCs w:val="28"/>
          <w:highlight w:val="none"/>
        </w:rPr>
        <w:t>二、完全接受和满足本项目招标文件中规定的实质性要求，如对竞招标文件有异议，已经在投标截止时间届满前依法进行维权救济，不存在对招标文件有异议的同时又参加投标以求侥幸中标或者为实现其他非法目的的行为。</w:t>
      </w:r>
    </w:p>
    <w:p w14:paraId="1A967DB7">
      <w:pPr>
        <w:spacing w:line="360" w:lineRule="auto"/>
        <w:ind w:firstLine="480" w:firstLineChars="200"/>
        <w:rPr>
          <w:color w:val="auto"/>
          <w:sz w:val="24"/>
          <w:szCs w:val="28"/>
          <w:highlight w:val="none"/>
        </w:rPr>
      </w:pPr>
      <w:r>
        <w:rPr>
          <w:rFonts w:hint="eastAsia"/>
          <w:color w:val="auto"/>
          <w:sz w:val="24"/>
          <w:szCs w:val="28"/>
          <w:highlight w:val="none"/>
        </w:rPr>
        <w:t>三、参加本次招标采购活动，不存在与单位负责人为同一人或者存在直接控股、管理关系的其他供应商参与同一合同项下的政府采购活动的行为。</w:t>
      </w:r>
    </w:p>
    <w:p w14:paraId="1B37D9C5">
      <w:pPr>
        <w:spacing w:line="360" w:lineRule="auto"/>
        <w:ind w:firstLine="480" w:firstLineChars="200"/>
        <w:rPr>
          <w:color w:val="auto"/>
          <w:sz w:val="24"/>
          <w:szCs w:val="28"/>
          <w:highlight w:val="none"/>
        </w:rPr>
      </w:pPr>
      <w:r>
        <w:rPr>
          <w:rFonts w:hint="eastAsia"/>
          <w:color w:val="auto"/>
          <w:sz w:val="24"/>
          <w:szCs w:val="28"/>
          <w:highlight w:val="none"/>
        </w:rPr>
        <w:t>四、参加本次招标采购活动，不存在为采购项目提供整体设计、规范编制或者项目管理、监理、检测等服务的行为。</w:t>
      </w:r>
    </w:p>
    <w:p w14:paraId="10109552">
      <w:pPr>
        <w:spacing w:line="360" w:lineRule="auto"/>
        <w:ind w:firstLine="480" w:firstLineChars="200"/>
        <w:rPr>
          <w:color w:val="auto"/>
          <w:sz w:val="24"/>
          <w:szCs w:val="28"/>
          <w:highlight w:val="none"/>
        </w:rPr>
      </w:pPr>
      <w:r>
        <w:rPr>
          <w:rFonts w:hint="eastAsia"/>
          <w:color w:val="auto"/>
          <w:sz w:val="24"/>
          <w:szCs w:val="28"/>
          <w:highlight w:val="none"/>
        </w:rPr>
        <w:t>五、参加本次招标采购活动，不存在和其他供应商在同一合同项下的采购项目中，同时委托同一个自然人、同一家庭的人员、同一单位的人员作为代理人的行为。</w:t>
      </w:r>
    </w:p>
    <w:p w14:paraId="7E57A13A">
      <w:pPr>
        <w:spacing w:line="360" w:lineRule="auto"/>
        <w:ind w:firstLine="480" w:firstLineChars="200"/>
        <w:rPr>
          <w:color w:val="auto"/>
          <w:sz w:val="24"/>
          <w:szCs w:val="28"/>
          <w:highlight w:val="none"/>
        </w:rPr>
      </w:pPr>
      <w:r>
        <w:rPr>
          <w:rFonts w:hint="eastAsia"/>
          <w:color w:val="auto"/>
          <w:sz w:val="24"/>
          <w:szCs w:val="28"/>
          <w:highlight w:val="none"/>
        </w:rPr>
        <w:t>六、供应商参加本次政府采购活动要求在近三年内供应商和其法定代表人没有行贿犯罪行为。</w:t>
      </w:r>
    </w:p>
    <w:p w14:paraId="6027C43E">
      <w:pPr>
        <w:spacing w:line="360" w:lineRule="auto"/>
        <w:ind w:firstLine="480" w:firstLineChars="200"/>
        <w:rPr>
          <w:color w:val="auto"/>
          <w:sz w:val="24"/>
          <w:szCs w:val="28"/>
          <w:highlight w:val="none"/>
        </w:rPr>
      </w:pPr>
      <w:r>
        <w:rPr>
          <w:rFonts w:hint="eastAsia"/>
          <w:color w:val="auto"/>
          <w:sz w:val="24"/>
          <w:szCs w:val="28"/>
          <w:highlight w:val="none"/>
        </w:rPr>
        <w:t>七、参加本次招标采购活动，不存在联合体投标。</w:t>
      </w:r>
    </w:p>
    <w:p w14:paraId="23AE0DDA">
      <w:pPr>
        <w:spacing w:line="360" w:lineRule="auto"/>
        <w:ind w:firstLine="480" w:firstLineChars="200"/>
        <w:rPr>
          <w:color w:val="auto"/>
          <w:sz w:val="24"/>
          <w:szCs w:val="28"/>
          <w:highlight w:val="none"/>
        </w:rPr>
      </w:pPr>
      <w:r>
        <w:rPr>
          <w:rFonts w:hint="eastAsia"/>
          <w:color w:val="auto"/>
          <w:sz w:val="24"/>
          <w:szCs w:val="28"/>
          <w:highlight w:val="none"/>
        </w:rPr>
        <w:t>八、投标文件中提供的能够给予我公司带来优惠、好处的任何材料资料和技术、服务、商务等响应承诺情况都是真实的、有效的、合法的。</w:t>
      </w:r>
    </w:p>
    <w:p w14:paraId="70F945DC">
      <w:pPr>
        <w:spacing w:line="360" w:lineRule="auto"/>
        <w:ind w:firstLine="480" w:firstLineChars="200"/>
        <w:rPr>
          <w:color w:val="auto"/>
          <w:sz w:val="24"/>
          <w:szCs w:val="28"/>
          <w:highlight w:val="none"/>
        </w:rPr>
      </w:pPr>
      <w:r>
        <w:rPr>
          <w:rFonts w:hint="eastAsia"/>
          <w:color w:val="auto"/>
          <w:sz w:val="24"/>
          <w:szCs w:val="28"/>
          <w:highlight w:val="none"/>
        </w:rPr>
        <w:t>九、如本项目评标过程中需要提供样品，则我公司提供的样品即为中标后将要提供的中标产品，我公司对提供样品的性能和质量负责，因样品存在缺陷或者不符合招标文件导致未能中标的，我公司愿意承担相应不利后果。（如提供样品）</w:t>
      </w:r>
    </w:p>
    <w:p w14:paraId="07C17A12">
      <w:pPr>
        <w:spacing w:line="360" w:lineRule="auto"/>
        <w:ind w:firstLine="480" w:firstLineChars="200"/>
        <w:rPr>
          <w:color w:val="auto"/>
          <w:sz w:val="24"/>
          <w:szCs w:val="28"/>
          <w:highlight w:val="none"/>
        </w:rPr>
      </w:pPr>
      <w:r>
        <w:rPr>
          <w:rFonts w:hint="eastAsia"/>
          <w:color w:val="auto"/>
          <w:sz w:val="24"/>
          <w:szCs w:val="28"/>
          <w:highlight w:val="none"/>
        </w:rPr>
        <w:t>十、存在以下行为之一的愿意接受相关部门的处理：</w:t>
      </w:r>
    </w:p>
    <w:p w14:paraId="7EAF0A45">
      <w:pPr>
        <w:spacing w:line="360" w:lineRule="auto"/>
        <w:ind w:firstLine="480" w:firstLineChars="200"/>
        <w:rPr>
          <w:color w:val="auto"/>
          <w:sz w:val="24"/>
          <w:szCs w:val="28"/>
          <w:highlight w:val="none"/>
        </w:rPr>
      </w:pPr>
      <w:r>
        <w:rPr>
          <w:rFonts w:hint="eastAsia"/>
          <w:color w:val="auto"/>
          <w:sz w:val="24"/>
          <w:szCs w:val="28"/>
          <w:highlight w:val="none"/>
        </w:rPr>
        <w:t>（一）投标有效期内撤销投标文件的；</w:t>
      </w:r>
    </w:p>
    <w:p w14:paraId="2C3B5CF4">
      <w:pPr>
        <w:spacing w:line="360" w:lineRule="auto"/>
        <w:ind w:firstLine="480" w:firstLineChars="200"/>
        <w:rPr>
          <w:color w:val="auto"/>
          <w:sz w:val="24"/>
          <w:szCs w:val="28"/>
          <w:highlight w:val="none"/>
        </w:rPr>
      </w:pPr>
      <w:r>
        <w:rPr>
          <w:rFonts w:hint="eastAsia"/>
          <w:color w:val="auto"/>
          <w:sz w:val="24"/>
          <w:szCs w:val="28"/>
          <w:highlight w:val="none"/>
        </w:rPr>
        <w:t>（二）在招标人确定中标人以前放弃中标候选资格的；</w:t>
      </w:r>
    </w:p>
    <w:p w14:paraId="340AC798">
      <w:pPr>
        <w:spacing w:line="360" w:lineRule="auto"/>
        <w:ind w:firstLine="480" w:firstLineChars="200"/>
        <w:rPr>
          <w:color w:val="auto"/>
          <w:sz w:val="24"/>
          <w:szCs w:val="28"/>
          <w:highlight w:val="none"/>
        </w:rPr>
      </w:pPr>
      <w:r>
        <w:rPr>
          <w:rFonts w:hint="eastAsia"/>
          <w:color w:val="auto"/>
          <w:sz w:val="24"/>
          <w:szCs w:val="28"/>
          <w:highlight w:val="none"/>
        </w:rPr>
        <w:t>（三）由于中标人的原因未能按照招标文件的规定与招标人签订合同；</w:t>
      </w:r>
    </w:p>
    <w:p w14:paraId="38F30972">
      <w:pPr>
        <w:spacing w:line="360" w:lineRule="auto"/>
        <w:ind w:firstLine="480" w:firstLineChars="200"/>
        <w:rPr>
          <w:color w:val="auto"/>
          <w:sz w:val="24"/>
          <w:szCs w:val="28"/>
          <w:highlight w:val="none"/>
        </w:rPr>
      </w:pPr>
      <w:r>
        <w:rPr>
          <w:rFonts w:hint="eastAsia"/>
          <w:color w:val="auto"/>
          <w:sz w:val="24"/>
          <w:szCs w:val="28"/>
          <w:highlight w:val="none"/>
        </w:rPr>
        <w:t>（四）在投标文件中提供虚假材料谋取中标；</w:t>
      </w:r>
    </w:p>
    <w:p w14:paraId="28B719C4">
      <w:pPr>
        <w:spacing w:line="360" w:lineRule="auto"/>
        <w:ind w:firstLine="480" w:firstLineChars="200"/>
        <w:rPr>
          <w:color w:val="auto"/>
          <w:sz w:val="24"/>
          <w:szCs w:val="28"/>
          <w:highlight w:val="none"/>
        </w:rPr>
      </w:pPr>
      <w:r>
        <w:rPr>
          <w:rFonts w:hint="eastAsia"/>
          <w:color w:val="auto"/>
          <w:sz w:val="24"/>
          <w:szCs w:val="28"/>
          <w:highlight w:val="none"/>
        </w:rPr>
        <w:t>（五）与招标人、其他供应商或者招标代理机构恶意串通的；</w:t>
      </w:r>
    </w:p>
    <w:p w14:paraId="15123B0B">
      <w:pPr>
        <w:spacing w:line="360" w:lineRule="auto"/>
        <w:ind w:firstLine="480" w:firstLineChars="200"/>
        <w:rPr>
          <w:color w:val="auto"/>
          <w:sz w:val="24"/>
          <w:szCs w:val="28"/>
          <w:highlight w:val="none"/>
        </w:rPr>
      </w:pPr>
      <w:r>
        <w:rPr>
          <w:rFonts w:hint="eastAsia"/>
          <w:color w:val="auto"/>
          <w:sz w:val="24"/>
          <w:szCs w:val="28"/>
          <w:highlight w:val="none"/>
        </w:rPr>
        <w:t>（六）投标有效期内，供应商在政府采购活动中有违法、违规、违纪行为。由此产生的一切法律后果和责任由我公司承担。我公司声明放弃对此提出任何异议和追索的权利。</w:t>
      </w:r>
    </w:p>
    <w:p w14:paraId="70D61B70">
      <w:pPr>
        <w:spacing w:line="360" w:lineRule="auto"/>
        <w:ind w:firstLine="480" w:firstLineChars="200"/>
        <w:rPr>
          <w:color w:val="auto"/>
          <w:sz w:val="24"/>
          <w:szCs w:val="28"/>
          <w:highlight w:val="none"/>
        </w:rPr>
      </w:pPr>
      <w:r>
        <w:rPr>
          <w:rFonts w:hint="eastAsia"/>
          <w:color w:val="auto"/>
          <w:sz w:val="24"/>
          <w:szCs w:val="28"/>
          <w:highlight w:val="none"/>
        </w:rPr>
        <w:t>本公司对上述承诺的内容事项真实性负责。如经查实上述承诺的内容事项存在虚假，我公司愿意接受以提供虚假材料谋取中标追究法律责任。</w:t>
      </w:r>
    </w:p>
    <w:p w14:paraId="6500F4C6">
      <w:pPr>
        <w:spacing w:line="360" w:lineRule="auto"/>
        <w:ind w:firstLine="480" w:firstLineChars="200"/>
        <w:rPr>
          <w:color w:val="auto"/>
          <w:sz w:val="24"/>
          <w:szCs w:val="28"/>
          <w:highlight w:val="none"/>
        </w:rPr>
      </w:pPr>
    </w:p>
    <w:p w14:paraId="38FD1962">
      <w:pPr>
        <w:spacing w:line="360" w:lineRule="auto"/>
        <w:ind w:firstLine="480" w:firstLineChars="200"/>
        <w:rPr>
          <w:color w:val="auto"/>
          <w:sz w:val="24"/>
          <w:szCs w:val="28"/>
          <w:highlight w:val="none"/>
        </w:rPr>
      </w:pPr>
      <w:bookmarkStart w:id="212" w:name="五、磋商报价明细表"/>
      <w:bookmarkEnd w:id="212"/>
    </w:p>
    <w:p w14:paraId="5F73448C">
      <w:pPr>
        <w:spacing w:line="360" w:lineRule="auto"/>
        <w:ind w:firstLine="480" w:firstLineChars="200"/>
        <w:rPr>
          <w:color w:val="auto"/>
          <w:sz w:val="24"/>
          <w:szCs w:val="28"/>
          <w:highlight w:val="none"/>
        </w:rPr>
      </w:pPr>
      <w:r>
        <w:rPr>
          <w:rFonts w:hint="eastAsia"/>
          <w:color w:val="auto"/>
          <w:sz w:val="24"/>
          <w:szCs w:val="28"/>
          <w:highlight w:val="none"/>
        </w:rPr>
        <w:t>供应商：                      （盖单位公章）</w:t>
      </w:r>
    </w:p>
    <w:p w14:paraId="78F77613">
      <w:pPr>
        <w:spacing w:line="360" w:lineRule="auto"/>
        <w:ind w:firstLine="480" w:firstLineChars="200"/>
        <w:rPr>
          <w:color w:val="auto"/>
          <w:sz w:val="24"/>
          <w:szCs w:val="28"/>
          <w:highlight w:val="none"/>
        </w:rPr>
      </w:pPr>
      <w:r>
        <w:rPr>
          <w:rFonts w:hint="eastAsia"/>
          <w:color w:val="auto"/>
          <w:sz w:val="24"/>
          <w:szCs w:val="28"/>
          <w:highlight w:val="none"/>
        </w:rPr>
        <w:t>法定代表人：              （电子签章）</w:t>
      </w:r>
    </w:p>
    <w:p w14:paraId="6FCA4B48">
      <w:pPr>
        <w:spacing w:line="360" w:lineRule="auto"/>
        <w:ind w:firstLine="480" w:firstLineChars="200"/>
        <w:rPr>
          <w:color w:val="auto"/>
          <w:sz w:val="24"/>
          <w:szCs w:val="28"/>
          <w:highlight w:val="none"/>
        </w:rPr>
      </w:pPr>
      <w:r>
        <w:rPr>
          <w:rFonts w:hint="eastAsia"/>
          <w:color w:val="auto"/>
          <w:sz w:val="24"/>
          <w:szCs w:val="28"/>
          <w:highlight w:val="none"/>
        </w:rPr>
        <w:t>日期：        年      月      日</w:t>
      </w:r>
    </w:p>
    <w:p w14:paraId="30C4809B">
      <w:pPr>
        <w:pStyle w:val="3"/>
        <w:jc w:val="center"/>
        <w:rPr>
          <w:color w:val="auto"/>
          <w:highlight w:val="none"/>
        </w:rPr>
      </w:pPr>
      <w:r>
        <w:rPr>
          <w:rFonts w:hint="eastAsia" w:ascii="宋体" w:hAnsi="宋体" w:cs="宋体"/>
          <w:color w:val="auto"/>
          <w:szCs w:val="24"/>
          <w:highlight w:val="none"/>
        </w:rPr>
        <w:br w:type="page"/>
      </w:r>
      <w:bookmarkStart w:id="213" w:name="_Toc528078071"/>
      <w:bookmarkEnd w:id="213"/>
      <w:bookmarkStart w:id="214" w:name="_Hlk3282331"/>
      <w:bookmarkEnd w:id="214"/>
      <w:bookmarkStart w:id="215" w:name="_Toc244934212"/>
      <w:bookmarkEnd w:id="215"/>
      <w:bookmarkStart w:id="216" w:name="_Toc361989462"/>
      <w:bookmarkEnd w:id="216"/>
      <w:bookmarkStart w:id="217" w:name="_Toc28663"/>
      <w:bookmarkStart w:id="218" w:name="_Toc6985"/>
      <w:bookmarkStart w:id="219" w:name="_Toc23028"/>
      <w:r>
        <w:rPr>
          <w:rFonts w:hint="eastAsia"/>
          <w:color w:val="auto"/>
          <w:highlight w:val="none"/>
        </w:rPr>
        <w:t>五、报价明细表</w:t>
      </w:r>
      <w:bookmarkEnd w:id="217"/>
      <w:bookmarkEnd w:id="218"/>
      <w:bookmarkEnd w:id="219"/>
    </w:p>
    <w:tbl>
      <w:tblPr>
        <w:tblStyle w:val="13"/>
        <w:tblW w:w="10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1356"/>
        <w:gridCol w:w="1458"/>
        <w:gridCol w:w="852"/>
        <w:gridCol w:w="945"/>
        <w:gridCol w:w="1320"/>
        <w:gridCol w:w="1342"/>
        <w:gridCol w:w="850"/>
        <w:gridCol w:w="850"/>
        <w:gridCol w:w="850"/>
      </w:tblGrid>
      <w:tr w14:paraId="5471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2EE5DCA6">
            <w:pPr>
              <w:jc w:val="center"/>
              <w:rPr>
                <w:rFonts w:ascii="宋体" w:hAnsi="宋体" w:cs="宋体"/>
                <w:color w:val="auto"/>
                <w:sz w:val="24"/>
                <w:highlight w:val="none"/>
              </w:rPr>
            </w:pPr>
            <w:r>
              <w:rPr>
                <w:rFonts w:hint="eastAsia" w:ascii="宋体" w:hAnsi="宋体" w:cs="宋体"/>
                <w:color w:val="auto"/>
                <w:sz w:val="24"/>
                <w:highlight w:val="none"/>
              </w:rPr>
              <w:t>序号</w:t>
            </w:r>
          </w:p>
        </w:tc>
        <w:tc>
          <w:tcPr>
            <w:tcW w:w="1356" w:type="dxa"/>
            <w:tcBorders>
              <w:top w:val="single" w:color="auto" w:sz="4" w:space="0"/>
              <w:left w:val="nil"/>
              <w:bottom w:val="single" w:color="auto" w:sz="4" w:space="0"/>
              <w:right w:val="single" w:color="auto" w:sz="4" w:space="0"/>
            </w:tcBorders>
            <w:vAlign w:val="center"/>
          </w:tcPr>
          <w:p w14:paraId="6695C95A">
            <w:pPr>
              <w:rPr>
                <w:rFonts w:ascii="宋体" w:hAnsi="宋体" w:cs="宋体"/>
                <w:color w:val="auto"/>
                <w:sz w:val="24"/>
                <w:szCs w:val="24"/>
                <w:highlight w:val="none"/>
              </w:rPr>
            </w:pPr>
            <w:r>
              <w:rPr>
                <w:rFonts w:hint="eastAsia" w:ascii="宋体" w:hAnsi="宋体" w:eastAsia="宋体" w:cs="宋体"/>
                <w:color w:val="auto"/>
                <w:sz w:val="24"/>
                <w:szCs w:val="24"/>
                <w:highlight w:val="none"/>
              </w:rPr>
              <w:t>设备名称</w:t>
            </w:r>
          </w:p>
        </w:tc>
        <w:tc>
          <w:tcPr>
            <w:tcW w:w="1458" w:type="dxa"/>
            <w:tcBorders>
              <w:top w:val="single" w:color="auto" w:sz="4" w:space="0"/>
              <w:left w:val="nil"/>
              <w:bottom w:val="single" w:color="auto" w:sz="4" w:space="0"/>
              <w:right w:val="single" w:color="auto" w:sz="4" w:space="0"/>
            </w:tcBorders>
            <w:vAlign w:val="center"/>
          </w:tcPr>
          <w:p w14:paraId="6B5F9ECB">
            <w:pPr>
              <w:jc w:val="center"/>
              <w:rPr>
                <w:rFonts w:ascii="宋体" w:hAnsi="宋体" w:cs="宋体"/>
                <w:color w:val="auto"/>
                <w:sz w:val="24"/>
                <w:szCs w:val="24"/>
                <w:highlight w:val="none"/>
              </w:rPr>
            </w:pPr>
            <w:r>
              <w:rPr>
                <w:rFonts w:hint="eastAsia" w:ascii="宋体" w:hAnsi="宋体" w:cs="宋体"/>
                <w:color w:val="auto"/>
                <w:sz w:val="24"/>
                <w:highlight w:val="none"/>
                <w:lang w:val="en-US" w:eastAsia="zh-CN"/>
              </w:rPr>
              <w:t>型号</w:t>
            </w:r>
          </w:p>
        </w:tc>
        <w:tc>
          <w:tcPr>
            <w:tcW w:w="852" w:type="dxa"/>
            <w:tcBorders>
              <w:top w:val="single" w:color="auto" w:sz="4" w:space="0"/>
              <w:left w:val="nil"/>
              <w:bottom w:val="single" w:color="auto" w:sz="4" w:space="0"/>
              <w:right w:val="single" w:color="auto" w:sz="4" w:space="0"/>
            </w:tcBorders>
            <w:vAlign w:val="center"/>
          </w:tcPr>
          <w:p w14:paraId="1F4A12B0">
            <w:pPr>
              <w:jc w:val="center"/>
              <w:rPr>
                <w:rFonts w:hint="eastAsia" w:ascii="宋体" w:hAnsi="宋体" w:cs="宋体" w:eastAsiaTheme="minorEastAsia"/>
                <w:color w:val="auto"/>
                <w:sz w:val="24"/>
                <w:highlight w:val="none"/>
                <w:lang w:val="en-US" w:eastAsia="zh-CN"/>
              </w:rPr>
            </w:pPr>
            <w:r>
              <w:rPr>
                <w:rFonts w:hint="eastAsia" w:ascii="宋体" w:hAnsi="宋体" w:cs="宋体"/>
                <w:color w:val="auto"/>
                <w:sz w:val="24"/>
                <w:highlight w:val="none"/>
                <w:lang w:val="en-US" w:eastAsia="zh-CN"/>
              </w:rPr>
              <w:t>品牌</w:t>
            </w:r>
          </w:p>
        </w:tc>
        <w:tc>
          <w:tcPr>
            <w:tcW w:w="945" w:type="dxa"/>
            <w:tcBorders>
              <w:top w:val="single" w:color="auto" w:sz="4" w:space="0"/>
              <w:left w:val="nil"/>
              <w:bottom w:val="single" w:color="auto" w:sz="4" w:space="0"/>
              <w:right w:val="single" w:color="auto" w:sz="4" w:space="0"/>
            </w:tcBorders>
            <w:vAlign w:val="center"/>
          </w:tcPr>
          <w:p w14:paraId="1C8F7D05">
            <w:pPr>
              <w:jc w:val="center"/>
              <w:rPr>
                <w:rFonts w:hint="eastAsia" w:ascii="宋体" w:hAnsi="宋体" w:cs="宋体" w:eastAsiaTheme="minorEastAsia"/>
                <w:color w:val="auto"/>
                <w:sz w:val="24"/>
                <w:highlight w:val="none"/>
                <w:lang w:val="en-US" w:eastAsia="zh-CN"/>
              </w:rPr>
            </w:pPr>
            <w:r>
              <w:rPr>
                <w:rFonts w:hint="eastAsia" w:ascii="宋体" w:hAnsi="宋体" w:cs="宋体"/>
                <w:color w:val="auto"/>
                <w:sz w:val="24"/>
                <w:highlight w:val="none"/>
                <w:lang w:val="en-US" w:eastAsia="zh-CN"/>
              </w:rPr>
              <w:t>制造商</w:t>
            </w:r>
          </w:p>
        </w:tc>
        <w:tc>
          <w:tcPr>
            <w:tcW w:w="1320" w:type="dxa"/>
            <w:tcBorders>
              <w:top w:val="single" w:color="auto" w:sz="4" w:space="0"/>
              <w:left w:val="nil"/>
              <w:bottom w:val="single" w:color="auto" w:sz="4" w:space="0"/>
              <w:right w:val="single" w:color="auto" w:sz="4" w:space="0"/>
            </w:tcBorders>
            <w:vAlign w:val="center"/>
          </w:tcPr>
          <w:p w14:paraId="2A2A2F5E">
            <w:pPr>
              <w:jc w:val="center"/>
              <w:rPr>
                <w:rFonts w:hint="eastAsia" w:ascii="宋体" w:hAnsi="宋体" w:cs="宋体" w:eastAsiaTheme="minorEastAsia"/>
                <w:color w:val="auto"/>
                <w:sz w:val="24"/>
                <w:highlight w:val="none"/>
                <w:lang w:val="en-US" w:eastAsia="zh-CN"/>
              </w:rPr>
            </w:pPr>
            <w:r>
              <w:rPr>
                <w:rFonts w:hint="eastAsia" w:ascii="宋体" w:hAnsi="宋体" w:cs="宋体"/>
                <w:color w:val="auto"/>
                <w:sz w:val="24"/>
                <w:highlight w:val="none"/>
              </w:rPr>
              <w:t>单位</w:t>
            </w:r>
          </w:p>
        </w:tc>
        <w:tc>
          <w:tcPr>
            <w:tcW w:w="1342" w:type="dxa"/>
            <w:tcBorders>
              <w:top w:val="single" w:color="auto" w:sz="4" w:space="0"/>
              <w:left w:val="nil"/>
              <w:bottom w:val="single" w:color="auto" w:sz="4" w:space="0"/>
              <w:right w:val="single" w:color="auto" w:sz="4" w:space="0"/>
            </w:tcBorders>
            <w:vAlign w:val="center"/>
          </w:tcPr>
          <w:p w14:paraId="17723770">
            <w:pPr>
              <w:jc w:val="center"/>
              <w:rPr>
                <w:rFonts w:ascii="宋体" w:hAnsi="宋体" w:cs="宋体"/>
                <w:color w:val="auto"/>
                <w:sz w:val="24"/>
                <w:highlight w:val="none"/>
              </w:rPr>
            </w:pPr>
            <w:r>
              <w:rPr>
                <w:rFonts w:hint="eastAsia" w:ascii="宋体" w:hAnsi="宋体" w:cs="宋体"/>
                <w:color w:val="auto"/>
                <w:sz w:val="24"/>
                <w:highlight w:val="none"/>
              </w:rPr>
              <w:t>数量</w:t>
            </w:r>
          </w:p>
        </w:tc>
        <w:tc>
          <w:tcPr>
            <w:tcW w:w="850" w:type="dxa"/>
            <w:tcBorders>
              <w:top w:val="single" w:color="auto" w:sz="4" w:space="0"/>
              <w:left w:val="nil"/>
              <w:bottom w:val="single" w:color="auto" w:sz="4" w:space="0"/>
              <w:right w:val="single" w:color="auto" w:sz="4" w:space="0"/>
            </w:tcBorders>
            <w:vAlign w:val="center"/>
          </w:tcPr>
          <w:p w14:paraId="5CA3D24E">
            <w:pPr>
              <w:jc w:val="center"/>
              <w:rPr>
                <w:rFonts w:ascii="宋体" w:hAnsi="宋体" w:cs="宋体"/>
                <w:color w:val="auto"/>
                <w:sz w:val="24"/>
                <w:highlight w:val="none"/>
              </w:rPr>
            </w:pPr>
            <w:r>
              <w:rPr>
                <w:rFonts w:hint="eastAsia" w:ascii="宋体" w:hAnsi="宋体" w:cs="宋体"/>
                <w:color w:val="auto"/>
                <w:sz w:val="24"/>
                <w:highlight w:val="none"/>
              </w:rPr>
              <w:t>单价（元）</w:t>
            </w:r>
          </w:p>
        </w:tc>
        <w:tc>
          <w:tcPr>
            <w:tcW w:w="850" w:type="dxa"/>
            <w:tcBorders>
              <w:top w:val="single" w:color="auto" w:sz="4" w:space="0"/>
              <w:left w:val="nil"/>
              <w:bottom w:val="single" w:color="auto" w:sz="4" w:space="0"/>
              <w:right w:val="single" w:color="auto" w:sz="4" w:space="0"/>
            </w:tcBorders>
            <w:vAlign w:val="center"/>
          </w:tcPr>
          <w:p w14:paraId="59D48D69">
            <w:pPr>
              <w:jc w:val="center"/>
              <w:rPr>
                <w:rFonts w:hint="eastAsia" w:ascii="宋体" w:hAnsi="宋体" w:cs="宋体"/>
                <w:color w:val="auto"/>
                <w:sz w:val="24"/>
                <w:highlight w:val="none"/>
              </w:rPr>
            </w:pPr>
            <w:r>
              <w:rPr>
                <w:rFonts w:hint="eastAsia" w:ascii="宋体" w:hAnsi="宋体" w:cs="宋体"/>
                <w:color w:val="auto"/>
                <w:sz w:val="24"/>
                <w:highlight w:val="none"/>
              </w:rPr>
              <w:t>合价（元）</w:t>
            </w:r>
          </w:p>
        </w:tc>
        <w:tc>
          <w:tcPr>
            <w:tcW w:w="850" w:type="dxa"/>
            <w:tcBorders>
              <w:top w:val="single" w:color="auto" w:sz="4" w:space="0"/>
              <w:left w:val="nil"/>
              <w:bottom w:val="single" w:color="auto" w:sz="4" w:space="0"/>
              <w:right w:val="single" w:color="auto" w:sz="4" w:space="0"/>
            </w:tcBorders>
            <w:vAlign w:val="center"/>
          </w:tcPr>
          <w:p w14:paraId="5ED7C0E3">
            <w:pPr>
              <w:jc w:val="center"/>
              <w:rPr>
                <w:rFonts w:hint="eastAsia" w:ascii="宋体" w:hAnsi="宋体" w:cs="宋体" w:eastAsiaTheme="minorEastAsia"/>
                <w:color w:val="auto"/>
                <w:sz w:val="24"/>
                <w:highlight w:val="none"/>
                <w:lang w:val="en-US" w:eastAsia="zh-CN"/>
              </w:rPr>
            </w:pPr>
            <w:r>
              <w:rPr>
                <w:rFonts w:hint="eastAsia" w:ascii="宋体" w:hAnsi="宋体" w:cs="宋体"/>
                <w:color w:val="auto"/>
                <w:sz w:val="24"/>
                <w:highlight w:val="none"/>
                <w:lang w:val="en-US" w:eastAsia="zh-CN"/>
              </w:rPr>
              <w:t>备注</w:t>
            </w:r>
          </w:p>
        </w:tc>
      </w:tr>
      <w:tr w14:paraId="735C8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285B6799">
            <w:pPr>
              <w:jc w:val="center"/>
              <w:rPr>
                <w:rFonts w:ascii="宋体" w:hAnsi="宋体" w:cs="宋体"/>
                <w:color w:val="auto"/>
                <w:sz w:val="24"/>
                <w:highlight w:val="none"/>
              </w:rPr>
            </w:pPr>
            <w:r>
              <w:rPr>
                <w:rFonts w:hint="eastAsia" w:ascii="宋体" w:hAnsi="宋体" w:cs="宋体"/>
                <w:color w:val="auto"/>
                <w:sz w:val="24"/>
                <w:highlight w:val="none"/>
              </w:rPr>
              <w:t>1</w:t>
            </w:r>
          </w:p>
        </w:tc>
        <w:tc>
          <w:tcPr>
            <w:tcW w:w="1356" w:type="dxa"/>
            <w:tcBorders>
              <w:top w:val="single" w:color="auto" w:sz="4" w:space="0"/>
              <w:left w:val="nil"/>
              <w:bottom w:val="single" w:color="auto" w:sz="4" w:space="0"/>
              <w:right w:val="single" w:color="auto" w:sz="4" w:space="0"/>
            </w:tcBorders>
            <w:vAlign w:val="center"/>
          </w:tcPr>
          <w:p w14:paraId="4BE8A38B">
            <w:pPr>
              <w:jc w:val="center"/>
              <w:rPr>
                <w:rFonts w:ascii="宋体" w:hAnsi="宋体" w:cs="宋体"/>
                <w:color w:val="auto"/>
                <w:sz w:val="24"/>
                <w:highlight w:val="none"/>
              </w:rPr>
            </w:pPr>
          </w:p>
        </w:tc>
        <w:tc>
          <w:tcPr>
            <w:tcW w:w="1458" w:type="dxa"/>
            <w:tcBorders>
              <w:top w:val="single" w:color="auto" w:sz="4" w:space="0"/>
              <w:left w:val="nil"/>
              <w:bottom w:val="single" w:color="auto" w:sz="4" w:space="0"/>
              <w:right w:val="single" w:color="auto" w:sz="4" w:space="0"/>
            </w:tcBorders>
            <w:vAlign w:val="center"/>
          </w:tcPr>
          <w:p w14:paraId="55DBBFEA">
            <w:pPr>
              <w:jc w:val="center"/>
              <w:rPr>
                <w:rFonts w:ascii="宋体" w:hAnsi="宋体" w:cs="宋体"/>
                <w:color w:val="auto"/>
                <w:sz w:val="24"/>
                <w:highlight w:val="none"/>
              </w:rPr>
            </w:pPr>
          </w:p>
        </w:tc>
        <w:tc>
          <w:tcPr>
            <w:tcW w:w="852" w:type="dxa"/>
            <w:tcBorders>
              <w:top w:val="single" w:color="auto" w:sz="4" w:space="0"/>
              <w:left w:val="nil"/>
              <w:bottom w:val="single" w:color="auto" w:sz="4" w:space="0"/>
              <w:right w:val="single" w:color="auto" w:sz="4" w:space="0"/>
            </w:tcBorders>
            <w:vAlign w:val="center"/>
          </w:tcPr>
          <w:p w14:paraId="295ED26C">
            <w:pPr>
              <w:jc w:val="center"/>
              <w:rPr>
                <w:rFonts w:ascii="宋体" w:hAnsi="宋体" w:cs="宋体"/>
                <w:color w:val="auto"/>
                <w:sz w:val="24"/>
                <w:highlight w:val="none"/>
              </w:rPr>
            </w:pPr>
          </w:p>
        </w:tc>
        <w:tc>
          <w:tcPr>
            <w:tcW w:w="945" w:type="dxa"/>
            <w:tcBorders>
              <w:top w:val="single" w:color="auto" w:sz="4" w:space="0"/>
              <w:left w:val="nil"/>
              <w:bottom w:val="single" w:color="auto" w:sz="4" w:space="0"/>
              <w:right w:val="single" w:color="auto" w:sz="4" w:space="0"/>
            </w:tcBorders>
            <w:vAlign w:val="center"/>
          </w:tcPr>
          <w:p w14:paraId="501F681B">
            <w:pPr>
              <w:jc w:val="center"/>
              <w:rPr>
                <w:rFonts w:ascii="宋体" w:hAnsi="宋体" w:cs="宋体"/>
                <w:color w:val="auto"/>
                <w:sz w:val="24"/>
                <w:highlight w:val="none"/>
              </w:rPr>
            </w:pPr>
          </w:p>
        </w:tc>
        <w:tc>
          <w:tcPr>
            <w:tcW w:w="1320" w:type="dxa"/>
            <w:tcBorders>
              <w:top w:val="single" w:color="auto" w:sz="4" w:space="0"/>
              <w:left w:val="nil"/>
              <w:bottom w:val="single" w:color="auto" w:sz="4" w:space="0"/>
              <w:right w:val="single" w:color="auto" w:sz="4" w:space="0"/>
            </w:tcBorders>
            <w:vAlign w:val="center"/>
          </w:tcPr>
          <w:p w14:paraId="75A457F9">
            <w:pPr>
              <w:jc w:val="center"/>
              <w:rPr>
                <w:rFonts w:ascii="宋体" w:hAnsi="宋体" w:cs="宋体"/>
                <w:color w:val="auto"/>
                <w:sz w:val="24"/>
                <w:highlight w:val="none"/>
              </w:rPr>
            </w:pPr>
          </w:p>
        </w:tc>
        <w:tc>
          <w:tcPr>
            <w:tcW w:w="1342" w:type="dxa"/>
            <w:tcBorders>
              <w:top w:val="single" w:color="auto" w:sz="4" w:space="0"/>
              <w:left w:val="nil"/>
              <w:bottom w:val="single" w:color="auto" w:sz="4" w:space="0"/>
              <w:right w:val="single" w:color="auto" w:sz="4" w:space="0"/>
            </w:tcBorders>
            <w:vAlign w:val="center"/>
          </w:tcPr>
          <w:p w14:paraId="7D99564C">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2654A428">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44518DCE">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31F171AB">
            <w:pPr>
              <w:jc w:val="center"/>
              <w:rPr>
                <w:rFonts w:ascii="宋体" w:hAnsi="宋体" w:cs="宋体"/>
                <w:color w:val="auto"/>
                <w:sz w:val="24"/>
                <w:highlight w:val="none"/>
              </w:rPr>
            </w:pPr>
          </w:p>
        </w:tc>
      </w:tr>
      <w:tr w14:paraId="2A41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2B2089BB">
            <w:pPr>
              <w:jc w:val="center"/>
              <w:rPr>
                <w:rFonts w:ascii="宋体" w:hAnsi="宋体" w:cs="宋体"/>
                <w:color w:val="auto"/>
                <w:sz w:val="24"/>
                <w:highlight w:val="none"/>
              </w:rPr>
            </w:pPr>
            <w:r>
              <w:rPr>
                <w:rFonts w:hint="eastAsia" w:ascii="宋体" w:hAnsi="宋体" w:cs="宋体"/>
                <w:color w:val="auto"/>
                <w:sz w:val="24"/>
                <w:highlight w:val="none"/>
              </w:rPr>
              <w:t>2</w:t>
            </w:r>
          </w:p>
        </w:tc>
        <w:tc>
          <w:tcPr>
            <w:tcW w:w="1356" w:type="dxa"/>
            <w:tcBorders>
              <w:top w:val="single" w:color="auto" w:sz="4" w:space="0"/>
              <w:left w:val="nil"/>
              <w:bottom w:val="single" w:color="auto" w:sz="4" w:space="0"/>
              <w:right w:val="single" w:color="auto" w:sz="4" w:space="0"/>
            </w:tcBorders>
            <w:vAlign w:val="center"/>
          </w:tcPr>
          <w:p w14:paraId="4CB27BB6">
            <w:pPr>
              <w:jc w:val="center"/>
              <w:rPr>
                <w:rFonts w:ascii="宋体" w:hAnsi="宋体" w:cs="宋体"/>
                <w:color w:val="auto"/>
                <w:sz w:val="24"/>
                <w:highlight w:val="none"/>
              </w:rPr>
            </w:pPr>
          </w:p>
        </w:tc>
        <w:tc>
          <w:tcPr>
            <w:tcW w:w="1458" w:type="dxa"/>
            <w:tcBorders>
              <w:top w:val="single" w:color="auto" w:sz="4" w:space="0"/>
              <w:left w:val="nil"/>
              <w:bottom w:val="single" w:color="auto" w:sz="4" w:space="0"/>
              <w:right w:val="single" w:color="auto" w:sz="4" w:space="0"/>
            </w:tcBorders>
            <w:vAlign w:val="center"/>
          </w:tcPr>
          <w:p w14:paraId="48112049">
            <w:pPr>
              <w:jc w:val="center"/>
              <w:rPr>
                <w:rFonts w:ascii="宋体" w:hAnsi="宋体" w:cs="宋体"/>
                <w:color w:val="auto"/>
                <w:sz w:val="24"/>
                <w:highlight w:val="none"/>
              </w:rPr>
            </w:pPr>
          </w:p>
        </w:tc>
        <w:tc>
          <w:tcPr>
            <w:tcW w:w="852" w:type="dxa"/>
            <w:tcBorders>
              <w:top w:val="single" w:color="auto" w:sz="4" w:space="0"/>
              <w:left w:val="nil"/>
              <w:bottom w:val="single" w:color="auto" w:sz="4" w:space="0"/>
              <w:right w:val="single" w:color="auto" w:sz="4" w:space="0"/>
            </w:tcBorders>
            <w:vAlign w:val="center"/>
          </w:tcPr>
          <w:p w14:paraId="392D6D91">
            <w:pPr>
              <w:jc w:val="center"/>
              <w:rPr>
                <w:rFonts w:ascii="宋体" w:hAnsi="宋体" w:cs="宋体"/>
                <w:color w:val="auto"/>
                <w:sz w:val="24"/>
                <w:highlight w:val="none"/>
              </w:rPr>
            </w:pPr>
          </w:p>
        </w:tc>
        <w:tc>
          <w:tcPr>
            <w:tcW w:w="945" w:type="dxa"/>
            <w:tcBorders>
              <w:top w:val="single" w:color="auto" w:sz="4" w:space="0"/>
              <w:left w:val="nil"/>
              <w:bottom w:val="single" w:color="auto" w:sz="4" w:space="0"/>
              <w:right w:val="single" w:color="auto" w:sz="4" w:space="0"/>
            </w:tcBorders>
            <w:vAlign w:val="center"/>
          </w:tcPr>
          <w:p w14:paraId="05C5D91C">
            <w:pPr>
              <w:jc w:val="center"/>
              <w:rPr>
                <w:rFonts w:ascii="宋体" w:hAnsi="宋体" w:cs="宋体"/>
                <w:color w:val="auto"/>
                <w:sz w:val="24"/>
                <w:highlight w:val="none"/>
              </w:rPr>
            </w:pPr>
          </w:p>
        </w:tc>
        <w:tc>
          <w:tcPr>
            <w:tcW w:w="1320" w:type="dxa"/>
            <w:tcBorders>
              <w:top w:val="single" w:color="auto" w:sz="4" w:space="0"/>
              <w:left w:val="nil"/>
              <w:bottom w:val="single" w:color="auto" w:sz="4" w:space="0"/>
              <w:right w:val="single" w:color="auto" w:sz="4" w:space="0"/>
            </w:tcBorders>
            <w:vAlign w:val="center"/>
          </w:tcPr>
          <w:p w14:paraId="19D237AF">
            <w:pPr>
              <w:jc w:val="center"/>
              <w:rPr>
                <w:rFonts w:ascii="宋体" w:hAnsi="宋体" w:cs="宋体"/>
                <w:color w:val="auto"/>
                <w:sz w:val="24"/>
                <w:highlight w:val="none"/>
              </w:rPr>
            </w:pPr>
          </w:p>
        </w:tc>
        <w:tc>
          <w:tcPr>
            <w:tcW w:w="1342" w:type="dxa"/>
            <w:tcBorders>
              <w:top w:val="single" w:color="auto" w:sz="4" w:space="0"/>
              <w:left w:val="nil"/>
              <w:bottom w:val="single" w:color="auto" w:sz="4" w:space="0"/>
              <w:right w:val="single" w:color="auto" w:sz="4" w:space="0"/>
            </w:tcBorders>
            <w:vAlign w:val="center"/>
          </w:tcPr>
          <w:p w14:paraId="7D33F77A">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32577481">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4F3D96D2">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6D1F09AB">
            <w:pPr>
              <w:jc w:val="center"/>
              <w:rPr>
                <w:rFonts w:ascii="宋体" w:hAnsi="宋体" w:cs="宋体"/>
                <w:color w:val="auto"/>
                <w:sz w:val="24"/>
                <w:highlight w:val="none"/>
              </w:rPr>
            </w:pPr>
          </w:p>
        </w:tc>
      </w:tr>
      <w:tr w14:paraId="1E833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63F6114F">
            <w:pPr>
              <w:jc w:val="center"/>
              <w:rPr>
                <w:rFonts w:ascii="宋体" w:hAnsi="宋体" w:cs="宋体"/>
                <w:color w:val="auto"/>
                <w:sz w:val="24"/>
                <w:highlight w:val="none"/>
              </w:rPr>
            </w:pPr>
            <w:r>
              <w:rPr>
                <w:rFonts w:hint="eastAsia" w:ascii="宋体" w:hAnsi="宋体" w:cs="宋体"/>
                <w:color w:val="auto"/>
                <w:sz w:val="24"/>
                <w:highlight w:val="none"/>
              </w:rPr>
              <w:t>3</w:t>
            </w:r>
          </w:p>
        </w:tc>
        <w:tc>
          <w:tcPr>
            <w:tcW w:w="1356" w:type="dxa"/>
            <w:tcBorders>
              <w:top w:val="single" w:color="auto" w:sz="4" w:space="0"/>
              <w:left w:val="nil"/>
              <w:bottom w:val="single" w:color="auto" w:sz="4" w:space="0"/>
              <w:right w:val="single" w:color="auto" w:sz="4" w:space="0"/>
            </w:tcBorders>
            <w:vAlign w:val="center"/>
          </w:tcPr>
          <w:p w14:paraId="34263363">
            <w:pPr>
              <w:jc w:val="center"/>
              <w:rPr>
                <w:rFonts w:ascii="宋体" w:hAnsi="宋体" w:cs="宋体"/>
                <w:color w:val="auto"/>
                <w:sz w:val="24"/>
                <w:highlight w:val="none"/>
              </w:rPr>
            </w:pPr>
          </w:p>
        </w:tc>
        <w:tc>
          <w:tcPr>
            <w:tcW w:w="1458" w:type="dxa"/>
            <w:tcBorders>
              <w:top w:val="single" w:color="auto" w:sz="4" w:space="0"/>
              <w:left w:val="nil"/>
              <w:bottom w:val="single" w:color="auto" w:sz="4" w:space="0"/>
              <w:right w:val="single" w:color="auto" w:sz="4" w:space="0"/>
            </w:tcBorders>
            <w:vAlign w:val="center"/>
          </w:tcPr>
          <w:p w14:paraId="7C692B57">
            <w:pPr>
              <w:jc w:val="center"/>
              <w:rPr>
                <w:rFonts w:ascii="宋体" w:hAnsi="宋体" w:cs="宋体"/>
                <w:color w:val="auto"/>
                <w:sz w:val="24"/>
                <w:highlight w:val="none"/>
              </w:rPr>
            </w:pPr>
          </w:p>
        </w:tc>
        <w:tc>
          <w:tcPr>
            <w:tcW w:w="852" w:type="dxa"/>
            <w:tcBorders>
              <w:top w:val="single" w:color="auto" w:sz="4" w:space="0"/>
              <w:left w:val="nil"/>
              <w:bottom w:val="single" w:color="auto" w:sz="4" w:space="0"/>
              <w:right w:val="single" w:color="auto" w:sz="4" w:space="0"/>
            </w:tcBorders>
            <w:vAlign w:val="center"/>
          </w:tcPr>
          <w:p w14:paraId="1164B541">
            <w:pPr>
              <w:jc w:val="center"/>
              <w:rPr>
                <w:rFonts w:ascii="宋体" w:hAnsi="宋体" w:cs="宋体"/>
                <w:color w:val="auto"/>
                <w:sz w:val="24"/>
                <w:highlight w:val="none"/>
              </w:rPr>
            </w:pPr>
          </w:p>
        </w:tc>
        <w:tc>
          <w:tcPr>
            <w:tcW w:w="945" w:type="dxa"/>
            <w:tcBorders>
              <w:top w:val="single" w:color="auto" w:sz="4" w:space="0"/>
              <w:left w:val="nil"/>
              <w:bottom w:val="single" w:color="auto" w:sz="4" w:space="0"/>
              <w:right w:val="single" w:color="auto" w:sz="4" w:space="0"/>
            </w:tcBorders>
            <w:vAlign w:val="center"/>
          </w:tcPr>
          <w:p w14:paraId="1576A9D7">
            <w:pPr>
              <w:jc w:val="center"/>
              <w:rPr>
                <w:rFonts w:ascii="宋体" w:hAnsi="宋体" w:cs="宋体"/>
                <w:color w:val="auto"/>
                <w:sz w:val="24"/>
                <w:highlight w:val="none"/>
              </w:rPr>
            </w:pPr>
          </w:p>
        </w:tc>
        <w:tc>
          <w:tcPr>
            <w:tcW w:w="1320" w:type="dxa"/>
            <w:tcBorders>
              <w:top w:val="single" w:color="auto" w:sz="4" w:space="0"/>
              <w:left w:val="nil"/>
              <w:bottom w:val="single" w:color="auto" w:sz="4" w:space="0"/>
              <w:right w:val="single" w:color="auto" w:sz="4" w:space="0"/>
            </w:tcBorders>
            <w:vAlign w:val="center"/>
          </w:tcPr>
          <w:p w14:paraId="2BF79773">
            <w:pPr>
              <w:jc w:val="center"/>
              <w:rPr>
                <w:rFonts w:ascii="宋体" w:hAnsi="宋体" w:cs="宋体"/>
                <w:color w:val="auto"/>
                <w:sz w:val="24"/>
                <w:highlight w:val="none"/>
              </w:rPr>
            </w:pPr>
          </w:p>
        </w:tc>
        <w:tc>
          <w:tcPr>
            <w:tcW w:w="1342" w:type="dxa"/>
            <w:tcBorders>
              <w:top w:val="single" w:color="auto" w:sz="4" w:space="0"/>
              <w:left w:val="nil"/>
              <w:bottom w:val="single" w:color="auto" w:sz="4" w:space="0"/>
              <w:right w:val="single" w:color="auto" w:sz="4" w:space="0"/>
            </w:tcBorders>
            <w:vAlign w:val="center"/>
          </w:tcPr>
          <w:p w14:paraId="336001B6">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1AC3D42C">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6303E0DA">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092672F3">
            <w:pPr>
              <w:jc w:val="center"/>
              <w:rPr>
                <w:rFonts w:ascii="宋体" w:hAnsi="宋体" w:cs="宋体"/>
                <w:color w:val="auto"/>
                <w:sz w:val="24"/>
                <w:highlight w:val="none"/>
              </w:rPr>
            </w:pPr>
          </w:p>
        </w:tc>
      </w:tr>
      <w:tr w14:paraId="4A15A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4D0F4061">
            <w:pPr>
              <w:jc w:val="center"/>
              <w:rPr>
                <w:rFonts w:ascii="宋体" w:hAnsi="宋体" w:cs="宋体"/>
                <w:color w:val="auto"/>
                <w:sz w:val="24"/>
                <w:highlight w:val="none"/>
              </w:rPr>
            </w:pPr>
            <w:r>
              <w:rPr>
                <w:rFonts w:hint="eastAsia" w:ascii="宋体" w:hAnsi="宋体" w:cs="宋体"/>
                <w:color w:val="auto"/>
                <w:sz w:val="24"/>
                <w:highlight w:val="none"/>
              </w:rPr>
              <w:t>4</w:t>
            </w:r>
          </w:p>
        </w:tc>
        <w:tc>
          <w:tcPr>
            <w:tcW w:w="1356" w:type="dxa"/>
            <w:tcBorders>
              <w:top w:val="single" w:color="auto" w:sz="4" w:space="0"/>
              <w:left w:val="nil"/>
              <w:bottom w:val="single" w:color="auto" w:sz="4" w:space="0"/>
              <w:right w:val="single" w:color="auto" w:sz="4" w:space="0"/>
            </w:tcBorders>
            <w:vAlign w:val="center"/>
          </w:tcPr>
          <w:p w14:paraId="763A05C3">
            <w:pPr>
              <w:jc w:val="center"/>
              <w:rPr>
                <w:rFonts w:ascii="宋体" w:hAnsi="宋体" w:cs="宋体"/>
                <w:color w:val="auto"/>
                <w:sz w:val="24"/>
                <w:highlight w:val="none"/>
              </w:rPr>
            </w:pPr>
          </w:p>
        </w:tc>
        <w:tc>
          <w:tcPr>
            <w:tcW w:w="1458" w:type="dxa"/>
            <w:tcBorders>
              <w:top w:val="single" w:color="auto" w:sz="4" w:space="0"/>
              <w:left w:val="nil"/>
              <w:bottom w:val="single" w:color="auto" w:sz="4" w:space="0"/>
              <w:right w:val="single" w:color="auto" w:sz="4" w:space="0"/>
            </w:tcBorders>
            <w:vAlign w:val="center"/>
          </w:tcPr>
          <w:p w14:paraId="2F77DE1E">
            <w:pPr>
              <w:jc w:val="center"/>
              <w:rPr>
                <w:rFonts w:ascii="宋体" w:hAnsi="宋体" w:cs="宋体"/>
                <w:color w:val="auto"/>
                <w:sz w:val="24"/>
                <w:highlight w:val="none"/>
              </w:rPr>
            </w:pPr>
          </w:p>
        </w:tc>
        <w:tc>
          <w:tcPr>
            <w:tcW w:w="852" w:type="dxa"/>
            <w:tcBorders>
              <w:top w:val="single" w:color="auto" w:sz="4" w:space="0"/>
              <w:left w:val="nil"/>
              <w:bottom w:val="single" w:color="auto" w:sz="4" w:space="0"/>
              <w:right w:val="single" w:color="auto" w:sz="4" w:space="0"/>
            </w:tcBorders>
            <w:vAlign w:val="center"/>
          </w:tcPr>
          <w:p w14:paraId="18424432">
            <w:pPr>
              <w:jc w:val="center"/>
              <w:rPr>
                <w:rFonts w:ascii="宋体" w:hAnsi="宋体" w:cs="宋体"/>
                <w:color w:val="auto"/>
                <w:sz w:val="24"/>
                <w:highlight w:val="none"/>
              </w:rPr>
            </w:pPr>
          </w:p>
        </w:tc>
        <w:tc>
          <w:tcPr>
            <w:tcW w:w="945" w:type="dxa"/>
            <w:tcBorders>
              <w:top w:val="single" w:color="auto" w:sz="4" w:space="0"/>
              <w:left w:val="nil"/>
              <w:bottom w:val="single" w:color="auto" w:sz="4" w:space="0"/>
              <w:right w:val="single" w:color="auto" w:sz="4" w:space="0"/>
            </w:tcBorders>
            <w:vAlign w:val="center"/>
          </w:tcPr>
          <w:p w14:paraId="26A7E656">
            <w:pPr>
              <w:jc w:val="center"/>
              <w:rPr>
                <w:rFonts w:ascii="宋体" w:hAnsi="宋体" w:cs="宋体"/>
                <w:color w:val="auto"/>
                <w:sz w:val="24"/>
                <w:highlight w:val="none"/>
              </w:rPr>
            </w:pPr>
          </w:p>
        </w:tc>
        <w:tc>
          <w:tcPr>
            <w:tcW w:w="1320" w:type="dxa"/>
            <w:tcBorders>
              <w:top w:val="single" w:color="auto" w:sz="4" w:space="0"/>
              <w:left w:val="nil"/>
              <w:bottom w:val="single" w:color="auto" w:sz="4" w:space="0"/>
              <w:right w:val="single" w:color="auto" w:sz="4" w:space="0"/>
            </w:tcBorders>
            <w:vAlign w:val="center"/>
          </w:tcPr>
          <w:p w14:paraId="2CFE8363">
            <w:pPr>
              <w:jc w:val="center"/>
              <w:rPr>
                <w:rFonts w:ascii="宋体" w:hAnsi="宋体" w:cs="宋体"/>
                <w:color w:val="auto"/>
                <w:sz w:val="24"/>
                <w:highlight w:val="none"/>
              </w:rPr>
            </w:pPr>
          </w:p>
        </w:tc>
        <w:tc>
          <w:tcPr>
            <w:tcW w:w="1342" w:type="dxa"/>
            <w:tcBorders>
              <w:top w:val="single" w:color="auto" w:sz="4" w:space="0"/>
              <w:left w:val="nil"/>
              <w:bottom w:val="single" w:color="auto" w:sz="4" w:space="0"/>
              <w:right w:val="single" w:color="auto" w:sz="4" w:space="0"/>
            </w:tcBorders>
            <w:vAlign w:val="center"/>
          </w:tcPr>
          <w:p w14:paraId="2EFE014D">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5286EDC5">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6840F3F2">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2B2D33F5">
            <w:pPr>
              <w:jc w:val="center"/>
              <w:rPr>
                <w:rFonts w:ascii="宋体" w:hAnsi="宋体" w:cs="宋体"/>
                <w:color w:val="auto"/>
                <w:sz w:val="24"/>
                <w:highlight w:val="none"/>
              </w:rPr>
            </w:pPr>
          </w:p>
        </w:tc>
      </w:tr>
      <w:tr w14:paraId="27B13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3958F083">
            <w:pPr>
              <w:jc w:val="center"/>
              <w:rPr>
                <w:rFonts w:ascii="宋体" w:hAnsi="宋体" w:cs="宋体"/>
                <w:color w:val="auto"/>
                <w:sz w:val="24"/>
                <w:highlight w:val="none"/>
              </w:rPr>
            </w:pPr>
            <w:r>
              <w:rPr>
                <w:rFonts w:hint="eastAsia" w:ascii="宋体" w:hAnsi="宋体" w:cs="宋体"/>
                <w:color w:val="auto"/>
                <w:sz w:val="24"/>
                <w:highlight w:val="none"/>
              </w:rPr>
              <w:t>5</w:t>
            </w:r>
          </w:p>
        </w:tc>
        <w:tc>
          <w:tcPr>
            <w:tcW w:w="1356" w:type="dxa"/>
            <w:tcBorders>
              <w:top w:val="single" w:color="auto" w:sz="4" w:space="0"/>
              <w:left w:val="nil"/>
              <w:bottom w:val="single" w:color="auto" w:sz="4" w:space="0"/>
              <w:right w:val="single" w:color="auto" w:sz="4" w:space="0"/>
            </w:tcBorders>
            <w:vAlign w:val="center"/>
          </w:tcPr>
          <w:p w14:paraId="4E14B8A9">
            <w:pPr>
              <w:jc w:val="center"/>
              <w:rPr>
                <w:rFonts w:ascii="宋体" w:hAnsi="宋体" w:cs="宋体"/>
                <w:color w:val="auto"/>
                <w:sz w:val="24"/>
                <w:highlight w:val="none"/>
              </w:rPr>
            </w:pPr>
          </w:p>
        </w:tc>
        <w:tc>
          <w:tcPr>
            <w:tcW w:w="1458" w:type="dxa"/>
            <w:tcBorders>
              <w:top w:val="single" w:color="auto" w:sz="4" w:space="0"/>
              <w:left w:val="nil"/>
              <w:bottom w:val="single" w:color="auto" w:sz="4" w:space="0"/>
              <w:right w:val="single" w:color="auto" w:sz="4" w:space="0"/>
            </w:tcBorders>
            <w:vAlign w:val="center"/>
          </w:tcPr>
          <w:p w14:paraId="1EE7D585">
            <w:pPr>
              <w:jc w:val="center"/>
              <w:rPr>
                <w:rFonts w:ascii="宋体" w:hAnsi="宋体" w:cs="宋体"/>
                <w:color w:val="auto"/>
                <w:sz w:val="24"/>
                <w:highlight w:val="none"/>
              </w:rPr>
            </w:pPr>
          </w:p>
        </w:tc>
        <w:tc>
          <w:tcPr>
            <w:tcW w:w="852" w:type="dxa"/>
            <w:tcBorders>
              <w:top w:val="single" w:color="auto" w:sz="4" w:space="0"/>
              <w:left w:val="nil"/>
              <w:bottom w:val="single" w:color="auto" w:sz="4" w:space="0"/>
              <w:right w:val="single" w:color="auto" w:sz="4" w:space="0"/>
            </w:tcBorders>
            <w:vAlign w:val="center"/>
          </w:tcPr>
          <w:p w14:paraId="78F99851">
            <w:pPr>
              <w:jc w:val="center"/>
              <w:rPr>
                <w:rFonts w:ascii="宋体" w:hAnsi="宋体" w:cs="宋体"/>
                <w:color w:val="auto"/>
                <w:sz w:val="24"/>
                <w:highlight w:val="none"/>
              </w:rPr>
            </w:pPr>
          </w:p>
        </w:tc>
        <w:tc>
          <w:tcPr>
            <w:tcW w:w="945" w:type="dxa"/>
            <w:tcBorders>
              <w:top w:val="single" w:color="auto" w:sz="4" w:space="0"/>
              <w:left w:val="nil"/>
              <w:bottom w:val="single" w:color="auto" w:sz="4" w:space="0"/>
              <w:right w:val="single" w:color="auto" w:sz="4" w:space="0"/>
            </w:tcBorders>
            <w:vAlign w:val="center"/>
          </w:tcPr>
          <w:p w14:paraId="1A801495">
            <w:pPr>
              <w:jc w:val="center"/>
              <w:rPr>
                <w:rFonts w:ascii="宋体" w:hAnsi="宋体" w:cs="宋体"/>
                <w:color w:val="auto"/>
                <w:sz w:val="24"/>
                <w:highlight w:val="none"/>
              </w:rPr>
            </w:pPr>
          </w:p>
        </w:tc>
        <w:tc>
          <w:tcPr>
            <w:tcW w:w="1320" w:type="dxa"/>
            <w:tcBorders>
              <w:top w:val="single" w:color="auto" w:sz="4" w:space="0"/>
              <w:left w:val="nil"/>
              <w:bottom w:val="single" w:color="auto" w:sz="4" w:space="0"/>
              <w:right w:val="single" w:color="auto" w:sz="4" w:space="0"/>
            </w:tcBorders>
            <w:vAlign w:val="center"/>
          </w:tcPr>
          <w:p w14:paraId="01CAF445">
            <w:pPr>
              <w:jc w:val="center"/>
              <w:rPr>
                <w:rFonts w:ascii="宋体" w:hAnsi="宋体" w:cs="宋体"/>
                <w:color w:val="auto"/>
                <w:sz w:val="24"/>
                <w:highlight w:val="none"/>
              </w:rPr>
            </w:pPr>
          </w:p>
        </w:tc>
        <w:tc>
          <w:tcPr>
            <w:tcW w:w="1342" w:type="dxa"/>
            <w:tcBorders>
              <w:top w:val="single" w:color="auto" w:sz="4" w:space="0"/>
              <w:left w:val="nil"/>
              <w:bottom w:val="single" w:color="auto" w:sz="4" w:space="0"/>
              <w:right w:val="single" w:color="auto" w:sz="4" w:space="0"/>
            </w:tcBorders>
            <w:vAlign w:val="center"/>
          </w:tcPr>
          <w:p w14:paraId="50BFFD33">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58F5E62D">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2C1C70AC">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26E68D2A">
            <w:pPr>
              <w:jc w:val="center"/>
              <w:rPr>
                <w:rFonts w:ascii="宋体" w:hAnsi="宋体" w:cs="宋体"/>
                <w:color w:val="auto"/>
                <w:sz w:val="24"/>
                <w:highlight w:val="none"/>
              </w:rPr>
            </w:pPr>
          </w:p>
        </w:tc>
      </w:tr>
      <w:tr w14:paraId="75168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16B0F475">
            <w:pPr>
              <w:jc w:val="center"/>
              <w:rPr>
                <w:rFonts w:ascii="宋体" w:hAnsi="宋体" w:cs="宋体"/>
                <w:color w:val="auto"/>
                <w:sz w:val="24"/>
                <w:highlight w:val="none"/>
              </w:rPr>
            </w:pPr>
            <w:r>
              <w:rPr>
                <w:rFonts w:hint="eastAsia" w:ascii="宋体" w:hAnsi="宋体" w:cs="宋体"/>
                <w:color w:val="auto"/>
                <w:sz w:val="24"/>
                <w:highlight w:val="none"/>
              </w:rPr>
              <w:t>6</w:t>
            </w:r>
          </w:p>
        </w:tc>
        <w:tc>
          <w:tcPr>
            <w:tcW w:w="1356" w:type="dxa"/>
            <w:tcBorders>
              <w:top w:val="single" w:color="auto" w:sz="4" w:space="0"/>
              <w:left w:val="nil"/>
              <w:bottom w:val="single" w:color="auto" w:sz="4" w:space="0"/>
              <w:right w:val="single" w:color="auto" w:sz="4" w:space="0"/>
            </w:tcBorders>
            <w:vAlign w:val="center"/>
          </w:tcPr>
          <w:p w14:paraId="5287BFCD">
            <w:pPr>
              <w:jc w:val="center"/>
              <w:rPr>
                <w:rFonts w:ascii="宋体" w:hAnsi="宋体" w:cs="宋体"/>
                <w:color w:val="auto"/>
                <w:sz w:val="24"/>
                <w:highlight w:val="none"/>
              </w:rPr>
            </w:pPr>
          </w:p>
        </w:tc>
        <w:tc>
          <w:tcPr>
            <w:tcW w:w="1458" w:type="dxa"/>
            <w:tcBorders>
              <w:top w:val="single" w:color="auto" w:sz="4" w:space="0"/>
              <w:left w:val="nil"/>
              <w:bottom w:val="single" w:color="auto" w:sz="4" w:space="0"/>
              <w:right w:val="single" w:color="auto" w:sz="4" w:space="0"/>
            </w:tcBorders>
            <w:vAlign w:val="center"/>
          </w:tcPr>
          <w:p w14:paraId="5666ACD2">
            <w:pPr>
              <w:jc w:val="center"/>
              <w:rPr>
                <w:rFonts w:ascii="宋体" w:hAnsi="宋体" w:cs="宋体"/>
                <w:color w:val="auto"/>
                <w:sz w:val="24"/>
                <w:highlight w:val="none"/>
              </w:rPr>
            </w:pPr>
          </w:p>
        </w:tc>
        <w:tc>
          <w:tcPr>
            <w:tcW w:w="852" w:type="dxa"/>
            <w:tcBorders>
              <w:top w:val="single" w:color="auto" w:sz="4" w:space="0"/>
              <w:left w:val="nil"/>
              <w:bottom w:val="single" w:color="auto" w:sz="4" w:space="0"/>
              <w:right w:val="single" w:color="auto" w:sz="4" w:space="0"/>
            </w:tcBorders>
            <w:vAlign w:val="center"/>
          </w:tcPr>
          <w:p w14:paraId="5AD1C1DE">
            <w:pPr>
              <w:jc w:val="center"/>
              <w:rPr>
                <w:rFonts w:ascii="宋体" w:hAnsi="宋体" w:cs="宋体"/>
                <w:color w:val="auto"/>
                <w:sz w:val="24"/>
                <w:highlight w:val="none"/>
              </w:rPr>
            </w:pPr>
          </w:p>
        </w:tc>
        <w:tc>
          <w:tcPr>
            <w:tcW w:w="945" w:type="dxa"/>
            <w:tcBorders>
              <w:top w:val="single" w:color="auto" w:sz="4" w:space="0"/>
              <w:left w:val="nil"/>
              <w:bottom w:val="single" w:color="auto" w:sz="4" w:space="0"/>
              <w:right w:val="single" w:color="auto" w:sz="4" w:space="0"/>
            </w:tcBorders>
            <w:vAlign w:val="center"/>
          </w:tcPr>
          <w:p w14:paraId="03F55632">
            <w:pPr>
              <w:jc w:val="center"/>
              <w:rPr>
                <w:rFonts w:ascii="宋体" w:hAnsi="宋体" w:cs="宋体"/>
                <w:color w:val="auto"/>
                <w:sz w:val="24"/>
                <w:highlight w:val="none"/>
              </w:rPr>
            </w:pPr>
          </w:p>
        </w:tc>
        <w:tc>
          <w:tcPr>
            <w:tcW w:w="1320" w:type="dxa"/>
            <w:tcBorders>
              <w:top w:val="single" w:color="auto" w:sz="4" w:space="0"/>
              <w:left w:val="nil"/>
              <w:bottom w:val="single" w:color="auto" w:sz="4" w:space="0"/>
              <w:right w:val="single" w:color="auto" w:sz="4" w:space="0"/>
            </w:tcBorders>
            <w:vAlign w:val="center"/>
          </w:tcPr>
          <w:p w14:paraId="00DCF1EC">
            <w:pPr>
              <w:jc w:val="center"/>
              <w:rPr>
                <w:rFonts w:ascii="宋体" w:hAnsi="宋体" w:cs="宋体"/>
                <w:color w:val="auto"/>
                <w:sz w:val="24"/>
                <w:highlight w:val="none"/>
              </w:rPr>
            </w:pPr>
          </w:p>
        </w:tc>
        <w:tc>
          <w:tcPr>
            <w:tcW w:w="1342" w:type="dxa"/>
            <w:tcBorders>
              <w:top w:val="single" w:color="auto" w:sz="4" w:space="0"/>
              <w:left w:val="nil"/>
              <w:bottom w:val="single" w:color="auto" w:sz="4" w:space="0"/>
              <w:right w:val="single" w:color="auto" w:sz="4" w:space="0"/>
            </w:tcBorders>
            <w:vAlign w:val="center"/>
          </w:tcPr>
          <w:p w14:paraId="789279FD">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0D25547B">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2830BFFA">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58542FD0">
            <w:pPr>
              <w:jc w:val="center"/>
              <w:rPr>
                <w:rFonts w:ascii="宋体" w:hAnsi="宋体" w:cs="宋体"/>
                <w:color w:val="auto"/>
                <w:sz w:val="24"/>
                <w:highlight w:val="none"/>
              </w:rPr>
            </w:pPr>
          </w:p>
        </w:tc>
      </w:tr>
      <w:tr w14:paraId="56553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38282AFE">
            <w:pPr>
              <w:jc w:val="center"/>
              <w:rPr>
                <w:rFonts w:ascii="宋体" w:hAnsi="宋体" w:cs="宋体"/>
                <w:color w:val="auto"/>
                <w:sz w:val="24"/>
                <w:highlight w:val="none"/>
              </w:rPr>
            </w:pPr>
            <w:r>
              <w:rPr>
                <w:rFonts w:hint="eastAsia" w:ascii="宋体" w:hAnsi="宋体" w:cs="宋体"/>
                <w:color w:val="auto"/>
                <w:sz w:val="24"/>
                <w:highlight w:val="none"/>
              </w:rPr>
              <w:t>7</w:t>
            </w:r>
          </w:p>
        </w:tc>
        <w:tc>
          <w:tcPr>
            <w:tcW w:w="1356" w:type="dxa"/>
            <w:tcBorders>
              <w:top w:val="single" w:color="auto" w:sz="4" w:space="0"/>
              <w:left w:val="nil"/>
              <w:bottom w:val="single" w:color="auto" w:sz="4" w:space="0"/>
              <w:right w:val="single" w:color="auto" w:sz="4" w:space="0"/>
            </w:tcBorders>
            <w:vAlign w:val="center"/>
          </w:tcPr>
          <w:p w14:paraId="22255C22">
            <w:pPr>
              <w:jc w:val="center"/>
              <w:rPr>
                <w:rFonts w:ascii="宋体" w:hAnsi="宋体" w:cs="宋体"/>
                <w:color w:val="auto"/>
                <w:sz w:val="24"/>
                <w:highlight w:val="none"/>
              </w:rPr>
            </w:pPr>
          </w:p>
        </w:tc>
        <w:tc>
          <w:tcPr>
            <w:tcW w:w="1458" w:type="dxa"/>
            <w:tcBorders>
              <w:top w:val="single" w:color="auto" w:sz="4" w:space="0"/>
              <w:left w:val="nil"/>
              <w:bottom w:val="single" w:color="auto" w:sz="4" w:space="0"/>
              <w:right w:val="single" w:color="auto" w:sz="4" w:space="0"/>
            </w:tcBorders>
            <w:vAlign w:val="center"/>
          </w:tcPr>
          <w:p w14:paraId="37E3EBCA">
            <w:pPr>
              <w:jc w:val="center"/>
              <w:rPr>
                <w:rFonts w:ascii="宋体" w:hAnsi="宋体" w:cs="宋体"/>
                <w:color w:val="auto"/>
                <w:sz w:val="24"/>
                <w:highlight w:val="none"/>
              </w:rPr>
            </w:pPr>
          </w:p>
        </w:tc>
        <w:tc>
          <w:tcPr>
            <w:tcW w:w="852" w:type="dxa"/>
            <w:tcBorders>
              <w:top w:val="single" w:color="auto" w:sz="4" w:space="0"/>
              <w:left w:val="nil"/>
              <w:bottom w:val="single" w:color="auto" w:sz="4" w:space="0"/>
              <w:right w:val="single" w:color="auto" w:sz="4" w:space="0"/>
            </w:tcBorders>
            <w:vAlign w:val="center"/>
          </w:tcPr>
          <w:p w14:paraId="35DA9AAC">
            <w:pPr>
              <w:jc w:val="center"/>
              <w:rPr>
                <w:rFonts w:ascii="宋体" w:hAnsi="宋体" w:cs="宋体"/>
                <w:color w:val="auto"/>
                <w:sz w:val="24"/>
                <w:highlight w:val="none"/>
              </w:rPr>
            </w:pPr>
          </w:p>
        </w:tc>
        <w:tc>
          <w:tcPr>
            <w:tcW w:w="945" w:type="dxa"/>
            <w:tcBorders>
              <w:top w:val="single" w:color="auto" w:sz="4" w:space="0"/>
              <w:left w:val="nil"/>
              <w:bottom w:val="single" w:color="auto" w:sz="4" w:space="0"/>
              <w:right w:val="single" w:color="auto" w:sz="4" w:space="0"/>
            </w:tcBorders>
            <w:vAlign w:val="center"/>
          </w:tcPr>
          <w:p w14:paraId="2C9F0E63">
            <w:pPr>
              <w:jc w:val="center"/>
              <w:rPr>
                <w:rFonts w:ascii="宋体" w:hAnsi="宋体" w:cs="宋体"/>
                <w:color w:val="auto"/>
                <w:sz w:val="24"/>
                <w:highlight w:val="none"/>
              </w:rPr>
            </w:pPr>
          </w:p>
        </w:tc>
        <w:tc>
          <w:tcPr>
            <w:tcW w:w="1320" w:type="dxa"/>
            <w:tcBorders>
              <w:top w:val="single" w:color="auto" w:sz="4" w:space="0"/>
              <w:left w:val="nil"/>
              <w:bottom w:val="single" w:color="auto" w:sz="4" w:space="0"/>
              <w:right w:val="single" w:color="auto" w:sz="4" w:space="0"/>
            </w:tcBorders>
            <w:vAlign w:val="center"/>
          </w:tcPr>
          <w:p w14:paraId="326C765F">
            <w:pPr>
              <w:jc w:val="center"/>
              <w:rPr>
                <w:rFonts w:ascii="宋体" w:hAnsi="宋体" w:cs="宋体"/>
                <w:color w:val="auto"/>
                <w:sz w:val="24"/>
                <w:highlight w:val="none"/>
              </w:rPr>
            </w:pPr>
          </w:p>
        </w:tc>
        <w:tc>
          <w:tcPr>
            <w:tcW w:w="1342" w:type="dxa"/>
            <w:tcBorders>
              <w:top w:val="single" w:color="auto" w:sz="4" w:space="0"/>
              <w:left w:val="nil"/>
              <w:bottom w:val="single" w:color="auto" w:sz="4" w:space="0"/>
              <w:right w:val="single" w:color="auto" w:sz="4" w:space="0"/>
            </w:tcBorders>
            <w:vAlign w:val="center"/>
          </w:tcPr>
          <w:p w14:paraId="6019107A">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3607B732">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73279048">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3280DCD7">
            <w:pPr>
              <w:jc w:val="center"/>
              <w:rPr>
                <w:rFonts w:ascii="宋体" w:hAnsi="宋体" w:cs="宋体"/>
                <w:color w:val="auto"/>
                <w:sz w:val="24"/>
                <w:highlight w:val="none"/>
              </w:rPr>
            </w:pPr>
          </w:p>
        </w:tc>
      </w:tr>
      <w:tr w14:paraId="6C4C4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7BEA1449">
            <w:pPr>
              <w:jc w:val="center"/>
              <w:rPr>
                <w:rFonts w:ascii="宋体" w:hAnsi="宋体" w:cs="宋体"/>
                <w:color w:val="auto"/>
                <w:sz w:val="24"/>
                <w:highlight w:val="none"/>
              </w:rPr>
            </w:pPr>
            <w:r>
              <w:rPr>
                <w:rFonts w:hint="eastAsia" w:ascii="宋体" w:hAnsi="宋体" w:cs="宋体"/>
                <w:color w:val="auto"/>
                <w:sz w:val="24"/>
                <w:highlight w:val="none"/>
              </w:rPr>
              <w:t>8</w:t>
            </w:r>
          </w:p>
        </w:tc>
        <w:tc>
          <w:tcPr>
            <w:tcW w:w="1356" w:type="dxa"/>
            <w:tcBorders>
              <w:top w:val="single" w:color="auto" w:sz="4" w:space="0"/>
              <w:left w:val="nil"/>
              <w:bottom w:val="single" w:color="auto" w:sz="4" w:space="0"/>
              <w:right w:val="single" w:color="auto" w:sz="4" w:space="0"/>
            </w:tcBorders>
            <w:vAlign w:val="center"/>
          </w:tcPr>
          <w:p w14:paraId="6DE84907">
            <w:pPr>
              <w:jc w:val="center"/>
              <w:rPr>
                <w:rFonts w:ascii="宋体" w:hAnsi="宋体" w:cs="宋体"/>
                <w:color w:val="auto"/>
                <w:sz w:val="24"/>
                <w:highlight w:val="none"/>
              </w:rPr>
            </w:pPr>
          </w:p>
        </w:tc>
        <w:tc>
          <w:tcPr>
            <w:tcW w:w="1458" w:type="dxa"/>
            <w:tcBorders>
              <w:top w:val="single" w:color="auto" w:sz="4" w:space="0"/>
              <w:left w:val="nil"/>
              <w:bottom w:val="single" w:color="auto" w:sz="4" w:space="0"/>
              <w:right w:val="single" w:color="auto" w:sz="4" w:space="0"/>
            </w:tcBorders>
            <w:vAlign w:val="center"/>
          </w:tcPr>
          <w:p w14:paraId="1F0F7B0A">
            <w:pPr>
              <w:jc w:val="center"/>
              <w:rPr>
                <w:rFonts w:ascii="宋体" w:hAnsi="宋体" w:cs="宋体"/>
                <w:color w:val="auto"/>
                <w:sz w:val="24"/>
                <w:highlight w:val="none"/>
              </w:rPr>
            </w:pPr>
          </w:p>
        </w:tc>
        <w:tc>
          <w:tcPr>
            <w:tcW w:w="852" w:type="dxa"/>
            <w:tcBorders>
              <w:top w:val="single" w:color="auto" w:sz="4" w:space="0"/>
              <w:left w:val="nil"/>
              <w:bottom w:val="single" w:color="auto" w:sz="4" w:space="0"/>
              <w:right w:val="single" w:color="auto" w:sz="4" w:space="0"/>
            </w:tcBorders>
            <w:vAlign w:val="center"/>
          </w:tcPr>
          <w:p w14:paraId="7CE139CE">
            <w:pPr>
              <w:jc w:val="center"/>
              <w:rPr>
                <w:rFonts w:ascii="宋体" w:hAnsi="宋体" w:cs="宋体"/>
                <w:color w:val="auto"/>
                <w:sz w:val="24"/>
                <w:highlight w:val="none"/>
              </w:rPr>
            </w:pPr>
          </w:p>
        </w:tc>
        <w:tc>
          <w:tcPr>
            <w:tcW w:w="945" w:type="dxa"/>
            <w:tcBorders>
              <w:top w:val="single" w:color="auto" w:sz="4" w:space="0"/>
              <w:left w:val="nil"/>
              <w:bottom w:val="single" w:color="auto" w:sz="4" w:space="0"/>
              <w:right w:val="single" w:color="auto" w:sz="4" w:space="0"/>
            </w:tcBorders>
            <w:vAlign w:val="center"/>
          </w:tcPr>
          <w:p w14:paraId="4FA74593">
            <w:pPr>
              <w:jc w:val="center"/>
              <w:rPr>
                <w:rFonts w:ascii="宋体" w:hAnsi="宋体" w:cs="宋体"/>
                <w:color w:val="auto"/>
                <w:sz w:val="24"/>
                <w:highlight w:val="none"/>
              </w:rPr>
            </w:pPr>
          </w:p>
        </w:tc>
        <w:tc>
          <w:tcPr>
            <w:tcW w:w="1320" w:type="dxa"/>
            <w:tcBorders>
              <w:top w:val="single" w:color="auto" w:sz="4" w:space="0"/>
              <w:left w:val="nil"/>
              <w:bottom w:val="single" w:color="auto" w:sz="4" w:space="0"/>
              <w:right w:val="single" w:color="auto" w:sz="4" w:space="0"/>
            </w:tcBorders>
            <w:vAlign w:val="center"/>
          </w:tcPr>
          <w:p w14:paraId="7DC7B869">
            <w:pPr>
              <w:jc w:val="center"/>
              <w:rPr>
                <w:rFonts w:ascii="宋体" w:hAnsi="宋体" w:cs="宋体"/>
                <w:color w:val="auto"/>
                <w:sz w:val="24"/>
                <w:highlight w:val="none"/>
              </w:rPr>
            </w:pPr>
          </w:p>
        </w:tc>
        <w:tc>
          <w:tcPr>
            <w:tcW w:w="1342" w:type="dxa"/>
            <w:tcBorders>
              <w:top w:val="single" w:color="auto" w:sz="4" w:space="0"/>
              <w:left w:val="nil"/>
              <w:bottom w:val="single" w:color="auto" w:sz="4" w:space="0"/>
              <w:right w:val="single" w:color="auto" w:sz="4" w:space="0"/>
            </w:tcBorders>
            <w:vAlign w:val="center"/>
          </w:tcPr>
          <w:p w14:paraId="19EDC41F">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30C1C082">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3B8211D3">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53101734">
            <w:pPr>
              <w:jc w:val="center"/>
              <w:rPr>
                <w:rFonts w:ascii="宋体" w:hAnsi="宋体" w:cs="宋体"/>
                <w:color w:val="auto"/>
                <w:sz w:val="24"/>
                <w:highlight w:val="none"/>
              </w:rPr>
            </w:pPr>
          </w:p>
        </w:tc>
      </w:tr>
      <w:tr w14:paraId="0F6C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745" w:type="dxa"/>
            <w:tcBorders>
              <w:top w:val="single" w:color="auto" w:sz="4" w:space="0"/>
              <w:left w:val="single" w:color="auto" w:sz="4" w:space="0"/>
              <w:bottom w:val="single" w:color="auto" w:sz="4" w:space="0"/>
              <w:right w:val="single" w:color="auto" w:sz="4" w:space="0"/>
            </w:tcBorders>
            <w:vAlign w:val="center"/>
          </w:tcPr>
          <w:p w14:paraId="5D1624B2">
            <w:pPr>
              <w:jc w:val="center"/>
              <w:rPr>
                <w:color w:val="auto"/>
                <w:highlight w:val="none"/>
              </w:rPr>
            </w:pPr>
            <w:r>
              <w:rPr>
                <w:rFonts w:hint="eastAsia"/>
                <w:color w:val="auto"/>
                <w:highlight w:val="none"/>
              </w:rPr>
              <w:t>...</w:t>
            </w:r>
          </w:p>
          <w:p w14:paraId="474D522E">
            <w:pPr>
              <w:jc w:val="center"/>
              <w:rPr>
                <w:color w:val="auto"/>
                <w:highlight w:val="none"/>
              </w:rPr>
            </w:pPr>
            <w:r>
              <w:rPr>
                <w:rFonts w:hint="eastAsia" w:ascii="宋体" w:hAnsi="宋体" w:eastAsia="宋体" w:cs="宋体"/>
                <w:color w:val="auto"/>
                <w:sz w:val="24"/>
                <w:szCs w:val="24"/>
                <w:highlight w:val="none"/>
              </w:rPr>
              <w:t>自行补充</w:t>
            </w:r>
          </w:p>
        </w:tc>
        <w:tc>
          <w:tcPr>
            <w:tcW w:w="1356" w:type="dxa"/>
            <w:tcBorders>
              <w:top w:val="single" w:color="auto" w:sz="4" w:space="0"/>
              <w:left w:val="nil"/>
              <w:bottom w:val="single" w:color="auto" w:sz="4" w:space="0"/>
              <w:right w:val="single" w:color="auto" w:sz="4" w:space="0"/>
            </w:tcBorders>
            <w:vAlign w:val="center"/>
          </w:tcPr>
          <w:p w14:paraId="3030C30A">
            <w:pPr>
              <w:jc w:val="center"/>
              <w:rPr>
                <w:rFonts w:ascii="宋体" w:hAnsi="宋体" w:cs="宋体"/>
                <w:color w:val="auto"/>
                <w:sz w:val="24"/>
                <w:highlight w:val="none"/>
              </w:rPr>
            </w:pPr>
          </w:p>
        </w:tc>
        <w:tc>
          <w:tcPr>
            <w:tcW w:w="1458" w:type="dxa"/>
            <w:tcBorders>
              <w:top w:val="single" w:color="auto" w:sz="4" w:space="0"/>
              <w:left w:val="nil"/>
              <w:bottom w:val="single" w:color="auto" w:sz="4" w:space="0"/>
              <w:right w:val="single" w:color="auto" w:sz="4" w:space="0"/>
            </w:tcBorders>
            <w:vAlign w:val="center"/>
          </w:tcPr>
          <w:p w14:paraId="039CACF8">
            <w:pPr>
              <w:jc w:val="center"/>
              <w:rPr>
                <w:rFonts w:ascii="宋体" w:hAnsi="宋体" w:cs="宋体"/>
                <w:color w:val="auto"/>
                <w:sz w:val="24"/>
                <w:highlight w:val="none"/>
              </w:rPr>
            </w:pPr>
          </w:p>
        </w:tc>
        <w:tc>
          <w:tcPr>
            <w:tcW w:w="852" w:type="dxa"/>
            <w:tcBorders>
              <w:top w:val="single" w:color="auto" w:sz="4" w:space="0"/>
              <w:left w:val="nil"/>
              <w:bottom w:val="single" w:color="auto" w:sz="4" w:space="0"/>
              <w:right w:val="single" w:color="auto" w:sz="4" w:space="0"/>
            </w:tcBorders>
            <w:vAlign w:val="center"/>
          </w:tcPr>
          <w:p w14:paraId="41150B63">
            <w:pPr>
              <w:jc w:val="center"/>
              <w:rPr>
                <w:rFonts w:ascii="宋体" w:hAnsi="宋体" w:cs="宋体"/>
                <w:color w:val="auto"/>
                <w:sz w:val="24"/>
                <w:highlight w:val="none"/>
              </w:rPr>
            </w:pPr>
          </w:p>
        </w:tc>
        <w:tc>
          <w:tcPr>
            <w:tcW w:w="945" w:type="dxa"/>
            <w:tcBorders>
              <w:top w:val="single" w:color="auto" w:sz="4" w:space="0"/>
              <w:left w:val="nil"/>
              <w:bottom w:val="single" w:color="auto" w:sz="4" w:space="0"/>
              <w:right w:val="single" w:color="auto" w:sz="4" w:space="0"/>
            </w:tcBorders>
            <w:vAlign w:val="center"/>
          </w:tcPr>
          <w:p w14:paraId="086B360A">
            <w:pPr>
              <w:jc w:val="center"/>
              <w:rPr>
                <w:rFonts w:ascii="宋体" w:hAnsi="宋体" w:cs="宋体"/>
                <w:color w:val="auto"/>
                <w:sz w:val="24"/>
                <w:highlight w:val="none"/>
              </w:rPr>
            </w:pPr>
          </w:p>
        </w:tc>
        <w:tc>
          <w:tcPr>
            <w:tcW w:w="1320" w:type="dxa"/>
            <w:tcBorders>
              <w:top w:val="single" w:color="auto" w:sz="4" w:space="0"/>
              <w:left w:val="nil"/>
              <w:bottom w:val="single" w:color="auto" w:sz="4" w:space="0"/>
              <w:right w:val="single" w:color="auto" w:sz="4" w:space="0"/>
            </w:tcBorders>
            <w:vAlign w:val="center"/>
          </w:tcPr>
          <w:p w14:paraId="31D016C9">
            <w:pPr>
              <w:jc w:val="center"/>
              <w:rPr>
                <w:rFonts w:ascii="宋体" w:hAnsi="宋体" w:cs="宋体"/>
                <w:color w:val="auto"/>
                <w:sz w:val="24"/>
                <w:highlight w:val="none"/>
              </w:rPr>
            </w:pPr>
          </w:p>
        </w:tc>
        <w:tc>
          <w:tcPr>
            <w:tcW w:w="1342" w:type="dxa"/>
            <w:tcBorders>
              <w:top w:val="single" w:color="auto" w:sz="4" w:space="0"/>
              <w:left w:val="nil"/>
              <w:bottom w:val="single" w:color="auto" w:sz="4" w:space="0"/>
              <w:right w:val="single" w:color="auto" w:sz="4" w:space="0"/>
            </w:tcBorders>
            <w:vAlign w:val="center"/>
          </w:tcPr>
          <w:p w14:paraId="6416A756">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42F33127">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164D0BC6">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5CC427E7">
            <w:pPr>
              <w:jc w:val="center"/>
              <w:rPr>
                <w:rFonts w:ascii="宋体" w:hAnsi="宋体" w:cs="宋体"/>
                <w:color w:val="auto"/>
                <w:sz w:val="24"/>
                <w:highlight w:val="none"/>
              </w:rPr>
            </w:pPr>
          </w:p>
        </w:tc>
      </w:tr>
      <w:tr w14:paraId="38E31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2101" w:type="dxa"/>
            <w:gridSpan w:val="2"/>
            <w:tcBorders>
              <w:top w:val="single" w:color="auto" w:sz="4" w:space="0"/>
              <w:left w:val="single" w:color="auto" w:sz="4" w:space="0"/>
              <w:bottom w:val="single" w:color="auto" w:sz="4" w:space="0"/>
              <w:right w:val="single" w:color="auto" w:sz="4" w:space="0"/>
            </w:tcBorders>
            <w:vAlign w:val="center"/>
          </w:tcPr>
          <w:p w14:paraId="2769E072">
            <w:pPr>
              <w:jc w:val="center"/>
              <w:rPr>
                <w:rFonts w:ascii="宋体" w:hAnsi="宋体" w:cs="宋体"/>
                <w:color w:val="auto"/>
                <w:sz w:val="24"/>
                <w:highlight w:val="none"/>
              </w:rPr>
            </w:pPr>
            <w:r>
              <w:rPr>
                <w:rFonts w:hint="eastAsia" w:ascii="宋体" w:hAnsi="宋体" w:cs="宋体"/>
                <w:color w:val="auto"/>
                <w:sz w:val="24"/>
                <w:highlight w:val="none"/>
              </w:rPr>
              <w:t>总价</w:t>
            </w:r>
          </w:p>
        </w:tc>
        <w:tc>
          <w:tcPr>
            <w:tcW w:w="6767" w:type="dxa"/>
            <w:gridSpan w:val="6"/>
            <w:tcBorders>
              <w:top w:val="single" w:color="auto" w:sz="4" w:space="0"/>
              <w:left w:val="nil"/>
              <w:bottom w:val="single" w:color="auto" w:sz="4" w:space="0"/>
              <w:right w:val="single" w:color="auto" w:sz="4" w:space="0"/>
            </w:tcBorders>
            <w:vAlign w:val="center"/>
          </w:tcPr>
          <w:p w14:paraId="23BE1500">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79FCABD1">
            <w:pPr>
              <w:jc w:val="center"/>
              <w:rPr>
                <w:rFonts w:ascii="宋体" w:hAnsi="宋体" w:cs="宋体"/>
                <w:color w:val="auto"/>
                <w:sz w:val="24"/>
                <w:highlight w:val="none"/>
              </w:rPr>
            </w:pPr>
          </w:p>
        </w:tc>
        <w:tc>
          <w:tcPr>
            <w:tcW w:w="850" w:type="dxa"/>
            <w:tcBorders>
              <w:top w:val="single" w:color="auto" w:sz="4" w:space="0"/>
              <w:left w:val="nil"/>
              <w:bottom w:val="single" w:color="auto" w:sz="4" w:space="0"/>
              <w:right w:val="single" w:color="auto" w:sz="4" w:space="0"/>
            </w:tcBorders>
            <w:vAlign w:val="center"/>
          </w:tcPr>
          <w:p w14:paraId="69AEDCB4">
            <w:pPr>
              <w:jc w:val="center"/>
              <w:rPr>
                <w:rFonts w:ascii="宋体" w:hAnsi="宋体" w:cs="宋体"/>
                <w:color w:val="auto"/>
                <w:sz w:val="24"/>
                <w:highlight w:val="none"/>
              </w:rPr>
            </w:pPr>
          </w:p>
        </w:tc>
      </w:tr>
    </w:tbl>
    <w:p w14:paraId="33308606">
      <w:pPr>
        <w:spacing w:line="480" w:lineRule="exact"/>
        <w:outlineLvl w:val="2"/>
        <w:rPr>
          <w:rFonts w:ascii="宋体" w:hAnsi="宋体" w:cs="宋体"/>
          <w:b/>
          <w:bCs/>
          <w:color w:val="auto"/>
          <w:sz w:val="24"/>
          <w:highlight w:val="none"/>
        </w:rPr>
      </w:pPr>
      <w:r>
        <w:rPr>
          <w:rFonts w:hint="eastAsia" w:ascii="宋体" w:hAnsi="宋体" w:cs="宋体"/>
          <w:b/>
          <w:bCs/>
          <w:color w:val="auto"/>
          <w:sz w:val="24"/>
          <w:highlight w:val="none"/>
        </w:rPr>
        <w:t xml:space="preserve"> 注：1.供应商根据需要可在本表中自行增加更为详细的报价说明</w:t>
      </w:r>
    </w:p>
    <w:p w14:paraId="5593472D">
      <w:pPr>
        <w:spacing w:line="480" w:lineRule="exact"/>
        <w:rPr>
          <w:rFonts w:ascii="宋体" w:hAnsi="宋体" w:cs="宋体"/>
          <w:b/>
          <w:bCs/>
          <w:color w:val="auto"/>
          <w:sz w:val="24"/>
          <w:highlight w:val="none"/>
        </w:rPr>
      </w:pPr>
      <w:r>
        <w:rPr>
          <w:rFonts w:hint="eastAsia" w:ascii="宋体" w:hAnsi="宋体" w:cs="宋体"/>
          <w:b/>
          <w:bCs/>
          <w:color w:val="auto"/>
          <w:sz w:val="24"/>
          <w:highlight w:val="none"/>
        </w:rPr>
        <w:t>包含检测验收费、培训费及其他所有费用，均包含在投标报价中。</w:t>
      </w:r>
    </w:p>
    <w:p w14:paraId="16888BFF">
      <w:pPr>
        <w:spacing w:line="480" w:lineRule="exact"/>
        <w:rPr>
          <w:rFonts w:ascii="宋体" w:hAnsi="宋体" w:cs="宋体"/>
          <w:color w:val="auto"/>
          <w:sz w:val="24"/>
          <w:highlight w:val="none"/>
        </w:rPr>
      </w:pPr>
      <w:r>
        <w:rPr>
          <w:rFonts w:hint="eastAsia" w:ascii="宋体" w:hAnsi="宋体" w:cs="宋体"/>
          <w:color w:val="auto"/>
          <w:sz w:val="24"/>
          <w:highlight w:val="none"/>
        </w:rPr>
        <w:t>供应商名称（电子签章）：</w:t>
      </w:r>
      <w:bookmarkStart w:id="220" w:name="_Hlk522286805"/>
      <w:bookmarkEnd w:id="220"/>
    </w:p>
    <w:p w14:paraId="13472133">
      <w:pPr>
        <w:spacing w:line="480" w:lineRule="exact"/>
        <w:rPr>
          <w:rFonts w:ascii="宋体" w:hAnsi="宋体" w:cs="宋体"/>
          <w:color w:val="auto"/>
          <w:sz w:val="24"/>
          <w:highlight w:val="none"/>
        </w:rPr>
      </w:pPr>
      <w:r>
        <w:rPr>
          <w:rFonts w:hint="eastAsia" w:ascii="宋体" w:hAnsi="宋体" w:cs="宋体"/>
          <w:color w:val="auto"/>
          <w:sz w:val="24"/>
          <w:highlight w:val="none"/>
        </w:rPr>
        <w:t>法定代表人（电子签章）：</w:t>
      </w:r>
    </w:p>
    <w:p w14:paraId="62C112F2">
      <w:pPr>
        <w:spacing w:line="480" w:lineRule="exact"/>
        <w:rPr>
          <w:rFonts w:ascii="宋体" w:hAnsi="宋体" w:cs="宋体"/>
          <w:color w:val="auto"/>
          <w:sz w:val="24"/>
          <w:highlight w:val="none"/>
        </w:rPr>
      </w:pPr>
      <w:r>
        <w:rPr>
          <w:rFonts w:hint="eastAsia" w:ascii="宋体" w:hAnsi="宋体" w:cs="宋体"/>
          <w:color w:val="auto"/>
          <w:sz w:val="24"/>
          <w:highlight w:val="none"/>
        </w:rPr>
        <w:t>日期：年 月 日</w:t>
      </w:r>
    </w:p>
    <w:p w14:paraId="5BF499BE">
      <w:pPr>
        <w:pStyle w:val="3"/>
        <w:jc w:val="center"/>
        <w:rPr>
          <w:color w:val="auto"/>
          <w:highlight w:val="none"/>
        </w:rPr>
      </w:pPr>
      <w:bookmarkStart w:id="221" w:name="_Toc361989463"/>
      <w:bookmarkEnd w:id="221"/>
      <w:bookmarkStart w:id="222" w:name="_Toc244934213"/>
      <w:bookmarkEnd w:id="222"/>
      <w:bookmarkStart w:id="223" w:name="_Toc17010"/>
      <w:bookmarkStart w:id="224" w:name="_Toc10655"/>
      <w:bookmarkStart w:id="225" w:name="_Toc25298"/>
      <w:r>
        <w:rPr>
          <w:rFonts w:ascii="宋体" w:hAnsi="宋体" w:cs="宋体"/>
          <w:color w:val="auto"/>
          <w:szCs w:val="24"/>
          <w:highlight w:val="none"/>
        </w:rPr>
        <w:br w:type="page"/>
      </w:r>
      <w:r>
        <w:rPr>
          <w:rFonts w:hint="eastAsia"/>
          <w:color w:val="auto"/>
          <w:highlight w:val="none"/>
        </w:rPr>
        <w:t>六、技术规格偏离表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1805"/>
        <w:gridCol w:w="2348"/>
        <w:gridCol w:w="1585"/>
        <w:gridCol w:w="1182"/>
        <w:gridCol w:w="900"/>
      </w:tblGrid>
      <w:tr w14:paraId="0777C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6" w:hRule="atLeast"/>
          <w:jc w:val="center"/>
        </w:trPr>
        <w:tc>
          <w:tcPr>
            <w:tcW w:w="878" w:type="dxa"/>
            <w:tcBorders>
              <w:top w:val="single" w:color="auto" w:sz="4" w:space="0"/>
              <w:left w:val="single" w:color="auto" w:sz="4" w:space="0"/>
              <w:bottom w:val="single" w:color="auto" w:sz="4" w:space="0"/>
              <w:right w:val="single" w:color="auto" w:sz="4" w:space="0"/>
            </w:tcBorders>
            <w:vAlign w:val="center"/>
          </w:tcPr>
          <w:p w14:paraId="2D32CF6A">
            <w:pPr>
              <w:spacing w:line="360" w:lineRule="auto"/>
              <w:jc w:val="center"/>
              <w:rPr>
                <w:rFonts w:ascii="宋体" w:hAnsi="宋体" w:eastAsia="宋体" w:cs="宋体"/>
                <w:color w:val="auto"/>
                <w:sz w:val="24"/>
                <w:szCs w:val="20"/>
                <w:highlight w:val="none"/>
              </w:rPr>
            </w:pPr>
            <w:r>
              <w:rPr>
                <w:rFonts w:hint="eastAsia" w:ascii="宋体" w:hAnsi="宋体" w:eastAsia="宋体" w:cs="宋体"/>
                <w:color w:val="auto"/>
                <w:sz w:val="24"/>
                <w:szCs w:val="20"/>
                <w:highlight w:val="none"/>
              </w:rPr>
              <w:t>序号</w:t>
            </w:r>
          </w:p>
        </w:tc>
        <w:tc>
          <w:tcPr>
            <w:tcW w:w="1805" w:type="dxa"/>
            <w:tcBorders>
              <w:top w:val="single" w:color="auto" w:sz="4" w:space="0"/>
              <w:left w:val="nil"/>
              <w:bottom w:val="single" w:color="auto" w:sz="4" w:space="0"/>
              <w:right w:val="single" w:color="auto" w:sz="4" w:space="0"/>
            </w:tcBorders>
            <w:vAlign w:val="center"/>
          </w:tcPr>
          <w:p w14:paraId="1983B94A">
            <w:pPr>
              <w:spacing w:line="360" w:lineRule="auto"/>
              <w:jc w:val="center"/>
              <w:rPr>
                <w:rFonts w:ascii="宋体" w:hAnsi="宋体" w:eastAsia="宋体" w:cs="宋体"/>
                <w:color w:val="auto"/>
                <w:sz w:val="24"/>
                <w:szCs w:val="20"/>
                <w:highlight w:val="none"/>
              </w:rPr>
            </w:pPr>
            <w:r>
              <w:rPr>
                <w:rFonts w:hint="eastAsia" w:ascii="宋体" w:hAnsi="宋体" w:eastAsia="宋体" w:cs="宋体"/>
                <w:color w:val="auto"/>
                <w:sz w:val="24"/>
                <w:szCs w:val="20"/>
                <w:highlight w:val="none"/>
              </w:rPr>
              <w:t>货物名称</w:t>
            </w:r>
          </w:p>
        </w:tc>
        <w:tc>
          <w:tcPr>
            <w:tcW w:w="2348" w:type="dxa"/>
            <w:tcBorders>
              <w:top w:val="single" w:color="auto" w:sz="4" w:space="0"/>
              <w:left w:val="nil"/>
              <w:bottom w:val="single" w:color="auto" w:sz="4" w:space="0"/>
              <w:right w:val="single" w:color="auto" w:sz="4" w:space="0"/>
            </w:tcBorders>
            <w:vAlign w:val="center"/>
          </w:tcPr>
          <w:p w14:paraId="45F26E5E">
            <w:pPr>
              <w:spacing w:line="360" w:lineRule="auto"/>
              <w:jc w:val="center"/>
              <w:rPr>
                <w:rFonts w:ascii="宋体" w:hAnsi="宋体" w:eastAsia="宋体" w:cs="宋体"/>
                <w:color w:val="auto"/>
                <w:sz w:val="24"/>
                <w:szCs w:val="20"/>
                <w:highlight w:val="none"/>
              </w:rPr>
            </w:pPr>
            <w:r>
              <w:rPr>
                <w:rFonts w:hint="eastAsia" w:ascii="宋体" w:hAnsi="宋体" w:eastAsia="宋体" w:cs="宋体"/>
                <w:color w:val="auto"/>
                <w:sz w:val="24"/>
                <w:szCs w:val="20"/>
                <w:highlight w:val="none"/>
              </w:rPr>
              <w:t>竞争性磋商文件要求规格或参数</w:t>
            </w:r>
          </w:p>
        </w:tc>
        <w:tc>
          <w:tcPr>
            <w:tcW w:w="1585" w:type="dxa"/>
            <w:tcBorders>
              <w:top w:val="single" w:color="auto" w:sz="4" w:space="0"/>
              <w:left w:val="nil"/>
              <w:bottom w:val="single" w:color="auto" w:sz="4" w:space="0"/>
              <w:right w:val="single" w:color="auto" w:sz="4" w:space="0"/>
            </w:tcBorders>
            <w:vAlign w:val="center"/>
          </w:tcPr>
          <w:p w14:paraId="61F77326">
            <w:pPr>
              <w:spacing w:line="360" w:lineRule="auto"/>
              <w:jc w:val="center"/>
              <w:rPr>
                <w:rFonts w:ascii="宋体" w:hAnsi="宋体" w:eastAsia="宋体" w:cs="宋体"/>
                <w:color w:val="auto"/>
                <w:sz w:val="24"/>
                <w:szCs w:val="20"/>
                <w:highlight w:val="none"/>
              </w:rPr>
            </w:pPr>
            <w:r>
              <w:rPr>
                <w:rFonts w:hint="eastAsia" w:ascii="宋体" w:hAnsi="宋体" w:eastAsia="宋体" w:cs="宋体"/>
                <w:color w:val="auto"/>
                <w:sz w:val="24"/>
                <w:szCs w:val="20"/>
                <w:highlight w:val="none"/>
              </w:rPr>
              <w:t>响应货物规格或参数</w:t>
            </w:r>
          </w:p>
        </w:tc>
        <w:tc>
          <w:tcPr>
            <w:tcW w:w="1182" w:type="dxa"/>
            <w:tcBorders>
              <w:top w:val="single" w:color="auto" w:sz="4" w:space="0"/>
              <w:left w:val="nil"/>
              <w:bottom w:val="single" w:color="auto" w:sz="4" w:space="0"/>
              <w:right w:val="single" w:color="auto" w:sz="4" w:space="0"/>
            </w:tcBorders>
            <w:vAlign w:val="center"/>
          </w:tcPr>
          <w:p w14:paraId="155F0630">
            <w:pPr>
              <w:spacing w:line="360" w:lineRule="auto"/>
              <w:jc w:val="center"/>
              <w:rPr>
                <w:rFonts w:ascii="宋体" w:hAnsi="宋体" w:eastAsia="宋体" w:cs="宋体"/>
                <w:color w:val="auto"/>
                <w:sz w:val="24"/>
                <w:szCs w:val="20"/>
                <w:highlight w:val="none"/>
              </w:rPr>
            </w:pPr>
            <w:r>
              <w:rPr>
                <w:rFonts w:hint="eastAsia" w:ascii="宋体" w:hAnsi="宋体" w:eastAsia="宋体" w:cs="宋体"/>
                <w:color w:val="auto"/>
                <w:sz w:val="24"/>
                <w:szCs w:val="20"/>
                <w:highlight w:val="none"/>
              </w:rPr>
              <w:t>偏离</w:t>
            </w:r>
          </w:p>
          <w:p w14:paraId="39693C50">
            <w:pPr>
              <w:spacing w:line="360" w:lineRule="auto"/>
              <w:jc w:val="center"/>
              <w:rPr>
                <w:rFonts w:ascii="宋体" w:hAnsi="宋体" w:eastAsia="宋体" w:cs="宋体"/>
                <w:color w:val="auto"/>
                <w:sz w:val="24"/>
                <w:szCs w:val="20"/>
                <w:highlight w:val="none"/>
              </w:rPr>
            </w:pPr>
            <w:r>
              <w:rPr>
                <w:rFonts w:hint="eastAsia" w:ascii="宋体" w:hAnsi="宋体" w:eastAsia="宋体" w:cs="宋体"/>
                <w:color w:val="auto"/>
                <w:sz w:val="24"/>
                <w:szCs w:val="20"/>
                <w:highlight w:val="none"/>
              </w:rPr>
              <w:t>(正/负)</w:t>
            </w:r>
          </w:p>
        </w:tc>
        <w:tc>
          <w:tcPr>
            <w:tcW w:w="900" w:type="dxa"/>
            <w:tcBorders>
              <w:top w:val="single" w:color="auto" w:sz="4" w:space="0"/>
              <w:left w:val="nil"/>
              <w:bottom w:val="single" w:color="auto" w:sz="4" w:space="0"/>
              <w:right w:val="single" w:color="auto" w:sz="4" w:space="0"/>
            </w:tcBorders>
            <w:vAlign w:val="center"/>
          </w:tcPr>
          <w:p w14:paraId="2B223512">
            <w:pPr>
              <w:spacing w:line="360" w:lineRule="auto"/>
              <w:jc w:val="center"/>
              <w:rPr>
                <w:rFonts w:ascii="宋体" w:hAnsi="宋体" w:eastAsia="宋体" w:cs="宋体"/>
                <w:color w:val="auto"/>
                <w:sz w:val="24"/>
                <w:szCs w:val="20"/>
                <w:highlight w:val="none"/>
              </w:rPr>
            </w:pPr>
            <w:r>
              <w:rPr>
                <w:rFonts w:hint="eastAsia" w:ascii="宋体" w:hAnsi="宋体" w:eastAsia="宋体" w:cs="宋体"/>
                <w:color w:val="auto"/>
                <w:sz w:val="24"/>
                <w:szCs w:val="20"/>
                <w:highlight w:val="none"/>
              </w:rPr>
              <w:t>说明</w:t>
            </w:r>
          </w:p>
        </w:tc>
      </w:tr>
      <w:tr w14:paraId="3F33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878" w:type="dxa"/>
            <w:tcBorders>
              <w:top w:val="single" w:color="auto" w:sz="4" w:space="0"/>
              <w:left w:val="single" w:color="auto" w:sz="4" w:space="0"/>
              <w:bottom w:val="single" w:color="auto" w:sz="4" w:space="0"/>
              <w:right w:val="single" w:color="auto" w:sz="4" w:space="0"/>
            </w:tcBorders>
            <w:vAlign w:val="center"/>
          </w:tcPr>
          <w:p w14:paraId="2229CD32">
            <w:pPr>
              <w:spacing w:line="360" w:lineRule="auto"/>
              <w:jc w:val="center"/>
              <w:rPr>
                <w:rFonts w:ascii="宋体" w:hAnsi="宋体" w:eastAsia="宋体" w:cs="宋体"/>
                <w:color w:val="auto"/>
                <w:sz w:val="24"/>
                <w:szCs w:val="20"/>
                <w:highlight w:val="none"/>
              </w:rPr>
            </w:pPr>
            <w:r>
              <w:rPr>
                <w:rFonts w:hint="eastAsia" w:ascii="宋体" w:hAnsi="宋体" w:eastAsia="宋体" w:cs="宋体"/>
                <w:color w:val="auto"/>
                <w:sz w:val="24"/>
                <w:szCs w:val="20"/>
                <w:highlight w:val="none"/>
              </w:rPr>
              <w:t>1</w:t>
            </w:r>
          </w:p>
        </w:tc>
        <w:tc>
          <w:tcPr>
            <w:tcW w:w="1805" w:type="dxa"/>
            <w:tcBorders>
              <w:top w:val="single" w:color="auto" w:sz="4" w:space="0"/>
              <w:left w:val="nil"/>
              <w:bottom w:val="single" w:color="auto" w:sz="4" w:space="0"/>
              <w:right w:val="single" w:color="auto" w:sz="4" w:space="0"/>
            </w:tcBorders>
            <w:vAlign w:val="center"/>
          </w:tcPr>
          <w:p w14:paraId="0154B211">
            <w:pPr>
              <w:spacing w:line="360" w:lineRule="auto"/>
              <w:jc w:val="center"/>
              <w:rPr>
                <w:rFonts w:ascii="宋体" w:hAnsi="宋体" w:eastAsia="宋体" w:cs="宋体"/>
                <w:color w:val="auto"/>
                <w:sz w:val="24"/>
                <w:szCs w:val="20"/>
                <w:highlight w:val="none"/>
              </w:rPr>
            </w:pPr>
          </w:p>
        </w:tc>
        <w:tc>
          <w:tcPr>
            <w:tcW w:w="2348" w:type="dxa"/>
            <w:tcBorders>
              <w:top w:val="single" w:color="auto" w:sz="4" w:space="0"/>
              <w:left w:val="nil"/>
              <w:bottom w:val="single" w:color="auto" w:sz="4" w:space="0"/>
              <w:right w:val="single" w:color="auto" w:sz="4" w:space="0"/>
            </w:tcBorders>
            <w:vAlign w:val="center"/>
          </w:tcPr>
          <w:p w14:paraId="0853153D">
            <w:pPr>
              <w:spacing w:line="360" w:lineRule="auto"/>
              <w:jc w:val="center"/>
              <w:rPr>
                <w:rFonts w:ascii="宋体" w:hAnsi="宋体" w:eastAsia="宋体" w:cs="宋体"/>
                <w:color w:val="auto"/>
                <w:sz w:val="24"/>
                <w:szCs w:val="20"/>
                <w:highlight w:val="none"/>
              </w:rPr>
            </w:pPr>
          </w:p>
        </w:tc>
        <w:tc>
          <w:tcPr>
            <w:tcW w:w="1585" w:type="dxa"/>
            <w:tcBorders>
              <w:top w:val="single" w:color="auto" w:sz="4" w:space="0"/>
              <w:left w:val="nil"/>
              <w:bottom w:val="single" w:color="auto" w:sz="4" w:space="0"/>
              <w:right w:val="single" w:color="auto" w:sz="4" w:space="0"/>
            </w:tcBorders>
            <w:vAlign w:val="center"/>
          </w:tcPr>
          <w:p w14:paraId="68D8C4C6">
            <w:pPr>
              <w:spacing w:line="360" w:lineRule="auto"/>
              <w:jc w:val="center"/>
              <w:rPr>
                <w:rFonts w:ascii="宋体" w:hAnsi="宋体" w:eastAsia="宋体" w:cs="宋体"/>
                <w:color w:val="auto"/>
                <w:sz w:val="24"/>
                <w:szCs w:val="20"/>
                <w:highlight w:val="none"/>
              </w:rPr>
            </w:pPr>
          </w:p>
        </w:tc>
        <w:tc>
          <w:tcPr>
            <w:tcW w:w="1182" w:type="dxa"/>
            <w:tcBorders>
              <w:top w:val="single" w:color="auto" w:sz="4" w:space="0"/>
              <w:left w:val="nil"/>
              <w:bottom w:val="single" w:color="auto" w:sz="4" w:space="0"/>
              <w:right w:val="single" w:color="auto" w:sz="4" w:space="0"/>
            </w:tcBorders>
            <w:vAlign w:val="center"/>
          </w:tcPr>
          <w:p w14:paraId="338BFA30">
            <w:pPr>
              <w:spacing w:line="360" w:lineRule="auto"/>
              <w:jc w:val="center"/>
              <w:rPr>
                <w:rFonts w:ascii="宋体" w:hAnsi="宋体" w:eastAsia="宋体" w:cs="宋体"/>
                <w:color w:val="auto"/>
                <w:sz w:val="24"/>
                <w:szCs w:val="20"/>
                <w:highlight w:val="none"/>
              </w:rPr>
            </w:pPr>
          </w:p>
        </w:tc>
        <w:tc>
          <w:tcPr>
            <w:tcW w:w="900" w:type="dxa"/>
            <w:tcBorders>
              <w:top w:val="single" w:color="auto" w:sz="4" w:space="0"/>
              <w:left w:val="nil"/>
              <w:bottom w:val="single" w:color="auto" w:sz="4" w:space="0"/>
              <w:right w:val="single" w:color="auto" w:sz="4" w:space="0"/>
            </w:tcBorders>
            <w:vAlign w:val="center"/>
          </w:tcPr>
          <w:p w14:paraId="6540F2EA">
            <w:pPr>
              <w:spacing w:line="360" w:lineRule="auto"/>
              <w:jc w:val="center"/>
              <w:rPr>
                <w:rFonts w:ascii="宋体" w:hAnsi="宋体" w:eastAsia="宋体" w:cs="宋体"/>
                <w:color w:val="auto"/>
                <w:sz w:val="24"/>
                <w:szCs w:val="20"/>
                <w:highlight w:val="none"/>
              </w:rPr>
            </w:pPr>
          </w:p>
        </w:tc>
      </w:tr>
      <w:tr w14:paraId="31434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878" w:type="dxa"/>
            <w:tcBorders>
              <w:top w:val="single" w:color="auto" w:sz="4" w:space="0"/>
              <w:left w:val="single" w:color="auto" w:sz="4" w:space="0"/>
              <w:bottom w:val="single" w:color="auto" w:sz="4" w:space="0"/>
              <w:right w:val="single" w:color="auto" w:sz="4" w:space="0"/>
            </w:tcBorders>
            <w:vAlign w:val="center"/>
          </w:tcPr>
          <w:p w14:paraId="45E7A4CD">
            <w:pPr>
              <w:spacing w:line="360" w:lineRule="auto"/>
              <w:jc w:val="center"/>
              <w:rPr>
                <w:rFonts w:ascii="宋体" w:hAnsi="宋体" w:eastAsia="宋体" w:cs="宋体"/>
                <w:color w:val="auto"/>
                <w:sz w:val="24"/>
                <w:szCs w:val="20"/>
                <w:highlight w:val="none"/>
              </w:rPr>
            </w:pPr>
            <w:r>
              <w:rPr>
                <w:rFonts w:hint="eastAsia" w:ascii="宋体" w:hAnsi="宋体" w:eastAsia="宋体" w:cs="宋体"/>
                <w:color w:val="auto"/>
                <w:sz w:val="24"/>
                <w:szCs w:val="20"/>
                <w:highlight w:val="none"/>
              </w:rPr>
              <w:t>2</w:t>
            </w:r>
          </w:p>
        </w:tc>
        <w:tc>
          <w:tcPr>
            <w:tcW w:w="1805" w:type="dxa"/>
            <w:tcBorders>
              <w:top w:val="single" w:color="auto" w:sz="4" w:space="0"/>
              <w:left w:val="nil"/>
              <w:bottom w:val="single" w:color="auto" w:sz="4" w:space="0"/>
              <w:right w:val="single" w:color="auto" w:sz="4" w:space="0"/>
            </w:tcBorders>
            <w:vAlign w:val="center"/>
          </w:tcPr>
          <w:p w14:paraId="799F8569">
            <w:pPr>
              <w:spacing w:line="360" w:lineRule="auto"/>
              <w:jc w:val="center"/>
              <w:rPr>
                <w:rFonts w:ascii="宋体" w:hAnsi="宋体" w:eastAsia="宋体" w:cs="宋体"/>
                <w:color w:val="auto"/>
                <w:sz w:val="24"/>
                <w:szCs w:val="20"/>
                <w:highlight w:val="none"/>
              </w:rPr>
            </w:pPr>
          </w:p>
        </w:tc>
        <w:tc>
          <w:tcPr>
            <w:tcW w:w="2348" w:type="dxa"/>
            <w:tcBorders>
              <w:top w:val="single" w:color="auto" w:sz="4" w:space="0"/>
              <w:left w:val="nil"/>
              <w:bottom w:val="single" w:color="auto" w:sz="4" w:space="0"/>
              <w:right w:val="single" w:color="auto" w:sz="4" w:space="0"/>
            </w:tcBorders>
            <w:vAlign w:val="center"/>
          </w:tcPr>
          <w:p w14:paraId="0FA60B0A">
            <w:pPr>
              <w:spacing w:line="360" w:lineRule="auto"/>
              <w:jc w:val="center"/>
              <w:rPr>
                <w:rFonts w:ascii="宋体" w:hAnsi="宋体" w:eastAsia="宋体" w:cs="宋体"/>
                <w:color w:val="auto"/>
                <w:sz w:val="24"/>
                <w:szCs w:val="20"/>
                <w:highlight w:val="none"/>
              </w:rPr>
            </w:pPr>
          </w:p>
        </w:tc>
        <w:tc>
          <w:tcPr>
            <w:tcW w:w="1585" w:type="dxa"/>
            <w:tcBorders>
              <w:top w:val="single" w:color="auto" w:sz="4" w:space="0"/>
              <w:left w:val="nil"/>
              <w:bottom w:val="single" w:color="auto" w:sz="4" w:space="0"/>
              <w:right w:val="single" w:color="auto" w:sz="4" w:space="0"/>
            </w:tcBorders>
            <w:vAlign w:val="center"/>
          </w:tcPr>
          <w:p w14:paraId="604228F5">
            <w:pPr>
              <w:spacing w:line="360" w:lineRule="auto"/>
              <w:jc w:val="center"/>
              <w:rPr>
                <w:rFonts w:ascii="宋体" w:hAnsi="宋体" w:eastAsia="宋体" w:cs="宋体"/>
                <w:color w:val="auto"/>
                <w:sz w:val="24"/>
                <w:szCs w:val="20"/>
                <w:highlight w:val="none"/>
              </w:rPr>
            </w:pPr>
          </w:p>
        </w:tc>
        <w:tc>
          <w:tcPr>
            <w:tcW w:w="1182" w:type="dxa"/>
            <w:tcBorders>
              <w:top w:val="single" w:color="auto" w:sz="4" w:space="0"/>
              <w:left w:val="nil"/>
              <w:bottom w:val="single" w:color="auto" w:sz="4" w:space="0"/>
              <w:right w:val="single" w:color="auto" w:sz="4" w:space="0"/>
            </w:tcBorders>
            <w:vAlign w:val="center"/>
          </w:tcPr>
          <w:p w14:paraId="528644B1">
            <w:pPr>
              <w:spacing w:line="360" w:lineRule="auto"/>
              <w:jc w:val="center"/>
              <w:rPr>
                <w:rFonts w:ascii="宋体" w:hAnsi="宋体" w:eastAsia="宋体" w:cs="宋体"/>
                <w:color w:val="auto"/>
                <w:sz w:val="24"/>
                <w:szCs w:val="20"/>
                <w:highlight w:val="none"/>
              </w:rPr>
            </w:pPr>
          </w:p>
        </w:tc>
        <w:tc>
          <w:tcPr>
            <w:tcW w:w="900" w:type="dxa"/>
            <w:tcBorders>
              <w:top w:val="single" w:color="auto" w:sz="4" w:space="0"/>
              <w:left w:val="nil"/>
              <w:bottom w:val="single" w:color="auto" w:sz="4" w:space="0"/>
              <w:right w:val="single" w:color="auto" w:sz="4" w:space="0"/>
            </w:tcBorders>
            <w:vAlign w:val="center"/>
          </w:tcPr>
          <w:p w14:paraId="2EB87D4F">
            <w:pPr>
              <w:spacing w:line="360" w:lineRule="auto"/>
              <w:jc w:val="center"/>
              <w:rPr>
                <w:rFonts w:ascii="宋体" w:hAnsi="宋体" w:eastAsia="宋体" w:cs="宋体"/>
                <w:color w:val="auto"/>
                <w:sz w:val="24"/>
                <w:szCs w:val="20"/>
                <w:highlight w:val="none"/>
              </w:rPr>
            </w:pPr>
          </w:p>
        </w:tc>
      </w:tr>
      <w:tr w14:paraId="08A9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878" w:type="dxa"/>
            <w:tcBorders>
              <w:top w:val="single" w:color="auto" w:sz="4" w:space="0"/>
              <w:left w:val="single" w:color="auto" w:sz="4" w:space="0"/>
              <w:bottom w:val="single" w:color="auto" w:sz="4" w:space="0"/>
              <w:right w:val="single" w:color="auto" w:sz="4" w:space="0"/>
            </w:tcBorders>
            <w:vAlign w:val="center"/>
          </w:tcPr>
          <w:p w14:paraId="516AA60C">
            <w:pPr>
              <w:spacing w:line="360" w:lineRule="auto"/>
              <w:jc w:val="center"/>
              <w:rPr>
                <w:rFonts w:ascii="宋体" w:hAnsi="宋体" w:eastAsia="宋体" w:cs="宋体"/>
                <w:color w:val="auto"/>
                <w:sz w:val="24"/>
                <w:szCs w:val="20"/>
                <w:highlight w:val="none"/>
              </w:rPr>
            </w:pPr>
            <w:r>
              <w:rPr>
                <w:rFonts w:hint="eastAsia" w:ascii="宋体" w:hAnsi="宋体" w:eastAsia="宋体" w:cs="宋体"/>
                <w:color w:val="auto"/>
                <w:sz w:val="24"/>
                <w:szCs w:val="20"/>
                <w:highlight w:val="none"/>
              </w:rPr>
              <w:t>3</w:t>
            </w:r>
          </w:p>
        </w:tc>
        <w:tc>
          <w:tcPr>
            <w:tcW w:w="1805" w:type="dxa"/>
            <w:tcBorders>
              <w:top w:val="single" w:color="auto" w:sz="4" w:space="0"/>
              <w:left w:val="nil"/>
              <w:bottom w:val="single" w:color="auto" w:sz="4" w:space="0"/>
              <w:right w:val="single" w:color="auto" w:sz="4" w:space="0"/>
            </w:tcBorders>
            <w:vAlign w:val="center"/>
          </w:tcPr>
          <w:p w14:paraId="5968A01E">
            <w:pPr>
              <w:spacing w:line="360" w:lineRule="auto"/>
              <w:jc w:val="center"/>
              <w:rPr>
                <w:rFonts w:ascii="宋体" w:hAnsi="宋体" w:eastAsia="宋体" w:cs="宋体"/>
                <w:color w:val="auto"/>
                <w:sz w:val="24"/>
                <w:szCs w:val="20"/>
                <w:highlight w:val="none"/>
              </w:rPr>
            </w:pPr>
          </w:p>
        </w:tc>
        <w:tc>
          <w:tcPr>
            <w:tcW w:w="2348" w:type="dxa"/>
            <w:tcBorders>
              <w:top w:val="single" w:color="auto" w:sz="4" w:space="0"/>
              <w:left w:val="nil"/>
              <w:bottom w:val="single" w:color="auto" w:sz="4" w:space="0"/>
              <w:right w:val="single" w:color="auto" w:sz="4" w:space="0"/>
            </w:tcBorders>
            <w:vAlign w:val="center"/>
          </w:tcPr>
          <w:p w14:paraId="57285E80">
            <w:pPr>
              <w:spacing w:line="360" w:lineRule="auto"/>
              <w:jc w:val="center"/>
              <w:rPr>
                <w:rFonts w:ascii="宋体" w:hAnsi="宋体" w:eastAsia="宋体" w:cs="宋体"/>
                <w:color w:val="auto"/>
                <w:sz w:val="24"/>
                <w:szCs w:val="20"/>
                <w:highlight w:val="none"/>
              </w:rPr>
            </w:pPr>
          </w:p>
        </w:tc>
        <w:tc>
          <w:tcPr>
            <w:tcW w:w="1585" w:type="dxa"/>
            <w:tcBorders>
              <w:top w:val="single" w:color="auto" w:sz="4" w:space="0"/>
              <w:left w:val="nil"/>
              <w:bottom w:val="single" w:color="auto" w:sz="4" w:space="0"/>
              <w:right w:val="single" w:color="auto" w:sz="4" w:space="0"/>
            </w:tcBorders>
            <w:vAlign w:val="center"/>
          </w:tcPr>
          <w:p w14:paraId="4B9163A0">
            <w:pPr>
              <w:spacing w:line="360" w:lineRule="auto"/>
              <w:jc w:val="center"/>
              <w:rPr>
                <w:rFonts w:ascii="宋体" w:hAnsi="宋体" w:eastAsia="宋体" w:cs="宋体"/>
                <w:color w:val="auto"/>
                <w:sz w:val="24"/>
                <w:szCs w:val="20"/>
                <w:highlight w:val="none"/>
              </w:rPr>
            </w:pPr>
          </w:p>
        </w:tc>
        <w:tc>
          <w:tcPr>
            <w:tcW w:w="1182" w:type="dxa"/>
            <w:tcBorders>
              <w:top w:val="single" w:color="auto" w:sz="4" w:space="0"/>
              <w:left w:val="nil"/>
              <w:bottom w:val="single" w:color="auto" w:sz="4" w:space="0"/>
              <w:right w:val="single" w:color="auto" w:sz="4" w:space="0"/>
            </w:tcBorders>
            <w:vAlign w:val="center"/>
          </w:tcPr>
          <w:p w14:paraId="54DA80C9">
            <w:pPr>
              <w:spacing w:line="360" w:lineRule="auto"/>
              <w:jc w:val="center"/>
              <w:rPr>
                <w:rFonts w:ascii="宋体" w:hAnsi="宋体" w:eastAsia="宋体" w:cs="宋体"/>
                <w:color w:val="auto"/>
                <w:sz w:val="24"/>
                <w:szCs w:val="20"/>
                <w:highlight w:val="none"/>
              </w:rPr>
            </w:pPr>
          </w:p>
        </w:tc>
        <w:tc>
          <w:tcPr>
            <w:tcW w:w="900" w:type="dxa"/>
            <w:tcBorders>
              <w:top w:val="single" w:color="auto" w:sz="4" w:space="0"/>
              <w:left w:val="nil"/>
              <w:bottom w:val="single" w:color="auto" w:sz="4" w:space="0"/>
              <w:right w:val="single" w:color="auto" w:sz="4" w:space="0"/>
            </w:tcBorders>
            <w:vAlign w:val="center"/>
          </w:tcPr>
          <w:p w14:paraId="2D8C6B81">
            <w:pPr>
              <w:spacing w:line="360" w:lineRule="auto"/>
              <w:jc w:val="center"/>
              <w:rPr>
                <w:rFonts w:ascii="宋体" w:hAnsi="宋体" w:eastAsia="宋体" w:cs="宋体"/>
                <w:color w:val="auto"/>
                <w:sz w:val="24"/>
                <w:szCs w:val="20"/>
                <w:highlight w:val="none"/>
              </w:rPr>
            </w:pPr>
          </w:p>
        </w:tc>
      </w:tr>
      <w:tr w14:paraId="0391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878" w:type="dxa"/>
            <w:tcBorders>
              <w:top w:val="single" w:color="auto" w:sz="4" w:space="0"/>
              <w:left w:val="single" w:color="auto" w:sz="4" w:space="0"/>
              <w:bottom w:val="single" w:color="auto" w:sz="4" w:space="0"/>
              <w:right w:val="single" w:color="auto" w:sz="4" w:space="0"/>
            </w:tcBorders>
            <w:vAlign w:val="center"/>
          </w:tcPr>
          <w:p w14:paraId="1B9DD706">
            <w:pPr>
              <w:spacing w:line="360" w:lineRule="auto"/>
              <w:jc w:val="center"/>
              <w:rPr>
                <w:rFonts w:ascii="宋体" w:hAnsi="宋体" w:eastAsia="宋体" w:cs="宋体"/>
                <w:color w:val="auto"/>
                <w:sz w:val="24"/>
                <w:szCs w:val="20"/>
                <w:highlight w:val="none"/>
              </w:rPr>
            </w:pPr>
            <w:r>
              <w:rPr>
                <w:rFonts w:hint="eastAsia" w:ascii="宋体" w:hAnsi="宋体" w:eastAsia="宋体" w:cs="宋体"/>
                <w:color w:val="auto"/>
                <w:sz w:val="24"/>
                <w:szCs w:val="20"/>
                <w:highlight w:val="none"/>
              </w:rPr>
              <w:t>…</w:t>
            </w:r>
          </w:p>
        </w:tc>
        <w:tc>
          <w:tcPr>
            <w:tcW w:w="1805" w:type="dxa"/>
            <w:tcBorders>
              <w:top w:val="single" w:color="auto" w:sz="4" w:space="0"/>
              <w:left w:val="nil"/>
              <w:bottom w:val="single" w:color="auto" w:sz="4" w:space="0"/>
              <w:right w:val="single" w:color="auto" w:sz="4" w:space="0"/>
            </w:tcBorders>
            <w:vAlign w:val="center"/>
          </w:tcPr>
          <w:p w14:paraId="7CFE875E">
            <w:pPr>
              <w:spacing w:line="360" w:lineRule="auto"/>
              <w:jc w:val="center"/>
              <w:rPr>
                <w:rFonts w:ascii="宋体" w:hAnsi="宋体" w:eastAsia="宋体" w:cs="宋体"/>
                <w:color w:val="auto"/>
                <w:sz w:val="24"/>
                <w:szCs w:val="20"/>
                <w:highlight w:val="none"/>
              </w:rPr>
            </w:pPr>
          </w:p>
        </w:tc>
        <w:tc>
          <w:tcPr>
            <w:tcW w:w="2348" w:type="dxa"/>
            <w:tcBorders>
              <w:top w:val="single" w:color="auto" w:sz="4" w:space="0"/>
              <w:left w:val="nil"/>
              <w:bottom w:val="single" w:color="auto" w:sz="4" w:space="0"/>
              <w:right w:val="single" w:color="auto" w:sz="4" w:space="0"/>
            </w:tcBorders>
            <w:vAlign w:val="center"/>
          </w:tcPr>
          <w:p w14:paraId="3729E652">
            <w:pPr>
              <w:spacing w:line="360" w:lineRule="auto"/>
              <w:jc w:val="center"/>
              <w:rPr>
                <w:rFonts w:ascii="宋体" w:hAnsi="宋体" w:eastAsia="宋体" w:cs="宋体"/>
                <w:color w:val="auto"/>
                <w:sz w:val="24"/>
                <w:szCs w:val="20"/>
                <w:highlight w:val="none"/>
              </w:rPr>
            </w:pPr>
          </w:p>
        </w:tc>
        <w:tc>
          <w:tcPr>
            <w:tcW w:w="1585" w:type="dxa"/>
            <w:tcBorders>
              <w:top w:val="single" w:color="auto" w:sz="4" w:space="0"/>
              <w:left w:val="nil"/>
              <w:bottom w:val="single" w:color="auto" w:sz="4" w:space="0"/>
              <w:right w:val="single" w:color="auto" w:sz="4" w:space="0"/>
            </w:tcBorders>
            <w:vAlign w:val="center"/>
          </w:tcPr>
          <w:p w14:paraId="644B55BC">
            <w:pPr>
              <w:spacing w:line="360" w:lineRule="auto"/>
              <w:jc w:val="center"/>
              <w:rPr>
                <w:rFonts w:ascii="宋体" w:hAnsi="宋体" w:eastAsia="宋体" w:cs="宋体"/>
                <w:color w:val="auto"/>
                <w:sz w:val="24"/>
                <w:szCs w:val="20"/>
                <w:highlight w:val="none"/>
              </w:rPr>
            </w:pPr>
          </w:p>
        </w:tc>
        <w:tc>
          <w:tcPr>
            <w:tcW w:w="1182" w:type="dxa"/>
            <w:tcBorders>
              <w:top w:val="single" w:color="auto" w:sz="4" w:space="0"/>
              <w:left w:val="nil"/>
              <w:bottom w:val="single" w:color="auto" w:sz="4" w:space="0"/>
              <w:right w:val="single" w:color="auto" w:sz="4" w:space="0"/>
            </w:tcBorders>
            <w:vAlign w:val="center"/>
          </w:tcPr>
          <w:p w14:paraId="6FF5ED55">
            <w:pPr>
              <w:spacing w:line="360" w:lineRule="auto"/>
              <w:jc w:val="center"/>
              <w:rPr>
                <w:rFonts w:ascii="宋体" w:hAnsi="宋体" w:eastAsia="宋体" w:cs="宋体"/>
                <w:color w:val="auto"/>
                <w:sz w:val="24"/>
                <w:szCs w:val="20"/>
                <w:highlight w:val="none"/>
              </w:rPr>
            </w:pPr>
          </w:p>
        </w:tc>
        <w:tc>
          <w:tcPr>
            <w:tcW w:w="900" w:type="dxa"/>
            <w:tcBorders>
              <w:top w:val="single" w:color="auto" w:sz="4" w:space="0"/>
              <w:left w:val="nil"/>
              <w:bottom w:val="single" w:color="auto" w:sz="4" w:space="0"/>
              <w:right w:val="single" w:color="auto" w:sz="4" w:space="0"/>
            </w:tcBorders>
            <w:vAlign w:val="center"/>
          </w:tcPr>
          <w:p w14:paraId="36B9F57F">
            <w:pPr>
              <w:spacing w:line="360" w:lineRule="auto"/>
              <w:jc w:val="center"/>
              <w:rPr>
                <w:rFonts w:ascii="宋体" w:hAnsi="宋体" w:eastAsia="宋体" w:cs="宋体"/>
                <w:color w:val="auto"/>
                <w:sz w:val="24"/>
                <w:szCs w:val="20"/>
                <w:highlight w:val="none"/>
              </w:rPr>
            </w:pPr>
          </w:p>
        </w:tc>
      </w:tr>
      <w:tr w14:paraId="083FD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878" w:type="dxa"/>
            <w:tcBorders>
              <w:top w:val="single" w:color="auto" w:sz="4" w:space="0"/>
              <w:left w:val="single" w:color="auto" w:sz="4" w:space="0"/>
              <w:bottom w:val="single" w:color="auto" w:sz="4" w:space="0"/>
              <w:right w:val="single" w:color="auto" w:sz="4" w:space="0"/>
            </w:tcBorders>
            <w:vAlign w:val="center"/>
          </w:tcPr>
          <w:p w14:paraId="013E05BD">
            <w:pPr>
              <w:spacing w:line="360" w:lineRule="auto"/>
              <w:jc w:val="center"/>
              <w:rPr>
                <w:rFonts w:ascii="宋体" w:hAnsi="宋体" w:eastAsia="宋体" w:cs="宋体"/>
                <w:color w:val="auto"/>
                <w:sz w:val="24"/>
                <w:szCs w:val="20"/>
                <w:highlight w:val="none"/>
              </w:rPr>
            </w:pPr>
          </w:p>
        </w:tc>
        <w:tc>
          <w:tcPr>
            <w:tcW w:w="1805" w:type="dxa"/>
            <w:tcBorders>
              <w:top w:val="single" w:color="auto" w:sz="4" w:space="0"/>
              <w:left w:val="nil"/>
              <w:bottom w:val="single" w:color="auto" w:sz="4" w:space="0"/>
              <w:right w:val="single" w:color="auto" w:sz="4" w:space="0"/>
            </w:tcBorders>
            <w:vAlign w:val="center"/>
          </w:tcPr>
          <w:p w14:paraId="6BB4D634">
            <w:pPr>
              <w:spacing w:line="360" w:lineRule="auto"/>
              <w:jc w:val="center"/>
              <w:rPr>
                <w:rFonts w:ascii="宋体" w:hAnsi="宋体" w:eastAsia="宋体" w:cs="宋体"/>
                <w:color w:val="auto"/>
                <w:sz w:val="24"/>
                <w:szCs w:val="20"/>
                <w:highlight w:val="none"/>
              </w:rPr>
            </w:pPr>
          </w:p>
        </w:tc>
        <w:tc>
          <w:tcPr>
            <w:tcW w:w="2348" w:type="dxa"/>
            <w:tcBorders>
              <w:top w:val="single" w:color="auto" w:sz="4" w:space="0"/>
              <w:left w:val="nil"/>
              <w:bottom w:val="single" w:color="auto" w:sz="4" w:space="0"/>
              <w:right w:val="single" w:color="auto" w:sz="4" w:space="0"/>
            </w:tcBorders>
            <w:vAlign w:val="center"/>
          </w:tcPr>
          <w:p w14:paraId="1BAC5A60">
            <w:pPr>
              <w:spacing w:line="360" w:lineRule="auto"/>
              <w:jc w:val="center"/>
              <w:rPr>
                <w:rFonts w:ascii="宋体" w:hAnsi="宋体" w:eastAsia="宋体" w:cs="宋体"/>
                <w:color w:val="auto"/>
                <w:sz w:val="24"/>
                <w:szCs w:val="20"/>
                <w:highlight w:val="none"/>
              </w:rPr>
            </w:pPr>
          </w:p>
        </w:tc>
        <w:tc>
          <w:tcPr>
            <w:tcW w:w="1585" w:type="dxa"/>
            <w:tcBorders>
              <w:top w:val="single" w:color="auto" w:sz="4" w:space="0"/>
              <w:left w:val="nil"/>
              <w:bottom w:val="single" w:color="auto" w:sz="4" w:space="0"/>
              <w:right w:val="single" w:color="auto" w:sz="4" w:space="0"/>
            </w:tcBorders>
            <w:vAlign w:val="center"/>
          </w:tcPr>
          <w:p w14:paraId="57776B64">
            <w:pPr>
              <w:spacing w:line="360" w:lineRule="auto"/>
              <w:jc w:val="center"/>
              <w:rPr>
                <w:rFonts w:ascii="宋体" w:hAnsi="宋体" w:eastAsia="宋体" w:cs="宋体"/>
                <w:color w:val="auto"/>
                <w:sz w:val="24"/>
                <w:szCs w:val="20"/>
                <w:highlight w:val="none"/>
              </w:rPr>
            </w:pPr>
          </w:p>
        </w:tc>
        <w:tc>
          <w:tcPr>
            <w:tcW w:w="1182" w:type="dxa"/>
            <w:tcBorders>
              <w:top w:val="single" w:color="auto" w:sz="4" w:space="0"/>
              <w:left w:val="nil"/>
              <w:bottom w:val="single" w:color="auto" w:sz="4" w:space="0"/>
              <w:right w:val="single" w:color="auto" w:sz="4" w:space="0"/>
            </w:tcBorders>
            <w:vAlign w:val="center"/>
          </w:tcPr>
          <w:p w14:paraId="25749BB1">
            <w:pPr>
              <w:spacing w:line="360" w:lineRule="auto"/>
              <w:jc w:val="center"/>
              <w:rPr>
                <w:rFonts w:ascii="宋体" w:hAnsi="宋体" w:eastAsia="宋体" w:cs="宋体"/>
                <w:color w:val="auto"/>
                <w:sz w:val="24"/>
                <w:szCs w:val="20"/>
                <w:highlight w:val="none"/>
              </w:rPr>
            </w:pPr>
          </w:p>
        </w:tc>
        <w:tc>
          <w:tcPr>
            <w:tcW w:w="900" w:type="dxa"/>
            <w:tcBorders>
              <w:top w:val="single" w:color="auto" w:sz="4" w:space="0"/>
              <w:left w:val="nil"/>
              <w:bottom w:val="single" w:color="auto" w:sz="4" w:space="0"/>
              <w:right w:val="single" w:color="auto" w:sz="4" w:space="0"/>
            </w:tcBorders>
            <w:vAlign w:val="center"/>
          </w:tcPr>
          <w:p w14:paraId="66980498">
            <w:pPr>
              <w:spacing w:line="360" w:lineRule="auto"/>
              <w:jc w:val="center"/>
              <w:rPr>
                <w:rFonts w:ascii="宋体" w:hAnsi="宋体" w:eastAsia="宋体" w:cs="宋体"/>
                <w:color w:val="auto"/>
                <w:sz w:val="24"/>
                <w:szCs w:val="20"/>
                <w:highlight w:val="none"/>
              </w:rPr>
            </w:pPr>
          </w:p>
        </w:tc>
      </w:tr>
      <w:tr w14:paraId="2B2B8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878" w:type="dxa"/>
            <w:tcBorders>
              <w:top w:val="single" w:color="auto" w:sz="4" w:space="0"/>
              <w:left w:val="single" w:color="auto" w:sz="4" w:space="0"/>
              <w:bottom w:val="single" w:color="auto" w:sz="4" w:space="0"/>
              <w:right w:val="single" w:color="auto" w:sz="4" w:space="0"/>
            </w:tcBorders>
            <w:vAlign w:val="center"/>
          </w:tcPr>
          <w:p w14:paraId="4A98E876">
            <w:pPr>
              <w:spacing w:line="360" w:lineRule="auto"/>
              <w:jc w:val="center"/>
              <w:rPr>
                <w:rFonts w:ascii="宋体" w:hAnsi="宋体" w:eastAsia="宋体" w:cs="宋体"/>
                <w:color w:val="auto"/>
                <w:sz w:val="24"/>
                <w:szCs w:val="20"/>
                <w:highlight w:val="none"/>
              </w:rPr>
            </w:pPr>
          </w:p>
        </w:tc>
        <w:tc>
          <w:tcPr>
            <w:tcW w:w="1805" w:type="dxa"/>
            <w:tcBorders>
              <w:top w:val="single" w:color="auto" w:sz="4" w:space="0"/>
              <w:left w:val="nil"/>
              <w:bottom w:val="single" w:color="auto" w:sz="4" w:space="0"/>
              <w:right w:val="single" w:color="auto" w:sz="4" w:space="0"/>
            </w:tcBorders>
            <w:vAlign w:val="center"/>
          </w:tcPr>
          <w:p w14:paraId="28ADA407">
            <w:pPr>
              <w:spacing w:line="360" w:lineRule="auto"/>
              <w:jc w:val="center"/>
              <w:rPr>
                <w:rFonts w:ascii="宋体" w:hAnsi="宋体" w:eastAsia="宋体" w:cs="宋体"/>
                <w:color w:val="auto"/>
                <w:sz w:val="24"/>
                <w:szCs w:val="20"/>
                <w:highlight w:val="none"/>
              </w:rPr>
            </w:pPr>
          </w:p>
        </w:tc>
        <w:tc>
          <w:tcPr>
            <w:tcW w:w="2348" w:type="dxa"/>
            <w:tcBorders>
              <w:top w:val="single" w:color="auto" w:sz="4" w:space="0"/>
              <w:left w:val="nil"/>
              <w:bottom w:val="single" w:color="auto" w:sz="4" w:space="0"/>
              <w:right w:val="single" w:color="auto" w:sz="4" w:space="0"/>
            </w:tcBorders>
            <w:vAlign w:val="center"/>
          </w:tcPr>
          <w:p w14:paraId="4DC74F45">
            <w:pPr>
              <w:spacing w:line="360" w:lineRule="auto"/>
              <w:jc w:val="center"/>
              <w:rPr>
                <w:rFonts w:ascii="宋体" w:hAnsi="宋体" w:eastAsia="宋体" w:cs="宋体"/>
                <w:color w:val="auto"/>
                <w:sz w:val="24"/>
                <w:szCs w:val="20"/>
                <w:highlight w:val="none"/>
              </w:rPr>
            </w:pPr>
          </w:p>
        </w:tc>
        <w:tc>
          <w:tcPr>
            <w:tcW w:w="1585" w:type="dxa"/>
            <w:tcBorders>
              <w:top w:val="single" w:color="auto" w:sz="4" w:space="0"/>
              <w:left w:val="nil"/>
              <w:bottom w:val="single" w:color="auto" w:sz="4" w:space="0"/>
              <w:right w:val="single" w:color="auto" w:sz="4" w:space="0"/>
            </w:tcBorders>
            <w:vAlign w:val="center"/>
          </w:tcPr>
          <w:p w14:paraId="2A7BBF81">
            <w:pPr>
              <w:spacing w:line="360" w:lineRule="auto"/>
              <w:jc w:val="center"/>
              <w:rPr>
                <w:rFonts w:ascii="宋体" w:hAnsi="宋体" w:eastAsia="宋体" w:cs="宋体"/>
                <w:color w:val="auto"/>
                <w:sz w:val="24"/>
                <w:szCs w:val="20"/>
                <w:highlight w:val="none"/>
              </w:rPr>
            </w:pPr>
          </w:p>
        </w:tc>
        <w:tc>
          <w:tcPr>
            <w:tcW w:w="1182" w:type="dxa"/>
            <w:tcBorders>
              <w:top w:val="single" w:color="auto" w:sz="4" w:space="0"/>
              <w:left w:val="nil"/>
              <w:bottom w:val="single" w:color="auto" w:sz="4" w:space="0"/>
              <w:right w:val="single" w:color="auto" w:sz="4" w:space="0"/>
            </w:tcBorders>
            <w:vAlign w:val="center"/>
          </w:tcPr>
          <w:p w14:paraId="050C9F66">
            <w:pPr>
              <w:spacing w:line="360" w:lineRule="auto"/>
              <w:jc w:val="center"/>
              <w:rPr>
                <w:rFonts w:ascii="宋体" w:hAnsi="宋体" w:eastAsia="宋体" w:cs="宋体"/>
                <w:color w:val="auto"/>
                <w:sz w:val="24"/>
                <w:szCs w:val="20"/>
                <w:highlight w:val="none"/>
              </w:rPr>
            </w:pPr>
          </w:p>
        </w:tc>
        <w:tc>
          <w:tcPr>
            <w:tcW w:w="900" w:type="dxa"/>
            <w:tcBorders>
              <w:top w:val="single" w:color="auto" w:sz="4" w:space="0"/>
              <w:left w:val="nil"/>
              <w:bottom w:val="single" w:color="auto" w:sz="4" w:space="0"/>
              <w:right w:val="single" w:color="auto" w:sz="4" w:space="0"/>
            </w:tcBorders>
            <w:vAlign w:val="center"/>
          </w:tcPr>
          <w:p w14:paraId="13DB83F9">
            <w:pPr>
              <w:spacing w:line="360" w:lineRule="auto"/>
              <w:jc w:val="center"/>
              <w:rPr>
                <w:rFonts w:ascii="宋体" w:hAnsi="宋体" w:eastAsia="宋体" w:cs="宋体"/>
                <w:color w:val="auto"/>
                <w:sz w:val="24"/>
                <w:szCs w:val="20"/>
                <w:highlight w:val="none"/>
              </w:rPr>
            </w:pPr>
          </w:p>
        </w:tc>
      </w:tr>
      <w:tr w14:paraId="654DF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7" w:hRule="atLeast"/>
          <w:jc w:val="center"/>
        </w:trPr>
        <w:tc>
          <w:tcPr>
            <w:tcW w:w="878" w:type="dxa"/>
            <w:tcBorders>
              <w:top w:val="single" w:color="auto" w:sz="4" w:space="0"/>
              <w:left w:val="single" w:color="auto" w:sz="4" w:space="0"/>
              <w:bottom w:val="single" w:color="auto" w:sz="4" w:space="0"/>
              <w:right w:val="single" w:color="auto" w:sz="4" w:space="0"/>
            </w:tcBorders>
            <w:vAlign w:val="center"/>
          </w:tcPr>
          <w:p w14:paraId="05C1CBBC">
            <w:pPr>
              <w:spacing w:line="360" w:lineRule="auto"/>
              <w:jc w:val="center"/>
              <w:rPr>
                <w:rFonts w:ascii="宋体" w:hAnsi="宋体" w:eastAsia="宋体" w:cs="宋体"/>
                <w:color w:val="auto"/>
                <w:sz w:val="24"/>
                <w:szCs w:val="20"/>
                <w:highlight w:val="none"/>
              </w:rPr>
            </w:pPr>
          </w:p>
        </w:tc>
        <w:tc>
          <w:tcPr>
            <w:tcW w:w="1805" w:type="dxa"/>
            <w:tcBorders>
              <w:top w:val="single" w:color="auto" w:sz="4" w:space="0"/>
              <w:left w:val="nil"/>
              <w:bottom w:val="single" w:color="auto" w:sz="4" w:space="0"/>
              <w:right w:val="single" w:color="auto" w:sz="4" w:space="0"/>
            </w:tcBorders>
            <w:vAlign w:val="center"/>
          </w:tcPr>
          <w:p w14:paraId="46532716">
            <w:pPr>
              <w:spacing w:line="360" w:lineRule="auto"/>
              <w:jc w:val="center"/>
              <w:rPr>
                <w:rFonts w:ascii="宋体" w:hAnsi="宋体" w:eastAsia="宋体" w:cs="宋体"/>
                <w:color w:val="auto"/>
                <w:sz w:val="24"/>
                <w:szCs w:val="20"/>
                <w:highlight w:val="none"/>
              </w:rPr>
            </w:pPr>
          </w:p>
        </w:tc>
        <w:tc>
          <w:tcPr>
            <w:tcW w:w="2348" w:type="dxa"/>
            <w:tcBorders>
              <w:top w:val="single" w:color="auto" w:sz="4" w:space="0"/>
              <w:left w:val="nil"/>
              <w:bottom w:val="single" w:color="auto" w:sz="4" w:space="0"/>
              <w:right w:val="single" w:color="auto" w:sz="4" w:space="0"/>
            </w:tcBorders>
            <w:vAlign w:val="center"/>
          </w:tcPr>
          <w:p w14:paraId="50F26056">
            <w:pPr>
              <w:spacing w:line="360" w:lineRule="auto"/>
              <w:jc w:val="center"/>
              <w:rPr>
                <w:rFonts w:ascii="宋体" w:hAnsi="宋体" w:eastAsia="宋体" w:cs="宋体"/>
                <w:color w:val="auto"/>
                <w:sz w:val="24"/>
                <w:szCs w:val="20"/>
                <w:highlight w:val="none"/>
              </w:rPr>
            </w:pPr>
          </w:p>
        </w:tc>
        <w:tc>
          <w:tcPr>
            <w:tcW w:w="1585" w:type="dxa"/>
            <w:tcBorders>
              <w:top w:val="single" w:color="auto" w:sz="4" w:space="0"/>
              <w:left w:val="nil"/>
              <w:bottom w:val="single" w:color="auto" w:sz="4" w:space="0"/>
              <w:right w:val="single" w:color="auto" w:sz="4" w:space="0"/>
            </w:tcBorders>
            <w:vAlign w:val="center"/>
          </w:tcPr>
          <w:p w14:paraId="537C85FB">
            <w:pPr>
              <w:spacing w:line="360" w:lineRule="auto"/>
              <w:jc w:val="center"/>
              <w:rPr>
                <w:rFonts w:ascii="宋体" w:hAnsi="宋体" w:eastAsia="宋体" w:cs="宋体"/>
                <w:color w:val="auto"/>
                <w:sz w:val="24"/>
                <w:szCs w:val="20"/>
                <w:highlight w:val="none"/>
              </w:rPr>
            </w:pPr>
          </w:p>
        </w:tc>
        <w:tc>
          <w:tcPr>
            <w:tcW w:w="1182" w:type="dxa"/>
            <w:tcBorders>
              <w:top w:val="single" w:color="auto" w:sz="4" w:space="0"/>
              <w:left w:val="nil"/>
              <w:bottom w:val="single" w:color="auto" w:sz="4" w:space="0"/>
              <w:right w:val="single" w:color="auto" w:sz="4" w:space="0"/>
            </w:tcBorders>
            <w:vAlign w:val="center"/>
          </w:tcPr>
          <w:p w14:paraId="32F25DA4">
            <w:pPr>
              <w:spacing w:line="360" w:lineRule="auto"/>
              <w:jc w:val="center"/>
              <w:rPr>
                <w:rFonts w:ascii="宋体" w:hAnsi="宋体" w:eastAsia="宋体" w:cs="宋体"/>
                <w:color w:val="auto"/>
                <w:sz w:val="24"/>
                <w:szCs w:val="20"/>
                <w:highlight w:val="none"/>
              </w:rPr>
            </w:pPr>
          </w:p>
        </w:tc>
        <w:tc>
          <w:tcPr>
            <w:tcW w:w="900" w:type="dxa"/>
            <w:tcBorders>
              <w:top w:val="single" w:color="auto" w:sz="4" w:space="0"/>
              <w:left w:val="nil"/>
              <w:bottom w:val="single" w:color="auto" w:sz="4" w:space="0"/>
              <w:right w:val="single" w:color="auto" w:sz="4" w:space="0"/>
            </w:tcBorders>
            <w:vAlign w:val="center"/>
          </w:tcPr>
          <w:p w14:paraId="4CDD49AD">
            <w:pPr>
              <w:spacing w:line="360" w:lineRule="auto"/>
              <w:jc w:val="center"/>
              <w:rPr>
                <w:rFonts w:ascii="宋体" w:hAnsi="宋体" w:eastAsia="宋体" w:cs="宋体"/>
                <w:color w:val="auto"/>
                <w:sz w:val="24"/>
                <w:szCs w:val="20"/>
                <w:highlight w:val="none"/>
              </w:rPr>
            </w:pPr>
          </w:p>
        </w:tc>
      </w:tr>
    </w:tbl>
    <w:p w14:paraId="6B0A5357">
      <w:pPr>
        <w:spacing w:line="360" w:lineRule="auto"/>
        <w:rPr>
          <w:rFonts w:ascii="宋体" w:hAnsi="宋体" w:eastAsia="宋体" w:cs="宋体"/>
          <w:b/>
          <w:bCs/>
          <w:color w:val="auto"/>
          <w:sz w:val="24"/>
          <w:szCs w:val="20"/>
          <w:highlight w:val="none"/>
        </w:rPr>
      </w:pPr>
      <w:r>
        <w:rPr>
          <w:rFonts w:hint="eastAsia" w:ascii="宋体" w:hAnsi="宋体" w:eastAsia="宋体" w:cs="宋体"/>
          <w:b/>
          <w:bCs/>
          <w:color w:val="auto"/>
          <w:sz w:val="24"/>
          <w:szCs w:val="20"/>
          <w:highlight w:val="none"/>
        </w:rPr>
        <w:t>注：响应人应对照竞争性磋商文件技术规格要求，反映所提供货物和服务对竞争性磋商文件的技术规格要求的全部正/负偏离（优于竞争性磋商文件要求的为正偏离、低于竞争性磋商文件要求得为负偏离）情况。未在本表中做出偏离说明的项目，视为与竞争性磋商文件要求一致；在本表中做出偏离说明的项目，响应人必须提供所投设备的具体参数值，并在技术标中提供详细资料。</w:t>
      </w:r>
    </w:p>
    <w:p w14:paraId="4D0B0439">
      <w:pPr>
        <w:spacing w:line="360" w:lineRule="auto"/>
        <w:ind w:firstLine="3360" w:firstLineChars="1400"/>
        <w:rPr>
          <w:rFonts w:ascii="宋体" w:hAnsi="宋体" w:eastAsia="宋体" w:cs="宋体"/>
          <w:color w:val="auto"/>
          <w:sz w:val="24"/>
          <w:szCs w:val="20"/>
          <w:highlight w:val="none"/>
        </w:rPr>
      </w:pPr>
    </w:p>
    <w:p w14:paraId="449BB884">
      <w:pPr>
        <w:spacing w:line="360" w:lineRule="auto"/>
        <w:ind w:firstLine="3360" w:firstLineChars="1400"/>
        <w:rPr>
          <w:rFonts w:ascii="宋体" w:hAnsi="宋体" w:eastAsia="宋体" w:cs="宋体"/>
          <w:color w:val="auto"/>
          <w:sz w:val="24"/>
          <w:szCs w:val="20"/>
          <w:highlight w:val="none"/>
          <w:u w:val="single"/>
        </w:rPr>
      </w:pPr>
      <w:r>
        <w:rPr>
          <w:rFonts w:hint="eastAsia" w:ascii="宋体" w:hAnsi="宋体" w:eastAsia="宋体" w:cs="宋体"/>
          <w:color w:val="auto"/>
          <w:sz w:val="24"/>
          <w:szCs w:val="20"/>
          <w:highlight w:val="none"/>
        </w:rPr>
        <w:t>供应商名称：</w:t>
      </w:r>
      <w:r>
        <w:rPr>
          <w:rFonts w:hint="eastAsia" w:ascii="宋体" w:hAnsi="宋体" w:eastAsia="宋体" w:cs="宋体"/>
          <w:color w:val="auto"/>
          <w:sz w:val="24"/>
          <w:szCs w:val="20"/>
          <w:highlight w:val="none"/>
          <w:u w:val="single"/>
        </w:rPr>
        <w:t xml:space="preserve">              </w:t>
      </w:r>
      <w:r>
        <w:rPr>
          <w:rFonts w:hint="eastAsia" w:ascii="宋体" w:hAnsi="宋体" w:eastAsia="宋体" w:cs="宋体"/>
          <w:color w:val="auto"/>
          <w:sz w:val="24"/>
          <w:szCs w:val="20"/>
          <w:highlight w:val="none"/>
        </w:rPr>
        <w:t>（盖单位章）</w:t>
      </w:r>
    </w:p>
    <w:p w14:paraId="2595451A">
      <w:pPr>
        <w:spacing w:line="360" w:lineRule="auto"/>
        <w:ind w:right="-340" w:rightChars="-162" w:firstLine="3360" w:firstLineChars="1400"/>
        <w:rPr>
          <w:rFonts w:ascii="宋体" w:hAnsi="宋体" w:eastAsia="宋体" w:cs="宋体"/>
          <w:color w:val="auto"/>
          <w:sz w:val="24"/>
          <w:szCs w:val="20"/>
          <w:highlight w:val="none"/>
        </w:rPr>
      </w:pPr>
      <w:r>
        <w:rPr>
          <w:rFonts w:hint="eastAsia" w:ascii="宋体" w:hAnsi="宋体" w:eastAsia="宋体" w:cs="宋体"/>
          <w:color w:val="auto"/>
          <w:sz w:val="24"/>
          <w:szCs w:val="20"/>
          <w:highlight w:val="none"/>
        </w:rPr>
        <w:t>日    期：</w:t>
      </w:r>
      <w:r>
        <w:rPr>
          <w:rFonts w:hint="eastAsia" w:ascii="宋体" w:hAnsi="宋体" w:eastAsia="宋体" w:cs="宋体"/>
          <w:color w:val="auto"/>
          <w:sz w:val="24"/>
          <w:szCs w:val="20"/>
          <w:highlight w:val="none"/>
          <w:u w:val="single"/>
        </w:rPr>
        <w:t xml:space="preserve">     </w:t>
      </w:r>
      <w:r>
        <w:rPr>
          <w:rFonts w:hint="eastAsia" w:ascii="宋体" w:hAnsi="宋体" w:eastAsia="宋体" w:cs="宋体"/>
          <w:color w:val="auto"/>
          <w:sz w:val="24"/>
          <w:szCs w:val="20"/>
          <w:highlight w:val="none"/>
        </w:rPr>
        <w:t>年</w:t>
      </w:r>
      <w:r>
        <w:rPr>
          <w:rFonts w:hint="eastAsia" w:ascii="宋体" w:hAnsi="宋体" w:eastAsia="宋体" w:cs="宋体"/>
          <w:color w:val="auto"/>
          <w:sz w:val="24"/>
          <w:szCs w:val="20"/>
          <w:highlight w:val="none"/>
          <w:u w:val="single"/>
        </w:rPr>
        <w:t xml:space="preserve">      </w:t>
      </w:r>
      <w:r>
        <w:rPr>
          <w:rFonts w:hint="eastAsia" w:ascii="宋体" w:hAnsi="宋体" w:eastAsia="宋体" w:cs="宋体"/>
          <w:color w:val="auto"/>
          <w:sz w:val="24"/>
          <w:szCs w:val="20"/>
          <w:highlight w:val="none"/>
        </w:rPr>
        <w:t>月</w:t>
      </w:r>
      <w:r>
        <w:rPr>
          <w:rFonts w:hint="eastAsia" w:ascii="宋体" w:hAnsi="宋体" w:eastAsia="宋体" w:cs="宋体"/>
          <w:color w:val="auto"/>
          <w:sz w:val="24"/>
          <w:szCs w:val="20"/>
          <w:highlight w:val="none"/>
          <w:u w:val="single"/>
        </w:rPr>
        <w:t xml:space="preserve">      </w:t>
      </w:r>
      <w:r>
        <w:rPr>
          <w:rFonts w:hint="eastAsia" w:ascii="宋体" w:hAnsi="宋体" w:eastAsia="宋体" w:cs="宋体"/>
          <w:color w:val="auto"/>
          <w:sz w:val="24"/>
          <w:szCs w:val="20"/>
          <w:highlight w:val="none"/>
        </w:rPr>
        <w:t>日</w:t>
      </w:r>
    </w:p>
    <w:p w14:paraId="360F0281">
      <w:pPr>
        <w:widowControl/>
        <w:jc w:val="left"/>
        <w:rPr>
          <w:rFonts w:ascii="宋体" w:hAnsi="宋体" w:cs="宋体"/>
          <w:color w:val="auto"/>
          <w:szCs w:val="24"/>
          <w:highlight w:val="none"/>
        </w:rPr>
      </w:pPr>
    </w:p>
    <w:p w14:paraId="08F8B701">
      <w:pPr>
        <w:widowControl/>
        <w:jc w:val="left"/>
        <w:rPr>
          <w:color w:val="auto"/>
          <w:highlight w:val="none"/>
        </w:rPr>
      </w:pPr>
      <w:r>
        <w:rPr>
          <w:color w:val="auto"/>
          <w:highlight w:val="none"/>
        </w:rPr>
        <w:br w:type="page"/>
      </w:r>
    </w:p>
    <w:p w14:paraId="1F1B6544">
      <w:pPr>
        <w:pStyle w:val="3"/>
        <w:jc w:val="center"/>
        <w:rPr>
          <w:color w:val="auto"/>
          <w:highlight w:val="none"/>
        </w:rPr>
      </w:pPr>
      <w:r>
        <w:rPr>
          <w:rFonts w:hint="eastAsia"/>
          <w:color w:val="auto"/>
          <w:highlight w:val="none"/>
        </w:rPr>
        <w:t>七、技术标部分</w:t>
      </w:r>
      <w:bookmarkEnd w:id="223"/>
      <w:bookmarkEnd w:id="224"/>
      <w:bookmarkEnd w:id="225"/>
    </w:p>
    <w:p w14:paraId="28DB7430">
      <w:pPr>
        <w:spacing w:line="500" w:lineRule="exact"/>
        <w:jc w:val="center"/>
        <w:rPr>
          <w:rFonts w:ascii="宋体" w:hAnsi="宋体" w:cs="宋体"/>
          <w:color w:val="auto"/>
          <w:sz w:val="22"/>
          <w:highlight w:val="none"/>
        </w:rPr>
      </w:pPr>
      <w:r>
        <w:rPr>
          <w:rFonts w:hint="eastAsia" w:ascii="宋体" w:hAnsi="宋体" w:cs="宋体"/>
          <w:color w:val="auto"/>
          <w:sz w:val="22"/>
          <w:highlight w:val="none"/>
        </w:rPr>
        <w:t>（格式自拟）</w:t>
      </w:r>
    </w:p>
    <w:p w14:paraId="5252DB6B">
      <w:pPr>
        <w:rPr>
          <w:color w:val="auto"/>
          <w:highlight w:val="none"/>
        </w:rPr>
      </w:pPr>
      <w:bookmarkStart w:id="226" w:name="_Toc12073"/>
      <w:bookmarkEnd w:id="226"/>
      <w:r>
        <w:rPr>
          <w:rFonts w:hint="eastAsia"/>
          <w:color w:val="auto"/>
          <w:highlight w:val="none"/>
        </w:rPr>
        <w:br w:type="page"/>
      </w:r>
      <w:bookmarkStart w:id="227" w:name="_Toc2770"/>
      <w:bookmarkEnd w:id="227"/>
      <w:bookmarkStart w:id="228" w:name="_Toc20210"/>
      <w:bookmarkStart w:id="229" w:name="_Toc4724"/>
    </w:p>
    <w:p w14:paraId="63295BD9">
      <w:pPr>
        <w:pStyle w:val="3"/>
        <w:jc w:val="center"/>
        <w:rPr>
          <w:color w:val="auto"/>
          <w:highlight w:val="none"/>
        </w:rPr>
      </w:pPr>
      <w:r>
        <w:rPr>
          <w:rFonts w:hint="eastAsia"/>
          <w:color w:val="auto"/>
          <w:highlight w:val="none"/>
        </w:rPr>
        <w:t>八、供应商资格证明</w:t>
      </w:r>
      <w:bookmarkEnd w:id="228"/>
      <w:bookmarkEnd w:id="229"/>
      <w:r>
        <w:rPr>
          <w:rFonts w:hint="eastAsia"/>
          <w:color w:val="auto"/>
          <w:highlight w:val="none"/>
        </w:rPr>
        <w:t>材料</w:t>
      </w:r>
    </w:p>
    <w:p w14:paraId="602409F9">
      <w:pPr>
        <w:jc w:val="center"/>
        <w:rPr>
          <w:rFonts w:ascii="宋体" w:hAnsi="宋体" w:cs="宋体"/>
          <w:color w:val="auto"/>
          <w:sz w:val="24"/>
          <w:highlight w:val="none"/>
        </w:rPr>
      </w:pPr>
      <w:bookmarkStart w:id="230" w:name="_Toc361989464"/>
      <w:bookmarkEnd w:id="230"/>
      <w:r>
        <w:rPr>
          <w:rFonts w:hint="eastAsia" w:ascii="宋体" w:hAnsi="宋体" w:cs="宋体"/>
          <w:color w:val="auto"/>
          <w:sz w:val="24"/>
          <w:highlight w:val="none"/>
        </w:rPr>
        <w:br w:type="page"/>
      </w:r>
      <w:bookmarkStart w:id="231" w:name="_Toc528078075"/>
      <w:bookmarkEnd w:id="231"/>
      <w:bookmarkStart w:id="232" w:name="_Toc234213567"/>
      <w:bookmarkEnd w:id="232"/>
      <w:bookmarkStart w:id="233" w:name="_Toc244934216"/>
      <w:bookmarkEnd w:id="233"/>
      <w:bookmarkStart w:id="234" w:name="_Toc361989467"/>
      <w:bookmarkEnd w:id="234"/>
      <w:bookmarkStart w:id="235" w:name="_Toc361989466"/>
      <w:bookmarkEnd w:id="235"/>
      <w:bookmarkStart w:id="236" w:name="_Toc7868"/>
    </w:p>
    <w:p w14:paraId="1BBF8BAA">
      <w:pPr>
        <w:pStyle w:val="3"/>
        <w:jc w:val="center"/>
        <w:rPr>
          <w:color w:val="auto"/>
          <w:highlight w:val="none"/>
        </w:rPr>
      </w:pPr>
      <w:r>
        <w:rPr>
          <w:rFonts w:hint="eastAsia"/>
          <w:color w:val="auto"/>
          <w:highlight w:val="none"/>
        </w:rPr>
        <w:t>九、</w:t>
      </w:r>
      <w:bookmarkEnd w:id="236"/>
      <w:r>
        <w:rPr>
          <w:rFonts w:hint="eastAsia"/>
          <w:color w:val="auto"/>
          <w:highlight w:val="none"/>
        </w:rPr>
        <w:t>商务标部分</w:t>
      </w:r>
    </w:p>
    <w:p w14:paraId="595A1A9B">
      <w:pPr>
        <w:jc w:val="center"/>
        <w:outlineLvl w:val="2"/>
        <w:rPr>
          <w:rFonts w:ascii="宋体" w:hAnsi="宋体" w:cs="宋体"/>
          <w:b/>
          <w:bCs/>
          <w:color w:val="auto"/>
          <w:sz w:val="24"/>
          <w:highlight w:val="none"/>
        </w:rPr>
      </w:pPr>
      <w:r>
        <w:rPr>
          <w:rFonts w:hint="eastAsia" w:ascii="宋体" w:hAnsi="宋体" w:cs="宋体"/>
          <w:b/>
          <w:bCs/>
          <w:color w:val="auto"/>
          <w:sz w:val="24"/>
          <w:highlight w:val="none"/>
        </w:rPr>
        <w:t>（格式自拟）</w:t>
      </w:r>
    </w:p>
    <w:p w14:paraId="2546AD88">
      <w:pPr>
        <w:jc w:val="center"/>
        <w:rPr>
          <w:rFonts w:ascii="宋体" w:hAnsi="宋体" w:cs="宋体"/>
          <w:b/>
          <w:bCs/>
          <w:color w:val="auto"/>
          <w:sz w:val="24"/>
          <w:highlight w:val="none"/>
        </w:rPr>
      </w:pPr>
      <w:r>
        <w:rPr>
          <w:rFonts w:hint="eastAsia" w:ascii="宋体" w:hAnsi="宋体" w:cs="宋体"/>
          <w:b/>
          <w:bCs/>
          <w:color w:val="auto"/>
          <w:sz w:val="24"/>
          <w:highlight w:val="none"/>
        </w:rPr>
        <w:br w:type="page"/>
      </w:r>
    </w:p>
    <w:p w14:paraId="4A1642C7">
      <w:pPr>
        <w:ind w:firstLine="420"/>
        <w:jc w:val="center"/>
        <w:rPr>
          <w:rFonts w:ascii="宋体" w:hAnsi="宋体" w:cs="宋体"/>
          <w:b/>
          <w:bCs/>
          <w:color w:val="auto"/>
          <w:sz w:val="24"/>
          <w:highlight w:val="none"/>
        </w:rPr>
      </w:pPr>
    </w:p>
    <w:p w14:paraId="260443F8">
      <w:pPr>
        <w:pStyle w:val="3"/>
        <w:jc w:val="center"/>
        <w:rPr>
          <w:color w:val="auto"/>
          <w:highlight w:val="none"/>
        </w:rPr>
      </w:pPr>
      <w:bookmarkStart w:id="237" w:name="_Toc361989468"/>
      <w:bookmarkEnd w:id="237"/>
      <w:bookmarkStart w:id="238" w:name="_Toc528078076"/>
      <w:bookmarkEnd w:id="238"/>
      <w:bookmarkStart w:id="239" w:name="_Toc244934217"/>
      <w:bookmarkEnd w:id="239"/>
      <w:bookmarkStart w:id="240" w:name="_Toc23775"/>
      <w:r>
        <w:rPr>
          <w:rFonts w:hint="eastAsia"/>
          <w:color w:val="auto"/>
          <w:highlight w:val="none"/>
        </w:rPr>
        <w:t>十、其他资料</w:t>
      </w:r>
      <w:bookmarkEnd w:id="240"/>
    </w:p>
    <w:p w14:paraId="4B14D8CE">
      <w:pPr>
        <w:jc w:val="center"/>
        <w:rPr>
          <w:rFonts w:ascii="宋体" w:hAnsi="宋体" w:cs="宋体"/>
          <w:b/>
          <w:bCs/>
          <w:color w:val="auto"/>
          <w:sz w:val="24"/>
          <w:highlight w:val="none"/>
        </w:rPr>
      </w:pPr>
    </w:p>
    <w:p w14:paraId="66C8AAD5">
      <w:pPr>
        <w:jc w:val="center"/>
        <w:outlineLvl w:val="9"/>
        <w:rPr>
          <w:rFonts w:ascii="宋体" w:hAnsi="宋体" w:cs="宋体"/>
          <w:b/>
          <w:bCs/>
          <w:color w:val="auto"/>
          <w:sz w:val="24"/>
          <w:highlight w:val="none"/>
        </w:rPr>
      </w:pPr>
      <w:bookmarkStart w:id="241" w:name="_Toc24855"/>
      <w:bookmarkStart w:id="242" w:name="_Toc18025"/>
      <w:bookmarkStart w:id="243" w:name="_Toc30780"/>
      <w:bookmarkStart w:id="244" w:name="_Toc5157"/>
      <w:bookmarkStart w:id="245" w:name="_Toc9253"/>
      <w:r>
        <w:rPr>
          <w:rFonts w:hint="eastAsia" w:ascii="宋体" w:hAnsi="宋体" w:cs="宋体"/>
          <w:b/>
          <w:bCs/>
          <w:color w:val="auto"/>
          <w:sz w:val="24"/>
          <w:highlight w:val="none"/>
        </w:rPr>
        <w:t>（供应商认为应该提交的资料）</w:t>
      </w:r>
      <w:bookmarkEnd w:id="241"/>
      <w:bookmarkEnd w:id="242"/>
      <w:bookmarkEnd w:id="243"/>
      <w:bookmarkEnd w:id="244"/>
      <w:bookmarkEnd w:id="245"/>
    </w:p>
    <w:p w14:paraId="7994B42C">
      <w:pPr>
        <w:jc w:val="center"/>
        <w:rPr>
          <w:rFonts w:ascii="宋体" w:hAnsi="宋体" w:cs="宋体"/>
          <w:b/>
          <w:bCs/>
          <w:color w:val="auto"/>
          <w:sz w:val="24"/>
          <w:highlight w:val="none"/>
        </w:rPr>
      </w:pPr>
    </w:p>
    <w:p w14:paraId="0700DF6F">
      <w:pPr>
        <w:rPr>
          <w:rFonts w:ascii="宋体" w:hAnsi="宋体" w:cs="宋体"/>
          <w:b/>
          <w:bCs/>
          <w:color w:val="auto"/>
          <w:sz w:val="24"/>
          <w:highlight w:val="none"/>
        </w:rPr>
      </w:pPr>
      <w:r>
        <w:rPr>
          <w:rFonts w:hint="eastAsia" w:ascii="宋体" w:hAnsi="宋体" w:cs="宋体"/>
          <w:b/>
          <w:bCs/>
          <w:color w:val="auto"/>
          <w:sz w:val="24"/>
          <w:highlight w:val="none"/>
        </w:rPr>
        <w:t xml:space="preserve"> </w:t>
      </w:r>
    </w:p>
    <w:p w14:paraId="621D7261">
      <w:pPr>
        <w:rPr>
          <w:rFonts w:ascii="宋体" w:hAnsi="宋体" w:cs="宋体"/>
          <w:b/>
          <w:bCs/>
          <w:color w:val="auto"/>
          <w:sz w:val="24"/>
          <w:highlight w:val="none"/>
        </w:rPr>
      </w:pPr>
      <w:r>
        <w:rPr>
          <w:rFonts w:hint="eastAsia" w:ascii="宋体" w:hAnsi="宋体" w:cs="宋体"/>
          <w:b/>
          <w:bCs/>
          <w:color w:val="auto"/>
          <w:sz w:val="24"/>
          <w:highlight w:val="none"/>
        </w:rPr>
        <w:t xml:space="preserve"> </w:t>
      </w:r>
    </w:p>
    <w:p w14:paraId="71513C43">
      <w:pPr>
        <w:rPr>
          <w:rFonts w:ascii="宋体" w:hAnsi="宋体" w:cs="宋体"/>
          <w:b/>
          <w:bCs/>
          <w:color w:val="auto"/>
          <w:sz w:val="24"/>
          <w:highlight w:val="none"/>
        </w:rPr>
      </w:pPr>
      <w:r>
        <w:rPr>
          <w:rFonts w:hint="eastAsia" w:ascii="宋体" w:hAnsi="宋体" w:cs="宋体"/>
          <w:b/>
          <w:bCs/>
          <w:color w:val="auto"/>
          <w:sz w:val="24"/>
          <w:highlight w:val="none"/>
        </w:rPr>
        <w:t xml:space="preserve"> </w:t>
      </w:r>
    </w:p>
    <w:p w14:paraId="125CA4A3">
      <w:pPr>
        <w:rPr>
          <w:rFonts w:ascii="宋体" w:hAnsi="宋体" w:cs="宋体"/>
          <w:b/>
          <w:bCs/>
          <w:color w:val="auto"/>
          <w:sz w:val="24"/>
          <w:highlight w:val="none"/>
        </w:rPr>
      </w:pPr>
      <w:r>
        <w:rPr>
          <w:rFonts w:hint="eastAsia" w:ascii="宋体" w:hAnsi="宋体" w:cs="宋体"/>
          <w:b/>
          <w:bCs/>
          <w:color w:val="auto"/>
          <w:sz w:val="24"/>
          <w:highlight w:val="none"/>
        </w:rPr>
        <w:t xml:space="preserve"> </w:t>
      </w:r>
    </w:p>
    <w:p w14:paraId="77324E1C">
      <w:pPr>
        <w:rPr>
          <w:rFonts w:ascii="宋体" w:hAnsi="宋体" w:cs="宋体"/>
          <w:b/>
          <w:bCs/>
          <w:color w:val="auto"/>
          <w:sz w:val="24"/>
          <w:highlight w:val="none"/>
        </w:rPr>
      </w:pPr>
      <w:r>
        <w:rPr>
          <w:rFonts w:hint="eastAsia" w:ascii="宋体" w:hAnsi="宋体" w:cs="宋体"/>
          <w:b/>
          <w:bCs/>
          <w:color w:val="auto"/>
          <w:sz w:val="24"/>
          <w:highlight w:val="none"/>
        </w:rPr>
        <w:t xml:space="preserve"> </w:t>
      </w:r>
    </w:p>
    <w:p w14:paraId="1AE84D31">
      <w:pPr>
        <w:rPr>
          <w:rFonts w:ascii="宋体" w:hAnsi="宋体" w:cs="宋体"/>
          <w:b/>
          <w:bCs/>
          <w:color w:val="auto"/>
          <w:sz w:val="24"/>
          <w:highlight w:val="none"/>
        </w:rPr>
      </w:pPr>
      <w:r>
        <w:rPr>
          <w:rFonts w:hint="eastAsia" w:ascii="宋体" w:hAnsi="宋体" w:cs="宋体"/>
          <w:b/>
          <w:bCs/>
          <w:color w:val="auto"/>
          <w:sz w:val="24"/>
          <w:highlight w:val="none"/>
        </w:rPr>
        <w:t xml:space="preserve"> </w:t>
      </w:r>
    </w:p>
    <w:p w14:paraId="1158B53D">
      <w:pPr>
        <w:rPr>
          <w:rFonts w:ascii="宋体" w:hAnsi="宋体" w:cs="宋体"/>
          <w:b/>
          <w:bCs/>
          <w:color w:val="auto"/>
          <w:sz w:val="24"/>
          <w:highlight w:val="none"/>
        </w:rPr>
      </w:pPr>
      <w:r>
        <w:rPr>
          <w:rFonts w:hint="eastAsia" w:ascii="宋体" w:hAnsi="宋体" w:cs="宋体"/>
          <w:b/>
          <w:bCs/>
          <w:color w:val="auto"/>
          <w:sz w:val="24"/>
          <w:highlight w:val="none"/>
        </w:rPr>
        <w:t xml:space="preserve"> </w:t>
      </w:r>
    </w:p>
    <w:p w14:paraId="384FC826">
      <w:pPr>
        <w:rPr>
          <w:rFonts w:ascii="宋体" w:hAnsi="宋体" w:cs="宋体"/>
          <w:b/>
          <w:bCs/>
          <w:color w:val="auto"/>
          <w:sz w:val="24"/>
          <w:highlight w:val="none"/>
        </w:rPr>
      </w:pPr>
      <w:r>
        <w:rPr>
          <w:rFonts w:hint="eastAsia" w:ascii="宋体" w:hAnsi="宋体" w:cs="宋体"/>
          <w:b/>
          <w:bCs/>
          <w:color w:val="auto"/>
          <w:sz w:val="24"/>
          <w:highlight w:val="none"/>
        </w:rPr>
        <w:t xml:space="preserve"> </w:t>
      </w:r>
    </w:p>
    <w:p w14:paraId="0F3464BF">
      <w:pPr>
        <w:rPr>
          <w:rFonts w:ascii="宋体" w:hAnsi="宋体" w:cs="宋体"/>
          <w:b/>
          <w:bCs/>
          <w:color w:val="auto"/>
          <w:sz w:val="24"/>
          <w:highlight w:val="none"/>
        </w:rPr>
      </w:pPr>
      <w:r>
        <w:rPr>
          <w:rFonts w:hint="eastAsia" w:ascii="宋体" w:hAnsi="宋体" w:cs="宋体"/>
          <w:b/>
          <w:bCs/>
          <w:color w:val="auto"/>
          <w:sz w:val="24"/>
          <w:highlight w:val="none"/>
        </w:rPr>
        <w:t xml:space="preserve"> </w:t>
      </w:r>
    </w:p>
    <w:p w14:paraId="75ECB148">
      <w:pPr>
        <w:rPr>
          <w:rFonts w:ascii="宋体" w:hAnsi="宋体" w:cs="宋体"/>
          <w:color w:val="auto"/>
          <w:sz w:val="24"/>
          <w:highlight w:val="none"/>
        </w:rPr>
      </w:pPr>
      <w:r>
        <w:rPr>
          <w:rFonts w:hint="eastAsia" w:ascii="宋体" w:hAnsi="宋体" w:cs="宋体"/>
          <w:color w:val="auto"/>
          <w:sz w:val="24"/>
          <w:highlight w:val="none"/>
        </w:rPr>
        <w:t xml:space="preserve"> </w:t>
      </w:r>
    </w:p>
    <w:p w14:paraId="765CC2AF">
      <w:pPr>
        <w:rPr>
          <w:rFonts w:ascii="宋体" w:hAnsi="宋体" w:cs="宋体"/>
          <w:color w:val="auto"/>
          <w:sz w:val="24"/>
          <w:highlight w:val="none"/>
        </w:rPr>
      </w:pPr>
      <w:r>
        <w:rPr>
          <w:rFonts w:hint="eastAsia" w:ascii="宋体" w:hAnsi="宋体" w:cs="宋体"/>
          <w:color w:val="auto"/>
          <w:sz w:val="24"/>
          <w:highlight w:val="none"/>
        </w:rPr>
        <w:t xml:space="preserve"> </w:t>
      </w:r>
    </w:p>
    <w:p w14:paraId="2D7153B3">
      <w:pPr>
        <w:rPr>
          <w:rFonts w:ascii="宋体" w:hAnsi="宋体" w:cs="宋体"/>
          <w:color w:val="auto"/>
          <w:sz w:val="24"/>
          <w:highlight w:val="none"/>
        </w:rPr>
      </w:pPr>
    </w:p>
    <w:p w14:paraId="6DDC1D98">
      <w:pPr>
        <w:rPr>
          <w:rFonts w:ascii="宋体" w:hAnsi="宋体" w:cs="宋体"/>
          <w:color w:val="auto"/>
          <w:sz w:val="24"/>
          <w:highlight w:val="none"/>
        </w:rPr>
      </w:pPr>
    </w:p>
    <w:p w14:paraId="75429E9F">
      <w:pPr>
        <w:rPr>
          <w:rFonts w:ascii="宋体" w:hAnsi="宋体" w:cs="宋体"/>
          <w:color w:val="auto"/>
          <w:sz w:val="24"/>
          <w:highlight w:val="none"/>
        </w:rPr>
      </w:pPr>
    </w:p>
    <w:p w14:paraId="3917362C">
      <w:pPr>
        <w:rPr>
          <w:rFonts w:ascii="宋体" w:hAnsi="宋体" w:eastAsia="宋体" w:cs="宋体"/>
          <w:color w:val="auto"/>
          <w:sz w:val="24"/>
          <w:szCs w:val="24"/>
          <w:highlight w:val="none"/>
        </w:rPr>
      </w:pPr>
    </w:p>
    <w:p w14:paraId="2ADC6679">
      <w:pPr>
        <w:widowControl/>
        <w:jc w:val="left"/>
        <w:rPr>
          <w:color w:val="auto"/>
          <w:highlight w:val="none"/>
        </w:rPr>
      </w:pPr>
      <w:r>
        <w:rPr>
          <w:color w:val="auto"/>
          <w:highlight w:val="none"/>
        </w:rPr>
        <w:br w:type="page"/>
      </w:r>
    </w:p>
    <w:p w14:paraId="31A92B8C">
      <w:pPr>
        <w:wordWrap w:val="0"/>
        <w:topLinePunct/>
        <w:outlineLvl w:val="0"/>
        <w:rPr>
          <w:rFonts w:ascii="宋体" w:hAnsi="宋体" w:eastAsia="宋体" w:cs="宋体"/>
          <w:color w:val="auto"/>
          <w:sz w:val="24"/>
          <w:szCs w:val="24"/>
          <w:highlight w:val="none"/>
        </w:rPr>
      </w:pPr>
      <w:bookmarkStart w:id="246" w:name="_Toc17134"/>
      <w:bookmarkStart w:id="247" w:name="_Toc30800"/>
      <w:bookmarkStart w:id="248" w:name="_Toc16496"/>
      <w:bookmarkStart w:id="249" w:name="_Toc23948"/>
      <w:bookmarkStart w:id="250" w:name="_Toc5971"/>
      <w:r>
        <w:rPr>
          <w:rFonts w:hint="eastAsia" w:ascii="宋体" w:hAnsi="宋体" w:eastAsia="宋体" w:cs="宋体"/>
          <w:color w:val="auto"/>
          <w:sz w:val="24"/>
          <w:szCs w:val="24"/>
          <w:highlight w:val="none"/>
        </w:rPr>
        <w:t>附件1</w:t>
      </w:r>
      <w:bookmarkEnd w:id="246"/>
      <w:bookmarkEnd w:id="247"/>
      <w:bookmarkEnd w:id="248"/>
      <w:bookmarkEnd w:id="249"/>
      <w:bookmarkEnd w:id="250"/>
    </w:p>
    <w:p w14:paraId="51350F13">
      <w:pPr>
        <w:wordWrap w:val="0"/>
        <w:topLinePunct/>
        <w:adjustRightInd w:val="0"/>
        <w:spacing w:line="360" w:lineRule="auto"/>
        <w:ind w:left="63" w:leftChars="30" w:right="63" w:rightChars="30"/>
        <w:jc w:val="center"/>
        <w:textAlignment w:val="baseline"/>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中小企业声明函</w:t>
      </w:r>
    </w:p>
    <w:p w14:paraId="67504DB4">
      <w:pPr>
        <w:wordWrap w:val="0"/>
        <w:topLinePunct/>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本公司（联合体）郑重声明，根据《政府采购促进中小企业发展管理办法》（财库﹝2020﹞46 号）的规定，本公司（联合体）参加</w:t>
      </w:r>
      <w:r>
        <w:rPr>
          <w:rFonts w:hint="eastAsia" w:ascii="宋体" w:hAnsi="宋体" w:eastAsia="宋体" w:cs="宋体"/>
          <w:color w:val="auto"/>
          <w:sz w:val="24"/>
          <w:szCs w:val="24"/>
          <w:highlight w:val="none"/>
          <w:u w:val="single"/>
        </w:rPr>
        <w:t>（单位名称）</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（项目名称）</w:t>
      </w:r>
      <w:r>
        <w:rPr>
          <w:rFonts w:hint="eastAsia" w:ascii="宋体" w:hAnsi="宋体" w:eastAsia="宋体" w:cs="宋体"/>
          <w:color w:val="auto"/>
          <w:sz w:val="24"/>
          <w:szCs w:val="24"/>
          <w:highlight w:val="none"/>
        </w:rPr>
        <w:t>采购活动，提供的货物全部为符合政策要求的中小企业。相关企业（含联合体中的中小企业、签订分包意向协议的中小企业）的具体情况如下：</w:t>
      </w:r>
    </w:p>
    <w:p w14:paraId="17A43D72">
      <w:pPr>
        <w:wordWrap w:val="0"/>
        <w:topLinePunct/>
        <w:adjustRightInd w:val="0"/>
        <w:snapToGrid w:val="0"/>
        <w:spacing w:line="360" w:lineRule="auto"/>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rPr>
        <w:t>；制造商为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万元</w:t>
      </w:r>
      <w:r>
        <w:rPr>
          <w:rFonts w:hint="eastAsia" w:ascii="宋体" w:hAnsi="宋体" w:eastAsia="宋体" w:cs="宋体"/>
          <w:color w:val="auto"/>
          <w:sz w:val="24"/>
          <w:szCs w:val="24"/>
          <w:highlight w:val="none"/>
          <w:vertAlign w:val="superscript"/>
        </w:rPr>
        <w:t>1</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14:paraId="7499A3BF">
      <w:pPr>
        <w:wordWrap w:val="0"/>
        <w:topLinePunct/>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rPr>
        <w:t>；制造商为</w:t>
      </w:r>
      <w:r>
        <w:rPr>
          <w:rFonts w:hint="eastAsia" w:ascii="宋体" w:hAnsi="宋体" w:eastAsia="宋体" w:cs="宋体"/>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万元，属于</w:t>
      </w:r>
      <w:r>
        <w:rPr>
          <w:rFonts w:hint="eastAsia" w:ascii="宋体" w:hAnsi="宋体" w:eastAsia="宋体" w:cs="宋体"/>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14:paraId="29B97D0F">
      <w:pPr>
        <w:wordWrap w:val="0"/>
        <w:topLinePunct/>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7493784C">
      <w:pPr>
        <w:wordWrap w:val="0"/>
        <w:topLinePunct/>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以上企业，不属于大企业的分支机构，不存在控股股东为大企业的情形，也不存在与大企业的负责人为同一人的情形。</w:t>
      </w:r>
    </w:p>
    <w:p w14:paraId="3258124A">
      <w:pPr>
        <w:wordWrap w:val="0"/>
        <w:topLinePunct/>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本企业对上述声明内容的真实性负责。如有虚假，将依法承担相应责任。</w:t>
      </w:r>
    </w:p>
    <w:p w14:paraId="7FF4BD43">
      <w:pPr>
        <w:wordWrap w:val="0"/>
        <w:topLinePunct/>
        <w:spacing w:after="120" w:line="360" w:lineRule="auto"/>
        <w:ind w:left="420" w:leftChars="200" w:firstLine="480" w:firstLineChars="200"/>
        <w:rPr>
          <w:rFonts w:ascii="宋体" w:hAnsi="宋体" w:eastAsia="宋体" w:cs="宋体"/>
          <w:color w:val="auto"/>
          <w:sz w:val="24"/>
          <w:szCs w:val="24"/>
          <w:highlight w:val="none"/>
        </w:rPr>
      </w:pPr>
    </w:p>
    <w:p w14:paraId="64B8C1BC">
      <w:pPr>
        <w:wordWrap w:val="0"/>
        <w:topLinePunct/>
        <w:adjustRightInd w:val="0"/>
        <w:snapToGrid w:val="0"/>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企业名称（盖章）：</w:t>
      </w:r>
    </w:p>
    <w:p w14:paraId="1924B1C9">
      <w:pPr>
        <w:wordWrap w:val="0"/>
        <w:topLinePunct/>
        <w:adjustRightInd w:val="0"/>
        <w:snapToGrid w:val="0"/>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日          期：</w:t>
      </w:r>
    </w:p>
    <w:p w14:paraId="05EDDA9B">
      <w:pPr>
        <w:wordWrap w:val="0"/>
        <w:topLinePunct/>
        <w:spacing w:after="120" w:line="360" w:lineRule="auto"/>
        <w:ind w:left="420" w:leftChars="200" w:firstLine="480" w:firstLineChars="200"/>
        <w:rPr>
          <w:rFonts w:ascii="宋体" w:hAnsi="宋体" w:eastAsia="宋体" w:cs="宋体"/>
          <w:color w:val="auto"/>
          <w:sz w:val="24"/>
          <w:szCs w:val="24"/>
          <w:highlight w:val="none"/>
        </w:rPr>
      </w:pPr>
    </w:p>
    <w:p w14:paraId="3328E8ED">
      <w:pPr>
        <w:wordWrap w:val="0"/>
        <w:topLinePunct/>
        <w:adjustRightInd w:val="0"/>
        <w:snapToGrid w:val="0"/>
        <w:spacing w:line="360" w:lineRule="auto"/>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说明：</w:t>
      </w:r>
    </w:p>
    <w:p w14:paraId="195A1DD4">
      <w:pPr>
        <w:widowControl w:val="0"/>
        <w:spacing w:line="360" w:lineRule="auto"/>
        <w:ind w:firstLine="168" w:firstLineChars="67"/>
        <w:textAlignment w:val="auto"/>
        <w:rPr>
          <w:rFonts w:ascii="宋体" w:hAnsi="宋体" w:cs="仿宋"/>
          <w:color w:val="auto"/>
          <w:kern w:val="2"/>
          <w:sz w:val="24"/>
          <w:szCs w:val="24"/>
          <w:highlight w:val="none"/>
        </w:rPr>
      </w:pPr>
      <w:r>
        <w:rPr>
          <w:rFonts w:hint="eastAsia" w:ascii="宋体" w:hAnsi="宋体" w:eastAsia="宋体" w:cs="宋体"/>
          <w:color w:val="auto"/>
          <w:spacing w:val="6"/>
          <w:sz w:val="24"/>
          <w:szCs w:val="24"/>
          <w:highlight w:val="none"/>
        </w:rPr>
        <w:t>1、从业人员、营业收入、资产总额填报上一年度数据，无上一年度数据的新成立企业可不填报。</w:t>
      </w:r>
      <w:r>
        <w:rPr>
          <w:rFonts w:hint="eastAsia" w:ascii="宋体" w:hAnsi="宋体" w:cs="仿宋"/>
          <w:color w:val="auto"/>
          <w:kern w:val="2"/>
          <w:sz w:val="24"/>
          <w:szCs w:val="24"/>
          <w:highlight w:val="none"/>
        </w:rPr>
        <w:t>（属于中小微企业的填写，不属于的无需填写此项内容）</w:t>
      </w:r>
    </w:p>
    <w:p w14:paraId="60044D48">
      <w:pPr>
        <w:wordWrap w:val="0"/>
        <w:topLinePunct/>
        <w:adjustRightInd w:val="0"/>
        <w:snapToGrid w:val="0"/>
        <w:spacing w:line="360" w:lineRule="auto"/>
        <w:rPr>
          <w:rFonts w:ascii="宋体" w:hAnsi="宋体" w:eastAsia="宋体" w:cs="宋体"/>
          <w:color w:val="auto"/>
          <w:spacing w:val="6"/>
          <w:sz w:val="24"/>
          <w:szCs w:val="24"/>
          <w:highlight w:val="none"/>
        </w:rPr>
      </w:pPr>
    </w:p>
    <w:p w14:paraId="47789070">
      <w:pPr>
        <w:widowControl/>
        <w:jc w:val="left"/>
        <w:rPr>
          <w:rFonts w:ascii="宋体" w:hAnsi="宋体" w:eastAsia="宋体" w:cs="宋体"/>
          <w:color w:val="auto"/>
          <w:sz w:val="24"/>
          <w:szCs w:val="24"/>
          <w:highlight w:val="none"/>
        </w:rPr>
      </w:pPr>
      <w:r>
        <w:rPr>
          <w:rFonts w:ascii="宋体" w:hAnsi="宋体" w:eastAsia="宋体" w:cs="宋体"/>
          <w:color w:val="auto"/>
          <w:sz w:val="24"/>
          <w:szCs w:val="24"/>
          <w:highlight w:val="none"/>
        </w:rPr>
        <w:br w:type="page"/>
      </w:r>
    </w:p>
    <w:p w14:paraId="01D23AD5">
      <w:pPr>
        <w:wordWrap w:val="0"/>
        <w:topLinePunct/>
        <w:spacing w:after="120" w:line="360" w:lineRule="auto"/>
        <w:outlineLvl w:val="0"/>
        <w:rPr>
          <w:rFonts w:ascii="宋体" w:hAnsi="宋体" w:eastAsia="宋体" w:cs="宋体"/>
          <w:color w:val="auto"/>
          <w:sz w:val="24"/>
          <w:szCs w:val="24"/>
          <w:highlight w:val="none"/>
        </w:rPr>
      </w:pPr>
      <w:bookmarkStart w:id="251" w:name="_Toc2362"/>
      <w:bookmarkStart w:id="252" w:name="_Toc4122"/>
      <w:bookmarkStart w:id="253" w:name="_Toc11019"/>
      <w:bookmarkStart w:id="254" w:name="_Toc28455"/>
      <w:bookmarkStart w:id="255" w:name="_Toc2102"/>
      <w:r>
        <w:rPr>
          <w:rFonts w:hint="eastAsia" w:ascii="宋体" w:hAnsi="宋体" w:eastAsia="宋体" w:cs="宋体"/>
          <w:color w:val="auto"/>
          <w:sz w:val="24"/>
          <w:szCs w:val="24"/>
          <w:highlight w:val="none"/>
        </w:rPr>
        <w:t>附件2</w:t>
      </w:r>
      <w:bookmarkEnd w:id="251"/>
      <w:bookmarkEnd w:id="252"/>
      <w:bookmarkEnd w:id="253"/>
      <w:bookmarkEnd w:id="254"/>
      <w:bookmarkEnd w:id="255"/>
    </w:p>
    <w:p w14:paraId="029D9CF9">
      <w:pPr>
        <w:wordWrap w:val="0"/>
        <w:topLinePunct/>
        <w:adjustRightInd w:val="0"/>
        <w:snapToGrid w:val="0"/>
        <w:ind w:firstLine="480" w:firstLineChars="200"/>
        <w:rPr>
          <w:rFonts w:ascii="宋体" w:hAnsi="宋体" w:eastAsia="宋体" w:cs="宋体"/>
          <w:color w:val="auto"/>
          <w:sz w:val="24"/>
          <w:szCs w:val="24"/>
          <w:highlight w:val="none"/>
        </w:rPr>
      </w:pPr>
    </w:p>
    <w:p w14:paraId="76B72652">
      <w:pPr>
        <w:wordWrap w:val="0"/>
        <w:topLinePunct/>
        <w:adjustRightInd w:val="0"/>
        <w:snapToGrid w:val="0"/>
        <w:ind w:firstLine="360" w:firstLineChars="150"/>
        <w:rPr>
          <w:rFonts w:ascii="宋体" w:hAnsi="宋体" w:eastAsia="宋体" w:cs="宋体"/>
          <w:color w:val="auto"/>
          <w:sz w:val="24"/>
          <w:szCs w:val="24"/>
          <w:highlight w:val="none"/>
        </w:rPr>
      </w:pPr>
    </w:p>
    <w:p w14:paraId="3776454C">
      <w:pPr>
        <w:keepNext/>
        <w:keepLines/>
        <w:tabs>
          <w:tab w:val="left" w:pos="840"/>
        </w:tabs>
        <w:wordWrap w:val="0"/>
        <w:topLinePunct/>
        <w:spacing w:line="412" w:lineRule="auto"/>
        <w:jc w:val="center"/>
        <w:outlineLvl w:val="0"/>
        <w:rPr>
          <w:rFonts w:ascii="宋体" w:hAnsi="宋体" w:eastAsia="宋体" w:cs="宋体"/>
          <w:b/>
          <w:bCs/>
          <w:color w:val="auto"/>
          <w:sz w:val="24"/>
          <w:szCs w:val="24"/>
          <w:highlight w:val="none"/>
          <w:lang w:val="zh-CN"/>
        </w:rPr>
      </w:pPr>
      <w:bookmarkStart w:id="256" w:name="_Toc20491"/>
      <w:bookmarkStart w:id="257" w:name="_Toc30785"/>
      <w:bookmarkStart w:id="258" w:name="_Toc13308"/>
      <w:bookmarkStart w:id="259" w:name="_Toc2139"/>
      <w:bookmarkStart w:id="260" w:name="_Toc14760"/>
      <w:r>
        <w:rPr>
          <w:rFonts w:hint="eastAsia" w:ascii="宋体" w:hAnsi="宋体" w:eastAsia="宋体" w:cs="宋体"/>
          <w:b/>
          <w:bCs/>
          <w:color w:val="auto"/>
          <w:sz w:val="24"/>
          <w:szCs w:val="24"/>
          <w:highlight w:val="none"/>
          <w:lang w:val="zh-CN"/>
        </w:rPr>
        <w:t>监狱企业证明文件</w:t>
      </w:r>
      <w:bookmarkEnd w:id="256"/>
      <w:bookmarkEnd w:id="257"/>
      <w:bookmarkEnd w:id="258"/>
      <w:bookmarkEnd w:id="259"/>
      <w:bookmarkEnd w:id="260"/>
    </w:p>
    <w:p w14:paraId="220309AC">
      <w:pPr>
        <w:wordWrap w:val="0"/>
        <w:topLinePunct/>
        <w:jc w:val="center"/>
        <w:rPr>
          <w:rFonts w:ascii="宋体" w:hAnsi="宋体" w:eastAsia="宋体" w:cs="宋体"/>
          <w:b/>
          <w:bCs/>
          <w:color w:val="auto"/>
          <w:sz w:val="24"/>
          <w:szCs w:val="24"/>
          <w:highlight w:val="none"/>
        </w:rPr>
      </w:pPr>
    </w:p>
    <w:p w14:paraId="238D604C">
      <w:pPr>
        <w:wordWrap w:val="0"/>
        <w:topLinePunct/>
        <w:spacing w:line="500" w:lineRule="exact"/>
        <w:rPr>
          <w:rFonts w:ascii="宋体" w:hAnsi="宋体" w:eastAsia="宋体" w:cs="宋体"/>
          <w:color w:val="auto"/>
          <w:spacing w:val="6"/>
          <w:sz w:val="24"/>
          <w:szCs w:val="24"/>
          <w:highlight w:val="none"/>
        </w:rPr>
      </w:pPr>
    </w:p>
    <w:p w14:paraId="77C70228">
      <w:pPr>
        <w:wordWrap w:val="0"/>
        <w:topLinePunct/>
        <w:spacing w:line="500" w:lineRule="exact"/>
        <w:ind w:firstLine="42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（监狱企业参加政府采购活动时，应当提供由省级以上监狱管理局、戒毒管理局(含新疆生产建设兵团)出具的属于监狱企业的证明文件。</w:t>
      </w:r>
    </w:p>
    <w:p w14:paraId="7673F758">
      <w:pPr>
        <w:wordWrap w:val="0"/>
        <w:topLinePunct/>
        <w:spacing w:line="500" w:lineRule="exact"/>
        <w:ind w:firstLine="504" w:firstLineChars="200"/>
        <w:rPr>
          <w:rFonts w:ascii="宋体" w:hAnsi="宋体" w:eastAsia="宋体" w:cs="宋体"/>
          <w:color w:val="auto"/>
          <w:spacing w:val="6"/>
          <w:sz w:val="24"/>
          <w:szCs w:val="24"/>
          <w:highlight w:val="none"/>
        </w:rPr>
      </w:pPr>
    </w:p>
    <w:p w14:paraId="62B09402">
      <w:pPr>
        <w:wordWrap w:val="0"/>
        <w:topLinePunct/>
        <w:spacing w:line="500" w:lineRule="exact"/>
        <w:ind w:firstLine="504" w:firstLineChars="200"/>
        <w:rPr>
          <w:rFonts w:ascii="宋体" w:hAnsi="宋体" w:eastAsia="宋体" w:cs="宋体"/>
          <w:color w:val="auto"/>
          <w:spacing w:val="6"/>
          <w:sz w:val="24"/>
          <w:szCs w:val="24"/>
          <w:highlight w:val="none"/>
        </w:rPr>
      </w:pPr>
    </w:p>
    <w:p w14:paraId="60DC4C51">
      <w:pPr>
        <w:wordWrap w:val="0"/>
        <w:topLinePunct/>
        <w:spacing w:line="500" w:lineRule="exact"/>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注：在投标文件中附扫描件</w:t>
      </w:r>
    </w:p>
    <w:p w14:paraId="6CB012AE">
      <w:pPr>
        <w:wordWrap w:val="0"/>
        <w:topLinePunct/>
        <w:spacing w:line="500" w:lineRule="exact"/>
        <w:rPr>
          <w:rFonts w:ascii="宋体" w:hAnsi="宋体" w:eastAsia="宋体" w:cs="宋体"/>
          <w:color w:val="auto"/>
          <w:sz w:val="24"/>
          <w:szCs w:val="24"/>
          <w:highlight w:val="none"/>
        </w:rPr>
      </w:pPr>
    </w:p>
    <w:p w14:paraId="7E50DD37">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41C290F5">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592AFE42">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5B49DB62">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017A6FD6">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3E3CBCA5">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1B940A44">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7BBDAD31">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7E24EB64">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129D3EEC">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1CC65D30">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1647AC0F">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6E440CDC">
      <w:pPr>
        <w:pageBreakBefore/>
        <w:wordWrap w:val="0"/>
        <w:topLinePunct/>
        <w:ind w:firstLine="360" w:firstLineChars="150"/>
        <w:outlineLvl w:val="0"/>
        <w:rPr>
          <w:rFonts w:ascii="宋体" w:hAnsi="宋体" w:eastAsia="宋体" w:cs="宋体"/>
          <w:color w:val="auto"/>
          <w:sz w:val="24"/>
          <w:szCs w:val="24"/>
          <w:highlight w:val="none"/>
        </w:rPr>
      </w:pPr>
      <w:bookmarkStart w:id="261" w:name="_Toc6264"/>
      <w:bookmarkStart w:id="262" w:name="_Toc8392"/>
      <w:bookmarkStart w:id="263" w:name="_Toc14655"/>
      <w:bookmarkStart w:id="264" w:name="_Toc11345"/>
      <w:bookmarkStart w:id="265" w:name="_Toc17444"/>
      <w:r>
        <w:rPr>
          <w:rFonts w:hint="eastAsia" w:ascii="宋体" w:hAnsi="宋体" w:eastAsia="宋体" w:cs="宋体"/>
          <w:color w:val="auto"/>
          <w:sz w:val="24"/>
          <w:szCs w:val="24"/>
          <w:highlight w:val="none"/>
        </w:rPr>
        <w:t>附件3</w:t>
      </w:r>
      <w:bookmarkEnd w:id="261"/>
      <w:bookmarkEnd w:id="262"/>
      <w:bookmarkEnd w:id="263"/>
      <w:bookmarkEnd w:id="264"/>
      <w:bookmarkEnd w:id="265"/>
    </w:p>
    <w:p w14:paraId="7144418B">
      <w:pPr>
        <w:wordWrap w:val="0"/>
        <w:spacing w:after="120" w:line="480" w:lineRule="exact"/>
        <w:jc w:val="center"/>
        <w:outlineLvl w:val="0"/>
        <w:rPr>
          <w:rFonts w:ascii="宋体" w:hAnsi="宋体" w:eastAsia="宋体" w:cs="宋体"/>
          <w:b/>
          <w:bCs/>
          <w:color w:val="auto"/>
          <w:kern w:val="36"/>
          <w:sz w:val="24"/>
          <w:szCs w:val="24"/>
          <w:highlight w:val="none"/>
        </w:rPr>
      </w:pPr>
      <w:bookmarkStart w:id="266" w:name="_Toc30651"/>
      <w:bookmarkStart w:id="267" w:name="_Toc27930"/>
      <w:bookmarkStart w:id="268" w:name="_Toc23906"/>
      <w:bookmarkStart w:id="269" w:name="_Toc32130"/>
      <w:bookmarkStart w:id="270" w:name="_Toc26168"/>
      <w:r>
        <w:rPr>
          <w:rFonts w:hint="eastAsia" w:ascii="宋体" w:hAnsi="宋体" w:eastAsia="宋体" w:cs="宋体"/>
          <w:b/>
          <w:bCs/>
          <w:color w:val="auto"/>
          <w:kern w:val="36"/>
          <w:sz w:val="24"/>
          <w:szCs w:val="24"/>
          <w:highlight w:val="none"/>
        </w:rPr>
        <w:t>残疾人福利性单位声明函（如有）</w:t>
      </w:r>
      <w:bookmarkEnd w:id="266"/>
      <w:bookmarkEnd w:id="267"/>
      <w:bookmarkEnd w:id="268"/>
      <w:bookmarkEnd w:id="269"/>
      <w:bookmarkEnd w:id="270"/>
    </w:p>
    <w:p w14:paraId="39BA0271">
      <w:pPr>
        <w:wordWrap w:val="0"/>
        <w:spacing w:after="120" w:line="480" w:lineRule="exact"/>
        <w:ind w:firstLine="480" w:firstLineChars="200"/>
        <w:rPr>
          <w:rFonts w:hint="eastAsia" w:ascii="宋体" w:hAnsi="宋体" w:eastAsia="宋体" w:cs="宋体"/>
          <w:color w:val="auto"/>
          <w:kern w:val="36"/>
          <w:sz w:val="24"/>
          <w:szCs w:val="24"/>
          <w:highlight w:val="none"/>
          <w:lang w:eastAsia="zh-CN"/>
        </w:rPr>
      </w:pPr>
    </w:p>
    <w:p w14:paraId="765D9E82">
      <w:pPr>
        <w:wordWrap w:val="0"/>
        <w:spacing w:after="120" w:line="480" w:lineRule="exact"/>
        <w:ind w:firstLine="480" w:firstLineChars="200"/>
        <w:rPr>
          <w:rFonts w:ascii="宋体" w:hAnsi="宋体" w:eastAsia="宋体" w:cs="宋体"/>
          <w:color w:val="auto"/>
          <w:kern w:val="36"/>
          <w:sz w:val="24"/>
          <w:szCs w:val="24"/>
          <w:highlight w:val="none"/>
        </w:rPr>
      </w:pPr>
      <w:r>
        <w:rPr>
          <w:rFonts w:hint="eastAsia" w:ascii="宋体" w:hAnsi="宋体" w:eastAsia="宋体" w:cs="宋体"/>
          <w:color w:val="auto"/>
          <w:kern w:val="36"/>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kern w:val="36"/>
          <w:sz w:val="24"/>
          <w:szCs w:val="24"/>
          <w:highlight w:val="none"/>
          <w:u w:val="single"/>
        </w:rPr>
        <w:t xml:space="preserve">       </w:t>
      </w:r>
      <w:r>
        <w:rPr>
          <w:rFonts w:hint="eastAsia" w:ascii="宋体" w:hAnsi="宋体" w:eastAsia="宋体" w:cs="宋体"/>
          <w:color w:val="auto"/>
          <w:kern w:val="36"/>
          <w:sz w:val="24"/>
          <w:szCs w:val="24"/>
          <w:highlight w:val="none"/>
        </w:rPr>
        <w:t xml:space="preserve">单位的 </w:t>
      </w:r>
      <w:r>
        <w:rPr>
          <w:rFonts w:hint="eastAsia" w:ascii="宋体" w:hAnsi="宋体" w:eastAsia="宋体" w:cs="宋体"/>
          <w:color w:val="auto"/>
          <w:kern w:val="36"/>
          <w:sz w:val="24"/>
          <w:szCs w:val="24"/>
          <w:highlight w:val="none"/>
          <w:u w:val="single"/>
        </w:rPr>
        <w:t xml:space="preserve">     </w:t>
      </w:r>
      <w:r>
        <w:rPr>
          <w:rFonts w:hint="eastAsia" w:ascii="宋体" w:hAnsi="宋体" w:eastAsia="宋体" w:cs="宋体"/>
          <w:color w:val="auto"/>
          <w:kern w:val="36"/>
          <w:sz w:val="24"/>
          <w:szCs w:val="24"/>
          <w:highlight w:val="none"/>
        </w:rPr>
        <w:t>项目采购活动提供本单位制造的货物（由本单位承担工程/提供服务），或者提供其他残疾人福利性单位制造的货物（不包括使用非残疾人福利性单位注册商标的货物）。</w:t>
      </w:r>
    </w:p>
    <w:p w14:paraId="2A395F1D">
      <w:pPr>
        <w:wordWrap w:val="0"/>
        <w:spacing w:after="120" w:line="480" w:lineRule="exact"/>
        <w:ind w:firstLine="480" w:firstLineChars="200"/>
        <w:rPr>
          <w:rFonts w:ascii="宋体" w:hAnsi="宋体" w:eastAsia="宋体" w:cs="宋体"/>
          <w:color w:val="auto"/>
          <w:kern w:val="36"/>
          <w:sz w:val="24"/>
          <w:szCs w:val="24"/>
          <w:highlight w:val="none"/>
        </w:rPr>
      </w:pPr>
      <w:r>
        <w:rPr>
          <w:rFonts w:hint="eastAsia" w:ascii="宋体" w:hAnsi="宋体" w:eastAsia="宋体" w:cs="宋体"/>
          <w:color w:val="auto"/>
          <w:kern w:val="36"/>
          <w:sz w:val="24"/>
          <w:szCs w:val="24"/>
          <w:highlight w:val="none"/>
        </w:rPr>
        <w:t>本单位对上述声明的真实性负责。如有虚假，将依法承担相应责任。</w:t>
      </w:r>
    </w:p>
    <w:p w14:paraId="40F6A077">
      <w:pPr>
        <w:wordWrap w:val="0"/>
        <w:spacing w:line="480" w:lineRule="exact"/>
        <w:ind w:firstLine="480" w:firstLineChars="200"/>
        <w:jc w:val="right"/>
        <w:rPr>
          <w:rFonts w:ascii="宋体" w:hAnsi="宋体" w:eastAsia="宋体" w:cs="宋体"/>
          <w:color w:val="auto"/>
          <w:sz w:val="24"/>
          <w:szCs w:val="24"/>
          <w:highlight w:val="none"/>
        </w:rPr>
      </w:pPr>
    </w:p>
    <w:p w14:paraId="501C1863">
      <w:pPr>
        <w:wordWrap w:val="0"/>
        <w:topLinePunct/>
        <w:spacing w:line="360" w:lineRule="auto"/>
        <w:rPr>
          <w:rFonts w:ascii="宋体" w:hAnsi="宋体" w:eastAsia="宋体" w:cs="宋体"/>
          <w:color w:val="auto"/>
          <w:kern w:val="0"/>
          <w:sz w:val="24"/>
          <w:szCs w:val="24"/>
          <w:highlight w:val="none"/>
        </w:rPr>
      </w:pPr>
    </w:p>
    <w:p w14:paraId="000C00D9">
      <w:pPr>
        <w:wordWrap w:val="0"/>
        <w:topLinePunct/>
        <w:spacing w:line="360" w:lineRule="auto"/>
        <w:ind w:firstLine="480" w:firstLineChars="200"/>
        <w:rPr>
          <w:rFonts w:ascii="宋体" w:hAnsi="宋体" w:eastAsia="宋体" w:cs="宋体"/>
          <w:color w:val="auto"/>
          <w:sz w:val="24"/>
          <w:szCs w:val="24"/>
          <w:highlight w:val="none"/>
        </w:rPr>
      </w:pPr>
    </w:p>
    <w:p w14:paraId="6278FD8E">
      <w:pPr>
        <w:wordWrap w:val="0"/>
        <w:topLinePunct/>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响应人（企业电子签章或盖章）：</w:t>
      </w:r>
    </w:p>
    <w:p w14:paraId="340E0E0D">
      <w:pPr>
        <w:wordWrap w:val="0"/>
        <w:topLinePunct/>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法定代表人（个人电子签章或盖章或签字）： </w:t>
      </w:r>
    </w:p>
    <w:p w14:paraId="61DBDA21">
      <w:pPr>
        <w:wordWrap w:val="0"/>
        <w:topLinePunct/>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 期： </w:t>
      </w:r>
    </w:p>
    <w:p w14:paraId="4786B5DA">
      <w:pPr>
        <w:rPr>
          <w:rFonts w:ascii="Calibri" w:hAnsi="Calibri" w:eastAsia="宋体" w:cs="Times New Roman"/>
          <w:color w:val="auto"/>
          <w:sz w:val="22"/>
          <w:highlight w:val="none"/>
        </w:rPr>
      </w:pPr>
    </w:p>
    <w:p w14:paraId="4B6161AC">
      <w:pPr>
        <w:wordWrap w:val="0"/>
        <w:jc w:val="center"/>
        <w:rPr>
          <w:rFonts w:ascii="宋体" w:hAnsi="宋体" w:eastAsia="宋体" w:cs="宋体"/>
          <w:b/>
          <w:bCs/>
          <w:color w:val="auto"/>
          <w:sz w:val="24"/>
          <w:szCs w:val="24"/>
          <w:highlight w:val="none"/>
        </w:rPr>
      </w:pPr>
    </w:p>
    <w:p w14:paraId="71CFAA04">
      <w:pPr>
        <w:wordWrap w:val="0"/>
        <w:jc w:val="center"/>
        <w:rPr>
          <w:rFonts w:ascii="宋体" w:hAnsi="宋体" w:eastAsia="宋体" w:cs="宋体"/>
          <w:b/>
          <w:bCs/>
          <w:color w:val="auto"/>
          <w:sz w:val="24"/>
          <w:szCs w:val="24"/>
          <w:highlight w:val="none"/>
        </w:rPr>
      </w:pPr>
    </w:p>
    <w:p w14:paraId="06635DD1">
      <w:pPr>
        <w:wordWrap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p>
    <w:p w14:paraId="4CEEB5B9">
      <w:pPr>
        <w:wordWrap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p>
    <w:p w14:paraId="6252D908">
      <w:pPr>
        <w:wordWrap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p>
    <w:p w14:paraId="48E37F2A">
      <w:pPr>
        <w:wordWrap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p>
    <w:p w14:paraId="7CA20215">
      <w:pPr>
        <w:topLinePunct/>
        <w:jc w:val="center"/>
        <w:rPr>
          <w:rFonts w:ascii="宋体" w:hAnsi="宋体" w:eastAsia="宋体" w:cs="宋体"/>
          <w:b/>
          <w:bCs/>
          <w:color w:val="auto"/>
          <w:sz w:val="24"/>
          <w:szCs w:val="24"/>
          <w:highlight w:val="none"/>
        </w:rPr>
      </w:pPr>
    </w:p>
    <w:p w14:paraId="050B7B9D">
      <w:pPr>
        <w:topLinePunct/>
        <w:jc w:val="center"/>
        <w:rPr>
          <w:rFonts w:ascii="宋体" w:hAnsi="宋体" w:eastAsia="宋体" w:cs="宋体"/>
          <w:b/>
          <w:bCs/>
          <w:color w:val="auto"/>
          <w:sz w:val="24"/>
          <w:szCs w:val="24"/>
          <w:highlight w:val="none"/>
        </w:rPr>
      </w:pPr>
    </w:p>
    <w:p w14:paraId="65E6FA86">
      <w:pPr>
        <w:rPr>
          <w:color w:val="auto"/>
          <w:highlight w:val="none"/>
        </w:rPr>
      </w:pPr>
    </w:p>
    <w:p w14:paraId="74025139">
      <w:pPr>
        <w:rPr>
          <w:highlight w:val="none"/>
        </w:rPr>
      </w:pPr>
    </w:p>
    <w:p w14:paraId="33B6EFE7">
      <w:pPr>
        <w:rPr>
          <w:highlight w:val="none"/>
        </w:rPr>
      </w:pPr>
    </w:p>
    <w:sectPr>
      <w:pgSz w:w="11906" w:h="16838"/>
      <w:pgMar w:top="1417" w:right="1417" w:bottom="1417" w:left="1417" w:header="851" w:footer="850" w:gutter="0"/>
      <w:pgNumType w:fmt="decimal"/>
      <w:cols w:space="0" w:num="1"/>
      <w:titlePg/>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04E93">
    <w:pPr>
      <w:rPr>
        <w:b/>
        <w:bCs/>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BED0E">
    <w:pPr>
      <w:framePr w:wrap="around" w:vAnchor="text" w:hAnchor="margin" w:xAlign="right" w:y="1"/>
    </w:pPr>
    <w:r>
      <w:fldChar w:fldCharType="begin"/>
    </w:r>
    <w:r>
      <w:instrText xml:space="preserve">PAGE  </w:instrText>
    </w:r>
    <w:r>
      <w:fldChar w:fldCharType="end"/>
    </w:r>
  </w:p>
  <w:p w14:paraId="7A63E30F">
    <w:pPr>
      <w:ind w:right="360"/>
    </w:pPr>
  </w:p>
  <w:p w14:paraId="0502724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1C4DB">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5F06C">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4824EE">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4824EE">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1738F">
    <w:pPr>
      <w:rPr>
        <w:b/>
        <w:bCs/>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0FCC0A">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D0FCC0A">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3C1CF">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E93536">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DE93536">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4DADB">
    <w:pPr>
      <w:pBdr>
        <w:bottom w:val="none" w:color="auto" w:sz="0" w:space="1"/>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DA9CE">
    <w:pP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BE16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2B0E6">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EDAF7F6F"/>
    <w:multiLevelType w:val="singleLevel"/>
    <w:tmpl w:val="EDAF7F6F"/>
    <w:lvl w:ilvl="0" w:tentative="0">
      <w:start w:val="5"/>
      <w:numFmt w:val="chineseCounting"/>
      <w:suff w:val="space"/>
      <w:lvlText w:val="第%1章"/>
      <w:lvlJc w:val="left"/>
      <w:rPr>
        <w:rFonts w:hint="eastAsia"/>
      </w:rPr>
    </w:lvl>
  </w:abstractNum>
  <w:abstractNum w:abstractNumId="6">
    <w:nsid w:val="FFEFC674"/>
    <w:multiLevelType w:val="singleLevel"/>
    <w:tmpl w:val="FFEFC674"/>
    <w:lvl w:ilvl="0" w:tentative="0">
      <w:start w:val="1"/>
      <w:numFmt w:val="decimal"/>
      <w:suff w:val="nothing"/>
      <w:lvlText w:val="（%1）"/>
      <w:lvlJc w:val="left"/>
    </w:lvl>
  </w:abstractNum>
  <w:abstractNum w:abstractNumId="7">
    <w:nsid w:val="7A0F6431"/>
    <w:multiLevelType w:val="singleLevel"/>
    <w:tmpl w:val="7A0F6431"/>
    <w:lvl w:ilvl="0" w:tentative="0">
      <w:start w:val="1"/>
      <w:numFmt w:val="decimal"/>
      <w:suff w:val="space"/>
      <w:lvlText w:val="%1."/>
      <w:lvlJc w:val="left"/>
    </w:lvl>
  </w:abstractNum>
  <w:num w:numId="1">
    <w:abstractNumId w:val="7"/>
  </w:num>
  <w:num w:numId="2">
    <w:abstractNumId w:val="1"/>
  </w:num>
  <w:num w:numId="3">
    <w:abstractNumId w:val="6"/>
  </w:num>
  <w:num w:numId="4">
    <w:abstractNumId w:val="3"/>
  </w:num>
  <w:num w:numId="5">
    <w:abstractNumId w:val="2"/>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543459"/>
    <w:rsid w:val="011C626C"/>
    <w:rsid w:val="029C58B6"/>
    <w:rsid w:val="06F757B1"/>
    <w:rsid w:val="07261BF2"/>
    <w:rsid w:val="084010D4"/>
    <w:rsid w:val="0A7F7F97"/>
    <w:rsid w:val="0C803B53"/>
    <w:rsid w:val="0F96368D"/>
    <w:rsid w:val="10BB5B71"/>
    <w:rsid w:val="14164D9C"/>
    <w:rsid w:val="16842491"/>
    <w:rsid w:val="1CC23D13"/>
    <w:rsid w:val="204A474C"/>
    <w:rsid w:val="22411A5B"/>
    <w:rsid w:val="25E923FE"/>
    <w:rsid w:val="26445799"/>
    <w:rsid w:val="295E4DC4"/>
    <w:rsid w:val="331035D3"/>
    <w:rsid w:val="40267F92"/>
    <w:rsid w:val="41F54D60"/>
    <w:rsid w:val="436E31AC"/>
    <w:rsid w:val="45543459"/>
    <w:rsid w:val="45CB7B20"/>
    <w:rsid w:val="460F2655"/>
    <w:rsid w:val="48CB5B7A"/>
    <w:rsid w:val="50096F88"/>
    <w:rsid w:val="5082250C"/>
    <w:rsid w:val="520914C1"/>
    <w:rsid w:val="5E113BD7"/>
    <w:rsid w:val="5F4B3119"/>
    <w:rsid w:val="5FD02FD3"/>
    <w:rsid w:val="62F615EE"/>
    <w:rsid w:val="654E5711"/>
    <w:rsid w:val="66F978FF"/>
    <w:rsid w:val="6BE91CF0"/>
    <w:rsid w:val="746C550D"/>
    <w:rsid w:val="75047B9A"/>
    <w:rsid w:val="75B94E29"/>
    <w:rsid w:val="78BE6D92"/>
    <w:rsid w:val="78E35D19"/>
    <w:rsid w:val="7BCB76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unhideWhenUsed/>
    <w:qFormat/>
    <w:uiPriority w:val="9"/>
    <w:pPr>
      <w:keepNext/>
      <w:keepLines/>
      <w:spacing w:line="360" w:lineRule="auto"/>
      <w:outlineLvl w:val="2"/>
    </w:pPr>
    <w:rPr>
      <w:rFonts w:asciiTheme="minorAscii" w:hAnsiTheme="minorAscii"/>
      <w:b/>
      <w:bCs/>
      <w:sz w:val="28"/>
      <w:szCs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adjustRightInd w:val="0"/>
      <w:jc w:val="left"/>
      <w:textAlignment w:val="baseline"/>
    </w:pPr>
    <w:rPr>
      <w:rFonts w:ascii="楷体_GB2312" w:eastAsia="楷体_GB2312"/>
      <w:kern w:val="0"/>
      <w:sz w:val="28"/>
      <w:szCs w:val="20"/>
    </w:rPr>
  </w:style>
  <w:style w:type="paragraph" w:styleId="5">
    <w:name w:val="Body Text Indent"/>
    <w:basedOn w:val="1"/>
    <w:next w:val="6"/>
    <w:qFormat/>
    <w:uiPriority w:val="0"/>
    <w:pPr>
      <w:adjustRightInd w:val="0"/>
      <w:spacing w:after="120" w:line="360" w:lineRule="atLeast"/>
      <w:ind w:left="420"/>
      <w:jc w:val="left"/>
      <w:textAlignment w:val="baseline"/>
    </w:pPr>
    <w:rPr>
      <w:rFonts w:ascii="Times New Roman" w:hAnsi="Times New Roman" w:eastAsia="宋体" w:cs="Times New Roman"/>
      <w:kern w:val="0"/>
      <w:sz w:val="24"/>
      <w:szCs w:val="28"/>
    </w:rPr>
  </w:style>
  <w:style w:type="paragraph" w:styleId="6">
    <w:name w:val="envelope return"/>
    <w:basedOn w:val="1"/>
    <w:qFormat/>
    <w:uiPriority w:val="99"/>
    <w:rPr>
      <w:rFonts w:ascii="Arial" w:hAnsi="Arial"/>
    </w:rPr>
  </w:style>
  <w:style w:type="paragraph" w:styleId="7">
    <w:name w:val="Plain Text"/>
    <w:basedOn w:val="1"/>
    <w:qFormat/>
    <w:uiPriority w:val="0"/>
    <w:rPr>
      <w:rFonts w:ascii="宋体" w:hAnsi="Courier New"/>
      <w:szCs w:val="20"/>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semiHidden/>
    <w:unhideWhenUsed/>
    <w:qFormat/>
    <w:uiPriority w:val="39"/>
  </w:style>
  <w:style w:type="paragraph" w:styleId="11">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12">
    <w:name w:val="Normal (Web)"/>
    <w:basedOn w:val="1"/>
    <w:unhideWhenUsed/>
    <w:qFormat/>
    <w:uiPriority w:val="99"/>
    <w:rPr>
      <w:rFonts w:ascii="Times New Roman" w:hAnsi="Times New Roman" w:cs="Times New Roman"/>
      <w:sz w:val="24"/>
      <w:szCs w:val="24"/>
    </w:rPr>
  </w:style>
  <w:style w:type="paragraph" w:customStyle="1" w:styleId="1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6">
    <w:name w:val="列出段落1"/>
    <w:basedOn w:val="1"/>
    <w:qFormat/>
    <w:uiPriority w:val="34"/>
    <w:pPr>
      <w:ind w:firstLine="420" w:firstLineChars="200"/>
    </w:pPr>
    <w:rPr>
      <w:szCs w:val="24"/>
    </w:rPr>
  </w:style>
  <w:style w:type="paragraph" w:customStyle="1" w:styleId="17">
    <w:name w:val="Table Text"/>
    <w:basedOn w:val="1"/>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14281</Words>
  <Characters>15490</Characters>
  <Lines>0</Lines>
  <Paragraphs>0</Paragraphs>
  <TotalTime>6</TotalTime>
  <ScaleCrop>false</ScaleCrop>
  <LinksUpToDate>false</LinksUpToDate>
  <CharactersWithSpaces>16270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2025-12-08T02:21:00Z</dcterms:created>
  <dc:creator>嵩山如卧</dc:creator>
  <cp:lastModifiedBy>嵩山如卧</cp:lastModifiedBy>
  <dcterms:modified xsi:type="dcterms:W3CDTF">2025-12-11T00:55:49Z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5CFFDC4F3FC74649A64E4C3203DC2AB9</vt:lpwstr>
  </property>
  <property fmtid="{D5CDD505-2E9C-101B-9397-08002B2CF9AE}" pid="4" name="KSOTemplateDocerSaveRecord">
    <vt:lpwstr>eyJoZGlkIjoiZDE2YTc3Y2JhOTBiOGVjNzA3YWU0NTQ4OWE0Y2NiMDciLCJ1c2VySWQiOiIxMDMzOTI4MjU2In0=</vt:lpwstr>
  </property>
</Properties>
</file>