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11825">
      <w:pPr>
        <w:spacing w:line="240" w:lineRule="exact"/>
        <w:jc w:val="center"/>
        <w:rPr>
          <w:rFonts w:hint="eastAsia" w:ascii="宋体" w:hAnsi="宋体" w:eastAsia="宋体" w:cs="宋体"/>
          <w:b/>
          <w:bCs/>
          <w:color w:val="auto"/>
          <w:sz w:val="44"/>
          <w:szCs w:val="44"/>
        </w:rPr>
      </w:pPr>
    </w:p>
    <w:p w14:paraId="7903B497">
      <w:pPr>
        <w:pStyle w:val="18"/>
        <w:rPr>
          <w:rFonts w:hint="eastAsia" w:ascii="宋体" w:hAnsi="宋体" w:eastAsia="宋体" w:cs="宋体"/>
        </w:rPr>
      </w:pPr>
    </w:p>
    <w:p w14:paraId="46A79DF1">
      <w:pPr>
        <w:pageBreakBefore w:val="0"/>
        <w:overflowPunct/>
        <w:bidi w:val="0"/>
        <w:spacing w:line="360" w:lineRule="auto"/>
        <w:jc w:val="center"/>
        <w:outlineLvl w:val="9"/>
        <w:rPr>
          <w:rFonts w:hint="eastAsia" w:ascii="宋体" w:hAnsi="宋体" w:eastAsia="宋体" w:cs="宋体"/>
          <w:b/>
          <w:bCs/>
          <w:sz w:val="48"/>
          <w:szCs w:val="48"/>
          <w:lang w:val="en-US" w:eastAsia="zh-CN"/>
        </w:rPr>
      </w:pPr>
      <w:r>
        <w:rPr>
          <w:rFonts w:hint="eastAsia" w:ascii="宋体" w:hAnsi="宋体" w:cs="宋体"/>
          <w:b/>
          <w:bCs/>
          <w:sz w:val="48"/>
          <w:szCs w:val="48"/>
          <w:lang w:val="en-US" w:eastAsia="zh-CN"/>
        </w:rPr>
        <w:t>三门峡市湖滨区教育体育局三门峡市湖滨区中小学校消防审验历史遗留问题现场评定项目</w:t>
      </w:r>
    </w:p>
    <w:p w14:paraId="78DEE692">
      <w:pPr>
        <w:pageBreakBefore w:val="0"/>
        <w:overflowPunct/>
        <w:bidi w:val="0"/>
        <w:spacing w:line="360" w:lineRule="auto"/>
        <w:ind w:firstLine="1120"/>
        <w:rPr>
          <w:rFonts w:hint="eastAsia" w:ascii="宋体" w:hAnsi="宋体" w:eastAsia="宋体" w:cs="宋体"/>
          <w:sz w:val="56"/>
          <w:szCs w:val="56"/>
          <w:highlight w:val="none"/>
        </w:rPr>
      </w:pPr>
    </w:p>
    <w:p w14:paraId="7209B899">
      <w:pPr>
        <w:pStyle w:val="17"/>
        <w:pageBreakBefore w:val="0"/>
        <w:overflowPunct/>
        <w:bidi w:val="0"/>
        <w:spacing w:line="360" w:lineRule="auto"/>
        <w:jc w:val="center"/>
        <w:rPr>
          <w:rFonts w:hint="eastAsia" w:ascii="方正公文小标宋" w:hAnsi="方正公文小标宋" w:eastAsia="方正公文小标宋" w:cs="方正公文小标宋"/>
          <w:color w:val="0661A7"/>
          <w:kern w:val="2"/>
          <w:sz w:val="56"/>
          <w:szCs w:val="56"/>
        </w:rPr>
      </w:pPr>
    </w:p>
    <w:p w14:paraId="74C9A8F2">
      <w:pPr>
        <w:pStyle w:val="17"/>
        <w:pageBreakBefore w:val="0"/>
        <w:overflowPunct/>
        <w:bidi w:val="0"/>
        <w:spacing w:line="360" w:lineRule="auto"/>
        <w:jc w:val="center"/>
        <w:rPr>
          <w:rFonts w:hint="eastAsia" w:ascii="方正公文小标宋" w:hAnsi="方正公文小标宋" w:eastAsia="方正公文小标宋" w:cs="方正公文小标宋"/>
          <w:b/>
          <w:bCs/>
          <w:color w:val="0661A7"/>
          <w:kern w:val="2"/>
          <w:sz w:val="56"/>
          <w:szCs w:val="56"/>
        </w:rPr>
      </w:pPr>
      <w:r>
        <w:rPr>
          <w:rFonts w:hint="eastAsia" w:ascii="方正公文小标宋" w:hAnsi="方正公文小标宋" w:eastAsia="方正公文小标宋" w:cs="方正公文小标宋"/>
          <w:b/>
          <w:bCs/>
          <w:color w:val="0661A7"/>
          <w:kern w:val="2"/>
          <w:sz w:val="56"/>
          <w:szCs w:val="56"/>
        </w:rPr>
        <w:t>竞争性</w:t>
      </w:r>
      <w:r>
        <w:rPr>
          <w:rFonts w:hint="eastAsia" w:ascii="方正公文小标宋" w:hAnsi="方正公文小标宋" w:eastAsia="方正公文小标宋" w:cs="方正公文小标宋"/>
          <w:b/>
          <w:bCs/>
          <w:color w:val="0661A7"/>
          <w:kern w:val="2"/>
          <w:sz w:val="56"/>
          <w:szCs w:val="56"/>
          <w:lang w:val="en-US" w:eastAsia="zh-CN"/>
        </w:rPr>
        <w:t>磋商</w:t>
      </w:r>
      <w:r>
        <w:rPr>
          <w:rFonts w:hint="eastAsia" w:ascii="方正公文小标宋" w:hAnsi="方正公文小标宋" w:eastAsia="方正公文小标宋" w:cs="方正公文小标宋"/>
          <w:b/>
          <w:bCs/>
          <w:color w:val="0661A7"/>
          <w:kern w:val="2"/>
          <w:sz w:val="56"/>
          <w:szCs w:val="56"/>
        </w:rPr>
        <w:t>文件</w:t>
      </w:r>
    </w:p>
    <w:p w14:paraId="2B2F22AB">
      <w:pPr>
        <w:pageBreakBefore w:val="0"/>
        <w:tabs>
          <w:tab w:val="left" w:pos="2476"/>
        </w:tabs>
        <w:overflowPunct/>
        <w:bidi w:val="0"/>
        <w:spacing w:line="360" w:lineRule="auto"/>
        <w:ind w:firstLine="1120"/>
        <w:rPr>
          <w:rFonts w:hint="eastAsia" w:ascii="宋体" w:hAnsi="宋体" w:eastAsia="宋体" w:cs="宋体"/>
          <w:color w:val="0661A7"/>
          <w:sz w:val="56"/>
          <w:szCs w:val="56"/>
          <w:highlight w:val="none"/>
        </w:rPr>
      </w:pPr>
      <w:r>
        <w:rPr>
          <w:rFonts w:hint="eastAsia" w:ascii="宋体" w:hAnsi="宋体" w:eastAsia="宋体" w:cs="宋体"/>
          <w:color w:val="0661A7"/>
          <w:sz w:val="56"/>
          <w:szCs w:val="56"/>
          <w:highlight w:val="none"/>
        </w:rPr>
        <w:tab/>
      </w:r>
    </w:p>
    <w:p w14:paraId="70EB971D">
      <w:pPr>
        <w:pageBreakBefore w:val="0"/>
        <w:overflowPunct/>
        <w:bidi w:val="0"/>
        <w:spacing w:line="360" w:lineRule="auto"/>
        <w:jc w:val="both"/>
        <w:outlineLvl w:val="9"/>
        <w:rPr>
          <w:rFonts w:hint="eastAsia" w:ascii="宋体" w:hAnsi="宋体" w:eastAsia="宋体" w:cs="宋体"/>
          <w:b/>
          <w:bCs/>
          <w:kern w:val="0"/>
          <w:sz w:val="32"/>
          <w:szCs w:val="32"/>
          <w:highlight w:val="none"/>
          <w:lang w:val="en-US" w:eastAsia="zh-CN"/>
        </w:rPr>
      </w:pPr>
    </w:p>
    <w:p w14:paraId="65F20A4D">
      <w:pPr>
        <w:pStyle w:val="6"/>
        <w:pageBreakBefore w:val="0"/>
        <w:overflowPunct/>
        <w:bidi w:val="0"/>
        <w:spacing w:line="360" w:lineRule="auto"/>
        <w:rPr>
          <w:rFonts w:hint="eastAsia"/>
          <w:lang w:val="en-US" w:eastAsia="zh-CN"/>
        </w:rPr>
      </w:pPr>
    </w:p>
    <w:p w14:paraId="382B6528">
      <w:pPr>
        <w:pageBreakBefore w:val="0"/>
        <w:overflowPunct/>
        <w:bidi w:val="0"/>
        <w:spacing w:line="360" w:lineRule="auto"/>
        <w:ind w:firstLine="1280" w:firstLineChars="400"/>
        <w:jc w:val="both"/>
        <w:outlineLvl w:val="9"/>
        <w:rPr>
          <w:rFonts w:hint="eastAsia" w:ascii="宋体" w:hAnsi="宋体" w:eastAsia="宋体" w:cs="宋体"/>
          <w:b/>
          <w:bCs/>
          <w:kern w:val="0"/>
          <w:sz w:val="32"/>
          <w:szCs w:val="32"/>
          <w:highlight w:val="none"/>
          <w:lang w:val="en-US" w:eastAsia="zh-CN"/>
        </w:rPr>
      </w:pPr>
    </w:p>
    <w:p w14:paraId="0C277C6A">
      <w:pPr>
        <w:pageBreakBefore w:val="0"/>
        <w:overflowPunct/>
        <w:bidi w:val="0"/>
        <w:spacing w:line="360" w:lineRule="auto"/>
        <w:ind w:firstLine="320" w:firstLineChars="100"/>
        <w:jc w:val="both"/>
        <w:outlineLvl w:val="9"/>
        <w:rPr>
          <w:rFonts w:hint="eastAsia" w:ascii="宋体" w:hAnsi="宋体" w:eastAsia="宋体" w:cs="宋体"/>
          <w:b/>
          <w:bCs/>
          <w:kern w:val="0"/>
          <w:sz w:val="32"/>
          <w:szCs w:val="32"/>
          <w:highlight w:val="none"/>
          <w:lang w:val="en-US" w:eastAsia="zh-CN"/>
        </w:rPr>
      </w:pPr>
    </w:p>
    <w:p w14:paraId="5D45F4A4">
      <w:pPr>
        <w:pageBreakBefore w:val="0"/>
        <w:overflowPunct/>
        <w:bidi w:val="0"/>
        <w:spacing w:line="360" w:lineRule="auto"/>
        <w:ind w:firstLine="320" w:firstLineChars="100"/>
        <w:jc w:val="both"/>
        <w:outlineLvl w:val="9"/>
        <w:rPr>
          <w:rFonts w:hint="eastAsia" w:ascii="宋体" w:hAnsi="宋体" w:eastAsia="宋体" w:cs="宋体"/>
          <w:b/>
          <w:bCs/>
          <w:kern w:val="0"/>
          <w:sz w:val="32"/>
          <w:szCs w:val="32"/>
          <w:highlight w:val="none"/>
          <w:lang w:val="en-US" w:eastAsia="zh-CN"/>
        </w:rPr>
      </w:pPr>
    </w:p>
    <w:p w14:paraId="21B99764">
      <w:pPr>
        <w:pageBreakBefore w:val="0"/>
        <w:overflowPunct/>
        <w:bidi w:val="0"/>
        <w:spacing w:line="360" w:lineRule="auto"/>
        <w:ind w:firstLine="320" w:firstLineChars="100"/>
        <w:jc w:val="both"/>
        <w:outlineLvl w:val="9"/>
        <w:rPr>
          <w:rFonts w:hint="default" w:ascii="宋体" w:hAnsi="宋体" w:eastAsia="宋体" w:cs="宋体"/>
          <w:b w:val="0"/>
          <w:bCs w:val="0"/>
          <w:sz w:val="32"/>
          <w:szCs w:val="32"/>
          <w:highlight w:val="none"/>
          <w:lang w:val="en-US" w:eastAsia="zh-CN"/>
        </w:rPr>
      </w:pPr>
      <w:r>
        <w:rPr>
          <w:rFonts w:hint="eastAsia" w:ascii="宋体" w:hAnsi="宋体" w:eastAsia="宋体" w:cs="宋体"/>
          <w:color w:val="auto"/>
          <w:kern w:val="0"/>
          <w:sz w:val="32"/>
          <w:szCs w:val="32"/>
          <w:highlight w:val="none"/>
          <w:lang w:val="en-US" w:eastAsia="zh-CN"/>
        </w:rPr>
        <w:t>项目编号</w:t>
      </w:r>
      <w:r>
        <w:rPr>
          <w:rFonts w:hint="eastAsia" w:ascii="宋体" w:hAnsi="宋体" w:eastAsia="宋体" w:cs="宋体"/>
          <w:b w:val="0"/>
          <w:bCs w:val="0"/>
          <w:kern w:val="0"/>
          <w:sz w:val="32"/>
          <w:szCs w:val="32"/>
          <w:highlight w:val="none"/>
        </w:rPr>
        <w:t>：SGZ[2025]577-ZC376</w:t>
      </w:r>
      <w:r>
        <w:rPr>
          <w:rFonts w:hint="eastAsia" w:ascii="宋体" w:hAnsi="宋体" w:cs="宋体"/>
          <w:b w:val="0"/>
          <w:bCs w:val="0"/>
          <w:kern w:val="0"/>
          <w:sz w:val="32"/>
          <w:szCs w:val="32"/>
          <w:highlight w:val="none"/>
          <w:lang w:eastAsia="zh-CN"/>
        </w:rPr>
        <w:t>、</w:t>
      </w:r>
      <w:r>
        <w:rPr>
          <w:rFonts w:hint="eastAsia" w:ascii="宋体" w:hAnsi="宋体" w:eastAsia="宋体" w:cs="宋体"/>
          <w:b w:val="0"/>
          <w:bCs w:val="0"/>
          <w:kern w:val="0"/>
          <w:sz w:val="32"/>
          <w:szCs w:val="32"/>
          <w:highlight w:val="none"/>
        </w:rPr>
        <w:t>湖滨竞磋采购-2025-35</w:t>
      </w:r>
    </w:p>
    <w:p w14:paraId="1F11AF51">
      <w:pPr>
        <w:pageBreakBefore w:val="0"/>
        <w:overflowPunct/>
        <w:bidi w:val="0"/>
        <w:spacing w:line="360" w:lineRule="auto"/>
        <w:ind w:left="2560" w:hanging="2560" w:hangingChars="800"/>
        <w:jc w:val="left"/>
        <w:outlineLvl w:val="9"/>
        <w:rPr>
          <w:rFonts w:hint="eastAsia" w:ascii="宋体" w:hAnsi="宋体" w:eastAsia="宋体" w:cs="宋体"/>
          <w:b w:val="0"/>
          <w:bCs w:val="0"/>
          <w:sz w:val="32"/>
          <w:szCs w:val="32"/>
          <w:highlight w:val="none"/>
          <w:lang w:val="en-US" w:eastAsia="zh-CN"/>
        </w:rPr>
      </w:pPr>
      <w:r>
        <w:rPr>
          <w:rFonts w:hint="eastAsia" w:ascii="宋体" w:hAnsi="宋体" w:cs="宋体"/>
          <w:b w:val="0"/>
          <w:bCs w:val="0"/>
          <w:sz w:val="32"/>
          <w:szCs w:val="32"/>
          <w:lang w:val="en-US" w:eastAsia="zh-CN"/>
        </w:rPr>
        <w:t xml:space="preserve">  </w:t>
      </w:r>
      <w:r>
        <w:rPr>
          <w:rFonts w:hint="eastAsia" w:ascii="宋体" w:hAnsi="宋体" w:eastAsia="宋体" w:cs="宋体"/>
          <w:b w:val="0"/>
          <w:bCs w:val="0"/>
          <w:sz w:val="32"/>
          <w:szCs w:val="32"/>
        </w:rPr>
        <w:t>采购人</w:t>
      </w:r>
      <w:r>
        <w:rPr>
          <w:rFonts w:hint="eastAsia" w:ascii="宋体" w:hAnsi="宋体" w:eastAsia="宋体" w:cs="宋体"/>
          <w:b w:val="0"/>
          <w:bCs w:val="0"/>
          <w:sz w:val="32"/>
          <w:szCs w:val="32"/>
          <w:lang w:eastAsia="zh-CN"/>
        </w:rPr>
        <w:t>：</w:t>
      </w:r>
      <w:r>
        <w:rPr>
          <w:rFonts w:hint="eastAsia" w:ascii="宋体" w:hAnsi="宋体" w:cs="宋体"/>
          <w:b w:val="0"/>
          <w:bCs w:val="0"/>
          <w:sz w:val="32"/>
          <w:szCs w:val="32"/>
          <w:lang w:val="en-US" w:eastAsia="zh-CN"/>
        </w:rPr>
        <w:t>三门峡市湖滨区教育体育局</w:t>
      </w:r>
    </w:p>
    <w:p w14:paraId="3B2D9DE4">
      <w:pPr>
        <w:pageBreakBefore w:val="0"/>
        <w:overflowPunct/>
        <w:bidi w:val="0"/>
        <w:spacing w:line="360" w:lineRule="auto"/>
        <w:ind w:firstLine="320" w:firstLineChars="100"/>
        <w:jc w:val="both"/>
        <w:outlineLvl w:val="9"/>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rPr>
        <w:t>采购代理机构：</w:t>
      </w:r>
      <w:r>
        <w:rPr>
          <w:rFonts w:hint="eastAsia" w:ascii="宋体" w:hAnsi="宋体" w:cs="宋体"/>
          <w:b w:val="0"/>
          <w:bCs w:val="0"/>
          <w:sz w:val="32"/>
          <w:szCs w:val="32"/>
          <w:lang w:val="en-US" w:eastAsia="zh-CN"/>
        </w:rPr>
        <w:t>信宇腾远工程咨询集团有限公司</w:t>
      </w:r>
      <w:r>
        <w:rPr>
          <w:rFonts w:hint="eastAsia" w:ascii="宋体" w:hAnsi="宋体" w:eastAsia="宋体" w:cs="宋体"/>
          <w:b w:val="0"/>
          <w:bCs w:val="0"/>
          <w:sz w:val="32"/>
          <w:szCs w:val="32"/>
          <w:lang w:val="en-US" w:eastAsia="zh-CN"/>
        </w:rPr>
        <w:t xml:space="preserve"> </w:t>
      </w:r>
    </w:p>
    <w:p w14:paraId="70BB345F">
      <w:pPr>
        <w:pageBreakBefore w:val="0"/>
        <w:overflowPunct/>
        <w:bidi w:val="0"/>
        <w:spacing w:line="360" w:lineRule="auto"/>
        <w:ind w:firstLine="320" w:firstLineChars="100"/>
        <w:jc w:val="both"/>
        <w:outlineLvl w:val="9"/>
        <w:rPr>
          <w:rFonts w:hint="eastAsia" w:ascii="宋体" w:hAnsi="宋体" w:eastAsia="宋体" w:cs="宋体"/>
          <w:b/>
          <w:bCs/>
          <w:sz w:val="32"/>
          <w:szCs w:val="32"/>
        </w:rPr>
      </w:pPr>
      <w:r>
        <w:rPr>
          <w:rFonts w:hint="eastAsia" w:ascii="宋体" w:hAnsi="宋体" w:eastAsia="宋体" w:cs="宋体"/>
          <w:b w:val="0"/>
          <w:bCs w:val="0"/>
          <w:sz w:val="32"/>
          <w:szCs w:val="32"/>
        </w:rPr>
        <w:t>日期：二Ｏ二</w:t>
      </w:r>
      <w:r>
        <w:rPr>
          <w:rFonts w:hint="eastAsia" w:ascii="宋体" w:hAnsi="宋体" w:eastAsia="宋体" w:cs="宋体"/>
          <w:b w:val="0"/>
          <w:bCs w:val="0"/>
          <w:sz w:val="32"/>
          <w:szCs w:val="32"/>
          <w:lang w:val="en-US" w:eastAsia="zh-CN"/>
        </w:rPr>
        <w:t>五</w:t>
      </w:r>
      <w:r>
        <w:rPr>
          <w:rFonts w:hint="eastAsia" w:ascii="宋体" w:hAnsi="宋体" w:eastAsia="宋体" w:cs="宋体"/>
          <w:b w:val="0"/>
          <w:bCs w:val="0"/>
          <w:sz w:val="32"/>
          <w:szCs w:val="32"/>
        </w:rPr>
        <w:t>年</w:t>
      </w:r>
      <w:r>
        <w:rPr>
          <w:rFonts w:hint="eastAsia" w:ascii="宋体" w:hAnsi="宋体" w:cs="宋体"/>
          <w:b w:val="0"/>
          <w:bCs w:val="0"/>
          <w:sz w:val="32"/>
          <w:szCs w:val="32"/>
          <w:lang w:val="en-US" w:eastAsia="zh-CN"/>
        </w:rPr>
        <w:t>十二</w:t>
      </w:r>
      <w:r>
        <w:rPr>
          <w:rFonts w:hint="eastAsia" w:ascii="宋体" w:hAnsi="宋体" w:eastAsia="宋体" w:cs="宋体"/>
          <w:b w:val="0"/>
          <w:bCs w:val="0"/>
          <w:sz w:val="32"/>
          <w:szCs w:val="32"/>
        </w:rPr>
        <w:t>月</w:t>
      </w:r>
    </w:p>
    <w:p w14:paraId="063705D3">
      <w:pPr>
        <w:pStyle w:val="10"/>
        <w:pageBreakBefore w:val="0"/>
        <w:overflowPunct/>
        <w:bidi w:val="0"/>
        <w:spacing w:before="318" w:beforeLines="100" w:after="318" w:afterLines="100" w:line="360" w:lineRule="auto"/>
        <w:jc w:val="center"/>
        <w:outlineLvl w:val="9"/>
        <w:rPr>
          <w:rFonts w:hint="eastAsia" w:ascii="宋体" w:hAnsi="宋体" w:eastAsia="宋体" w:cs="宋体"/>
          <w:b/>
          <w:bCs/>
          <w:sz w:val="32"/>
          <w:szCs w:val="32"/>
        </w:rPr>
        <w:sectPr>
          <w:footerReference r:id="rId4" w:type="first"/>
          <w:headerReference r:id="rId3" w:type="default"/>
          <w:pgSz w:w="11906" w:h="16840"/>
          <w:pgMar w:top="1440" w:right="1440" w:bottom="1440" w:left="1440" w:header="964" w:footer="981" w:gutter="0"/>
          <w:pgBorders>
            <w:top w:val="none" w:sz="0" w:space="0"/>
            <w:left w:val="none" w:sz="0" w:space="0"/>
            <w:bottom w:val="none" w:sz="0" w:space="0"/>
            <w:right w:val="none" w:sz="0" w:space="0"/>
          </w:pgBorders>
          <w:pgNumType w:start="0"/>
          <w:cols w:space="720" w:num="1"/>
          <w:rtlGutter w:val="0"/>
          <w:docGrid w:type="linesAndChars" w:linePitch="318" w:charSpace="0"/>
        </w:sectPr>
      </w:pPr>
    </w:p>
    <w:p w14:paraId="56B7AF2C">
      <w:pPr>
        <w:pStyle w:val="14"/>
        <w:rPr>
          <w:rFonts w:hint="eastAsia" w:ascii="宋体" w:hAnsi="宋体" w:eastAsia="宋体" w:cs="宋体"/>
          <w:b/>
          <w:bCs/>
          <w:color w:val="auto"/>
        </w:rPr>
      </w:pPr>
      <w:r>
        <w:rPr>
          <w:rFonts w:hint="eastAsia" w:ascii="宋体" w:hAnsi="宋体" w:eastAsia="宋体" w:cs="宋体"/>
          <w:b/>
          <w:bCs/>
          <w:color w:val="auto"/>
        </w:rPr>
        <w:t>目 录</w:t>
      </w:r>
    </w:p>
    <w:sdt>
      <w:sdtPr>
        <w:rPr>
          <w:rFonts w:hint="eastAsia" w:ascii="宋体" w:hAnsi="宋体" w:eastAsia="宋体" w:cs="宋体"/>
          <w:kern w:val="2"/>
          <w:sz w:val="32"/>
          <w:szCs w:val="32"/>
          <w:lang w:val="en-US" w:eastAsia="zh-CN" w:bidi="ar-SA"/>
        </w:rPr>
        <w:id w:val="147459143"/>
        <w15:color w:val="DBDBDB"/>
        <w:docPartObj>
          <w:docPartGallery w:val="Table of Contents"/>
          <w:docPartUnique/>
        </w:docPartObj>
      </w:sdtPr>
      <w:sdtEndPr>
        <w:rPr>
          <w:rFonts w:hint="eastAsia" w:ascii="宋体" w:hAnsi="宋体" w:eastAsia="宋体" w:cs="宋体"/>
          <w:color w:val="auto"/>
          <w:kern w:val="2"/>
          <w:sz w:val="36"/>
          <w:szCs w:val="32"/>
          <w:lang w:val="en-US" w:eastAsia="zh-CN" w:bidi="ar-SA"/>
        </w:rPr>
      </w:sdtEndPr>
      <w:sdtContent>
        <w:p w14:paraId="39649A6D">
          <w:pPr>
            <w:spacing w:before="0" w:beforeLines="0" w:after="0" w:afterLines="0" w:line="240" w:lineRule="auto"/>
            <w:ind w:left="0" w:leftChars="0" w:right="0" w:rightChars="0" w:firstLine="0" w:firstLineChars="0"/>
            <w:jc w:val="center"/>
            <w:rPr>
              <w:rFonts w:hint="eastAsia" w:ascii="宋体" w:hAnsi="宋体" w:eastAsia="宋体" w:cs="宋体"/>
              <w:sz w:val="32"/>
              <w:szCs w:val="32"/>
            </w:rPr>
          </w:pPr>
        </w:p>
        <w:p w14:paraId="4D0DF120">
          <w:pPr>
            <w:pStyle w:val="14"/>
            <w:tabs>
              <w:tab w:val="right" w:leader="dot" w:pos="9070"/>
              <w:tab w:val="clear" w:pos="9060"/>
            </w:tabs>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TOC \o "1-1" \h \u </w:instrText>
          </w:r>
          <w:r>
            <w:rPr>
              <w:rFonts w:hint="eastAsia" w:ascii="宋体" w:hAnsi="宋体" w:eastAsia="宋体" w:cs="宋体"/>
              <w:color w:val="auto"/>
              <w:sz w:val="28"/>
              <w:szCs w:val="28"/>
            </w:rPr>
            <w:fldChar w:fldCharType="separate"/>
          </w:r>
          <w:r>
            <w:rPr>
              <w:rFonts w:hint="eastAsia" w:ascii="宋体" w:hAnsi="宋体" w:eastAsia="宋体" w:cs="宋体"/>
              <w:color w:val="auto"/>
              <w:szCs w:val="28"/>
            </w:rPr>
            <w:fldChar w:fldCharType="begin"/>
          </w:r>
          <w:r>
            <w:rPr>
              <w:rFonts w:hint="eastAsia" w:ascii="宋体" w:hAnsi="宋体" w:eastAsia="宋体" w:cs="宋体"/>
              <w:szCs w:val="28"/>
            </w:rPr>
            <w:instrText xml:space="preserve"> HYPERLINK \l _Toc752 </w:instrText>
          </w:r>
          <w:r>
            <w:rPr>
              <w:rFonts w:hint="eastAsia" w:ascii="宋体" w:hAnsi="宋体" w:eastAsia="宋体" w:cs="宋体"/>
              <w:szCs w:val="28"/>
            </w:rPr>
            <w:fldChar w:fldCharType="separate"/>
          </w:r>
          <w:r>
            <w:rPr>
              <w:rFonts w:hint="eastAsia" w:ascii="宋体" w:hAnsi="宋体" w:eastAsia="宋体" w:cs="宋体"/>
            </w:rPr>
            <w:t xml:space="preserve">第一章 </w:t>
          </w:r>
          <w:r>
            <w:rPr>
              <w:rFonts w:hint="eastAsia" w:ascii="宋体" w:hAnsi="宋体" w:eastAsia="宋体" w:cs="宋体"/>
              <w:lang w:val="en-US" w:eastAsia="zh-CN"/>
            </w:rPr>
            <w:t>竞争性磋商</w:t>
          </w:r>
          <w:r>
            <w:rPr>
              <w:rFonts w:hint="eastAsia" w:ascii="宋体" w:hAnsi="宋体" w:eastAsia="宋体" w:cs="宋体"/>
            </w:rPr>
            <w:t>公告</w:t>
          </w:r>
          <w:r>
            <w:tab/>
          </w:r>
          <w:r>
            <w:fldChar w:fldCharType="begin"/>
          </w:r>
          <w:r>
            <w:instrText xml:space="preserve"> PAGEREF _Toc752 \h </w:instrText>
          </w:r>
          <w:r>
            <w:fldChar w:fldCharType="separate"/>
          </w:r>
          <w:r>
            <w:t>2</w:t>
          </w:r>
          <w:r>
            <w:fldChar w:fldCharType="end"/>
          </w:r>
          <w:r>
            <w:rPr>
              <w:rFonts w:hint="eastAsia" w:ascii="宋体" w:hAnsi="宋体" w:eastAsia="宋体" w:cs="宋体"/>
              <w:color w:val="auto"/>
              <w:szCs w:val="28"/>
            </w:rPr>
            <w:fldChar w:fldCharType="end"/>
          </w:r>
        </w:p>
        <w:p w14:paraId="45035EF5">
          <w:pPr>
            <w:pStyle w:val="14"/>
            <w:tabs>
              <w:tab w:val="right" w:leader="dot" w:pos="9070"/>
              <w:tab w:val="clear" w:pos="9060"/>
            </w:tabs>
          </w:pPr>
          <w:r>
            <w:rPr>
              <w:rFonts w:hint="eastAsia" w:ascii="宋体" w:hAnsi="宋体" w:eastAsia="宋体" w:cs="宋体"/>
              <w:color w:val="auto"/>
              <w:szCs w:val="48"/>
            </w:rPr>
            <w:fldChar w:fldCharType="begin"/>
          </w:r>
          <w:r>
            <w:rPr>
              <w:rFonts w:hint="eastAsia" w:ascii="宋体" w:hAnsi="宋体" w:eastAsia="宋体" w:cs="宋体"/>
              <w:szCs w:val="48"/>
            </w:rPr>
            <w:instrText xml:space="preserve"> HYPERLINK \l _Toc24701 </w:instrText>
          </w:r>
          <w:r>
            <w:rPr>
              <w:rFonts w:hint="eastAsia" w:ascii="宋体" w:hAnsi="宋体" w:eastAsia="宋体" w:cs="宋体"/>
              <w:szCs w:val="48"/>
            </w:rPr>
            <w:fldChar w:fldCharType="separate"/>
          </w:r>
          <w:r>
            <w:rPr>
              <w:rFonts w:hint="eastAsia" w:ascii="宋体" w:hAnsi="宋体" w:eastAsia="宋体" w:cs="宋体"/>
              <w:bCs/>
              <w:kern w:val="0"/>
              <w:szCs w:val="40"/>
            </w:rPr>
            <w:t>第二章 投标供应商须知</w:t>
          </w:r>
          <w:r>
            <w:tab/>
          </w:r>
          <w:r>
            <w:fldChar w:fldCharType="begin"/>
          </w:r>
          <w:r>
            <w:instrText xml:space="preserve"> PAGEREF _Toc24701 \h </w:instrText>
          </w:r>
          <w:r>
            <w:fldChar w:fldCharType="separate"/>
          </w:r>
          <w:r>
            <w:t>6</w:t>
          </w:r>
          <w:r>
            <w:fldChar w:fldCharType="end"/>
          </w:r>
          <w:r>
            <w:rPr>
              <w:rFonts w:hint="eastAsia" w:ascii="宋体" w:hAnsi="宋体" w:eastAsia="宋体" w:cs="宋体"/>
              <w:color w:val="auto"/>
              <w:szCs w:val="48"/>
            </w:rPr>
            <w:fldChar w:fldCharType="end"/>
          </w:r>
        </w:p>
        <w:p w14:paraId="0EA8D5BE">
          <w:pPr>
            <w:pStyle w:val="14"/>
            <w:tabs>
              <w:tab w:val="right" w:leader="dot" w:pos="9070"/>
              <w:tab w:val="clear" w:pos="9060"/>
            </w:tabs>
          </w:pPr>
          <w:r>
            <w:rPr>
              <w:rFonts w:hint="eastAsia" w:ascii="宋体" w:hAnsi="宋体" w:eastAsia="宋体" w:cs="宋体"/>
              <w:color w:val="auto"/>
              <w:szCs w:val="48"/>
            </w:rPr>
            <w:fldChar w:fldCharType="begin"/>
          </w:r>
          <w:r>
            <w:rPr>
              <w:rFonts w:hint="eastAsia" w:ascii="宋体" w:hAnsi="宋体" w:eastAsia="宋体" w:cs="宋体"/>
              <w:szCs w:val="48"/>
            </w:rPr>
            <w:instrText xml:space="preserve"> HYPERLINK \l _Toc20302 </w:instrText>
          </w:r>
          <w:r>
            <w:rPr>
              <w:rFonts w:hint="eastAsia" w:ascii="宋体" w:hAnsi="宋体" w:eastAsia="宋体" w:cs="宋体"/>
              <w:szCs w:val="48"/>
            </w:rPr>
            <w:fldChar w:fldCharType="separate"/>
          </w:r>
          <w:r>
            <w:rPr>
              <w:rFonts w:hint="eastAsia" w:ascii="宋体" w:hAnsi="宋体" w:eastAsia="宋体" w:cs="宋体"/>
              <w:highlight w:val="none"/>
              <w:lang w:val="en-US" w:eastAsia="zh-CN"/>
            </w:rPr>
            <w:t xml:space="preserve">第三章 </w:t>
          </w:r>
          <w:r>
            <w:rPr>
              <w:rFonts w:hint="eastAsia" w:ascii="宋体" w:hAnsi="宋体" w:eastAsia="宋体" w:cs="宋体"/>
              <w:bCs w:val="0"/>
              <w:kern w:val="0"/>
              <w:szCs w:val="24"/>
              <w:highlight w:val="none"/>
              <w:lang w:val="en-US" w:eastAsia="zh-CN" w:bidi="ar-SA"/>
            </w:rPr>
            <w:t>服务内容及要求</w:t>
          </w:r>
          <w:r>
            <w:tab/>
          </w:r>
          <w:r>
            <w:fldChar w:fldCharType="begin"/>
          </w:r>
          <w:r>
            <w:instrText xml:space="preserve"> PAGEREF _Toc20302 \h </w:instrText>
          </w:r>
          <w:r>
            <w:fldChar w:fldCharType="separate"/>
          </w:r>
          <w:r>
            <w:t>22</w:t>
          </w:r>
          <w:r>
            <w:fldChar w:fldCharType="end"/>
          </w:r>
          <w:r>
            <w:rPr>
              <w:rFonts w:hint="eastAsia" w:ascii="宋体" w:hAnsi="宋体" w:eastAsia="宋体" w:cs="宋体"/>
              <w:color w:val="auto"/>
              <w:szCs w:val="48"/>
            </w:rPr>
            <w:fldChar w:fldCharType="end"/>
          </w:r>
        </w:p>
        <w:p w14:paraId="7AC817F5">
          <w:pPr>
            <w:pStyle w:val="14"/>
            <w:tabs>
              <w:tab w:val="right" w:leader="dot" w:pos="9070"/>
              <w:tab w:val="clear" w:pos="9060"/>
            </w:tabs>
          </w:pPr>
          <w:r>
            <w:rPr>
              <w:rFonts w:hint="eastAsia" w:ascii="宋体" w:hAnsi="宋体" w:eastAsia="宋体" w:cs="宋体"/>
              <w:color w:val="auto"/>
              <w:szCs w:val="48"/>
            </w:rPr>
            <w:fldChar w:fldCharType="begin"/>
          </w:r>
          <w:r>
            <w:rPr>
              <w:rFonts w:hint="eastAsia" w:ascii="宋体" w:hAnsi="宋体" w:eastAsia="宋体" w:cs="宋体"/>
              <w:szCs w:val="48"/>
            </w:rPr>
            <w:instrText xml:space="preserve"> HYPERLINK \l _Toc8223 </w:instrText>
          </w:r>
          <w:r>
            <w:rPr>
              <w:rFonts w:hint="eastAsia" w:ascii="宋体" w:hAnsi="宋体" w:eastAsia="宋体" w:cs="宋体"/>
              <w:szCs w:val="48"/>
            </w:rPr>
            <w:fldChar w:fldCharType="separate"/>
          </w:r>
          <w:r>
            <w:rPr>
              <w:rFonts w:hint="eastAsia" w:ascii="宋体" w:hAnsi="宋体" w:eastAsia="宋体" w:cs="宋体"/>
              <w:bCs/>
              <w:kern w:val="44"/>
              <w:szCs w:val="44"/>
              <w:highlight w:val="none"/>
              <w:lang w:val="en-US" w:eastAsia="zh-CN" w:bidi="ar-SA"/>
            </w:rPr>
            <w:t>第四章 评审办法</w:t>
          </w:r>
          <w:r>
            <w:tab/>
          </w:r>
          <w:r>
            <w:fldChar w:fldCharType="begin"/>
          </w:r>
          <w:r>
            <w:instrText xml:space="preserve"> PAGEREF _Toc8223 \h </w:instrText>
          </w:r>
          <w:r>
            <w:fldChar w:fldCharType="separate"/>
          </w:r>
          <w:r>
            <w:t>23</w:t>
          </w:r>
          <w:r>
            <w:fldChar w:fldCharType="end"/>
          </w:r>
          <w:r>
            <w:rPr>
              <w:rFonts w:hint="eastAsia" w:ascii="宋体" w:hAnsi="宋体" w:eastAsia="宋体" w:cs="宋体"/>
              <w:color w:val="auto"/>
              <w:szCs w:val="48"/>
            </w:rPr>
            <w:fldChar w:fldCharType="end"/>
          </w:r>
        </w:p>
        <w:p w14:paraId="0BA2C8F9">
          <w:pPr>
            <w:pStyle w:val="14"/>
            <w:tabs>
              <w:tab w:val="right" w:leader="dot" w:pos="9070"/>
              <w:tab w:val="clear" w:pos="9060"/>
            </w:tabs>
          </w:pPr>
          <w:r>
            <w:rPr>
              <w:rFonts w:hint="eastAsia" w:ascii="宋体" w:hAnsi="宋体" w:eastAsia="宋体" w:cs="宋体"/>
              <w:color w:val="auto"/>
              <w:szCs w:val="48"/>
            </w:rPr>
            <w:fldChar w:fldCharType="begin"/>
          </w:r>
          <w:r>
            <w:rPr>
              <w:rFonts w:hint="eastAsia" w:ascii="宋体" w:hAnsi="宋体" w:eastAsia="宋体" w:cs="宋体"/>
              <w:szCs w:val="48"/>
            </w:rPr>
            <w:instrText xml:space="preserve"> HYPERLINK \l _Toc31439 </w:instrText>
          </w:r>
          <w:r>
            <w:rPr>
              <w:rFonts w:hint="eastAsia" w:ascii="宋体" w:hAnsi="宋体" w:eastAsia="宋体" w:cs="宋体"/>
              <w:szCs w:val="48"/>
            </w:rPr>
            <w:fldChar w:fldCharType="separate"/>
          </w:r>
          <w:r>
            <w:rPr>
              <w:rFonts w:hint="eastAsia" w:ascii="宋体" w:hAnsi="宋体" w:eastAsia="宋体" w:cs="宋体"/>
              <w:szCs w:val="40"/>
            </w:rPr>
            <w:t>第五章 合同主要条款及格式</w:t>
          </w:r>
          <w:r>
            <w:tab/>
          </w:r>
          <w:r>
            <w:fldChar w:fldCharType="begin"/>
          </w:r>
          <w:r>
            <w:instrText xml:space="preserve"> PAGEREF _Toc31439 \h </w:instrText>
          </w:r>
          <w:r>
            <w:fldChar w:fldCharType="separate"/>
          </w:r>
          <w:r>
            <w:t>30</w:t>
          </w:r>
          <w:r>
            <w:fldChar w:fldCharType="end"/>
          </w:r>
          <w:r>
            <w:rPr>
              <w:rFonts w:hint="eastAsia" w:ascii="宋体" w:hAnsi="宋体" w:eastAsia="宋体" w:cs="宋体"/>
              <w:color w:val="auto"/>
              <w:szCs w:val="48"/>
            </w:rPr>
            <w:fldChar w:fldCharType="end"/>
          </w:r>
        </w:p>
        <w:p w14:paraId="73EEFE0C">
          <w:pPr>
            <w:pStyle w:val="14"/>
            <w:tabs>
              <w:tab w:val="right" w:leader="dot" w:pos="9070"/>
              <w:tab w:val="clear" w:pos="9060"/>
            </w:tabs>
          </w:pPr>
          <w:r>
            <w:rPr>
              <w:rFonts w:hint="eastAsia" w:ascii="宋体" w:hAnsi="宋体" w:eastAsia="宋体" w:cs="宋体"/>
              <w:color w:val="auto"/>
              <w:szCs w:val="48"/>
            </w:rPr>
            <w:fldChar w:fldCharType="begin"/>
          </w:r>
          <w:r>
            <w:rPr>
              <w:rFonts w:hint="eastAsia" w:ascii="宋体" w:hAnsi="宋体" w:eastAsia="宋体" w:cs="宋体"/>
              <w:szCs w:val="48"/>
            </w:rPr>
            <w:instrText xml:space="preserve"> HYPERLINK \l _Toc21640 </w:instrText>
          </w:r>
          <w:r>
            <w:rPr>
              <w:rFonts w:hint="eastAsia" w:ascii="宋体" w:hAnsi="宋体" w:eastAsia="宋体" w:cs="宋体"/>
              <w:szCs w:val="48"/>
            </w:rPr>
            <w:fldChar w:fldCharType="separate"/>
          </w:r>
          <w:r>
            <w:rPr>
              <w:rFonts w:hint="eastAsia" w:ascii="宋体" w:hAnsi="宋体" w:eastAsia="宋体" w:cs="宋体"/>
              <w:bCs/>
              <w:szCs w:val="40"/>
            </w:rPr>
            <w:t xml:space="preserve">第六章 </w:t>
          </w:r>
          <w:r>
            <w:rPr>
              <w:rFonts w:hint="eastAsia" w:ascii="宋体" w:hAnsi="宋体" w:eastAsia="宋体" w:cs="宋体"/>
              <w:bCs/>
              <w:szCs w:val="40"/>
              <w:lang w:val="en-US" w:eastAsia="zh-CN"/>
            </w:rPr>
            <w:t>响应</w:t>
          </w:r>
          <w:r>
            <w:rPr>
              <w:rFonts w:hint="eastAsia" w:ascii="宋体" w:hAnsi="宋体" w:eastAsia="宋体" w:cs="宋体"/>
              <w:bCs/>
              <w:szCs w:val="40"/>
            </w:rPr>
            <w:t>文件格式</w:t>
          </w:r>
          <w:r>
            <w:tab/>
          </w:r>
          <w:r>
            <w:fldChar w:fldCharType="begin"/>
          </w:r>
          <w:r>
            <w:instrText xml:space="preserve"> PAGEREF _Toc21640 \h </w:instrText>
          </w:r>
          <w:r>
            <w:fldChar w:fldCharType="separate"/>
          </w:r>
          <w:r>
            <w:t>31</w:t>
          </w:r>
          <w:r>
            <w:fldChar w:fldCharType="end"/>
          </w:r>
          <w:r>
            <w:rPr>
              <w:rFonts w:hint="eastAsia" w:ascii="宋体" w:hAnsi="宋体" w:eastAsia="宋体" w:cs="宋体"/>
              <w:color w:val="auto"/>
              <w:szCs w:val="48"/>
            </w:rPr>
            <w:fldChar w:fldCharType="end"/>
          </w:r>
        </w:p>
        <w:p w14:paraId="5F39AF39">
          <w:pPr>
            <w:pStyle w:val="14"/>
            <w:rPr>
              <w:rFonts w:hint="eastAsia" w:ascii="宋体" w:hAnsi="宋体" w:eastAsia="宋体" w:cs="宋体"/>
              <w:color w:val="auto"/>
            </w:rPr>
          </w:pPr>
          <w:r>
            <w:rPr>
              <w:rFonts w:hint="eastAsia" w:ascii="宋体" w:hAnsi="宋体" w:eastAsia="宋体" w:cs="宋体"/>
              <w:color w:val="auto"/>
              <w:szCs w:val="48"/>
            </w:rPr>
            <w:fldChar w:fldCharType="end"/>
          </w:r>
        </w:p>
      </w:sdtContent>
    </w:sdt>
    <w:p w14:paraId="60707E9F">
      <w:pPr>
        <w:autoSpaceDE w:val="0"/>
        <w:autoSpaceDN w:val="0"/>
        <w:adjustRightInd w:val="0"/>
        <w:spacing w:before="312" w:beforeLines="100" w:after="312" w:afterLines="100" w:line="600" w:lineRule="auto"/>
        <w:jc w:val="center"/>
        <w:rPr>
          <w:rFonts w:hint="eastAsia" w:ascii="宋体" w:hAnsi="宋体" w:eastAsia="宋体" w:cs="宋体"/>
          <w:b/>
          <w:bCs/>
          <w:color w:val="auto"/>
          <w:kern w:val="0"/>
          <w:sz w:val="44"/>
          <w:szCs w:val="44"/>
        </w:rPr>
      </w:pPr>
    </w:p>
    <w:p w14:paraId="0C695776">
      <w:pPr>
        <w:autoSpaceDE w:val="0"/>
        <w:autoSpaceDN w:val="0"/>
        <w:adjustRightInd w:val="0"/>
        <w:spacing w:line="486" w:lineRule="atLeast"/>
        <w:rPr>
          <w:rFonts w:hint="eastAsia" w:ascii="宋体" w:hAnsi="宋体" w:eastAsia="宋体" w:cs="宋体"/>
          <w:b/>
          <w:bCs/>
          <w:color w:val="auto"/>
          <w:kern w:val="0"/>
          <w:sz w:val="32"/>
          <w:szCs w:val="32"/>
        </w:rPr>
      </w:pPr>
    </w:p>
    <w:p w14:paraId="39A0FDDB">
      <w:pPr>
        <w:autoSpaceDE w:val="0"/>
        <w:autoSpaceDN w:val="0"/>
        <w:adjustRightInd w:val="0"/>
        <w:spacing w:line="486" w:lineRule="atLeast"/>
        <w:rPr>
          <w:rFonts w:hint="eastAsia" w:ascii="宋体" w:hAnsi="宋体" w:eastAsia="宋体" w:cs="宋体"/>
          <w:b/>
          <w:bCs/>
          <w:color w:val="auto"/>
          <w:kern w:val="0"/>
          <w:sz w:val="32"/>
          <w:szCs w:val="32"/>
        </w:rPr>
      </w:pPr>
    </w:p>
    <w:p w14:paraId="62C88CA9">
      <w:pPr>
        <w:autoSpaceDE w:val="0"/>
        <w:autoSpaceDN w:val="0"/>
        <w:adjustRightInd w:val="0"/>
        <w:spacing w:line="486" w:lineRule="atLeast"/>
        <w:rPr>
          <w:rFonts w:hint="eastAsia" w:ascii="宋体" w:hAnsi="宋体" w:eastAsia="宋体" w:cs="宋体"/>
          <w:b/>
          <w:bCs/>
          <w:color w:val="auto"/>
          <w:kern w:val="0"/>
          <w:sz w:val="32"/>
          <w:szCs w:val="32"/>
        </w:rPr>
      </w:pPr>
    </w:p>
    <w:p w14:paraId="33025FC3">
      <w:pPr>
        <w:autoSpaceDE w:val="0"/>
        <w:autoSpaceDN w:val="0"/>
        <w:adjustRightInd w:val="0"/>
        <w:spacing w:line="486" w:lineRule="atLeast"/>
        <w:rPr>
          <w:rFonts w:hint="eastAsia" w:ascii="宋体" w:hAnsi="宋体" w:eastAsia="宋体" w:cs="宋体"/>
          <w:b/>
          <w:bCs/>
          <w:color w:val="auto"/>
          <w:kern w:val="0"/>
          <w:sz w:val="32"/>
          <w:szCs w:val="32"/>
        </w:rPr>
      </w:pPr>
    </w:p>
    <w:p w14:paraId="644724E6">
      <w:pPr>
        <w:autoSpaceDE w:val="0"/>
        <w:autoSpaceDN w:val="0"/>
        <w:adjustRightInd w:val="0"/>
        <w:spacing w:line="486" w:lineRule="atLeast"/>
        <w:rPr>
          <w:rFonts w:hint="eastAsia" w:ascii="宋体" w:hAnsi="宋体" w:eastAsia="宋体" w:cs="宋体"/>
          <w:b/>
          <w:bCs/>
          <w:color w:val="auto"/>
          <w:kern w:val="0"/>
          <w:sz w:val="32"/>
          <w:szCs w:val="32"/>
        </w:rPr>
      </w:pPr>
    </w:p>
    <w:p w14:paraId="784F30F1">
      <w:pPr>
        <w:autoSpaceDE w:val="0"/>
        <w:autoSpaceDN w:val="0"/>
        <w:adjustRightInd w:val="0"/>
        <w:spacing w:line="486" w:lineRule="atLeast"/>
        <w:rPr>
          <w:rFonts w:hint="eastAsia" w:ascii="宋体" w:hAnsi="宋体" w:eastAsia="宋体" w:cs="宋体"/>
          <w:b/>
          <w:bCs/>
          <w:color w:val="auto"/>
          <w:kern w:val="0"/>
          <w:sz w:val="32"/>
          <w:szCs w:val="32"/>
        </w:rPr>
      </w:pPr>
    </w:p>
    <w:p w14:paraId="5C3ECC04">
      <w:pPr>
        <w:jc w:val="center"/>
        <w:outlineLvl w:val="0"/>
        <w:rPr>
          <w:rFonts w:hint="eastAsia" w:ascii="宋体" w:hAnsi="宋体" w:eastAsia="宋体" w:cs="宋体"/>
          <w:color w:val="auto"/>
          <w:sz w:val="40"/>
          <w:szCs w:val="40"/>
        </w:rPr>
      </w:pPr>
      <w:r>
        <w:rPr>
          <w:rFonts w:hint="eastAsia" w:ascii="宋体" w:hAnsi="宋体" w:eastAsia="宋体" w:cs="宋体"/>
          <w:b/>
          <w:bCs/>
          <w:color w:val="auto"/>
          <w:sz w:val="40"/>
          <w:szCs w:val="40"/>
        </w:rPr>
        <w:br w:type="page"/>
      </w:r>
      <w:bookmarkStart w:id="0" w:name="_Toc31146"/>
      <w:bookmarkStart w:id="1" w:name="_Toc752"/>
      <w:r>
        <w:rPr>
          <w:rStyle w:val="26"/>
          <w:rFonts w:hint="eastAsia" w:ascii="宋体" w:hAnsi="宋体" w:eastAsia="宋体" w:cs="宋体"/>
          <w:color w:val="auto"/>
        </w:rPr>
        <w:t xml:space="preserve">第一章 </w:t>
      </w:r>
      <w:r>
        <w:rPr>
          <w:rStyle w:val="26"/>
          <w:rFonts w:hint="eastAsia" w:ascii="宋体" w:hAnsi="宋体" w:eastAsia="宋体" w:cs="宋体"/>
          <w:color w:val="auto"/>
          <w:lang w:val="en-US" w:eastAsia="zh-CN"/>
        </w:rPr>
        <w:t>竞争性磋商</w:t>
      </w:r>
      <w:r>
        <w:rPr>
          <w:rStyle w:val="26"/>
          <w:rFonts w:hint="eastAsia" w:ascii="宋体" w:hAnsi="宋体" w:eastAsia="宋体" w:cs="宋体"/>
          <w:color w:val="auto"/>
        </w:rPr>
        <w:t>公告</w:t>
      </w:r>
      <w:bookmarkEnd w:id="0"/>
      <w:bookmarkEnd w:id="1"/>
    </w:p>
    <w:p w14:paraId="5801068E">
      <w:pPr>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kern w:val="0"/>
          <w:sz w:val="24"/>
          <w:szCs w:val="24"/>
        </w:rPr>
      </w:pPr>
      <w:r>
        <w:rPr>
          <w:rFonts w:hint="eastAsia" w:ascii="宋体" w:hAnsi="宋体" w:cs="宋体"/>
          <w:color w:val="444444"/>
          <w:kern w:val="0"/>
          <w:sz w:val="24"/>
          <w:szCs w:val="24"/>
          <w:lang w:val="en-US" w:eastAsia="zh-CN" w:bidi="ar"/>
        </w:rPr>
        <w:t>三门峡市湖滨区教育体育局三门峡市湖滨区中小学校消防审验历史遗留问题现场评定项目</w:t>
      </w:r>
      <w:r>
        <w:rPr>
          <w:rFonts w:hint="eastAsia" w:ascii="宋体" w:hAnsi="宋体" w:eastAsia="宋体" w:cs="宋体"/>
          <w:kern w:val="0"/>
          <w:sz w:val="24"/>
          <w:szCs w:val="24"/>
          <w:shd w:val="clear" w:color="auto" w:fill="auto"/>
        </w:rPr>
        <w:t>的潜在</w:t>
      </w:r>
      <w:r>
        <w:rPr>
          <w:rFonts w:hint="eastAsia" w:ascii="宋体" w:hAnsi="宋体" w:cs="宋体"/>
          <w:kern w:val="0"/>
          <w:sz w:val="24"/>
          <w:szCs w:val="24"/>
          <w:shd w:val="clear" w:color="auto" w:fill="auto"/>
          <w:lang w:eastAsia="zh-CN"/>
        </w:rPr>
        <w:t>供应商</w:t>
      </w:r>
      <w:r>
        <w:rPr>
          <w:rFonts w:hint="eastAsia" w:ascii="宋体" w:hAnsi="宋体" w:eastAsia="宋体" w:cs="宋体"/>
          <w:kern w:val="0"/>
          <w:sz w:val="24"/>
          <w:szCs w:val="24"/>
          <w:shd w:val="clear" w:color="auto" w:fill="auto"/>
        </w:rPr>
        <w:t>应在三门峡市公共资源交易中心平台获取</w:t>
      </w:r>
      <w:r>
        <w:rPr>
          <w:rFonts w:hint="eastAsia" w:ascii="宋体" w:hAnsi="宋体" w:cs="宋体"/>
          <w:kern w:val="0"/>
          <w:sz w:val="24"/>
          <w:szCs w:val="24"/>
          <w:shd w:val="clear" w:color="auto" w:fill="auto"/>
          <w:lang w:eastAsia="zh-CN"/>
        </w:rPr>
        <w:t>采购</w:t>
      </w:r>
      <w:r>
        <w:rPr>
          <w:rFonts w:hint="eastAsia" w:ascii="宋体" w:hAnsi="宋体" w:eastAsia="宋体" w:cs="宋体"/>
          <w:kern w:val="0"/>
          <w:sz w:val="24"/>
          <w:szCs w:val="24"/>
          <w:shd w:val="clear" w:color="auto" w:fill="auto"/>
        </w:rPr>
        <w:t>文件，并于</w:t>
      </w:r>
      <w:r>
        <w:rPr>
          <w:rFonts w:hint="eastAsia" w:ascii="宋体" w:hAnsi="宋体" w:eastAsia="宋体" w:cs="宋体"/>
          <w:kern w:val="0"/>
          <w:sz w:val="24"/>
          <w:szCs w:val="24"/>
          <w:highlight w:val="none"/>
          <w:shd w:val="clear" w:color="auto" w:fill="auto"/>
        </w:rPr>
        <w:t>202</w:t>
      </w:r>
      <w:r>
        <w:rPr>
          <w:rFonts w:hint="eastAsia" w:ascii="宋体" w:hAnsi="宋体" w:eastAsia="宋体" w:cs="宋体"/>
          <w:kern w:val="0"/>
          <w:sz w:val="24"/>
          <w:szCs w:val="24"/>
          <w:highlight w:val="none"/>
          <w:shd w:val="clear" w:color="auto" w:fill="auto"/>
          <w:lang w:val="en-US" w:eastAsia="zh-CN"/>
        </w:rPr>
        <w:t>5</w:t>
      </w:r>
      <w:r>
        <w:rPr>
          <w:rFonts w:hint="eastAsia" w:ascii="宋体" w:hAnsi="宋体" w:eastAsia="宋体" w:cs="宋体"/>
          <w:kern w:val="0"/>
          <w:sz w:val="24"/>
          <w:szCs w:val="24"/>
          <w:highlight w:val="none"/>
          <w:shd w:val="clear" w:color="auto" w:fill="auto"/>
        </w:rPr>
        <w:t>年</w:t>
      </w:r>
      <w:r>
        <w:rPr>
          <w:rFonts w:hint="eastAsia" w:ascii="宋体" w:hAnsi="宋体" w:eastAsia="宋体" w:cs="宋体"/>
          <w:color w:val="auto"/>
          <w:kern w:val="0"/>
          <w:sz w:val="24"/>
          <w:szCs w:val="24"/>
          <w:highlight w:val="none"/>
          <w:shd w:val="clear" w:color="auto" w:fill="auto"/>
          <w:lang w:val="en-US" w:eastAsia="zh-CN"/>
        </w:rPr>
        <w:t>1</w:t>
      </w:r>
      <w:r>
        <w:rPr>
          <w:rFonts w:hint="eastAsia" w:ascii="宋体" w:hAnsi="宋体" w:cs="宋体"/>
          <w:color w:val="auto"/>
          <w:kern w:val="0"/>
          <w:sz w:val="24"/>
          <w:szCs w:val="24"/>
          <w:highlight w:val="none"/>
          <w:shd w:val="clear" w:color="auto" w:fill="auto"/>
          <w:lang w:val="en-US" w:eastAsia="zh-CN"/>
        </w:rPr>
        <w:t>2</w:t>
      </w:r>
      <w:r>
        <w:rPr>
          <w:rFonts w:hint="eastAsia" w:ascii="宋体" w:hAnsi="宋体" w:eastAsia="宋体" w:cs="宋体"/>
          <w:color w:val="auto"/>
          <w:kern w:val="0"/>
          <w:sz w:val="24"/>
          <w:szCs w:val="24"/>
          <w:highlight w:val="none"/>
          <w:shd w:val="clear" w:color="auto" w:fill="auto"/>
        </w:rPr>
        <w:t>月</w:t>
      </w:r>
      <w:r>
        <w:rPr>
          <w:rFonts w:hint="eastAsia" w:ascii="宋体" w:hAnsi="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lang w:val="en-US" w:eastAsia="zh-CN"/>
        </w:rPr>
        <w:t>日0</w:t>
      </w:r>
      <w:r>
        <w:rPr>
          <w:rFonts w:hint="eastAsia" w:ascii="宋体" w:hAnsi="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lang w:val="en-US" w:eastAsia="zh-CN"/>
        </w:rPr>
        <w:t>时</w:t>
      </w:r>
      <w:r>
        <w:rPr>
          <w:rFonts w:hint="eastAsia" w:ascii="宋体" w:hAnsi="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lang w:val="en-US" w:eastAsia="zh-CN"/>
        </w:rPr>
        <w:t>分（</w:t>
      </w:r>
      <w:r>
        <w:rPr>
          <w:rFonts w:hint="eastAsia" w:ascii="宋体" w:hAnsi="宋体" w:eastAsia="宋体" w:cs="宋体"/>
          <w:color w:val="auto"/>
          <w:kern w:val="0"/>
          <w:sz w:val="24"/>
          <w:szCs w:val="24"/>
          <w:shd w:val="clear" w:color="auto" w:fill="auto"/>
        </w:rPr>
        <w:t>北京时间）前递交响应文件</w:t>
      </w:r>
      <w:r>
        <w:rPr>
          <w:rFonts w:hint="eastAsia" w:ascii="宋体" w:hAnsi="宋体" w:eastAsia="宋体" w:cs="宋体"/>
          <w:color w:val="auto"/>
          <w:kern w:val="0"/>
          <w:sz w:val="24"/>
          <w:szCs w:val="24"/>
        </w:rPr>
        <w:t>。</w:t>
      </w:r>
    </w:p>
    <w:p w14:paraId="57A4B20C">
      <w:pPr>
        <w:spacing w:line="360" w:lineRule="auto"/>
        <w:ind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一、项目基本情况：</w:t>
      </w:r>
    </w:p>
    <w:p w14:paraId="56F32F76">
      <w:pPr>
        <w:pageBreakBefore w:val="0"/>
        <w:widowControl/>
        <w:shd w:val="clear" w:color="auto" w:fill="auto"/>
        <w:overflowPunct/>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采购项目编号：SGZ[2025]577-ZC376、湖滨竞磋采购-2025-35</w:t>
      </w:r>
      <w:r>
        <w:rPr>
          <w:rFonts w:hint="eastAsia" w:ascii="宋体" w:hAnsi="宋体" w:eastAsia="宋体" w:cs="宋体"/>
          <w:color w:val="auto"/>
          <w:kern w:val="0"/>
          <w:sz w:val="24"/>
          <w:szCs w:val="24"/>
          <w:highlight w:val="none"/>
        </w:rPr>
        <w:t>；</w:t>
      </w:r>
    </w:p>
    <w:p w14:paraId="381BE98E">
      <w:pPr>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en-US" w:eastAsia="zh-CN"/>
        </w:rPr>
        <w:t>采购</w:t>
      </w:r>
      <w:r>
        <w:rPr>
          <w:rFonts w:hint="eastAsia" w:ascii="宋体" w:hAnsi="宋体" w:eastAsia="宋体" w:cs="宋体"/>
          <w:color w:val="auto"/>
          <w:kern w:val="0"/>
          <w:sz w:val="24"/>
          <w:szCs w:val="24"/>
        </w:rPr>
        <w:t>项目名称：</w:t>
      </w:r>
      <w:r>
        <w:rPr>
          <w:rFonts w:hint="eastAsia" w:ascii="宋体" w:hAnsi="宋体" w:cs="宋体"/>
          <w:color w:val="auto"/>
          <w:kern w:val="0"/>
          <w:sz w:val="24"/>
          <w:szCs w:val="24"/>
          <w:lang w:val="en-US" w:eastAsia="zh-CN" w:bidi="ar"/>
        </w:rPr>
        <w:t>三门峡市湖滨区教育体育局三门峡市湖滨区中小学校消防审验历史遗留问题现场评定项目</w:t>
      </w:r>
    </w:p>
    <w:p w14:paraId="3CF8173B">
      <w:pPr>
        <w:pageBreakBefore w:val="0"/>
        <w:overflowPunct/>
        <w:bidi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rPr>
        <w:t>3、采购方式</w:t>
      </w:r>
      <w:r>
        <w:rPr>
          <w:rFonts w:hint="eastAsia" w:ascii="宋体" w:hAnsi="宋体" w:eastAsia="宋体" w:cs="宋体"/>
          <w:color w:val="auto"/>
          <w:kern w:val="0"/>
          <w:sz w:val="24"/>
          <w:szCs w:val="24"/>
          <w:lang w:val="en-US" w:eastAsia="zh-CN" w:bidi="ar"/>
        </w:rPr>
        <w:t>：竞争性磋商</w:t>
      </w:r>
    </w:p>
    <w:p w14:paraId="6ABA5729">
      <w:pPr>
        <w:pageBreakBefore w:val="0"/>
        <w:widowControl/>
        <w:shd w:val="clear" w:color="auto" w:fill="auto"/>
        <w:overflowPunct/>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4、预算金额：</w:t>
      </w:r>
      <w:r>
        <w:rPr>
          <w:rFonts w:hint="eastAsia" w:ascii="宋体" w:hAnsi="宋体" w:cs="宋体"/>
          <w:color w:val="auto"/>
          <w:kern w:val="0"/>
          <w:sz w:val="24"/>
          <w:szCs w:val="24"/>
          <w:highlight w:val="none"/>
          <w:lang w:val="en-US" w:eastAsia="zh-CN"/>
        </w:rPr>
        <w:t>440000</w:t>
      </w:r>
      <w:r>
        <w:rPr>
          <w:rFonts w:hint="eastAsia" w:ascii="宋体" w:hAnsi="宋体" w:eastAsia="宋体" w:cs="宋体"/>
          <w:color w:val="auto"/>
          <w:kern w:val="0"/>
          <w:sz w:val="24"/>
          <w:szCs w:val="24"/>
          <w:highlight w:val="none"/>
        </w:rPr>
        <w:t>元</w:t>
      </w:r>
    </w:p>
    <w:p w14:paraId="5BF3FE5A">
      <w:pPr>
        <w:pageBreakBefore w:val="0"/>
        <w:widowControl/>
        <w:shd w:val="clear" w:color="auto" w:fill="auto"/>
        <w:overflowPunct/>
        <w:bidi w:val="0"/>
        <w:spacing w:line="360" w:lineRule="auto"/>
        <w:ind w:firstLine="720" w:firstLineChars="3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最高限价：</w:t>
      </w:r>
      <w:r>
        <w:rPr>
          <w:rFonts w:hint="eastAsia" w:ascii="宋体" w:hAnsi="宋体" w:cs="宋体"/>
          <w:color w:val="auto"/>
          <w:kern w:val="0"/>
          <w:sz w:val="24"/>
          <w:szCs w:val="24"/>
          <w:highlight w:val="none"/>
          <w:lang w:val="en-US" w:eastAsia="zh-CN"/>
        </w:rPr>
        <w:t>440000</w:t>
      </w:r>
      <w:r>
        <w:rPr>
          <w:rFonts w:hint="eastAsia" w:ascii="宋体" w:hAnsi="宋体" w:eastAsia="宋体" w:cs="宋体"/>
          <w:color w:val="auto"/>
          <w:kern w:val="0"/>
          <w:sz w:val="24"/>
          <w:szCs w:val="24"/>
          <w:highlight w:val="none"/>
        </w:rPr>
        <w:t>元</w:t>
      </w:r>
    </w:p>
    <w:tbl>
      <w:tblPr>
        <w:tblStyle w:val="20"/>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2331"/>
        <w:gridCol w:w="2919"/>
        <w:gridCol w:w="1154"/>
        <w:gridCol w:w="1326"/>
      </w:tblGrid>
      <w:tr w14:paraId="2BFA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027" w:type="dxa"/>
            <w:noWrap/>
            <w:vAlign w:val="center"/>
          </w:tcPr>
          <w:p w14:paraId="19F14049">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序号</w:t>
            </w:r>
          </w:p>
        </w:tc>
        <w:tc>
          <w:tcPr>
            <w:tcW w:w="2331" w:type="dxa"/>
            <w:noWrap/>
            <w:vAlign w:val="center"/>
          </w:tcPr>
          <w:p w14:paraId="5535BC3A">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highlight w:val="none"/>
                <w:lang w:val="en-US" w:eastAsia="zh-CN"/>
              </w:rPr>
              <w:t>包号</w:t>
            </w:r>
          </w:p>
        </w:tc>
        <w:tc>
          <w:tcPr>
            <w:tcW w:w="2919" w:type="dxa"/>
            <w:noWrap/>
            <w:vAlign w:val="center"/>
          </w:tcPr>
          <w:p w14:paraId="032A71B1">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包名称</w:t>
            </w:r>
          </w:p>
        </w:tc>
        <w:tc>
          <w:tcPr>
            <w:tcW w:w="1154" w:type="dxa"/>
            <w:noWrap/>
            <w:vAlign w:val="center"/>
          </w:tcPr>
          <w:p w14:paraId="5A4F057A">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包预算（元）</w:t>
            </w:r>
          </w:p>
        </w:tc>
        <w:tc>
          <w:tcPr>
            <w:tcW w:w="1326" w:type="dxa"/>
            <w:noWrap/>
            <w:vAlign w:val="center"/>
          </w:tcPr>
          <w:p w14:paraId="4A85CE07">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包最高限价（元）</w:t>
            </w:r>
          </w:p>
        </w:tc>
      </w:tr>
      <w:tr w14:paraId="28F1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3" w:hRule="atLeast"/>
          <w:jc w:val="center"/>
        </w:trPr>
        <w:tc>
          <w:tcPr>
            <w:tcW w:w="1027" w:type="dxa"/>
            <w:noWrap/>
            <w:vAlign w:val="center"/>
          </w:tcPr>
          <w:p w14:paraId="401AA639">
            <w:pPr>
              <w:widowControl/>
              <w:shd w:val="clear" w:color="auto" w:fill="auto"/>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2331" w:type="dxa"/>
            <w:noWrap/>
            <w:vAlign w:val="center"/>
          </w:tcPr>
          <w:p w14:paraId="4CC9C0E6">
            <w:pPr>
              <w:widowControl/>
              <w:shd w:val="clear" w:color="auto" w:fill="auto"/>
              <w:spacing w:line="360" w:lineRule="auto"/>
              <w:jc w:val="center"/>
              <w:rPr>
                <w:rFonts w:hint="default" w:ascii="宋体" w:hAnsi="宋体" w:eastAsia="微软雅黑" w:cs="宋体"/>
                <w:color w:val="auto"/>
                <w:kern w:val="0"/>
                <w:sz w:val="24"/>
                <w:szCs w:val="24"/>
                <w:lang w:val="en-US" w:eastAsia="zh-CN"/>
              </w:rPr>
            </w:pPr>
            <w:r>
              <w:rPr>
                <w:rFonts w:hint="eastAsia" w:ascii="宋体" w:hAnsi="宋体" w:eastAsia="宋体" w:cs="宋体"/>
                <w:color w:val="auto"/>
                <w:kern w:val="0"/>
                <w:sz w:val="24"/>
                <w:szCs w:val="24"/>
                <w:highlight w:val="none"/>
                <w:lang w:val="en-US" w:eastAsia="zh-CN"/>
              </w:rPr>
              <w:t>SGZ[2025]577-ZC376</w:t>
            </w:r>
            <w:r>
              <w:rPr>
                <w:rFonts w:hint="eastAsia" w:ascii="宋体" w:hAnsi="宋体" w:cs="宋体"/>
                <w:color w:val="auto"/>
                <w:kern w:val="0"/>
                <w:sz w:val="24"/>
                <w:szCs w:val="24"/>
                <w:highlight w:val="none"/>
                <w:lang w:val="en-US" w:eastAsia="zh-CN"/>
              </w:rPr>
              <w:t>-1</w:t>
            </w:r>
          </w:p>
        </w:tc>
        <w:tc>
          <w:tcPr>
            <w:tcW w:w="2919" w:type="dxa"/>
            <w:noWrap/>
            <w:vAlign w:val="center"/>
          </w:tcPr>
          <w:p w14:paraId="1976F3C8">
            <w:pPr>
              <w:keepNext w:val="0"/>
              <w:keepLines w:val="0"/>
              <w:pageBreakBefore w:val="0"/>
              <w:widowControl/>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bidi="ar"/>
              </w:rPr>
              <w:t>三门峡市湖滨区教育体育局三门峡市湖滨区中小学校消防审验历史遗留问题现场评定项目</w:t>
            </w:r>
          </w:p>
        </w:tc>
        <w:tc>
          <w:tcPr>
            <w:tcW w:w="1154" w:type="dxa"/>
            <w:noWrap/>
            <w:vAlign w:val="center"/>
          </w:tcPr>
          <w:p w14:paraId="4E6D7D87">
            <w:pPr>
              <w:spacing w:line="360" w:lineRule="auto"/>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highlight w:val="none"/>
                <w:lang w:val="en-US" w:eastAsia="zh-CN"/>
              </w:rPr>
              <w:t>440000</w:t>
            </w:r>
          </w:p>
        </w:tc>
        <w:tc>
          <w:tcPr>
            <w:tcW w:w="1326" w:type="dxa"/>
            <w:noWrap/>
            <w:vAlign w:val="center"/>
          </w:tcPr>
          <w:p w14:paraId="39943E36">
            <w:pPr>
              <w:spacing w:line="360" w:lineRule="auto"/>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highlight w:val="none"/>
                <w:lang w:val="en-US" w:eastAsia="zh-CN"/>
              </w:rPr>
              <w:t>440000</w:t>
            </w:r>
          </w:p>
        </w:tc>
      </w:tr>
    </w:tbl>
    <w:p w14:paraId="11E499D5">
      <w:pPr>
        <w:pageBreakBefore w:val="0"/>
        <w:overflowPunct/>
        <w:bidi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5、采购需求（包括但不限于标的的名称、数量、简要技术需求或服务要求等）：</w:t>
      </w:r>
    </w:p>
    <w:p w14:paraId="40ABDEE2">
      <w:pPr>
        <w:pStyle w:val="27"/>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rPr>
        <w:t>5.1、</w:t>
      </w:r>
      <w:r>
        <w:rPr>
          <w:rFonts w:hint="eastAsia" w:ascii="宋体" w:hAnsi="宋体" w:eastAsia="宋体" w:cs="宋体"/>
          <w:kern w:val="0"/>
          <w:sz w:val="24"/>
          <w:szCs w:val="24"/>
          <w:highlight w:val="none"/>
          <w:lang w:val="en-US" w:eastAsia="zh-CN"/>
        </w:rPr>
        <w:t>采购内容</w:t>
      </w:r>
      <w:r>
        <w:rPr>
          <w:rFonts w:hint="eastAsia" w:ascii="宋体" w:hAnsi="宋体" w:eastAsia="宋体" w:cs="宋体"/>
          <w:kern w:val="0"/>
          <w:sz w:val="24"/>
          <w:szCs w:val="24"/>
          <w:highlight w:val="none"/>
        </w:rPr>
        <w:t>：按照国家相关规范对</w:t>
      </w:r>
      <w:r>
        <w:rPr>
          <w:rFonts w:hint="eastAsia" w:ascii="宋体" w:hAnsi="宋体" w:eastAsia="宋体" w:cs="宋体"/>
          <w:color w:val="444444"/>
          <w:kern w:val="0"/>
          <w:sz w:val="24"/>
          <w:szCs w:val="24"/>
          <w:lang w:val="en-US" w:eastAsia="zh-CN" w:bidi="ar"/>
        </w:rPr>
        <w:t>对三门峡市湖滨区20所学校校舍</w:t>
      </w:r>
      <w:r>
        <w:rPr>
          <w:rFonts w:hint="eastAsia" w:ascii="宋体" w:hAnsi="宋体" w:eastAsia="宋体" w:cs="宋体"/>
          <w:kern w:val="0"/>
          <w:sz w:val="24"/>
          <w:szCs w:val="24"/>
          <w:highlight w:val="none"/>
        </w:rPr>
        <w:t>的建筑进行消防验收现场评定服务，按照相关技术标准规范要求进行消防现场评定工作，并出具评定报告</w:t>
      </w:r>
      <w:r>
        <w:rPr>
          <w:rFonts w:hint="eastAsia" w:ascii="宋体" w:hAnsi="宋体" w:cs="宋体"/>
          <w:kern w:val="0"/>
          <w:sz w:val="24"/>
          <w:szCs w:val="24"/>
          <w:highlight w:val="none"/>
          <w:lang w:eastAsia="zh-CN"/>
        </w:rPr>
        <w:t>。</w:t>
      </w:r>
    </w:p>
    <w:p w14:paraId="2D194A60">
      <w:pPr>
        <w:pageBreakBefore w:val="0"/>
        <w:overflowPunct/>
        <w:bidi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5.2资金来源：</w:t>
      </w:r>
      <w:r>
        <w:rPr>
          <w:rFonts w:hint="eastAsia" w:ascii="宋体" w:hAnsi="宋体" w:eastAsia="宋体" w:cs="宋体"/>
          <w:kern w:val="0"/>
          <w:sz w:val="24"/>
          <w:szCs w:val="24"/>
          <w:highlight w:val="none"/>
          <w:lang w:val="en-US" w:eastAsia="zh-CN"/>
        </w:rPr>
        <w:t>财政资金</w:t>
      </w:r>
      <w:r>
        <w:rPr>
          <w:rFonts w:hint="eastAsia" w:ascii="宋体" w:hAnsi="宋体" w:eastAsia="宋体" w:cs="宋体"/>
          <w:kern w:val="0"/>
          <w:sz w:val="24"/>
          <w:szCs w:val="24"/>
          <w:highlight w:val="none"/>
        </w:rPr>
        <w:t>，已落实</w:t>
      </w:r>
    </w:p>
    <w:p w14:paraId="5803D406">
      <w:pPr>
        <w:pageBreakBefore w:val="0"/>
        <w:overflowPunct/>
        <w:bidi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5.3项目地点：</w:t>
      </w:r>
      <w:r>
        <w:rPr>
          <w:rFonts w:hint="eastAsia" w:ascii="宋体" w:hAnsi="宋体" w:cs="宋体"/>
          <w:spacing w:val="0"/>
          <w:w w:val="100"/>
          <w:kern w:val="0"/>
          <w:sz w:val="24"/>
          <w:szCs w:val="24"/>
          <w:highlight w:val="none"/>
          <w:u w:val="none"/>
          <w:lang w:val="en-US" w:eastAsia="zh-CN"/>
        </w:rPr>
        <w:t>三门峡市湖滨区</w:t>
      </w:r>
    </w:p>
    <w:p w14:paraId="57FFB6D8">
      <w:pPr>
        <w:pageBreakBefore w:val="0"/>
        <w:overflowPunct/>
        <w:bidi w:val="0"/>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5.4</w:t>
      </w:r>
      <w:r>
        <w:rPr>
          <w:rFonts w:hint="eastAsia" w:ascii="宋体" w:hAnsi="宋体" w:eastAsia="宋体" w:cs="宋体"/>
          <w:color w:val="auto"/>
          <w:kern w:val="0"/>
          <w:sz w:val="24"/>
          <w:szCs w:val="24"/>
          <w:highlight w:val="none"/>
        </w:rPr>
        <w:t>服务</w:t>
      </w:r>
      <w:r>
        <w:rPr>
          <w:rFonts w:hint="eastAsia" w:ascii="宋体" w:hAnsi="宋体" w:cs="宋体"/>
          <w:color w:val="auto"/>
          <w:kern w:val="0"/>
          <w:sz w:val="24"/>
          <w:szCs w:val="24"/>
          <w:highlight w:val="none"/>
          <w:lang w:val="en-US" w:eastAsia="zh-CN"/>
        </w:rPr>
        <w:t>周期</w:t>
      </w:r>
      <w:r>
        <w:rPr>
          <w:rFonts w:hint="eastAsia" w:ascii="宋体" w:hAnsi="宋体" w:eastAsia="宋体" w:cs="宋体"/>
          <w:color w:val="auto"/>
          <w:kern w:val="0"/>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合同签订后2个月内完成并提交报告。</w:t>
      </w:r>
    </w:p>
    <w:p w14:paraId="4D96B0EF">
      <w:pPr>
        <w:pageBreakBefore w:val="0"/>
        <w:overflowPunct/>
        <w:bidi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5.5质量要求：</w:t>
      </w:r>
      <w:r>
        <w:rPr>
          <w:rFonts w:hint="eastAsia" w:ascii="宋体" w:hAnsi="宋体" w:eastAsia="宋体" w:cs="宋体"/>
          <w:sz w:val="24"/>
          <w:szCs w:val="24"/>
          <w:lang w:val="en-US" w:eastAsia="zh-CN"/>
        </w:rPr>
        <w:t>合格，符合国家相关法律、法规及规范要求，满足采购人要求</w:t>
      </w:r>
    </w:p>
    <w:p w14:paraId="0B443DDE">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lang w:val="en-US"/>
        </w:rPr>
      </w:pPr>
      <w:r>
        <w:rPr>
          <w:rFonts w:hint="eastAsia" w:ascii="宋体" w:hAnsi="宋体" w:eastAsia="宋体" w:cs="宋体"/>
          <w:kern w:val="0"/>
          <w:sz w:val="24"/>
          <w:szCs w:val="24"/>
          <w:highlight w:val="none"/>
        </w:rPr>
        <w:t>6、合同履约期限：</w:t>
      </w:r>
      <w:r>
        <w:rPr>
          <w:rFonts w:hint="eastAsia" w:ascii="宋体" w:hAnsi="宋体" w:eastAsia="宋体" w:cs="宋体"/>
          <w:kern w:val="0"/>
          <w:sz w:val="24"/>
          <w:szCs w:val="24"/>
          <w:highlight w:val="none"/>
          <w:lang w:val="en-US" w:eastAsia="zh-CN"/>
        </w:rPr>
        <w:t>按合同约定执行。</w:t>
      </w:r>
    </w:p>
    <w:p w14:paraId="16442FD1">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7、本项目是否接受联合体投标：</w:t>
      </w:r>
      <w:r>
        <w:rPr>
          <w:rFonts w:hint="eastAsia" w:ascii="宋体" w:hAnsi="宋体" w:cs="宋体"/>
          <w:color w:val="auto"/>
          <w:kern w:val="0"/>
          <w:sz w:val="24"/>
          <w:szCs w:val="24"/>
          <w:highlight w:val="none"/>
          <w:lang w:val="en-US" w:eastAsia="zh-CN"/>
        </w:rPr>
        <w:t>否</w:t>
      </w:r>
    </w:p>
    <w:p w14:paraId="2BF6990A">
      <w:pPr>
        <w:pageBreakBefore w:val="0"/>
        <w:overflowPunct/>
        <w:bidi w:val="0"/>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8、是否接受进口产品：否</w:t>
      </w:r>
    </w:p>
    <w:p w14:paraId="2046825E">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9、是否专门面向中小企业：</w:t>
      </w:r>
      <w:r>
        <w:rPr>
          <w:rFonts w:hint="eastAsia" w:ascii="宋体" w:hAnsi="宋体" w:cs="宋体"/>
          <w:color w:val="auto"/>
          <w:kern w:val="0"/>
          <w:sz w:val="24"/>
          <w:szCs w:val="24"/>
          <w:highlight w:val="none"/>
          <w:lang w:val="en-US" w:eastAsia="zh-CN"/>
        </w:rPr>
        <w:t>否</w:t>
      </w:r>
    </w:p>
    <w:p w14:paraId="65E7B628">
      <w:pPr>
        <w:pageBreakBefore w:val="0"/>
        <w:overflowPunct/>
        <w:bidi w:val="0"/>
        <w:spacing w:line="360" w:lineRule="auto"/>
        <w:ind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二、申请人资格要求：</w:t>
      </w:r>
    </w:p>
    <w:p w14:paraId="101E011C">
      <w:pPr>
        <w:pageBreakBefore w:val="0"/>
        <w:overflowPunct/>
        <w:bidi w:val="0"/>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1、满足《中华人民共和国政府采购法》第二十二条规定； </w:t>
      </w:r>
    </w:p>
    <w:p w14:paraId="2B4AC159">
      <w:pPr>
        <w:pageBreakBefore w:val="0"/>
        <w:overflowPunct/>
        <w:bidi w:val="0"/>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2、落实政府采购政策需满足的资格要求:项目执行支持中小微企业(含监狱企业、残疾人福利性单位)发展政策，强制优化采购节能产品、环境标志产品等政府采购政策。</w:t>
      </w:r>
    </w:p>
    <w:p w14:paraId="6C7B2ADC">
      <w:pPr>
        <w:pageBreakBefore w:val="0"/>
        <w:overflowPunct/>
        <w:bidi w:val="0"/>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3、本项目的特定资格要求</w:t>
      </w:r>
    </w:p>
    <w:p w14:paraId="2E9A1013">
      <w:pPr>
        <w:pageBreakBefore w:val="0"/>
        <w:overflowPunct/>
        <w:bidi w:val="0"/>
        <w:spacing w:line="360" w:lineRule="auto"/>
        <w:ind w:firstLine="480" w:firstLineChars="20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1</w:t>
      </w:r>
      <w:r>
        <w:rPr>
          <w:rFonts w:hint="eastAsia" w:ascii="宋体" w:hAnsi="宋体" w:eastAsia="宋体" w:cs="宋体"/>
          <w:color w:val="auto"/>
          <w:kern w:val="0"/>
          <w:sz w:val="24"/>
          <w:szCs w:val="24"/>
        </w:rPr>
        <w:t xml:space="preserve"> 供应商须在“社会消防技术服务信息系统”登记备案,提供消防技术服务机构査询截图</w:t>
      </w:r>
      <w:r>
        <w:rPr>
          <w:rFonts w:hint="eastAsia" w:ascii="宋体" w:hAnsi="宋体" w:eastAsia="宋体" w:cs="宋体"/>
          <w:color w:val="auto"/>
          <w:kern w:val="0"/>
          <w:sz w:val="24"/>
          <w:szCs w:val="24"/>
          <w:lang w:val="en-US" w:eastAsia="zh-CN"/>
        </w:rPr>
        <w:t>；</w:t>
      </w:r>
    </w:p>
    <w:p w14:paraId="701C854A">
      <w:pPr>
        <w:pageBreakBefore w:val="0"/>
        <w:overflowPunct/>
        <w:bidi w:val="0"/>
        <w:spacing w:line="360" w:lineRule="auto"/>
        <w:ind w:firstLine="480" w:firstLineChars="20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 xml:space="preserve"> 拟派项目负责人应具有国家一级注册消防工程师执业资格证书，须提供社会养老保险缴纳记录证明，若存在退休后返聘人员，须提供退休证明；</w:t>
      </w:r>
    </w:p>
    <w:p w14:paraId="08DFDB57">
      <w:pPr>
        <w:pageBreakBefore w:val="0"/>
        <w:overflowPunct/>
        <w:bidi w:val="0"/>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供应商出具无行贿记录</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在中国裁判文书网自行查询或自行承诺（查询</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承诺对象：企业、法定代表人）及企业自行承诺无商业贿赂和不正当竞争行为；</w:t>
      </w:r>
    </w:p>
    <w:p w14:paraId="5527CC76">
      <w:pPr>
        <w:pageBreakBefore w:val="0"/>
        <w:overflowPunct/>
        <w:bidi w:val="0"/>
        <w:spacing w:line="360" w:lineRule="auto"/>
        <w:ind w:firstLine="480" w:firstLineChars="20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 xml:space="preserve"> 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r>
        <w:rPr>
          <w:rFonts w:hint="eastAsia" w:ascii="宋体" w:hAnsi="宋体" w:eastAsia="宋体" w:cs="宋体"/>
          <w:color w:val="auto"/>
          <w:kern w:val="0"/>
          <w:sz w:val="24"/>
          <w:szCs w:val="24"/>
          <w:lang w:eastAsia="zh-CN"/>
        </w:rPr>
        <w:t>；</w:t>
      </w:r>
    </w:p>
    <w:p w14:paraId="279CA3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lang w:val="en-US" w:eastAsia="zh-CN" w:bidi="ar"/>
        </w:rPr>
        <w:t>本项目不接受联合体投标（提供承诺函）。</w:t>
      </w:r>
    </w:p>
    <w:p w14:paraId="560B7B5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三、获取</w:t>
      </w:r>
      <w:r>
        <w:rPr>
          <w:rFonts w:hint="eastAsia" w:ascii="宋体" w:hAnsi="宋体" w:cs="宋体"/>
          <w:b/>
          <w:bCs/>
          <w:color w:val="auto"/>
          <w:kern w:val="0"/>
          <w:sz w:val="24"/>
          <w:szCs w:val="24"/>
          <w:highlight w:val="none"/>
          <w:lang w:eastAsia="zh-CN"/>
        </w:rPr>
        <w:t>采购</w:t>
      </w:r>
      <w:r>
        <w:rPr>
          <w:rFonts w:hint="eastAsia" w:ascii="宋体" w:hAnsi="宋体" w:eastAsia="宋体" w:cs="宋体"/>
          <w:b/>
          <w:bCs/>
          <w:color w:val="auto"/>
          <w:kern w:val="0"/>
          <w:sz w:val="24"/>
          <w:szCs w:val="24"/>
          <w:highlight w:val="none"/>
        </w:rPr>
        <w:t>文件：</w:t>
      </w:r>
    </w:p>
    <w:p w14:paraId="07144D33">
      <w:pPr>
        <w:pageBreakBefore w:val="0"/>
        <w:overflowPunct/>
        <w:bidi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时间</w:t>
      </w: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日至 202</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21</w:t>
      </w:r>
      <w:r>
        <w:rPr>
          <w:rFonts w:hint="eastAsia" w:ascii="宋体" w:hAnsi="宋体" w:eastAsia="宋体" w:cs="宋体"/>
          <w:color w:val="auto"/>
          <w:kern w:val="0"/>
          <w:sz w:val="24"/>
          <w:szCs w:val="24"/>
          <w:highlight w:val="none"/>
        </w:rPr>
        <w:t>日，每天上午00:00至12:00，下午12:00至23:59（北京时间，法定节假日除外。）</w:t>
      </w:r>
    </w:p>
    <w:p w14:paraId="04C6C5C2">
      <w:pPr>
        <w:pageBreakBefore w:val="0"/>
        <w:overflowPunct/>
        <w:bidi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2、地点：三门峡市公共资源交易中心网（网址：http://gzjy.smx.gov.cn/）</w:t>
      </w:r>
    </w:p>
    <w:p w14:paraId="09110120">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方式：本项目没有报名环节，投标供应商凭CA数字证书通过三门峡市公共资源交易中心网（网址：http://gzjy.smx.gov.cn/），点击交易平台选择“市场主体登录”，登陆系统后，点击采购业务-业务管理-竞争性磋商文件领取菜单-点击领取按钮-领取.smxzf格式的电子竞争性磋商文件。办理CA证书：</w:t>
      </w:r>
    </w:p>
    <w:p w14:paraId="633323AA">
      <w:pPr>
        <w:pageBreakBefore w:val="0"/>
        <w:overflowPunct/>
        <w:bidi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fldChar w:fldCharType="begin"/>
      </w:r>
      <w:r>
        <w:rPr>
          <w:rFonts w:hint="eastAsia" w:ascii="宋体" w:hAnsi="宋体" w:eastAsia="宋体" w:cs="宋体"/>
          <w:color w:val="auto"/>
          <w:kern w:val="0"/>
          <w:sz w:val="24"/>
          <w:szCs w:val="24"/>
          <w:highlight w:val="none"/>
        </w:rPr>
        <w:instrText xml:space="preserve"> HYPERLINK "http://gzjy.smx.gov.cn/bzzx/008001/20231102/4defc9b5-408e-47f2-9e9f-1f376a06ee1f.html" </w:instrText>
      </w:r>
      <w:r>
        <w:rPr>
          <w:rFonts w:hint="eastAsia" w:ascii="宋体" w:hAnsi="宋体" w:eastAsia="宋体" w:cs="宋体"/>
          <w:color w:val="auto"/>
          <w:kern w:val="0"/>
          <w:sz w:val="24"/>
          <w:szCs w:val="24"/>
          <w:highlight w:val="none"/>
        </w:rPr>
        <w:fldChar w:fldCharType="separate"/>
      </w:r>
      <w:r>
        <w:rPr>
          <w:rStyle w:val="23"/>
          <w:rFonts w:hint="eastAsia" w:ascii="宋体" w:hAnsi="宋体" w:eastAsia="宋体" w:cs="宋体"/>
          <w:color w:val="auto"/>
          <w:kern w:val="0"/>
          <w:sz w:val="24"/>
          <w:szCs w:val="24"/>
          <w:highlight w:val="none"/>
        </w:rPr>
        <w:t>http://gzjy.smx.gov.cn/bzzx/008001/20231102/4defc9b5-408e-47f2-9e9f-1f376a06ee1f.html</w:t>
      </w:r>
      <w:r>
        <w:rPr>
          <w:rFonts w:hint="eastAsia" w:ascii="宋体" w:hAnsi="宋体" w:eastAsia="宋体" w:cs="宋体"/>
          <w:color w:val="auto"/>
          <w:kern w:val="0"/>
          <w:sz w:val="24"/>
          <w:szCs w:val="24"/>
          <w:highlight w:val="none"/>
        </w:rPr>
        <w:fldChar w:fldCharType="end"/>
      </w:r>
    </w:p>
    <w:p w14:paraId="14094CEA">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4、售价：0元</w:t>
      </w:r>
    </w:p>
    <w:p w14:paraId="5CFDEFD7">
      <w:pPr>
        <w:pageBreakBefore w:val="0"/>
        <w:overflowPunct/>
        <w:bidi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四</w:t>
      </w:r>
      <w:r>
        <w:rPr>
          <w:rFonts w:hint="eastAsia" w:ascii="宋体" w:hAnsi="宋体" w:eastAsia="宋体" w:cs="宋体"/>
          <w:b/>
          <w:bCs/>
          <w:color w:val="auto"/>
          <w:kern w:val="0"/>
          <w:sz w:val="24"/>
          <w:szCs w:val="24"/>
          <w:highlight w:val="none"/>
        </w:rPr>
        <w:t>、投标截止时间及地点：</w:t>
      </w:r>
    </w:p>
    <w:p w14:paraId="48F4E7CE">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时间</w:t>
      </w: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shd w:val="clear" w:color="auto" w:fill="auto"/>
          <w:lang w:val="en-US" w:eastAsia="zh-CN"/>
        </w:rPr>
        <w:t>1</w:t>
      </w:r>
      <w:r>
        <w:rPr>
          <w:rFonts w:hint="eastAsia" w:ascii="宋体" w:hAnsi="宋体" w:cs="宋体"/>
          <w:color w:val="auto"/>
          <w:kern w:val="0"/>
          <w:sz w:val="24"/>
          <w:szCs w:val="24"/>
          <w:highlight w:val="none"/>
          <w:shd w:val="clear" w:color="auto" w:fill="auto"/>
          <w:lang w:val="en-US" w:eastAsia="zh-CN"/>
        </w:rPr>
        <w:t>2</w:t>
      </w:r>
      <w:r>
        <w:rPr>
          <w:rFonts w:hint="eastAsia" w:ascii="宋体" w:hAnsi="宋体" w:eastAsia="宋体" w:cs="宋体"/>
          <w:color w:val="auto"/>
          <w:kern w:val="0"/>
          <w:sz w:val="24"/>
          <w:szCs w:val="24"/>
          <w:highlight w:val="none"/>
          <w:shd w:val="clear" w:color="auto" w:fill="auto"/>
        </w:rPr>
        <w:t>月</w:t>
      </w:r>
      <w:r>
        <w:rPr>
          <w:rFonts w:hint="eastAsia" w:ascii="宋体" w:hAnsi="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lang w:val="en-US" w:eastAsia="zh-CN"/>
        </w:rPr>
        <w:t>日0</w:t>
      </w:r>
      <w:r>
        <w:rPr>
          <w:rFonts w:hint="eastAsia" w:ascii="宋体" w:hAnsi="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lang w:val="en-US" w:eastAsia="zh-CN"/>
        </w:rPr>
        <w:t>时</w:t>
      </w:r>
      <w:r>
        <w:rPr>
          <w:rFonts w:hint="eastAsia" w:ascii="宋体" w:hAnsi="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lang w:val="en-US" w:eastAsia="zh-CN"/>
        </w:rPr>
        <w:t>分</w:t>
      </w:r>
    </w:p>
    <w:p w14:paraId="1AA9BEF7">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2、地点：</w:t>
      </w:r>
      <w:r>
        <w:rPr>
          <w:rFonts w:hint="eastAsia" w:ascii="宋体" w:hAnsi="宋体" w:eastAsia="宋体" w:cs="宋体"/>
          <w:color w:val="auto"/>
          <w:kern w:val="0"/>
          <w:sz w:val="24"/>
          <w:szCs w:val="24"/>
          <w:highlight w:val="none"/>
          <w:lang w:eastAsia="zh-CN"/>
        </w:rPr>
        <w:t>在三门峡市公共资源交易中心网中上传加密响应文件</w:t>
      </w:r>
    </w:p>
    <w:p w14:paraId="6EF44F19">
      <w:pPr>
        <w:pageBreakBefore w:val="0"/>
        <w:overflowPunct/>
        <w:bidi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、开标时间及地点：</w:t>
      </w:r>
    </w:p>
    <w:p w14:paraId="16F5FA42">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时间</w:t>
      </w: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shd w:val="clear" w:color="auto" w:fill="auto"/>
          <w:lang w:val="en-US" w:eastAsia="zh-CN"/>
        </w:rPr>
        <w:t>1</w:t>
      </w:r>
      <w:r>
        <w:rPr>
          <w:rFonts w:hint="eastAsia" w:ascii="宋体" w:hAnsi="宋体" w:cs="宋体"/>
          <w:color w:val="auto"/>
          <w:kern w:val="0"/>
          <w:sz w:val="24"/>
          <w:szCs w:val="24"/>
          <w:highlight w:val="none"/>
          <w:shd w:val="clear" w:color="auto" w:fill="auto"/>
          <w:lang w:val="en-US" w:eastAsia="zh-CN"/>
        </w:rPr>
        <w:t>2</w:t>
      </w:r>
      <w:r>
        <w:rPr>
          <w:rFonts w:hint="eastAsia" w:ascii="宋体" w:hAnsi="宋体" w:eastAsia="宋体" w:cs="宋体"/>
          <w:color w:val="auto"/>
          <w:kern w:val="0"/>
          <w:sz w:val="24"/>
          <w:szCs w:val="24"/>
          <w:highlight w:val="none"/>
          <w:shd w:val="clear" w:color="auto" w:fill="auto"/>
        </w:rPr>
        <w:t>月</w:t>
      </w:r>
      <w:r>
        <w:rPr>
          <w:rFonts w:hint="eastAsia" w:ascii="宋体" w:hAnsi="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lang w:val="en-US" w:eastAsia="zh-CN"/>
        </w:rPr>
        <w:t>日0</w:t>
      </w:r>
      <w:r>
        <w:rPr>
          <w:rFonts w:hint="eastAsia" w:ascii="宋体" w:hAnsi="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lang w:val="en-US" w:eastAsia="zh-CN"/>
        </w:rPr>
        <w:t>时</w:t>
      </w:r>
      <w:r>
        <w:rPr>
          <w:rFonts w:hint="eastAsia" w:ascii="宋体" w:hAnsi="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lang w:val="en-US" w:eastAsia="zh-CN"/>
        </w:rPr>
        <w:t>分</w:t>
      </w:r>
    </w:p>
    <w:p w14:paraId="19AE35E5">
      <w:pPr>
        <w:pageBreakBefore w:val="0"/>
        <w:overflowPunct/>
        <w:bidi w:val="0"/>
        <w:spacing w:line="360" w:lineRule="auto"/>
        <w:ind w:firstLine="480" w:firstLineChars="200"/>
        <w:jc w:val="left"/>
        <w:rPr>
          <w:rFonts w:hint="eastAsia" w:ascii="宋体" w:hAnsi="宋体" w:eastAsia="宋体" w:cs="宋体"/>
          <w:color w:val="auto"/>
          <w:kern w:val="0"/>
          <w:sz w:val="24"/>
          <w:szCs w:val="24"/>
          <w:lang w:val="en-US"/>
        </w:rPr>
      </w:pPr>
      <w:r>
        <w:rPr>
          <w:rFonts w:hint="eastAsia" w:ascii="宋体" w:hAnsi="宋体" w:eastAsia="宋体" w:cs="宋体"/>
          <w:color w:val="auto"/>
          <w:kern w:val="0"/>
          <w:sz w:val="24"/>
          <w:szCs w:val="24"/>
        </w:rPr>
        <w:t>2、地点：</w:t>
      </w:r>
      <w:r>
        <w:rPr>
          <w:rFonts w:hint="eastAsia" w:ascii="宋体" w:hAnsi="宋体" w:eastAsia="宋体" w:cs="宋体"/>
          <w:color w:val="auto"/>
          <w:kern w:val="0"/>
          <w:sz w:val="24"/>
          <w:szCs w:val="24"/>
          <w:lang w:eastAsia="zh-CN"/>
        </w:rPr>
        <w:t>三门峡市公共资源交易中心</w:t>
      </w:r>
      <w:r>
        <w:rPr>
          <w:rFonts w:hint="eastAsia" w:ascii="宋体" w:hAnsi="宋体" w:cs="宋体"/>
          <w:color w:val="auto"/>
          <w:kern w:val="0"/>
          <w:sz w:val="24"/>
          <w:szCs w:val="24"/>
          <w:lang w:val="en-US" w:eastAsia="zh-CN"/>
        </w:rPr>
        <w:t>五楼</w:t>
      </w:r>
      <w:r>
        <w:rPr>
          <w:rFonts w:hint="eastAsia" w:ascii="宋体" w:hAnsi="宋体" w:eastAsia="宋体" w:cs="宋体"/>
          <w:color w:val="auto"/>
          <w:kern w:val="0"/>
          <w:sz w:val="24"/>
          <w:szCs w:val="24"/>
          <w:lang w:val="en-US" w:eastAsia="zh-CN"/>
        </w:rPr>
        <w:t>开标室</w:t>
      </w:r>
    </w:p>
    <w:p w14:paraId="28D2FEAF">
      <w:pPr>
        <w:pageBreakBefore w:val="0"/>
        <w:overflowPunct/>
        <w:bidi w:val="0"/>
        <w:spacing w:line="360" w:lineRule="auto"/>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、发布公告的媒介及公告期限：</w:t>
      </w:r>
    </w:p>
    <w:p w14:paraId="79223351">
      <w:pPr>
        <w:pageBreakBefore w:val="0"/>
        <w:overflowPunct/>
        <w:bidi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本次</w:t>
      </w:r>
      <w:r>
        <w:rPr>
          <w:rFonts w:hint="eastAsia" w:ascii="宋体" w:hAnsi="宋体" w:cs="宋体"/>
          <w:kern w:val="0"/>
          <w:sz w:val="24"/>
          <w:szCs w:val="24"/>
          <w:lang w:eastAsia="zh-CN"/>
        </w:rPr>
        <w:t>采购</w:t>
      </w:r>
      <w:r>
        <w:rPr>
          <w:rFonts w:hint="eastAsia" w:ascii="宋体" w:hAnsi="宋体" w:eastAsia="宋体" w:cs="宋体"/>
          <w:kern w:val="0"/>
          <w:sz w:val="24"/>
          <w:szCs w:val="24"/>
        </w:rPr>
        <w:t>公告同时在</w:t>
      </w:r>
      <w:r>
        <w:rPr>
          <w:rFonts w:hint="eastAsia" w:ascii="宋体" w:hAnsi="宋体" w:eastAsia="宋体" w:cs="宋体"/>
          <w:kern w:val="0"/>
          <w:sz w:val="24"/>
          <w:szCs w:val="24"/>
          <w:lang w:eastAsia="zh-CN"/>
        </w:rPr>
        <w:t>《中国招标投标公共服务平台》</w:t>
      </w:r>
      <w:r>
        <w:rPr>
          <w:rFonts w:hint="eastAsia" w:ascii="宋体" w:hAnsi="宋体" w:eastAsia="宋体" w:cs="宋体"/>
          <w:kern w:val="0"/>
          <w:sz w:val="24"/>
          <w:szCs w:val="24"/>
        </w:rPr>
        <w:t>、</w:t>
      </w:r>
      <w:r>
        <w:rPr>
          <w:rFonts w:hint="eastAsia" w:ascii="宋体" w:hAnsi="宋体" w:eastAsia="宋体" w:cs="宋体"/>
          <w:kern w:val="0"/>
          <w:sz w:val="24"/>
          <w:szCs w:val="24"/>
          <w:shd w:val="clear" w:color="auto" w:fill="auto"/>
        </w:rPr>
        <w:t>《</w:t>
      </w:r>
      <w:r>
        <w:rPr>
          <w:rFonts w:hint="eastAsia" w:ascii="宋体" w:hAnsi="宋体" w:eastAsia="宋体" w:cs="宋体"/>
          <w:kern w:val="0"/>
          <w:sz w:val="24"/>
          <w:szCs w:val="24"/>
          <w:shd w:val="clear" w:color="auto" w:fill="auto"/>
          <w:lang w:val="en-US" w:eastAsia="zh-CN"/>
        </w:rPr>
        <w:t>河南省政府采购网</w:t>
      </w:r>
      <w:r>
        <w:rPr>
          <w:rFonts w:hint="eastAsia" w:ascii="宋体" w:hAnsi="宋体" w:eastAsia="宋体" w:cs="宋体"/>
          <w:kern w:val="0"/>
          <w:sz w:val="24"/>
          <w:szCs w:val="24"/>
          <w:shd w:val="clear" w:color="auto" w:fill="auto"/>
        </w:rPr>
        <w:t>》</w:t>
      </w:r>
      <w:r>
        <w:rPr>
          <w:rFonts w:hint="eastAsia" w:ascii="宋体" w:hAnsi="宋体" w:eastAsia="宋体" w:cs="宋体"/>
          <w:kern w:val="0"/>
          <w:sz w:val="24"/>
          <w:szCs w:val="24"/>
        </w:rPr>
        <w:t>和《三门峡市公共资源交易中心网》公开发布。</w:t>
      </w:r>
    </w:p>
    <w:p w14:paraId="411D303F">
      <w:pPr>
        <w:pageBreakBefore w:val="0"/>
        <w:overflowPunct/>
        <w:bidi w:val="0"/>
        <w:spacing w:line="360" w:lineRule="auto"/>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七</w:t>
      </w:r>
      <w:r>
        <w:rPr>
          <w:rFonts w:hint="eastAsia" w:ascii="宋体" w:hAnsi="宋体" w:eastAsia="宋体" w:cs="宋体"/>
          <w:b/>
          <w:bCs/>
          <w:kern w:val="0"/>
          <w:sz w:val="24"/>
          <w:szCs w:val="24"/>
        </w:rPr>
        <w:t>、其他补充事宜</w:t>
      </w:r>
    </w:p>
    <w:p w14:paraId="2872E76A">
      <w:pPr>
        <w:pageBreakBefore w:val="0"/>
        <w:overflowPunct/>
        <w:bidi w:val="0"/>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1.本项目为不见面开标项目，开标当日，</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kern w:val="0"/>
          <w:sz w:val="24"/>
          <w:szCs w:val="24"/>
          <w:lang w:val="en-US" w:eastAsia="zh-CN"/>
        </w:rPr>
        <w:t>无需到开标现场参加开标会议，</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kern w:val="0"/>
          <w:sz w:val="24"/>
          <w:szCs w:val="24"/>
          <w:lang w:val="en-US" w:eastAsia="zh-CN"/>
        </w:rPr>
        <w:t>应当在投标截止时间前，登陆不见面开标大厅选择登陆三门峡市公共资源电子招投标系统进行登陆（网址为http://120.194.249.36:10094/BidOpening/bidopeninghallaction/hall/login）,在线准时参加开标活动并进行磋商响应文件解密等。每位</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kern w:val="0"/>
          <w:sz w:val="24"/>
          <w:szCs w:val="24"/>
          <w:lang w:val="en-US" w:eastAsia="zh-CN"/>
        </w:rPr>
        <w:t>的解密时间为开标时间起30分钟内完成。因</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kern w:val="0"/>
          <w:sz w:val="24"/>
          <w:szCs w:val="24"/>
          <w:lang w:val="en-US" w:eastAsia="zh-CN"/>
        </w:rPr>
        <w:t>原因未能解密、解密失败或解密超时的将被拒绝。</w:t>
      </w:r>
    </w:p>
    <w:p w14:paraId="5FDE0FCB">
      <w:pPr>
        <w:pageBreakBefore w:val="0"/>
        <w:overflowPunct/>
        <w:bidi w:val="0"/>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2.本项目为电子化、无纸化交易项目，开标时不再接受任何纸质资料，为保证您能投标成功，请需仔细阅读竞争性磋商文件和三门峡市公共资源交易中心官网业务办理指南。</w:t>
      </w:r>
    </w:p>
    <w:p w14:paraId="2988C107">
      <w:pPr>
        <w:pageBreakBefore w:val="0"/>
        <w:overflowPunct/>
        <w:bidi w:val="0"/>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3.根据《河南省财政厅关于优化政府采购营商环境有关问题的通知》（豫财购【2019】4号）第6条的规定，磋商保证金不再收取。</w:t>
      </w:r>
    </w:p>
    <w:p w14:paraId="400A97AE">
      <w:pPr>
        <w:pageBreakBefore w:val="0"/>
        <w:overflowPunct/>
        <w:bidi w:val="0"/>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4.本项目实行资格后审，审查内容以竞争性磋商响应文件为准，其上传资料真实性由供应商自行承担，同时，供应商请完善主体库。</w:t>
      </w:r>
    </w:p>
    <w:p w14:paraId="59B3A2A5">
      <w:pPr>
        <w:pageBreakBefore w:val="0"/>
        <w:overflowPunct/>
        <w:bidi w:val="0"/>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5.评标打分部分：评标打分部分仍按照100分制原则进行，涉及到资格审查、企业荣誉、企业业绩等计分部分时，以投标单位自行上传到磋商响应文件中的相应内容为准。</w:t>
      </w:r>
    </w:p>
    <w:p w14:paraId="5525C0FD">
      <w:pPr>
        <w:pageBreakBefore w:val="0"/>
        <w:overflowPunct/>
        <w:bidi w:val="0"/>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6.在竞争性磋商文件中要求</w:t>
      </w:r>
      <w:r>
        <w:rPr>
          <w:rFonts w:hint="eastAsia" w:ascii="宋体" w:hAnsi="宋体" w:cs="宋体"/>
          <w:color w:val="000000"/>
          <w:sz w:val="24"/>
          <w:szCs w:val="24"/>
          <w:lang w:val="en-US" w:eastAsia="zh-CN"/>
        </w:rPr>
        <w:t>响应</w:t>
      </w:r>
      <w:r>
        <w:rPr>
          <w:rFonts w:hint="eastAsia" w:ascii="宋体" w:hAnsi="宋体" w:eastAsia="宋体" w:cs="宋体"/>
          <w:kern w:val="0"/>
          <w:sz w:val="24"/>
          <w:szCs w:val="24"/>
          <w:lang w:val="en-US" w:eastAsia="zh-CN"/>
        </w:rPr>
        <w:t>人按照磋商响应文件格式进行磋商响应文件编制，在磋商响应文件编制时，应明确将供应商企业基本情况、人员情况、财务情况、业绩情况编入磋商响应文件，便于进行资格审查及评标打分。</w:t>
      </w:r>
    </w:p>
    <w:p w14:paraId="2DF1DF6C">
      <w:pPr>
        <w:keepNext w:val="0"/>
        <w:keepLines w:val="0"/>
        <w:pageBreakBefore w:val="0"/>
        <w:widowControl w:val="0"/>
        <w:kinsoku/>
        <w:overflowPunct/>
        <w:autoSpaceDE/>
        <w:autoSpaceDN/>
        <w:bidi w:val="0"/>
        <w:adjustRightInd/>
        <w:snapToGrid/>
        <w:spacing w:line="384"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7、我单位（采购人）严格按三财购（2021）9 号文要求的时限发布结果公告，发出成交通知书，签订采购合同，上传采购合同。</w:t>
      </w:r>
    </w:p>
    <w:p w14:paraId="797DFB60">
      <w:pPr>
        <w:pageBreakBefore w:val="0"/>
        <w:overflowPunct/>
        <w:bidi w:val="0"/>
        <w:spacing w:line="360" w:lineRule="auto"/>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八</w:t>
      </w:r>
      <w:r>
        <w:rPr>
          <w:rFonts w:hint="eastAsia" w:ascii="宋体" w:hAnsi="宋体" w:eastAsia="宋体" w:cs="宋体"/>
          <w:b/>
          <w:bCs/>
          <w:kern w:val="0"/>
          <w:sz w:val="24"/>
          <w:szCs w:val="24"/>
        </w:rPr>
        <w:t>、凡对本次</w:t>
      </w:r>
      <w:r>
        <w:rPr>
          <w:rFonts w:hint="eastAsia" w:ascii="宋体" w:hAnsi="宋体" w:cs="宋体"/>
          <w:b/>
          <w:bCs/>
          <w:kern w:val="0"/>
          <w:sz w:val="24"/>
          <w:szCs w:val="24"/>
          <w:lang w:eastAsia="zh-CN"/>
        </w:rPr>
        <w:t>采购</w:t>
      </w:r>
      <w:r>
        <w:rPr>
          <w:rFonts w:hint="eastAsia" w:ascii="宋体" w:hAnsi="宋体" w:eastAsia="宋体" w:cs="宋体"/>
          <w:b/>
          <w:bCs/>
          <w:kern w:val="0"/>
          <w:sz w:val="24"/>
          <w:szCs w:val="24"/>
        </w:rPr>
        <w:t>提出询问，请按照以下方式联系：</w:t>
      </w:r>
    </w:p>
    <w:p w14:paraId="1CD60EA0">
      <w:pPr>
        <w:pageBreakBefore w:val="0"/>
        <w:overflowPunct/>
        <w:bidi w:val="0"/>
        <w:spacing w:line="360" w:lineRule="auto"/>
        <w:ind w:firstLine="480" w:firstLineChars="200"/>
        <w:jc w:val="left"/>
        <w:rPr>
          <w:rFonts w:hint="eastAsia" w:ascii="宋体" w:hAnsi="宋体" w:eastAsia="宋体" w:cs="宋体"/>
          <w:kern w:val="0"/>
          <w:sz w:val="24"/>
          <w:szCs w:val="24"/>
          <w:lang w:val="en-US" w:eastAsia="zh-CN"/>
        </w:rPr>
      </w:pPr>
    </w:p>
    <w:p w14:paraId="14B845BA">
      <w:pPr>
        <w:pageBreakBefore w:val="0"/>
        <w:overflowPunct/>
        <w:bidi w:val="0"/>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监</w:t>
      </w:r>
      <w:r>
        <w:rPr>
          <w:rFonts w:hint="eastAsia" w:ascii="宋体" w:hAnsi="宋体" w:eastAsia="宋体" w:cs="宋体"/>
          <w:kern w:val="0"/>
          <w:sz w:val="24"/>
          <w:szCs w:val="24"/>
          <w:highlight w:val="none"/>
          <w:lang w:val="en-US" w:eastAsia="zh-CN"/>
        </w:rPr>
        <w:t>督单位：</w:t>
      </w:r>
      <w:r>
        <w:rPr>
          <w:rFonts w:hint="eastAsia" w:ascii="宋体" w:hAnsi="宋体" w:cs="宋体"/>
          <w:kern w:val="0"/>
          <w:sz w:val="24"/>
          <w:szCs w:val="24"/>
          <w:highlight w:val="none"/>
          <w:lang w:val="en-US" w:eastAsia="zh-CN"/>
        </w:rPr>
        <w:t>三门峡市湖滨区</w:t>
      </w:r>
      <w:r>
        <w:rPr>
          <w:rFonts w:hint="eastAsia" w:ascii="宋体" w:hAnsi="宋体" w:eastAsia="宋体" w:cs="宋体"/>
          <w:kern w:val="0"/>
          <w:sz w:val="24"/>
          <w:szCs w:val="24"/>
          <w:highlight w:val="none"/>
          <w:lang w:val="en-US" w:eastAsia="zh-CN"/>
        </w:rPr>
        <w:t>财政局</w:t>
      </w:r>
    </w:p>
    <w:p w14:paraId="17A2EDB0">
      <w:pPr>
        <w:pageBreakBefore w:val="0"/>
        <w:overflowPunct/>
        <w:bidi w:val="0"/>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联系电话：0398-2751077</w:t>
      </w:r>
    </w:p>
    <w:p w14:paraId="00C3FBAB">
      <w:pPr>
        <w:pageBreakBefore w:val="0"/>
        <w:overflowPunct/>
        <w:bidi w:val="0"/>
        <w:spacing w:line="360" w:lineRule="auto"/>
        <w:ind w:firstLine="480" w:firstLineChars="200"/>
        <w:jc w:val="left"/>
        <w:rPr>
          <w:rFonts w:hint="eastAsia" w:ascii="宋体" w:hAnsi="宋体" w:eastAsia="宋体" w:cs="宋体"/>
          <w:kern w:val="0"/>
          <w:sz w:val="24"/>
          <w:szCs w:val="24"/>
          <w:highlight w:val="none"/>
        </w:rPr>
      </w:pPr>
    </w:p>
    <w:p w14:paraId="7019806E">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eastAsia="zh-CN"/>
        </w:rPr>
      </w:pPr>
      <w:r>
        <w:rPr>
          <w:rFonts w:hint="eastAsia" w:ascii="宋体" w:hAnsi="宋体" w:eastAsia="宋体" w:cs="宋体"/>
          <w:sz w:val="24"/>
          <w:highlight w:val="none"/>
        </w:rPr>
        <w:t>采购人：</w:t>
      </w:r>
      <w:r>
        <w:rPr>
          <w:rFonts w:hint="eastAsia" w:ascii="宋体" w:hAnsi="宋体" w:cs="宋体"/>
          <w:color w:val="444444"/>
          <w:kern w:val="0"/>
          <w:sz w:val="24"/>
          <w:szCs w:val="24"/>
          <w:lang w:val="en-US" w:eastAsia="zh-CN" w:bidi="ar"/>
        </w:rPr>
        <w:t>三门峡市湖滨区教育体育局</w:t>
      </w:r>
    </w:p>
    <w:p w14:paraId="3DA8EA8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default"/>
          <w:color w:val="auto"/>
          <w:kern w:val="0"/>
          <w:sz w:val="24"/>
          <w:szCs w:val="24"/>
          <w:lang w:val="en-US" w:eastAsia="zh-CN"/>
        </w:rPr>
      </w:pPr>
      <w:r>
        <w:rPr>
          <w:rFonts w:hint="eastAsia"/>
          <w:color w:val="auto"/>
          <w:kern w:val="0"/>
          <w:sz w:val="24"/>
          <w:szCs w:val="24"/>
          <w:lang w:val="en-US" w:eastAsia="zh-CN"/>
        </w:rPr>
        <w:t>地址：三门峡湖滨区黄河路八街坊四号楼</w:t>
      </w:r>
    </w:p>
    <w:p w14:paraId="46D4990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color w:val="auto"/>
          <w:kern w:val="0"/>
          <w:sz w:val="24"/>
          <w:szCs w:val="24"/>
          <w:lang w:val="en-US" w:eastAsia="zh-CN"/>
        </w:rPr>
      </w:pPr>
      <w:r>
        <w:rPr>
          <w:rFonts w:hint="eastAsia" w:ascii="宋体" w:hAnsi="宋体"/>
          <w:color w:val="auto"/>
          <w:kern w:val="0"/>
          <w:sz w:val="24"/>
          <w:szCs w:val="24"/>
        </w:rPr>
        <w:t>联系人：</w:t>
      </w:r>
      <w:r>
        <w:rPr>
          <w:rFonts w:hint="eastAsia" w:ascii="宋体" w:hAnsi="宋体"/>
          <w:color w:val="auto"/>
          <w:kern w:val="0"/>
          <w:sz w:val="24"/>
          <w:szCs w:val="24"/>
          <w:lang w:val="en-US" w:eastAsia="zh-CN"/>
        </w:rPr>
        <w:t>李先生</w:t>
      </w:r>
    </w:p>
    <w:p w14:paraId="62E601A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olor w:val="auto"/>
          <w:kern w:val="0"/>
          <w:sz w:val="24"/>
          <w:szCs w:val="24"/>
          <w:lang w:eastAsia="zh-CN"/>
        </w:rPr>
      </w:pPr>
      <w:r>
        <w:rPr>
          <w:rFonts w:hint="eastAsia" w:ascii="宋体" w:hAnsi="宋体"/>
          <w:color w:val="auto"/>
          <w:kern w:val="0"/>
          <w:sz w:val="24"/>
          <w:szCs w:val="24"/>
        </w:rPr>
        <w:t>电话：17329176878</w:t>
      </w:r>
    </w:p>
    <w:p w14:paraId="4E21A6A1">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jc w:val="left"/>
        <w:textAlignment w:val="auto"/>
        <w:outlineLvl w:val="9"/>
        <w:rPr>
          <w:rFonts w:hint="eastAsia" w:ascii="宋体" w:hAnsi="宋体" w:eastAsia="宋体" w:cs="宋体"/>
          <w:color w:val="auto"/>
          <w:kern w:val="0"/>
          <w:sz w:val="24"/>
          <w:szCs w:val="24"/>
        </w:rPr>
      </w:pPr>
    </w:p>
    <w:p w14:paraId="04A25326">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代理机构：</w:t>
      </w:r>
      <w:r>
        <w:rPr>
          <w:rFonts w:hint="eastAsia" w:ascii="宋体" w:hAnsi="宋体" w:cs="宋体"/>
          <w:sz w:val="24"/>
          <w:szCs w:val="24"/>
          <w:highlight w:val="none"/>
          <w:lang w:val="en-US" w:eastAsia="zh-CN"/>
        </w:rPr>
        <w:t>信宇腾远工程咨询集团有限公司</w:t>
      </w:r>
      <w:r>
        <w:rPr>
          <w:rFonts w:hint="eastAsia" w:ascii="宋体" w:hAnsi="宋体" w:eastAsia="宋体" w:cs="宋体"/>
          <w:color w:val="auto"/>
          <w:kern w:val="0"/>
          <w:sz w:val="24"/>
          <w:szCs w:val="24"/>
        </w:rPr>
        <w:t xml:space="preserve">  </w:t>
      </w:r>
    </w:p>
    <w:p w14:paraId="1CD99BD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olor w:val="auto"/>
          <w:kern w:val="0"/>
          <w:sz w:val="24"/>
          <w:szCs w:val="24"/>
          <w:lang w:eastAsia="zh-CN"/>
        </w:rPr>
      </w:pPr>
      <w:r>
        <w:rPr>
          <w:rFonts w:hint="eastAsia" w:ascii="宋体" w:hAnsi="宋体"/>
          <w:color w:val="auto"/>
          <w:kern w:val="0"/>
          <w:sz w:val="24"/>
          <w:szCs w:val="24"/>
        </w:rPr>
        <w:t>地址：</w:t>
      </w:r>
      <w:r>
        <w:rPr>
          <w:rFonts w:hint="eastAsia" w:ascii="宋体" w:hAnsi="宋体"/>
          <w:color w:val="auto"/>
          <w:kern w:val="0"/>
          <w:sz w:val="24"/>
          <w:szCs w:val="24"/>
          <w:lang w:eastAsia="zh-CN"/>
        </w:rPr>
        <w:t>三门峡商务中心区紫金国际</w:t>
      </w:r>
      <w:r>
        <w:rPr>
          <w:rFonts w:hint="eastAsia" w:ascii="宋体" w:hAnsi="宋体"/>
          <w:color w:val="auto"/>
          <w:kern w:val="0"/>
          <w:sz w:val="24"/>
          <w:szCs w:val="24"/>
          <w:lang w:val="en-US" w:eastAsia="zh-CN"/>
        </w:rPr>
        <w:t>23</w:t>
      </w:r>
      <w:r>
        <w:rPr>
          <w:rFonts w:hint="eastAsia" w:ascii="宋体" w:hAnsi="宋体"/>
          <w:color w:val="auto"/>
          <w:kern w:val="0"/>
          <w:sz w:val="24"/>
          <w:szCs w:val="24"/>
          <w:lang w:eastAsia="zh-CN"/>
        </w:rPr>
        <w:t>楼</w:t>
      </w:r>
    </w:p>
    <w:p w14:paraId="4AE04A6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olor w:val="auto"/>
          <w:kern w:val="0"/>
          <w:sz w:val="24"/>
          <w:szCs w:val="24"/>
          <w:lang w:eastAsia="zh-CN"/>
        </w:rPr>
      </w:pPr>
      <w:r>
        <w:rPr>
          <w:rFonts w:hint="eastAsia" w:ascii="宋体" w:hAnsi="宋体"/>
          <w:color w:val="auto"/>
          <w:kern w:val="0"/>
          <w:sz w:val="24"/>
          <w:szCs w:val="24"/>
        </w:rPr>
        <w:t>联系人：</w:t>
      </w:r>
      <w:r>
        <w:rPr>
          <w:rFonts w:hint="eastAsia" w:ascii="宋体" w:hAnsi="宋体"/>
          <w:color w:val="auto"/>
          <w:kern w:val="0"/>
          <w:sz w:val="24"/>
          <w:szCs w:val="24"/>
          <w:lang w:eastAsia="zh-CN"/>
        </w:rPr>
        <w:t>翟女士</w:t>
      </w:r>
    </w:p>
    <w:p w14:paraId="689DA23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outlineLvl w:val="9"/>
        <w:rPr>
          <w:rFonts w:hint="default" w:ascii="宋体" w:hAnsi="宋体" w:eastAsia="宋体"/>
          <w:color w:val="auto"/>
          <w:kern w:val="0"/>
          <w:sz w:val="24"/>
          <w:szCs w:val="24"/>
          <w:lang w:val="en-US" w:eastAsia="zh-CN"/>
        </w:rPr>
      </w:pPr>
      <w:r>
        <w:rPr>
          <w:rFonts w:hint="eastAsia" w:ascii="宋体" w:hAnsi="宋体"/>
          <w:color w:val="auto"/>
          <w:kern w:val="0"/>
          <w:sz w:val="24"/>
          <w:szCs w:val="24"/>
        </w:rPr>
        <w:t>联系方式：</w:t>
      </w:r>
      <w:r>
        <w:rPr>
          <w:rFonts w:hint="eastAsia" w:ascii="宋体" w:hAnsi="宋体"/>
          <w:color w:val="auto"/>
          <w:kern w:val="0"/>
          <w:sz w:val="24"/>
          <w:szCs w:val="24"/>
          <w:lang w:val="en-US" w:eastAsia="zh-CN"/>
        </w:rPr>
        <w:t>15603988214</w:t>
      </w:r>
    </w:p>
    <w:p w14:paraId="19BFC60E">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w:t>
      </w:r>
    </w:p>
    <w:p w14:paraId="5E85D4C7">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项目</w:t>
      </w:r>
      <w:r>
        <w:rPr>
          <w:rFonts w:hint="eastAsia" w:ascii="宋体" w:hAnsi="宋体" w:eastAsia="宋体" w:cs="宋体"/>
          <w:color w:val="auto"/>
          <w:kern w:val="0"/>
          <w:sz w:val="24"/>
          <w:szCs w:val="24"/>
        </w:rPr>
        <w:t>联系人：</w:t>
      </w:r>
      <w:r>
        <w:rPr>
          <w:rFonts w:hint="eastAsia" w:ascii="宋体" w:hAnsi="宋体" w:cs="宋体"/>
          <w:color w:val="auto"/>
          <w:kern w:val="0"/>
          <w:sz w:val="24"/>
          <w:szCs w:val="24"/>
          <w:lang w:val="en-US" w:eastAsia="zh-CN"/>
        </w:rPr>
        <w:t>翟女士</w:t>
      </w:r>
    </w:p>
    <w:p w14:paraId="5FA27113">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联系方式：</w:t>
      </w:r>
      <w:r>
        <w:rPr>
          <w:rFonts w:hint="eastAsia" w:ascii="宋体" w:hAnsi="宋体" w:eastAsia="宋体" w:cs="宋体"/>
          <w:color w:val="auto"/>
          <w:kern w:val="0"/>
          <w:sz w:val="24"/>
          <w:szCs w:val="24"/>
          <w:lang w:val="en-US" w:eastAsia="zh-CN"/>
        </w:rPr>
        <w:t>15603988214</w:t>
      </w:r>
    </w:p>
    <w:p w14:paraId="37A41DC9">
      <w:pPr>
        <w:pageBreakBefore w:val="0"/>
        <w:overflowPunct/>
        <w:bidi w:val="0"/>
        <w:spacing w:line="360" w:lineRule="auto"/>
        <w:ind w:firstLine="480" w:firstLineChars="200"/>
        <w:jc w:val="left"/>
        <w:rPr>
          <w:rFonts w:hint="eastAsia" w:ascii="宋体" w:hAnsi="宋体" w:eastAsia="宋体" w:cs="宋体"/>
          <w:kern w:val="0"/>
          <w:sz w:val="24"/>
          <w:szCs w:val="24"/>
        </w:rPr>
      </w:pPr>
    </w:p>
    <w:p w14:paraId="4F2ED0BE">
      <w:pPr>
        <w:pageBreakBefore w:val="0"/>
        <w:overflowPunct/>
        <w:bidi w:val="0"/>
        <w:spacing w:line="360" w:lineRule="auto"/>
        <w:jc w:val="center"/>
        <w:rPr>
          <w:rFonts w:hint="eastAsia" w:ascii="宋体" w:hAnsi="宋体" w:eastAsia="宋体" w:cs="宋体"/>
          <w:b/>
          <w:bCs/>
          <w:color w:val="auto"/>
          <w:kern w:val="0"/>
          <w:sz w:val="40"/>
          <w:szCs w:val="40"/>
        </w:rPr>
      </w:pPr>
    </w:p>
    <w:p w14:paraId="5AAA39BF">
      <w:pPr>
        <w:spacing w:line="360" w:lineRule="auto"/>
        <w:ind w:firstLine="480" w:firstLineChars="200"/>
        <w:jc w:val="left"/>
        <w:rPr>
          <w:rFonts w:hint="eastAsia" w:ascii="宋体" w:hAnsi="宋体" w:eastAsia="宋体" w:cs="宋体"/>
          <w:kern w:val="0"/>
          <w:sz w:val="24"/>
          <w:szCs w:val="24"/>
        </w:rPr>
      </w:pPr>
    </w:p>
    <w:p w14:paraId="5610A8F8">
      <w:pPr>
        <w:spacing w:line="360" w:lineRule="auto"/>
        <w:jc w:val="center"/>
        <w:rPr>
          <w:rFonts w:hint="eastAsia" w:ascii="宋体" w:hAnsi="宋体" w:eastAsia="宋体" w:cs="宋体"/>
          <w:b/>
          <w:bCs/>
          <w:color w:val="auto"/>
          <w:kern w:val="0"/>
          <w:sz w:val="40"/>
          <w:szCs w:val="40"/>
        </w:rPr>
      </w:pPr>
    </w:p>
    <w:p w14:paraId="618184AD">
      <w:pPr>
        <w:spacing w:line="360" w:lineRule="auto"/>
        <w:jc w:val="center"/>
        <w:rPr>
          <w:rFonts w:hint="eastAsia" w:ascii="宋体" w:hAnsi="宋体" w:eastAsia="宋体" w:cs="宋体"/>
          <w:b/>
          <w:bCs/>
          <w:color w:val="auto"/>
          <w:kern w:val="0"/>
          <w:sz w:val="40"/>
          <w:szCs w:val="40"/>
        </w:rPr>
      </w:pPr>
    </w:p>
    <w:p w14:paraId="290807E0">
      <w:pPr>
        <w:rPr>
          <w:rFonts w:hint="eastAsia" w:ascii="宋体" w:hAnsi="宋体" w:eastAsia="宋体" w:cs="宋体"/>
          <w:b/>
          <w:bCs/>
          <w:color w:val="auto"/>
          <w:kern w:val="0"/>
          <w:sz w:val="40"/>
          <w:szCs w:val="40"/>
        </w:rPr>
      </w:pPr>
      <w:bookmarkStart w:id="2" w:name="_Toc24701"/>
      <w:bookmarkStart w:id="3" w:name="_Toc28751"/>
      <w:r>
        <w:rPr>
          <w:rFonts w:hint="eastAsia" w:ascii="宋体" w:hAnsi="宋体" w:eastAsia="宋体" w:cs="宋体"/>
          <w:b/>
          <w:bCs/>
          <w:color w:val="auto"/>
          <w:kern w:val="0"/>
          <w:sz w:val="40"/>
          <w:szCs w:val="40"/>
        </w:rPr>
        <w:br w:type="page"/>
      </w:r>
    </w:p>
    <w:p w14:paraId="5F84265B">
      <w:pPr>
        <w:spacing w:line="360" w:lineRule="auto"/>
        <w:jc w:val="center"/>
        <w:outlineLvl w:val="0"/>
        <w:rPr>
          <w:rFonts w:hint="eastAsia" w:ascii="宋体" w:hAnsi="宋体" w:eastAsia="宋体" w:cs="宋体"/>
          <w:b/>
          <w:bCs/>
          <w:color w:val="auto"/>
          <w:kern w:val="0"/>
          <w:sz w:val="44"/>
          <w:szCs w:val="44"/>
        </w:rPr>
      </w:pPr>
      <w:r>
        <w:rPr>
          <w:rFonts w:hint="eastAsia" w:ascii="宋体" w:hAnsi="宋体" w:eastAsia="宋体" w:cs="宋体"/>
          <w:b/>
          <w:bCs/>
          <w:color w:val="auto"/>
          <w:kern w:val="0"/>
          <w:sz w:val="40"/>
          <w:szCs w:val="40"/>
        </w:rPr>
        <w:t>第二章 投标供应商须知</w:t>
      </w:r>
      <w:bookmarkEnd w:id="2"/>
      <w:bookmarkEnd w:id="3"/>
    </w:p>
    <w:p w14:paraId="61232CB2">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供应商须知前附表</w:t>
      </w:r>
    </w:p>
    <w:tbl>
      <w:tblPr>
        <w:tblStyle w:val="20"/>
        <w:tblW w:w="9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974"/>
        <w:gridCol w:w="7076"/>
      </w:tblGrid>
      <w:tr w14:paraId="521B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46" w:type="dxa"/>
            <w:noWrap w:val="0"/>
            <w:vAlign w:val="center"/>
          </w:tcPr>
          <w:p w14:paraId="685F198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条款号</w:t>
            </w:r>
          </w:p>
        </w:tc>
        <w:tc>
          <w:tcPr>
            <w:tcW w:w="1974" w:type="dxa"/>
            <w:noWrap w:val="0"/>
            <w:vAlign w:val="center"/>
          </w:tcPr>
          <w:p w14:paraId="0BC4773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条 款 名 称</w:t>
            </w:r>
          </w:p>
        </w:tc>
        <w:tc>
          <w:tcPr>
            <w:tcW w:w="7076" w:type="dxa"/>
            <w:noWrap w:val="0"/>
            <w:vAlign w:val="center"/>
          </w:tcPr>
          <w:p w14:paraId="6B324CE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编  列  内  容</w:t>
            </w:r>
          </w:p>
        </w:tc>
      </w:tr>
      <w:tr w14:paraId="07B3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946" w:type="dxa"/>
            <w:noWrap w:val="0"/>
            <w:vAlign w:val="center"/>
          </w:tcPr>
          <w:p w14:paraId="00B0D8DA">
            <w:pPr>
              <w:keepNext w:val="0"/>
              <w:keepLines w:val="0"/>
              <w:pageBreakBefore w:val="0"/>
              <w:widowControl/>
              <w:kinsoku/>
              <w:wordWrap/>
              <w:overflowPunct/>
              <w:topLinePunct w:val="0"/>
              <w:bidi w:val="0"/>
              <w:snapToGrid/>
              <w:spacing w:line="288" w:lineRule="auto"/>
              <w:jc w:val="center"/>
              <w:textAlignment w:val="baseline"/>
              <w:rPr>
                <w:rFonts w:hint="default" w:ascii="宋体" w:hAnsi="宋体" w:eastAsia="宋体" w:cs="宋体"/>
                <w:kern w:val="0"/>
                <w:sz w:val="24"/>
                <w:szCs w:val="24"/>
                <w:lang w:val="en-US" w:eastAsia="zh-CN"/>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.1</w:t>
            </w:r>
          </w:p>
        </w:tc>
        <w:tc>
          <w:tcPr>
            <w:tcW w:w="1974" w:type="dxa"/>
            <w:noWrap w:val="0"/>
            <w:vAlign w:val="center"/>
          </w:tcPr>
          <w:p w14:paraId="00418B9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采购人</w:t>
            </w:r>
          </w:p>
        </w:tc>
        <w:tc>
          <w:tcPr>
            <w:tcW w:w="7076" w:type="dxa"/>
            <w:noWrap w:val="0"/>
            <w:vAlign w:val="center"/>
          </w:tcPr>
          <w:p w14:paraId="1595EBB0">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三门峡市湖滨区教育体育局</w:t>
            </w:r>
          </w:p>
          <w:p w14:paraId="0AC5E962">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地址：三门峡湖滨区黄河路八街坊四号楼</w:t>
            </w:r>
          </w:p>
          <w:p w14:paraId="082D2900">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联系人：李先生</w:t>
            </w:r>
          </w:p>
          <w:p w14:paraId="0D47726B">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电话：17329176878</w:t>
            </w:r>
          </w:p>
        </w:tc>
      </w:tr>
      <w:tr w14:paraId="7DA2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946" w:type="dxa"/>
            <w:noWrap w:val="0"/>
            <w:vAlign w:val="center"/>
          </w:tcPr>
          <w:p w14:paraId="6736AB84">
            <w:pPr>
              <w:keepNext w:val="0"/>
              <w:keepLines w:val="0"/>
              <w:pageBreakBefore w:val="0"/>
              <w:widowControl/>
              <w:kinsoku/>
              <w:wordWrap/>
              <w:overflowPunct/>
              <w:topLinePunct w:val="0"/>
              <w:bidi w:val="0"/>
              <w:snapToGrid/>
              <w:spacing w:line="288" w:lineRule="auto"/>
              <w:jc w:val="center"/>
              <w:textAlignment w:val="baseline"/>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1.2</w:t>
            </w:r>
          </w:p>
        </w:tc>
        <w:tc>
          <w:tcPr>
            <w:tcW w:w="1974" w:type="dxa"/>
            <w:noWrap w:val="0"/>
            <w:vAlign w:val="center"/>
          </w:tcPr>
          <w:p w14:paraId="7DD91E9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采购代理机构</w:t>
            </w:r>
          </w:p>
        </w:tc>
        <w:tc>
          <w:tcPr>
            <w:tcW w:w="7076" w:type="dxa"/>
            <w:noWrap w:val="0"/>
            <w:vAlign w:val="center"/>
          </w:tcPr>
          <w:p w14:paraId="0EE7A26E">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代理机构：</w:t>
            </w:r>
            <w:r>
              <w:rPr>
                <w:rFonts w:hint="eastAsia" w:ascii="宋体" w:hAnsi="宋体" w:cs="宋体"/>
                <w:color w:val="auto"/>
                <w:kern w:val="0"/>
                <w:sz w:val="24"/>
                <w:szCs w:val="24"/>
                <w:lang w:val="en-US" w:eastAsia="zh-CN"/>
              </w:rPr>
              <w:t>信宇腾远工程咨询集团有限公司</w:t>
            </w:r>
          </w:p>
          <w:p w14:paraId="07E8EEF1">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地址：三门峡商务中心区紫金国际23楼</w:t>
            </w:r>
          </w:p>
          <w:p w14:paraId="6E197BA8">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联系人：翟女士</w:t>
            </w:r>
          </w:p>
          <w:p w14:paraId="2B808067">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联系方式：15603988214</w:t>
            </w:r>
          </w:p>
        </w:tc>
      </w:tr>
      <w:tr w14:paraId="4AF2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exact"/>
          <w:jc w:val="center"/>
        </w:trPr>
        <w:tc>
          <w:tcPr>
            <w:tcW w:w="946" w:type="dxa"/>
            <w:noWrap w:val="0"/>
            <w:vAlign w:val="center"/>
          </w:tcPr>
          <w:p w14:paraId="0D1F66BD">
            <w:pPr>
              <w:keepNext w:val="0"/>
              <w:keepLines w:val="0"/>
              <w:pageBreakBefore w:val="0"/>
              <w:widowControl/>
              <w:kinsoku/>
              <w:wordWrap/>
              <w:overflowPunct/>
              <w:topLinePunct w:val="0"/>
              <w:bidi w:val="0"/>
              <w:snapToGrid/>
              <w:spacing w:line="288" w:lineRule="auto"/>
              <w:jc w:val="center"/>
              <w:textAlignment w:val="baseline"/>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2</w:t>
            </w:r>
          </w:p>
        </w:tc>
        <w:tc>
          <w:tcPr>
            <w:tcW w:w="1974" w:type="dxa"/>
            <w:noWrap w:val="0"/>
            <w:vAlign w:val="center"/>
          </w:tcPr>
          <w:p w14:paraId="787CB88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项目名称</w:t>
            </w:r>
          </w:p>
        </w:tc>
        <w:tc>
          <w:tcPr>
            <w:tcW w:w="7076" w:type="dxa"/>
            <w:noWrap w:val="0"/>
            <w:vAlign w:val="center"/>
          </w:tcPr>
          <w:p w14:paraId="5EB7A8EB">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三门峡市湖滨区教育体育局三门峡市湖滨区中小学校消防审验历史遗留问题现场评定项目</w:t>
            </w:r>
          </w:p>
          <w:p w14:paraId="7C5F1E40">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0"/>
                <w:sz w:val="24"/>
                <w:szCs w:val="24"/>
              </w:rPr>
            </w:pPr>
          </w:p>
        </w:tc>
      </w:tr>
      <w:tr w14:paraId="56C3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jc w:val="center"/>
        </w:trPr>
        <w:tc>
          <w:tcPr>
            <w:tcW w:w="946" w:type="dxa"/>
            <w:noWrap w:val="0"/>
            <w:vAlign w:val="center"/>
          </w:tcPr>
          <w:p w14:paraId="1BAC1BFF">
            <w:pPr>
              <w:keepNext w:val="0"/>
              <w:keepLines w:val="0"/>
              <w:pageBreakBefore w:val="0"/>
              <w:widowControl/>
              <w:kinsoku/>
              <w:wordWrap/>
              <w:overflowPunct/>
              <w:topLinePunct w:val="0"/>
              <w:bidi w:val="0"/>
              <w:snapToGrid/>
              <w:spacing w:line="288" w:lineRule="auto"/>
              <w:jc w:val="center"/>
              <w:textAlignment w:val="baseline"/>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3.1</w:t>
            </w:r>
          </w:p>
        </w:tc>
        <w:tc>
          <w:tcPr>
            <w:tcW w:w="1974" w:type="dxa"/>
            <w:noWrap w:val="0"/>
            <w:vAlign w:val="center"/>
          </w:tcPr>
          <w:p w14:paraId="22541A3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资金来源</w:t>
            </w:r>
          </w:p>
        </w:tc>
        <w:tc>
          <w:tcPr>
            <w:tcW w:w="7076" w:type="dxa"/>
            <w:noWrap w:val="0"/>
            <w:vAlign w:val="center"/>
          </w:tcPr>
          <w:p w14:paraId="397F934F">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财政资金</w:t>
            </w:r>
          </w:p>
        </w:tc>
      </w:tr>
      <w:tr w14:paraId="476C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946" w:type="dxa"/>
            <w:noWrap w:val="0"/>
            <w:vAlign w:val="center"/>
          </w:tcPr>
          <w:p w14:paraId="39D26D8D">
            <w:pPr>
              <w:keepNext w:val="0"/>
              <w:keepLines w:val="0"/>
              <w:pageBreakBefore w:val="0"/>
              <w:widowControl/>
              <w:kinsoku/>
              <w:wordWrap/>
              <w:overflowPunct/>
              <w:topLinePunct w:val="0"/>
              <w:bidi w:val="0"/>
              <w:snapToGrid/>
              <w:spacing w:line="288" w:lineRule="auto"/>
              <w:jc w:val="center"/>
              <w:textAlignment w:val="baseline"/>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3.2</w:t>
            </w:r>
          </w:p>
        </w:tc>
        <w:tc>
          <w:tcPr>
            <w:tcW w:w="1974" w:type="dxa"/>
            <w:noWrap w:val="0"/>
            <w:vAlign w:val="center"/>
          </w:tcPr>
          <w:p w14:paraId="239CC39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出资比例</w:t>
            </w:r>
          </w:p>
        </w:tc>
        <w:tc>
          <w:tcPr>
            <w:tcW w:w="7076" w:type="dxa"/>
            <w:noWrap w:val="0"/>
            <w:vAlign w:val="center"/>
          </w:tcPr>
          <w:p w14:paraId="204D3B3B">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100%</w:t>
            </w:r>
          </w:p>
        </w:tc>
      </w:tr>
      <w:tr w14:paraId="60FE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946" w:type="dxa"/>
            <w:noWrap w:val="0"/>
            <w:vAlign w:val="center"/>
          </w:tcPr>
          <w:p w14:paraId="620C5BEA">
            <w:pPr>
              <w:keepNext w:val="0"/>
              <w:keepLines w:val="0"/>
              <w:pageBreakBefore w:val="0"/>
              <w:widowControl/>
              <w:kinsoku/>
              <w:wordWrap/>
              <w:overflowPunct/>
              <w:topLinePunct w:val="0"/>
              <w:bidi w:val="0"/>
              <w:snapToGrid/>
              <w:spacing w:line="288" w:lineRule="auto"/>
              <w:jc w:val="center"/>
              <w:textAlignment w:val="baseline"/>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4</w:t>
            </w:r>
          </w:p>
        </w:tc>
        <w:tc>
          <w:tcPr>
            <w:tcW w:w="1974" w:type="dxa"/>
            <w:noWrap w:val="0"/>
            <w:vAlign w:val="center"/>
          </w:tcPr>
          <w:p w14:paraId="171597C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资金落实情况</w:t>
            </w:r>
          </w:p>
        </w:tc>
        <w:tc>
          <w:tcPr>
            <w:tcW w:w="7076" w:type="dxa"/>
            <w:noWrap w:val="0"/>
            <w:vAlign w:val="center"/>
          </w:tcPr>
          <w:p w14:paraId="5D73B6EF">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已落实</w:t>
            </w:r>
          </w:p>
        </w:tc>
      </w:tr>
      <w:tr w14:paraId="5401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46" w:type="dxa"/>
            <w:noWrap w:val="0"/>
            <w:vAlign w:val="center"/>
          </w:tcPr>
          <w:p w14:paraId="473F1A5E">
            <w:pPr>
              <w:keepNext w:val="0"/>
              <w:keepLines w:val="0"/>
              <w:pageBreakBefore w:val="0"/>
              <w:widowControl/>
              <w:kinsoku/>
              <w:wordWrap/>
              <w:overflowPunct/>
              <w:topLinePunct w:val="0"/>
              <w:bidi w:val="0"/>
              <w:snapToGrid/>
              <w:spacing w:line="288" w:lineRule="auto"/>
              <w:jc w:val="center"/>
              <w:textAlignment w:val="baseline"/>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5</w:t>
            </w:r>
          </w:p>
        </w:tc>
        <w:tc>
          <w:tcPr>
            <w:tcW w:w="1974" w:type="dxa"/>
            <w:noWrap w:val="0"/>
            <w:vAlign w:val="center"/>
          </w:tcPr>
          <w:p w14:paraId="31F35DB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采购内容</w:t>
            </w:r>
          </w:p>
        </w:tc>
        <w:tc>
          <w:tcPr>
            <w:tcW w:w="7076" w:type="dxa"/>
            <w:noWrap w:val="0"/>
            <w:vAlign w:val="center"/>
          </w:tcPr>
          <w:p w14:paraId="16C96445">
            <w:pPr>
              <w:pStyle w:val="27"/>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eastAsia="宋体" w:cs="宋体"/>
                <w:color w:val="auto"/>
                <w:kern w:val="0"/>
                <w:sz w:val="24"/>
                <w:szCs w:val="24"/>
                <w:lang w:val="en-US" w:eastAsia="zh-CN"/>
              </w:rPr>
            </w:pPr>
            <w:r>
              <w:rPr>
                <w:rFonts w:hint="eastAsia" w:ascii="宋体" w:hAnsi="宋体" w:cs="宋体"/>
                <w:color w:val="444444"/>
                <w:kern w:val="0"/>
                <w:sz w:val="24"/>
                <w:szCs w:val="24"/>
                <w:lang w:val="en-US" w:eastAsia="zh-CN" w:bidi="ar"/>
              </w:rPr>
              <w:t>按照国家相关规范对对三门峡市湖滨区20所学校校舍的建筑进行消防验收现场评定服务，按照相关技术标准规范要求进行消防现场评定工作，并出具评定报告。</w:t>
            </w:r>
          </w:p>
        </w:tc>
      </w:tr>
      <w:tr w14:paraId="6530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46" w:type="dxa"/>
            <w:noWrap w:val="0"/>
            <w:vAlign w:val="center"/>
          </w:tcPr>
          <w:p w14:paraId="7CD32C3F">
            <w:pPr>
              <w:keepNext w:val="0"/>
              <w:keepLines w:val="0"/>
              <w:pageBreakBefore w:val="0"/>
              <w:widowControl/>
              <w:kinsoku/>
              <w:wordWrap/>
              <w:overflowPunct/>
              <w:topLinePunct w:val="0"/>
              <w:bidi w:val="0"/>
              <w:snapToGrid/>
              <w:spacing w:line="288" w:lineRule="auto"/>
              <w:jc w:val="center"/>
              <w:textAlignment w:val="baseline"/>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6</w:t>
            </w:r>
          </w:p>
        </w:tc>
        <w:tc>
          <w:tcPr>
            <w:tcW w:w="1974" w:type="dxa"/>
            <w:noWrap w:val="0"/>
            <w:vAlign w:val="center"/>
          </w:tcPr>
          <w:p w14:paraId="4326B3A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服务</w:t>
            </w:r>
            <w:r>
              <w:rPr>
                <w:rFonts w:hint="eastAsia" w:ascii="宋体" w:hAnsi="宋体" w:cs="宋体"/>
                <w:color w:val="auto"/>
                <w:kern w:val="0"/>
                <w:sz w:val="24"/>
                <w:szCs w:val="24"/>
                <w:lang w:val="en-US" w:eastAsia="zh-CN"/>
              </w:rPr>
              <w:t>周期</w:t>
            </w:r>
          </w:p>
        </w:tc>
        <w:tc>
          <w:tcPr>
            <w:tcW w:w="7076" w:type="dxa"/>
            <w:noWrap w:val="0"/>
            <w:vAlign w:val="center"/>
          </w:tcPr>
          <w:p w14:paraId="45F6F5EB">
            <w:pPr>
              <w:pStyle w:val="27"/>
              <w:keepNext w:val="0"/>
              <w:keepLines w:val="0"/>
              <w:pageBreakBefore w:val="0"/>
              <w:widowControl/>
              <w:numPr>
                <w:ilvl w:val="0"/>
                <w:numId w:val="0"/>
              </w:numPr>
              <w:kinsoku/>
              <w:wordWrap/>
              <w:overflowPunct/>
              <w:topLinePunct w:val="0"/>
              <w:autoSpaceDE/>
              <w:autoSpaceDN/>
              <w:bidi w:val="0"/>
              <w:adjustRightInd/>
              <w:spacing w:line="360" w:lineRule="auto"/>
              <w:jc w:val="both"/>
              <w:textAlignment w:val="auto"/>
              <w:rPr>
                <w:rFonts w:hint="eastAsia" w:ascii="宋体" w:hAnsi="宋体" w:eastAsia="宋体" w:cs="宋体"/>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合同签订后2个月内完成并提交报告</w:t>
            </w:r>
          </w:p>
        </w:tc>
      </w:tr>
      <w:tr w14:paraId="63DE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46" w:type="dxa"/>
            <w:noWrap w:val="0"/>
            <w:vAlign w:val="center"/>
          </w:tcPr>
          <w:p w14:paraId="57EE21A0">
            <w:pPr>
              <w:keepNext w:val="0"/>
              <w:keepLines w:val="0"/>
              <w:pageBreakBefore w:val="0"/>
              <w:widowControl/>
              <w:kinsoku/>
              <w:wordWrap/>
              <w:overflowPunct/>
              <w:topLinePunct w:val="0"/>
              <w:bidi w:val="0"/>
              <w:snapToGrid/>
              <w:spacing w:line="288" w:lineRule="auto"/>
              <w:jc w:val="center"/>
              <w:textAlignment w:val="baseline"/>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7</w:t>
            </w:r>
          </w:p>
        </w:tc>
        <w:tc>
          <w:tcPr>
            <w:tcW w:w="1974" w:type="dxa"/>
            <w:noWrap w:val="0"/>
            <w:vAlign w:val="center"/>
          </w:tcPr>
          <w:p w14:paraId="3D6EF88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质量要求</w:t>
            </w:r>
          </w:p>
        </w:tc>
        <w:tc>
          <w:tcPr>
            <w:tcW w:w="7076" w:type="dxa"/>
            <w:noWrap w:val="0"/>
            <w:vAlign w:val="center"/>
          </w:tcPr>
          <w:p w14:paraId="6A08C5FE">
            <w:pPr>
              <w:keepNext w:val="0"/>
              <w:keepLines w:val="0"/>
              <w:pageBreakBefore w:val="0"/>
              <w:widowControl/>
              <w:kinsoku/>
              <w:wordWrap/>
              <w:overflowPunct/>
              <w:topLinePunct w:val="0"/>
              <w:bidi w:val="0"/>
              <w:snapToGrid/>
              <w:spacing w:line="360" w:lineRule="auto"/>
              <w:jc w:val="left"/>
              <w:textAlignment w:val="baseline"/>
              <w:rPr>
                <w:rFonts w:hint="eastAsia" w:ascii="宋体" w:hAnsi="宋体" w:eastAsia="宋体" w:cs="宋体"/>
                <w:kern w:val="0"/>
                <w:sz w:val="24"/>
                <w:szCs w:val="24"/>
              </w:rPr>
            </w:pPr>
            <w:r>
              <w:rPr>
                <w:rFonts w:hint="eastAsia" w:ascii="宋体" w:hAnsi="宋体" w:eastAsia="宋体" w:cs="宋体"/>
                <w:sz w:val="24"/>
                <w:szCs w:val="24"/>
                <w:lang w:val="en-US" w:eastAsia="zh-CN"/>
              </w:rPr>
              <w:t>合格，符合国家相关法律、法规及规范要求，满足采购人要求</w:t>
            </w:r>
          </w:p>
        </w:tc>
      </w:tr>
      <w:tr w14:paraId="03E9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46" w:type="dxa"/>
            <w:noWrap w:val="0"/>
            <w:vAlign w:val="center"/>
          </w:tcPr>
          <w:p w14:paraId="5E487E92">
            <w:pPr>
              <w:keepNext w:val="0"/>
              <w:keepLines w:val="0"/>
              <w:pageBreakBefore w:val="0"/>
              <w:widowControl/>
              <w:kinsoku/>
              <w:wordWrap/>
              <w:overflowPunct/>
              <w:topLinePunct w:val="0"/>
              <w:bidi w:val="0"/>
              <w:snapToGrid/>
              <w:spacing w:line="288" w:lineRule="auto"/>
              <w:jc w:val="center"/>
              <w:textAlignment w:val="baseline"/>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8</w:t>
            </w:r>
          </w:p>
        </w:tc>
        <w:tc>
          <w:tcPr>
            <w:tcW w:w="1974" w:type="dxa"/>
            <w:noWrap w:val="0"/>
            <w:vAlign w:val="center"/>
          </w:tcPr>
          <w:p w14:paraId="434A307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kern w:val="0"/>
                <w:sz w:val="24"/>
                <w:szCs w:val="24"/>
                <w:highlight w:val="none"/>
              </w:rPr>
              <w:t>供应商资质条件、能力和信誉</w:t>
            </w:r>
          </w:p>
        </w:tc>
        <w:tc>
          <w:tcPr>
            <w:tcW w:w="7076" w:type="dxa"/>
            <w:noWrap w:val="0"/>
            <w:vAlign w:val="center"/>
          </w:tcPr>
          <w:p w14:paraId="22FEC3C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rPr>
            </w:pPr>
            <w:r>
              <w:rPr>
                <w:rFonts w:hint="eastAsia" w:ascii="宋体" w:hAnsi="宋体" w:eastAsia="宋体" w:cs="宋体"/>
                <w:color w:val="auto"/>
                <w:sz w:val="24"/>
                <w:szCs w:val="24"/>
                <w:lang w:eastAsia="zh-CN"/>
              </w:rPr>
              <w:t>见竞争性磋商公告二、申请人资格要求。</w:t>
            </w:r>
          </w:p>
        </w:tc>
      </w:tr>
      <w:tr w14:paraId="491F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C1568D7">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9</w:t>
            </w:r>
          </w:p>
        </w:tc>
        <w:tc>
          <w:tcPr>
            <w:tcW w:w="1974" w:type="dxa"/>
            <w:noWrap w:val="0"/>
            <w:vAlign w:val="center"/>
          </w:tcPr>
          <w:p w14:paraId="513AECC1">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磋商有效</w:t>
            </w:r>
            <w:r>
              <w:rPr>
                <w:rFonts w:hint="eastAsia" w:ascii="宋体" w:hAnsi="宋体" w:eastAsia="宋体" w:cs="宋体"/>
                <w:color w:val="000000" w:themeColor="text1"/>
                <w:sz w:val="24"/>
                <w:szCs w:val="24"/>
                <w14:textFill>
                  <w14:solidFill>
                    <w14:schemeClr w14:val="tx1"/>
                  </w14:solidFill>
                </w14:textFill>
              </w:rPr>
              <w:t>期</w:t>
            </w:r>
          </w:p>
        </w:tc>
        <w:tc>
          <w:tcPr>
            <w:tcW w:w="7076" w:type="dxa"/>
            <w:noWrap w:val="0"/>
            <w:vAlign w:val="center"/>
          </w:tcPr>
          <w:p w14:paraId="41C56871">
            <w:pPr>
              <w:adjustRightInd w:val="0"/>
              <w:spacing w:line="324" w:lineRule="auto"/>
              <w:jc w:val="lef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60日历天(从磋商截止之日算起)</w:t>
            </w:r>
          </w:p>
        </w:tc>
      </w:tr>
      <w:tr w14:paraId="211B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5017D0A">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10</w:t>
            </w:r>
          </w:p>
        </w:tc>
        <w:tc>
          <w:tcPr>
            <w:tcW w:w="1974" w:type="dxa"/>
            <w:noWrap w:val="0"/>
            <w:vAlign w:val="center"/>
          </w:tcPr>
          <w:p w14:paraId="4FEAF724">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10"/>
                <w:sz w:val="24"/>
                <w:szCs w:val="24"/>
                <w14:textFill>
                  <w14:solidFill>
                    <w14:schemeClr w14:val="tx1"/>
                  </w14:solidFill>
                </w14:textFill>
              </w:rPr>
              <w:t>竞争性磋商保证金</w:t>
            </w:r>
          </w:p>
        </w:tc>
        <w:tc>
          <w:tcPr>
            <w:tcW w:w="7076" w:type="dxa"/>
            <w:noWrap w:val="0"/>
            <w:vAlign w:val="center"/>
          </w:tcPr>
          <w:p w14:paraId="672B2779">
            <w:pPr>
              <w:jc w:val="lef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根据《河南省财政厅关于优化政府采购营商环境有关问题的通知》（豫财购【2019】4号）第6条的规定，磋商保证金不再收取。</w:t>
            </w:r>
          </w:p>
        </w:tc>
      </w:tr>
      <w:tr w14:paraId="1EF3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0888DEB6">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11</w:t>
            </w:r>
          </w:p>
        </w:tc>
        <w:tc>
          <w:tcPr>
            <w:tcW w:w="1974" w:type="dxa"/>
            <w:noWrap w:val="0"/>
            <w:vAlign w:val="center"/>
          </w:tcPr>
          <w:p w14:paraId="41DCE82B">
            <w:pPr>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z w:val="24"/>
                <w:szCs w:val="24"/>
                <w14:textFill>
                  <w14:solidFill>
                    <w14:schemeClr w14:val="tx1"/>
                  </w14:solidFill>
                </w14:textFill>
              </w:rPr>
              <w:t>付款方式</w:t>
            </w:r>
          </w:p>
        </w:tc>
        <w:tc>
          <w:tcPr>
            <w:tcW w:w="7076" w:type="dxa"/>
            <w:noWrap w:val="0"/>
            <w:vAlign w:val="center"/>
          </w:tcPr>
          <w:p w14:paraId="203BDE9E">
            <w:pPr>
              <w:jc w:val="lef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双方协商</w:t>
            </w:r>
          </w:p>
        </w:tc>
      </w:tr>
      <w:tr w14:paraId="1314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34FA19AD">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12</w:t>
            </w:r>
          </w:p>
        </w:tc>
        <w:tc>
          <w:tcPr>
            <w:tcW w:w="1974" w:type="dxa"/>
            <w:noWrap w:val="0"/>
            <w:vAlign w:val="center"/>
          </w:tcPr>
          <w:p w14:paraId="02E1E615">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竞争性磋商响应文件份数</w:t>
            </w:r>
          </w:p>
        </w:tc>
        <w:tc>
          <w:tcPr>
            <w:tcW w:w="7076" w:type="dxa"/>
            <w:noWrap w:val="0"/>
            <w:vAlign w:val="center"/>
          </w:tcPr>
          <w:p w14:paraId="30530EA7">
            <w:pPr>
              <w:adjustRightInd w:val="0"/>
              <w:spacing w:line="324" w:lineRule="auto"/>
              <w:jc w:val="lef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kern w:val="0"/>
                <w:sz w:val="24"/>
                <w:szCs w:val="24"/>
                <w14:textFill>
                  <w14:solidFill>
                    <w14:schemeClr w14:val="tx1"/>
                  </w14:solidFill>
                </w14:textFill>
              </w:rPr>
              <w:t>本项目为电子化、无纸化交易项目。（不适用）</w:t>
            </w:r>
          </w:p>
        </w:tc>
      </w:tr>
      <w:tr w14:paraId="2714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F64701D">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13</w:t>
            </w:r>
          </w:p>
        </w:tc>
        <w:tc>
          <w:tcPr>
            <w:tcW w:w="1974" w:type="dxa"/>
            <w:noWrap w:val="0"/>
            <w:vAlign w:val="center"/>
          </w:tcPr>
          <w:p w14:paraId="0DFE6319">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磋商响应文件递交截止时间</w:t>
            </w:r>
          </w:p>
        </w:tc>
        <w:tc>
          <w:tcPr>
            <w:tcW w:w="7076" w:type="dxa"/>
            <w:noWrap w:val="0"/>
            <w:vAlign w:val="center"/>
          </w:tcPr>
          <w:p w14:paraId="0C72B5A5">
            <w:pPr>
              <w:jc w:val="lef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kern w:val="0"/>
                <w:sz w:val="24"/>
                <w:szCs w:val="24"/>
                <w14:textFill>
                  <w14:solidFill>
                    <w14:schemeClr w14:val="tx1"/>
                  </w14:solidFill>
                </w14:textFill>
              </w:rPr>
              <w:t>时间：</w:t>
            </w:r>
            <w:r>
              <w:rPr>
                <w:rFonts w:hint="eastAsia" w:ascii="宋体" w:hAnsi="宋体" w:eastAsia="宋体" w:cs="宋体"/>
                <w:bCs/>
                <w:color w:val="000000" w:themeColor="text1"/>
                <w:kern w:val="0"/>
                <w:sz w:val="24"/>
                <w:szCs w:val="24"/>
                <w14:textFill>
                  <w14:solidFill>
                    <w14:schemeClr w14:val="tx1"/>
                  </w14:solidFill>
                </w14:textFill>
              </w:rPr>
              <w:t>详见竞争性磋商公告</w:t>
            </w:r>
          </w:p>
        </w:tc>
      </w:tr>
      <w:tr w14:paraId="451F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6E88BA29">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14</w:t>
            </w:r>
          </w:p>
        </w:tc>
        <w:tc>
          <w:tcPr>
            <w:tcW w:w="1974" w:type="dxa"/>
            <w:noWrap w:val="0"/>
            <w:vAlign w:val="center"/>
          </w:tcPr>
          <w:p w14:paraId="57ACB50F">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磋商响应文件递交</w:t>
            </w:r>
          </w:p>
        </w:tc>
        <w:tc>
          <w:tcPr>
            <w:tcW w:w="7076" w:type="dxa"/>
            <w:noWrap w:val="0"/>
            <w:vAlign w:val="center"/>
          </w:tcPr>
          <w:p w14:paraId="5999F2D5">
            <w:pPr>
              <w:adjustRightInd w:val="0"/>
              <w:spacing w:line="324" w:lineRule="auto"/>
              <w:jc w:val="lef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电子</w:t>
            </w:r>
            <w:r>
              <w:rPr>
                <w:rFonts w:hint="eastAsia" w:ascii="宋体" w:hAnsi="宋体" w:eastAsia="宋体" w:cs="宋体"/>
                <w:color w:val="000000" w:themeColor="text1"/>
                <w:spacing w:val="6"/>
                <w:sz w:val="24"/>
                <w:szCs w:val="24"/>
                <w:lang w:val="en-US" w:eastAsia="zh-CN"/>
                <w14:textFill>
                  <w14:solidFill>
                    <w14:schemeClr w14:val="tx1"/>
                  </w14:solidFill>
                </w14:textFill>
              </w:rPr>
              <w:t>化</w:t>
            </w:r>
            <w:r>
              <w:rPr>
                <w:rFonts w:hint="eastAsia" w:ascii="宋体" w:hAnsi="宋体" w:eastAsia="宋体" w:cs="宋体"/>
                <w:color w:val="000000" w:themeColor="text1"/>
                <w:spacing w:val="6"/>
                <w:sz w:val="24"/>
                <w:szCs w:val="24"/>
                <w14:textFill>
                  <w14:solidFill>
                    <w14:schemeClr w14:val="tx1"/>
                  </w14:solidFill>
                </w14:textFill>
              </w:rPr>
              <w:t>响应文件</w:t>
            </w:r>
            <w:r>
              <w:rPr>
                <w:rFonts w:hint="eastAsia" w:ascii="宋体" w:hAnsi="宋体" w:eastAsia="宋体" w:cs="宋体"/>
                <w:color w:val="000000" w:themeColor="text1"/>
                <w:spacing w:val="6"/>
                <w:sz w:val="24"/>
                <w:szCs w:val="24"/>
                <w:lang w:val="en-US" w:eastAsia="zh-CN"/>
                <w14:textFill>
                  <w14:solidFill>
                    <w14:schemeClr w14:val="tx1"/>
                  </w14:solidFill>
                </w14:textFill>
              </w:rPr>
              <w:t>在</w:t>
            </w:r>
            <w:r>
              <w:rPr>
                <w:rFonts w:hint="eastAsia" w:ascii="宋体" w:hAnsi="宋体" w:eastAsia="宋体" w:cs="宋体"/>
                <w:color w:val="000000" w:themeColor="text1"/>
                <w:spacing w:val="6"/>
                <w:sz w:val="24"/>
                <w:szCs w:val="24"/>
                <w14:textFill>
                  <w14:solidFill>
                    <w14:schemeClr w14:val="tx1"/>
                  </w14:solidFill>
                </w14:textFill>
              </w:rPr>
              <w:t>磋商截止时间前上传至“三门峡市公共资源交易中心网站”</w:t>
            </w:r>
          </w:p>
        </w:tc>
      </w:tr>
      <w:tr w14:paraId="3324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5030655">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15</w:t>
            </w:r>
          </w:p>
        </w:tc>
        <w:tc>
          <w:tcPr>
            <w:tcW w:w="1974" w:type="dxa"/>
            <w:noWrap w:val="0"/>
            <w:vAlign w:val="center"/>
          </w:tcPr>
          <w:p w14:paraId="2576763D">
            <w:pPr>
              <w:adjustRightInd w:val="0"/>
              <w:spacing w:line="324" w:lineRule="auto"/>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highlight w:val="none"/>
                <w:lang w:val="en-US" w:eastAsia="zh-CN"/>
              </w:rPr>
              <w:t>磋商时间及地点</w:t>
            </w:r>
          </w:p>
        </w:tc>
        <w:tc>
          <w:tcPr>
            <w:tcW w:w="7076" w:type="dxa"/>
            <w:noWrap w:val="0"/>
            <w:vAlign w:val="center"/>
          </w:tcPr>
          <w:p w14:paraId="31F958C8">
            <w:pPr>
              <w:jc w:val="left"/>
              <w:rPr>
                <w:rFonts w:hint="eastAsia" w:ascii="宋体" w:hAnsi="宋体" w:eastAsia="宋体" w:cs="宋体"/>
                <w:color w:val="0000FF"/>
                <w:sz w:val="24"/>
                <w:szCs w:val="24"/>
              </w:rPr>
            </w:pPr>
            <w:r>
              <w:rPr>
                <w:rFonts w:hint="eastAsia" w:ascii="宋体" w:hAnsi="宋体" w:eastAsia="宋体" w:cs="宋体"/>
                <w:color w:val="000000" w:themeColor="text1"/>
                <w:spacing w:val="6"/>
                <w:sz w:val="24"/>
                <w:szCs w:val="24"/>
                <w14:textFill>
                  <w14:solidFill>
                    <w14:schemeClr w14:val="tx1"/>
                  </w14:solidFill>
                </w14:textFill>
              </w:rPr>
              <w:t>时间：</w:t>
            </w:r>
            <w:r>
              <w:rPr>
                <w:rFonts w:hint="eastAsia" w:ascii="宋体" w:hAnsi="宋体" w:eastAsia="宋体" w:cs="宋体"/>
                <w:bCs/>
                <w:color w:val="auto"/>
                <w:kern w:val="0"/>
                <w:sz w:val="24"/>
                <w:szCs w:val="24"/>
              </w:rPr>
              <w:t>2025年</w:t>
            </w:r>
            <w:r>
              <w:rPr>
                <w:rFonts w:hint="eastAsia" w:ascii="宋体" w:hAnsi="宋体" w:eastAsia="宋体" w:cs="宋体"/>
                <w:color w:val="auto"/>
                <w:kern w:val="0"/>
                <w:sz w:val="24"/>
                <w:szCs w:val="24"/>
                <w:highlight w:val="none"/>
                <w:shd w:val="clear" w:color="auto" w:fill="auto"/>
                <w:lang w:val="en-US" w:eastAsia="zh-CN"/>
              </w:rPr>
              <w:t>1</w:t>
            </w:r>
            <w:r>
              <w:rPr>
                <w:rFonts w:hint="eastAsia" w:ascii="宋体" w:hAnsi="宋体" w:cs="宋体"/>
                <w:color w:val="auto"/>
                <w:kern w:val="0"/>
                <w:sz w:val="24"/>
                <w:szCs w:val="24"/>
                <w:highlight w:val="none"/>
                <w:shd w:val="clear" w:color="auto" w:fill="auto"/>
                <w:lang w:val="en-US" w:eastAsia="zh-CN"/>
              </w:rPr>
              <w:t>2</w:t>
            </w:r>
            <w:r>
              <w:rPr>
                <w:rFonts w:hint="eastAsia" w:ascii="宋体" w:hAnsi="宋体" w:eastAsia="宋体" w:cs="宋体"/>
                <w:color w:val="auto"/>
                <w:kern w:val="0"/>
                <w:sz w:val="24"/>
                <w:szCs w:val="24"/>
                <w:highlight w:val="none"/>
                <w:shd w:val="clear" w:color="auto" w:fill="auto"/>
              </w:rPr>
              <w:t>月</w:t>
            </w:r>
            <w:r>
              <w:rPr>
                <w:rFonts w:hint="eastAsia" w:ascii="宋体" w:hAnsi="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lang w:val="en-US" w:eastAsia="zh-CN"/>
              </w:rPr>
              <w:t>日0</w:t>
            </w:r>
            <w:r>
              <w:rPr>
                <w:rFonts w:hint="eastAsia" w:ascii="宋体" w:hAnsi="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lang w:val="en-US" w:eastAsia="zh-CN"/>
              </w:rPr>
              <w:t>时</w:t>
            </w:r>
            <w:r>
              <w:rPr>
                <w:rFonts w:hint="eastAsia" w:ascii="宋体" w:hAnsi="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lang w:val="en-US" w:eastAsia="zh-CN"/>
              </w:rPr>
              <w:t>分</w:t>
            </w:r>
          </w:p>
          <w:p w14:paraId="692A3F49">
            <w:pPr>
              <w:jc w:val="lef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地点：三门峡市公共资源交易中心开标</w:t>
            </w:r>
            <w:r>
              <w:rPr>
                <w:rFonts w:hint="eastAsia" w:ascii="宋体" w:hAnsi="宋体" w:cs="宋体"/>
                <w:color w:val="000000" w:themeColor="text1"/>
                <w:spacing w:val="6"/>
                <w:sz w:val="24"/>
                <w:szCs w:val="24"/>
                <w:lang w:val="en-US" w:eastAsia="zh-CN"/>
                <w14:textFill>
                  <w14:solidFill>
                    <w14:schemeClr w14:val="tx1"/>
                  </w14:solidFill>
                </w14:textFill>
              </w:rPr>
              <w:t>二</w:t>
            </w:r>
            <w:r>
              <w:rPr>
                <w:rFonts w:hint="eastAsia" w:ascii="宋体" w:hAnsi="宋体" w:eastAsia="宋体" w:cs="宋体"/>
                <w:color w:val="000000" w:themeColor="text1"/>
                <w:spacing w:val="6"/>
                <w:sz w:val="24"/>
                <w:szCs w:val="24"/>
                <w14:textFill>
                  <w14:solidFill>
                    <w14:schemeClr w14:val="tx1"/>
                  </w14:solidFill>
                </w14:textFill>
              </w:rPr>
              <w:t>室</w:t>
            </w:r>
          </w:p>
        </w:tc>
      </w:tr>
      <w:tr w14:paraId="2ACF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4641C75B">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16</w:t>
            </w:r>
          </w:p>
        </w:tc>
        <w:tc>
          <w:tcPr>
            <w:tcW w:w="1974" w:type="dxa"/>
            <w:noWrap w:val="0"/>
            <w:vAlign w:val="center"/>
          </w:tcPr>
          <w:p w14:paraId="1D1D8569">
            <w:pPr>
              <w:spacing w:line="440" w:lineRule="exac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磋商小组的组建</w:t>
            </w:r>
          </w:p>
        </w:tc>
        <w:tc>
          <w:tcPr>
            <w:tcW w:w="7076" w:type="dxa"/>
            <w:noWrap w:val="0"/>
            <w:vAlign w:val="center"/>
          </w:tcPr>
          <w:p w14:paraId="01FA808B">
            <w:pPr>
              <w:widowControl/>
              <w:spacing w:line="400" w:lineRule="atLeast"/>
              <w:jc w:val="lef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磋商小组成员为3人，采购人代表1人，其余专家2人从河南省政府采购评审专家库中随机抽取。</w:t>
            </w:r>
          </w:p>
        </w:tc>
      </w:tr>
      <w:tr w14:paraId="4DB2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20A1FF98">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17</w:t>
            </w:r>
          </w:p>
        </w:tc>
        <w:tc>
          <w:tcPr>
            <w:tcW w:w="1974" w:type="dxa"/>
            <w:noWrap w:val="0"/>
            <w:vAlign w:val="center"/>
          </w:tcPr>
          <w:p w14:paraId="72FE09AE">
            <w:pPr>
              <w:widowControl/>
              <w:spacing w:line="400" w:lineRule="atLeas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磋商标准及方法</w:t>
            </w:r>
          </w:p>
        </w:tc>
        <w:tc>
          <w:tcPr>
            <w:tcW w:w="7076" w:type="dxa"/>
            <w:noWrap w:val="0"/>
            <w:vAlign w:val="center"/>
          </w:tcPr>
          <w:p w14:paraId="34319710">
            <w:pPr>
              <w:widowControl/>
              <w:spacing w:line="400" w:lineRule="atLeast"/>
              <w:jc w:val="lef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由磋商小组采用综合评分法对提交最后报价的磋商供应商的磋商响应文件和最后报价进行综合评分。综合评分法，是指磋商响应文件满足竞争性磋商文件全部实质性要求且按评审因素的量化指标评审得分最高的供应商为成交候选供应商的磋商方法。</w:t>
            </w:r>
          </w:p>
        </w:tc>
      </w:tr>
      <w:tr w14:paraId="69F1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4B710A9D">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18</w:t>
            </w:r>
          </w:p>
        </w:tc>
        <w:tc>
          <w:tcPr>
            <w:tcW w:w="1974" w:type="dxa"/>
            <w:noWrap w:val="0"/>
            <w:vAlign w:val="center"/>
          </w:tcPr>
          <w:p w14:paraId="4F5A0D43">
            <w:pPr>
              <w:widowControl/>
              <w:spacing w:line="400" w:lineRule="atLeas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000000" w:themeColor="text1"/>
                <w:spacing w:val="6"/>
                <w:sz w:val="24"/>
                <w:szCs w:val="24"/>
                <w14:textFill>
                  <w14:solidFill>
                    <w14:schemeClr w14:val="tx1"/>
                  </w14:solidFill>
                </w14:textFill>
              </w:rPr>
              <w:t>履约保证金</w:t>
            </w:r>
          </w:p>
        </w:tc>
        <w:tc>
          <w:tcPr>
            <w:tcW w:w="7076" w:type="dxa"/>
            <w:noWrap w:val="0"/>
            <w:vAlign w:val="center"/>
          </w:tcPr>
          <w:p w14:paraId="715C0796">
            <w:pPr>
              <w:widowControl/>
              <w:spacing w:line="400" w:lineRule="atLeast"/>
              <w:jc w:val="left"/>
              <w:rPr>
                <w:rFonts w:hint="eastAsia" w:ascii="宋体" w:hAnsi="宋体" w:eastAsia="宋体" w:cs="宋体"/>
                <w:kern w:val="0"/>
                <w:sz w:val="24"/>
                <w:szCs w:val="24"/>
                <w:highlight w:val="none"/>
                <w:lang w:val="en-US" w:eastAsia="zh-CN"/>
              </w:rPr>
            </w:pPr>
            <w:r>
              <w:rPr>
                <w:rFonts w:hint="eastAsia" w:ascii="宋体" w:hAnsi="宋体" w:eastAsia="宋体" w:cs="宋体"/>
                <w:color w:val="000000" w:themeColor="text1"/>
                <w:spacing w:val="6"/>
                <w:sz w:val="24"/>
                <w:szCs w:val="24"/>
                <w14:textFill>
                  <w14:solidFill>
                    <w14:schemeClr w14:val="tx1"/>
                  </w14:solidFill>
                </w14:textFill>
              </w:rPr>
              <w:t>无</w:t>
            </w:r>
          </w:p>
        </w:tc>
      </w:tr>
      <w:tr w14:paraId="41BE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535EA20B">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19</w:t>
            </w:r>
          </w:p>
        </w:tc>
        <w:tc>
          <w:tcPr>
            <w:tcW w:w="1974" w:type="dxa"/>
            <w:noWrap w:val="0"/>
            <w:vAlign w:val="center"/>
          </w:tcPr>
          <w:p w14:paraId="1A8E3F7B">
            <w:pPr>
              <w:widowControl/>
              <w:spacing w:line="400" w:lineRule="atLeast"/>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采购标的对应的中小企业划分标准所属行业</w:t>
            </w:r>
          </w:p>
        </w:tc>
        <w:tc>
          <w:tcPr>
            <w:tcW w:w="7076" w:type="dxa"/>
            <w:noWrap w:val="0"/>
            <w:vAlign w:val="center"/>
          </w:tcPr>
          <w:p w14:paraId="13CA1CA5">
            <w:pPr>
              <w:widowControl/>
              <w:spacing w:line="400" w:lineRule="atLeast"/>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本次采购标的对应的中小企业划分标准所属行业为：其他未列明行业。</w:t>
            </w:r>
          </w:p>
        </w:tc>
      </w:tr>
      <w:tr w14:paraId="64C0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738DA44">
            <w:pPr>
              <w:adjustRightInd w:val="0"/>
              <w:spacing w:line="324" w:lineRule="auto"/>
              <w:jc w:val="center"/>
              <w:rPr>
                <w:rFonts w:hint="eastAsia" w:ascii="宋体" w:hAnsi="宋体" w:eastAsia="宋体" w:cs="宋体"/>
                <w:kern w:val="0"/>
                <w:sz w:val="24"/>
                <w:szCs w:val="24"/>
              </w:rPr>
            </w:pPr>
            <w:r>
              <w:rPr>
                <w:rFonts w:hint="eastAsia" w:ascii="宋体" w:hAnsi="宋体" w:eastAsia="宋体" w:cs="宋体"/>
                <w:color w:val="000000" w:themeColor="text1"/>
                <w:spacing w:val="6"/>
                <w:sz w:val="24"/>
                <w:szCs w:val="24"/>
                <w14:textFill>
                  <w14:solidFill>
                    <w14:schemeClr w14:val="tx1"/>
                  </w14:solidFill>
                </w14:textFill>
              </w:rPr>
              <w:t>20</w:t>
            </w:r>
          </w:p>
        </w:tc>
        <w:tc>
          <w:tcPr>
            <w:tcW w:w="1974" w:type="dxa"/>
            <w:noWrap w:val="0"/>
            <w:vAlign w:val="center"/>
          </w:tcPr>
          <w:p w14:paraId="77C531C5">
            <w:pPr>
              <w:widowControl/>
              <w:spacing w:line="400" w:lineRule="atLeast"/>
              <w:jc w:val="center"/>
              <w:rPr>
                <w:rFonts w:hint="eastAsia" w:ascii="宋体" w:hAnsi="宋体" w:eastAsia="宋体" w:cs="宋体"/>
                <w:color w:val="000000" w:themeColor="text1"/>
                <w:spacing w:val="6"/>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lang w:val="en-US" w:eastAsia="zh-CN"/>
                <w14:textFill>
                  <w14:solidFill>
                    <w14:schemeClr w14:val="tx1"/>
                  </w14:solidFill>
                </w14:textFill>
              </w:rPr>
              <w:t>最高限价</w:t>
            </w:r>
          </w:p>
        </w:tc>
        <w:tc>
          <w:tcPr>
            <w:tcW w:w="7076" w:type="dxa"/>
            <w:noWrap w:val="0"/>
            <w:vAlign w:val="center"/>
          </w:tcPr>
          <w:p w14:paraId="21B0EE92">
            <w:pPr>
              <w:widowControl/>
              <w:spacing w:line="400" w:lineRule="atLeast"/>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本项目</w:t>
            </w:r>
            <w:r>
              <w:rPr>
                <w:rFonts w:hint="eastAsia" w:ascii="宋体" w:hAnsi="宋体" w:eastAsia="宋体" w:cs="宋体"/>
                <w:color w:val="000000" w:themeColor="text1"/>
                <w:spacing w:val="6"/>
                <w:sz w:val="24"/>
                <w:szCs w:val="24"/>
                <w:lang w:val="en-US" w:eastAsia="zh-CN"/>
                <w14:textFill>
                  <w14:solidFill>
                    <w14:schemeClr w14:val="tx1"/>
                  </w14:solidFill>
                </w14:textFill>
              </w:rPr>
              <w:t>最高限价</w:t>
            </w:r>
            <w:r>
              <w:rPr>
                <w:rFonts w:hint="eastAsia" w:ascii="宋体" w:hAnsi="宋体" w:eastAsia="宋体" w:cs="宋体"/>
                <w:color w:val="000000" w:themeColor="text1"/>
                <w:spacing w:val="6"/>
                <w:sz w:val="24"/>
                <w:szCs w:val="24"/>
                <w14:textFill>
                  <w14:solidFill>
                    <w14:schemeClr w14:val="tx1"/>
                  </w14:solidFill>
                </w14:textFill>
              </w:rPr>
              <w:t>：</w:t>
            </w:r>
            <w:r>
              <w:rPr>
                <w:rFonts w:hint="eastAsia" w:ascii="宋体" w:hAnsi="宋体" w:cs="宋体"/>
                <w:color w:val="000000" w:themeColor="text1"/>
                <w:spacing w:val="6"/>
                <w:sz w:val="24"/>
                <w:szCs w:val="24"/>
                <w:lang w:val="en-US" w:eastAsia="zh-CN"/>
                <w14:textFill>
                  <w14:solidFill>
                    <w14:schemeClr w14:val="tx1"/>
                  </w14:solidFill>
                </w14:textFill>
              </w:rPr>
              <w:t>440000</w:t>
            </w:r>
            <w:r>
              <w:rPr>
                <w:rFonts w:hint="eastAsia" w:ascii="宋体" w:hAnsi="宋体" w:eastAsia="宋体" w:cs="宋体"/>
                <w:color w:val="000000" w:themeColor="text1"/>
                <w:spacing w:val="6"/>
                <w:sz w:val="24"/>
                <w:szCs w:val="24"/>
                <w14:textFill>
                  <w14:solidFill>
                    <w14:schemeClr w14:val="tx1"/>
                  </w14:solidFill>
                </w14:textFill>
              </w:rPr>
              <w:t>.00元</w:t>
            </w:r>
          </w:p>
          <w:p w14:paraId="0539DA2F">
            <w:pPr>
              <w:widowControl/>
              <w:spacing w:line="400" w:lineRule="atLeast"/>
              <w:jc w:val="left"/>
              <w:rPr>
                <w:rFonts w:hint="eastAsia" w:ascii="宋体" w:hAnsi="宋体" w:eastAsia="宋体" w:cs="宋体"/>
                <w:color w:val="000000" w:themeColor="text1"/>
                <w:spacing w:val="6"/>
                <w:sz w:val="24"/>
                <w:szCs w:val="24"/>
                <w:lang w:val="en-US" w:eastAsia="zh-CN"/>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磋商供应商磋商报价超出“</w:t>
            </w:r>
            <w:r>
              <w:rPr>
                <w:rFonts w:hint="eastAsia" w:ascii="宋体" w:hAnsi="宋体" w:eastAsia="宋体" w:cs="宋体"/>
                <w:color w:val="000000" w:themeColor="text1"/>
                <w:spacing w:val="6"/>
                <w:sz w:val="24"/>
                <w:szCs w:val="24"/>
                <w:lang w:val="en-US" w:eastAsia="zh-CN"/>
                <w14:textFill>
                  <w14:solidFill>
                    <w14:schemeClr w14:val="tx1"/>
                  </w14:solidFill>
                </w14:textFill>
              </w:rPr>
              <w:t>最高限价</w:t>
            </w:r>
            <w:r>
              <w:rPr>
                <w:rFonts w:hint="eastAsia" w:ascii="宋体" w:hAnsi="宋体" w:eastAsia="宋体" w:cs="宋体"/>
                <w:color w:val="000000" w:themeColor="text1"/>
                <w:spacing w:val="6"/>
                <w:sz w:val="24"/>
                <w:szCs w:val="24"/>
                <w14:textFill>
                  <w14:solidFill>
                    <w14:schemeClr w14:val="tx1"/>
                  </w14:solidFill>
                </w14:textFill>
              </w:rPr>
              <w:t>”的，该磋商供应商按无效处理。</w:t>
            </w:r>
          </w:p>
        </w:tc>
      </w:tr>
      <w:tr w14:paraId="66CA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47CC92BD">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21</w:t>
            </w:r>
          </w:p>
        </w:tc>
        <w:tc>
          <w:tcPr>
            <w:tcW w:w="1974" w:type="dxa"/>
            <w:noWrap w:val="0"/>
            <w:vAlign w:val="center"/>
          </w:tcPr>
          <w:p w14:paraId="777E4799">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报价</w:t>
            </w:r>
          </w:p>
        </w:tc>
        <w:tc>
          <w:tcPr>
            <w:tcW w:w="7076" w:type="dxa"/>
            <w:noWrap w:val="0"/>
            <w:vAlign w:val="center"/>
          </w:tcPr>
          <w:p w14:paraId="7F0523E7">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本次磋商应以人民币报价，分两次进行报价。</w:t>
            </w:r>
          </w:p>
        </w:tc>
      </w:tr>
      <w:tr w14:paraId="60E3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133F2190">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22</w:t>
            </w:r>
          </w:p>
        </w:tc>
        <w:tc>
          <w:tcPr>
            <w:tcW w:w="1974" w:type="dxa"/>
            <w:noWrap w:val="0"/>
            <w:vAlign w:val="center"/>
          </w:tcPr>
          <w:p w14:paraId="0C85C70A">
            <w:pPr>
              <w:widowControl/>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知识产权</w:t>
            </w:r>
          </w:p>
        </w:tc>
        <w:tc>
          <w:tcPr>
            <w:tcW w:w="7076" w:type="dxa"/>
            <w:noWrap w:val="0"/>
            <w:vAlign w:val="center"/>
          </w:tcPr>
          <w:p w14:paraId="777EDAC9">
            <w:pPr>
              <w:widowControl/>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构成本竞争性磋商文件各个组成部分的文件，未经采购人书面同意，供应商不得擅自复印和用于非本项目所需的其他目的。采购人全部或者部分使用未成交供应商响应文件中的技术成果或技术方案时，需征得其书面同意，并不得擅自复印或提供给第三人。</w:t>
            </w:r>
          </w:p>
        </w:tc>
      </w:tr>
      <w:tr w14:paraId="019E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7EC48FAB">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23</w:t>
            </w:r>
          </w:p>
        </w:tc>
        <w:tc>
          <w:tcPr>
            <w:tcW w:w="1974" w:type="dxa"/>
            <w:noWrap w:val="0"/>
            <w:vAlign w:val="center"/>
          </w:tcPr>
          <w:p w14:paraId="31849A0E">
            <w:pPr>
              <w:widowControl/>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履约保证金</w:t>
            </w:r>
          </w:p>
        </w:tc>
        <w:tc>
          <w:tcPr>
            <w:tcW w:w="7076" w:type="dxa"/>
            <w:noWrap w:val="0"/>
            <w:vAlign w:val="center"/>
          </w:tcPr>
          <w:p w14:paraId="2FBD6F07">
            <w:pPr>
              <w:widowControl/>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不收取</w:t>
            </w:r>
          </w:p>
        </w:tc>
      </w:tr>
      <w:tr w14:paraId="007B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7E36D85A">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24</w:t>
            </w:r>
          </w:p>
        </w:tc>
        <w:tc>
          <w:tcPr>
            <w:tcW w:w="1974" w:type="dxa"/>
            <w:noWrap w:val="0"/>
            <w:vAlign w:val="center"/>
          </w:tcPr>
          <w:p w14:paraId="1FD45A77">
            <w:pPr>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结果公示</w:t>
            </w:r>
          </w:p>
        </w:tc>
        <w:tc>
          <w:tcPr>
            <w:tcW w:w="7076" w:type="dxa"/>
            <w:noWrap w:val="0"/>
            <w:vAlign w:val="center"/>
          </w:tcPr>
          <w:p w14:paraId="3270AB89">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本项目磋商结果公告在磋商公告发布的同一媒介予以公示，公示期为一个工作日</w:t>
            </w:r>
          </w:p>
        </w:tc>
      </w:tr>
      <w:tr w14:paraId="5FEE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43437F9F">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25</w:t>
            </w:r>
          </w:p>
        </w:tc>
        <w:tc>
          <w:tcPr>
            <w:tcW w:w="1974" w:type="dxa"/>
            <w:noWrap w:val="0"/>
            <w:vAlign w:val="center"/>
          </w:tcPr>
          <w:p w14:paraId="2328CE08">
            <w:pPr>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同义词语</w:t>
            </w:r>
          </w:p>
        </w:tc>
        <w:tc>
          <w:tcPr>
            <w:tcW w:w="7076" w:type="dxa"/>
            <w:noWrap w:val="0"/>
            <w:vAlign w:val="center"/>
          </w:tcPr>
          <w:p w14:paraId="330632EE">
            <w:pPr>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构成磋商文件组成部分的“通用合同条款”、“专用合同条款”、“技术标准和要求”等章节中出现的措辞“发包人”和“承包人”，在</w:t>
            </w:r>
            <w:r>
              <w:rPr>
                <w:rFonts w:hint="eastAsia" w:ascii="宋体" w:hAnsi="宋体" w:cs="宋体"/>
                <w:color w:val="000000" w:themeColor="text1"/>
                <w:spacing w:val="6"/>
                <w:sz w:val="24"/>
                <w:szCs w:val="24"/>
                <w:lang w:eastAsia="zh-CN"/>
                <w14:textFill>
                  <w14:solidFill>
                    <w14:schemeClr w14:val="tx1"/>
                  </w14:solidFill>
                </w14:textFill>
              </w:rPr>
              <w:t>磋商</w:t>
            </w:r>
            <w:r>
              <w:rPr>
                <w:rFonts w:hint="eastAsia" w:ascii="宋体" w:hAnsi="宋体" w:eastAsia="宋体" w:cs="宋体"/>
                <w:color w:val="000000" w:themeColor="text1"/>
                <w:spacing w:val="6"/>
                <w:sz w:val="24"/>
                <w:szCs w:val="24"/>
                <w14:textFill>
                  <w14:solidFill>
                    <w14:schemeClr w14:val="tx1"/>
                  </w14:solidFill>
                </w14:textFill>
              </w:rPr>
              <w:t>投标阶段应当分别按“采购人”和“供应商”进行理解。</w:t>
            </w:r>
          </w:p>
        </w:tc>
      </w:tr>
      <w:tr w14:paraId="0D4F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4F703D61">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26</w:t>
            </w:r>
          </w:p>
        </w:tc>
        <w:tc>
          <w:tcPr>
            <w:tcW w:w="1974" w:type="dxa"/>
            <w:noWrap w:val="0"/>
            <w:vAlign w:val="center"/>
          </w:tcPr>
          <w:p w14:paraId="226C9C4D">
            <w:pPr>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解释权</w:t>
            </w:r>
          </w:p>
        </w:tc>
        <w:tc>
          <w:tcPr>
            <w:tcW w:w="7076" w:type="dxa"/>
            <w:noWrap w:val="0"/>
            <w:vAlign w:val="center"/>
          </w:tcPr>
          <w:p w14:paraId="564A53E3">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w:t>
            </w:r>
            <w:r>
              <w:rPr>
                <w:rFonts w:hint="eastAsia" w:ascii="宋体" w:hAnsi="宋体" w:cs="宋体"/>
                <w:color w:val="000000" w:themeColor="text1"/>
                <w:spacing w:val="6"/>
                <w:sz w:val="24"/>
                <w:szCs w:val="24"/>
                <w:lang w:eastAsia="zh-CN"/>
                <w14:textFill>
                  <w14:solidFill>
                    <w14:schemeClr w14:val="tx1"/>
                  </w14:solidFill>
                </w14:textFill>
              </w:rPr>
              <w:t>磋商</w:t>
            </w:r>
            <w:r>
              <w:rPr>
                <w:rFonts w:hint="eastAsia" w:ascii="宋体" w:hAnsi="宋体" w:eastAsia="宋体" w:cs="宋体"/>
                <w:color w:val="000000" w:themeColor="text1"/>
                <w:spacing w:val="6"/>
                <w:sz w:val="24"/>
                <w:szCs w:val="24"/>
                <w14:textFill>
                  <w14:solidFill>
                    <w14:schemeClr w14:val="tx1"/>
                  </w14:solidFill>
                </w14:textFill>
              </w:rPr>
              <w:t>投标阶段的规定，按磋商公告、供应商须知、</w:t>
            </w:r>
            <w:r>
              <w:rPr>
                <w:rFonts w:hint="eastAsia" w:ascii="宋体" w:hAnsi="宋体" w:cs="宋体"/>
                <w:color w:val="000000" w:themeColor="text1"/>
                <w:spacing w:val="6"/>
                <w:sz w:val="24"/>
                <w:szCs w:val="24"/>
                <w:lang w:eastAsia="zh-CN"/>
                <w14:textFill>
                  <w14:solidFill>
                    <w14:schemeClr w14:val="tx1"/>
                  </w14:solidFill>
                </w14:textFill>
              </w:rPr>
              <w:t>评审办法</w:t>
            </w:r>
            <w:r>
              <w:rPr>
                <w:rFonts w:hint="eastAsia" w:ascii="宋体" w:hAnsi="宋体" w:eastAsia="宋体" w:cs="宋体"/>
                <w:color w:val="000000" w:themeColor="text1"/>
                <w:spacing w:val="6"/>
                <w:sz w:val="24"/>
                <w:szCs w:val="24"/>
                <w14:textFill>
                  <w14:solidFill>
                    <w14:schemeClr w14:val="tx1"/>
                  </w14:solidFill>
                </w14:textFill>
              </w:rPr>
              <w:t>、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34FA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5EA34AED">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w:t>
            </w:r>
            <w:r>
              <w:rPr>
                <w:rFonts w:hint="eastAsia" w:ascii="宋体" w:hAnsi="宋体" w:eastAsia="宋体" w:cs="宋体"/>
                <w:color w:val="000000" w:themeColor="text1"/>
                <w:spacing w:val="6"/>
                <w:sz w:val="24"/>
                <w:szCs w:val="24"/>
                <w:lang w:val="en-US" w:eastAsia="zh-CN"/>
                <w14:textFill>
                  <w14:solidFill>
                    <w14:schemeClr w14:val="tx1"/>
                  </w14:solidFill>
                </w14:textFill>
              </w:rPr>
              <w:t>7</w:t>
            </w:r>
          </w:p>
        </w:tc>
        <w:tc>
          <w:tcPr>
            <w:tcW w:w="1974" w:type="dxa"/>
            <w:noWrap w:val="0"/>
            <w:vAlign w:val="center"/>
          </w:tcPr>
          <w:p w14:paraId="0F840228">
            <w:pPr>
              <w:autoSpaceDE w:val="0"/>
              <w:autoSpaceDN w:val="0"/>
              <w:adjustRightInd w:val="0"/>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代理服务费</w:t>
            </w:r>
          </w:p>
        </w:tc>
        <w:tc>
          <w:tcPr>
            <w:tcW w:w="7076" w:type="dxa"/>
            <w:noWrap w:val="0"/>
            <w:vAlign w:val="center"/>
          </w:tcPr>
          <w:p w14:paraId="78A810F5">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1.收取标准：参考河南省</w:t>
            </w:r>
            <w:r>
              <w:rPr>
                <w:rFonts w:hint="eastAsia" w:ascii="宋体" w:hAnsi="宋体" w:cs="宋体"/>
                <w:color w:val="000000" w:themeColor="text1"/>
                <w:spacing w:val="6"/>
                <w:sz w:val="24"/>
                <w:szCs w:val="24"/>
                <w:lang w:eastAsia="zh-CN"/>
                <w14:textFill>
                  <w14:solidFill>
                    <w14:schemeClr w14:val="tx1"/>
                  </w14:solidFill>
                </w14:textFill>
              </w:rPr>
              <w:t>磋商</w:t>
            </w:r>
            <w:r>
              <w:rPr>
                <w:rFonts w:hint="eastAsia" w:ascii="宋体" w:hAnsi="宋体" w:eastAsia="宋体" w:cs="宋体"/>
                <w:color w:val="000000" w:themeColor="text1"/>
                <w:spacing w:val="6"/>
                <w:sz w:val="24"/>
                <w:szCs w:val="24"/>
                <w14:textFill>
                  <w14:solidFill>
                    <w14:schemeClr w14:val="tx1"/>
                  </w14:solidFill>
                </w14:textFill>
              </w:rPr>
              <w:t>代理服务收费指导意见（豫招协[2023]002号）规定的收费标准计算，由</w:t>
            </w:r>
            <w:r>
              <w:rPr>
                <w:rFonts w:hint="eastAsia" w:ascii="宋体" w:hAnsi="宋体" w:cs="宋体"/>
                <w:color w:val="000000" w:themeColor="text1"/>
                <w:spacing w:val="6"/>
                <w:sz w:val="24"/>
                <w:szCs w:val="24"/>
                <w:lang w:eastAsia="zh-CN"/>
                <w14:textFill>
                  <w14:solidFill>
                    <w14:schemeClr w14:val="tx1"/>
                  </w14:solidFill>
                </w14:textFill>
              </w:rPr>
              <w:t>成交</w:t>
            </w:r>
            <w:r>
              <w:rPr>
                <w:rFonts w:hint="eastAsia" w:ascii="宋体" w:hAnsi="宋体" w:eastAsia="宋体" w:cs="宋体"/>
                <w:color w:val="000000" w:themeColor="text1"/>
                <w:spacing w:val="6"/>
                <w:sz w:val="24"/>
                <w:szCs w:val="24"/>
                <w14:textFill>
                  <w14:solidFill>
                    <w14:schemeClr w14:val="tx1"/>
                  </w14:solidFill>
                </w14:textFill>
              </w:rPr>
              <w:t>人支付。</w:t>
            </w:r>
          </w:p>
          <w:p w14:paraId="7638A27A">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2.收取方式：成交单位在领取成交通知书时，以现金或转账的方式一次性向代理机构缴纳代理服务费。</w:t>
            </w:r>
          </w:p>
        </w:tc>
      </w:tr>
      <w:tr w14:paraId="791E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0"/>
            <w:vAlign w:val="center"/>
          </w:tcPr>
          <w:p w14:paraId="59B3E388">
            <w:pPr>
              <w:adjustRightInd w:val="0"/>
              <w:spacing w:line="324" w:lineRule="auto"/>
              <w:jc w:val="center"/>
              <w:rPr>
                <w:rFonts w:hint="default" w:ascii="宋体" w:hAnsi="宋体" w:eastAsia="宋体" w:cs="宋体"/>
                <w:color w:val="000000" w:themeColor="text1"/>
                <w:spacing w:val="6"/>
                <w:sz w:val="24"/>
                <w:szCs w:val="24"/>
                <w:lang w:val="en-US" w:eastAsia="zh-CN"/>
                <w14:textFill>
                  <w14:solidFill>
                    <w14:schemeClr w14:val="tx1"/>
                  </w14:solidFill>
                </w14:textFill>
              </w:rPr>
            </w:pPr>
            <w:r>
              <w:rPr>
                <w:rFonts w:hint="eastAsia" w:ascii="宋体" w:hAnsi="宋体" w:cs="宋体"/>
                <w:color w:val="000000" w:themeColor="text1"/>
                <w:spacing w:val="6"/>
                <w:sz w:val="24"/>
                <w:szCs w:val="24"/>
                <w:lang w:val="en-US" w:eastAsia="zh-CN"/>
                <w14:textFill>
                  <w14:solidFill>
                    <w14:schemeClr w14:val="tx1"/>
                  </w14:solidFill>
                </w14:textFill>
              </w:rPr>
              <w:t>28</w:t>
            </w:r>
          </w:p>
        </w:tc>
        <w:tc>
          <w:tcPr>
            <w:tcW w:w="1974" w:type="dxa"/>
            <w:noWrap w:val="0"/>
            <w:vAlign w:val="center"/>
          </w:tcPr>
          <w:p w14:paraId="11848C86">
            <w:pPr>
              <w:adjustRightInd w:val="0"/>
              <w:spacing w:line="324" w:lineRule="auto"/>
              <w:jc w:val="center"/>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电子化注意事项</w:t>
            </w:r>
          </w:p>
        </w:tc>
        <w:tc>
          <w:tcPr>
            <w:tcW w:w="7076" w:type="dxa"/>
            <w:noWrap w:val="0"/>
            <w:vAlign w:val="center"/>
          </w:tcPr>
          <w:p w14:paraId="0FD42673">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具体要求：本项目为电子化、无纸化交易项目，响应文件是响应人、供应商（以下简称“响应人”）通过中心响应文件制作系统制作，并经过签章和加密后生成的电子版响应文件。</w:t>
            </w:r>
          </w:p>
          <w:p w14:paraId="19886802">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电子化响应文件具体制作文件请点击https://download.bqpoint.com/download/downloadlist.html?SoftTypeCode=06进行下载。</w:t>
            </w:r>
          </w:p>
          <w:p w14:paraId="698496E8">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温馨提示：本项目为电子化、无纸化交易项目，为保证您能投标成功，请需仔细阅读以下条款。</w:t>
            </w:r>
          </w:p>
          <w:p w14:paraId="4B81A944">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一、电子化投标</w:t>
            </w:r>
          </w:p>
          <w:p w14:paraId="0F196A2F">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（一）电子化响应文件的签章</w:t>
            </w:r>
          </w:p>
          <w:p w14:paraId="7937D8FF">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1、响应人在生成电子化响应文件后，应对电子化响应文件进行签章，未进行签章的视为无效投标。</w:t>
            </w:r>
          </w:p>
          <w:p w14:paraId="39BC87A8">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2、竞争性磋商文件中要求法定代表人或授权委托人签字或盖章的，响应人在进行电子化响应文件签章时，以签盖法定代表人签章为准。</w:t>
            </w:r>
          </w:p>
          <w:p w14:paraId="43A9796F">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（二）电子化响应文件的格式及上传投标</w:t>
            </w:r>
          </w:p>
          <w:p w14:paraId="19054882">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响应人所上传的电子化响应文件，应是通过中心响应文件制作系统制作的（响应文件制作工具下载地址：https://download.bqpoint.com/download/downloadlist.html?SoftTypeCode=06），经过签章和加密后生成的电子版响应文件。其中包含用于响应文件上传的主文件（后缀为.smxtf）和用于应急补救的响应文件备份文件（后缀为.nsmxtf）。备份文件主要用于电子化开标出现技术问题后的补救，请</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color w:val="000000" w:themeColor="text1"/>
                <w:spacing w:val="6"/>
                <w:sz w:val="24"/>
                <w:szCs w:val="24"/>
                <w14:textFill>
                  <w14:solidFill>
                    <w14:schemeClr w14:val="tx1"/>
                  </w14:solidFill>
                </w14:textFill>
              </w:rPr>
              <w:t>随身携带。</w:t>
            </w:r>
          </w:p>
          <w:p w14:paraId="1710F608">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注：响应人投报多个标段的，需要每个标段单独制作电子响应文件。</w:t>
            </w:r>
          </w:p>
          <w:p w14:paraId="68CB1B29">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2、电子化响应文件应在磋商截止时间前成功上传至三门峡市公共资源电子化交易系统。至磋商截止时间止，仍未上传成功的电子化响应文件将不予接收。</w:t>
            </w:r>
          </w:p>
          <w:p w14:paraId="0312D1C7">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w:t>
            </w:r>
          </w:p>
          <w:p w14:paraId="09BD0FCC">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技术联系电话：0398-3117095   3117080</w:t>
            </w:r>
          </w:p>
          <w:p w14:paraId="3F80C469">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新点客服电话:4009980000</w:t>
            </w:r>
          </w:p>
          <w:p w14:paraId="76358C7B">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（三）电子化项目开标、解密、评标</w:t>
            </w:r>
          </w:p>
          <w:p w14:paraId="5D23F901">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本项目采用电子化、无纸化进行磋商，开标当日，响应人无需到开标现场参加开标会议，响应人应当在磋商截止时间前，登陆不见面开标大厅选择登陆三门峡市公共资源电子招投标系统进行登陆（网址为http://122.112.246.33/BidOpening/bidopeninghallaction/hall/login）,在线准时参加开标活动并进行响应文件解密等。</w:t>
            </w:r>
          </w:p>
          <w:p w14:paraId="6F2B1F9C">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6A0D13AE">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3、电子化响应文件解密异常的处理</w:t>
            </w:r>
          </w:p>
          <w:p w14:paraId="22D43BF4">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如出现响应人的电子响应文件无法解密等异常情况，响应人应及时致电中介服务机构说明。响应文件异常，按以下步骤进行处理：</w:t>
            </w:r>
          </w:p>
          <w:p w14:paraId="00D2B052">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（1）首先由技术人员进行问题排查。</w:t>
            </w:r>
          </w:p>
          <w:p w14:paraId="1FA5E446">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（2）经技术人员排查后，是响应人文件自身问题导致响应文件无法解密的，该响应文件将不予接收、解密。开标会议继续进行。</w:t>
            </w:r>
          </w:p>
          <w:p w14:paraId="321338DA">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1472CCB0">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4、待所有响应人响应文件解密完成后，由中介服务机构操作，对所有已解密响应文件进行解密。</w:t>
            </w:r>
          </w:p>
          <w:p w14:paraId="37B24697">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响应人应保证在磋商期间电话、电脑、网络能够正常工作，响应人因停电、电脑病毒、网络堵塞等原因，未在规定的解密时间内对响应文件进行解密的，其响应文件不予接收。</w:t>
            </w:r>
          </w:p>
          <w:p w14:paraId="32C162AC">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color w:val="000000" w:themeColor="text1"/>
                <w:spacing w:val="6"/>
                <w:sz w:val="24"/>
                <w:szCs w:val="24"/>
                <w14:textFill>
                  <w14:solidFill>
                    <w14:schemeClr w14:val="tx1"/>
                  </w14:solidFill>
                </w14:textFill>
              </w:rPr>
              <w:t>的质疑并做好书面记录。响应人未在规定时间内提出质疑的，视为认可磋商过程。</w:t>
            </w:r>
          </w:p>
          <w:p w14:paraId="6AE11EBC">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6、评标时，</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000000" w:themeColor="text1"/>
                <w:spacing w:val="6"/>
                <w:sz w:val="24"/>
                <w:szCs w:val="24"/>
                <w14:textFill>
                  <w14:solidFill>
                    <w14:schemeClr w14:val="tx1"/>
                  </w14:solidFill>
                </w14:textFill>
              </w:rPr>
              <w:t>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000000" w:themeColor="text1"/>
                <w:spacing w:val="6"/>
                <w:sz w:val="24"/>
                <w:szCs w:val="24"/>
                <w14:textFill>
                  <w14:solidFill>
                    <w14:schemeClr w14:val="tx1"/>
                  </w14:solidFill>
                </w14:textFill>
              </w:rPr>
              <w:t>。</w:t>
            </w:r>
          </w:p>
          <w:p w14:paraId="34D68181">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7、如</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000000" w:themeColor="text1"/>
                <w:spacing w:val="6"/>
                <w:sz w:val="24"/>
                <w:szCs w:val="24"/>
                <w14:textFill>
                  <w14:solidFill>
                    <w14:schemeClr w14:val="tx1"/>
                  </w14:solidFill>
                </w14:textFill>
              </w:rPr>
              <w:t>对需要回复的响应人连续三次致电未接通的，视为响应人放弃回复，</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000000" w:themeColor="text1"/>
                <w:spacing w:val="6"/>
                <w:sz w:val="24"/>
                <w:szCs w:val="24"/>
                <w14:textFill>
                  <w14:solidFill>
                    <w14:schemeClr w14:val="tx1"/>
                  </w14:solidFill>
                </w14:textFill>
              </w:rPr>
              <w:t>将自行对需要回复的内容进行认定。</w:t>
            </w:r>
          </w:p>
          <w:p w14:paraId="5608F878">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二、资格审查资料</w:t>
            </w:r>
          </w:p>
          <w:p w14:paraId="419C1C15">
            <w:pPr>
              <w:autoSpaceDE w:val="0"/>
              <w:autoSpaceDN w:val="0"/>
              <w:adjustRightInd w:val="0"/>
              <w:jc w:val="left"/>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本项目实行资格后审，资格评审以响应文件为准，其上传资料真实性由</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color w:val="000000" w:themeColor="text1"/>
                <w:spacing w:val="6"/>
                <w:sz w:val="24"/>
                <w:szCs w:val="24"/>
                <w14:textFill>
                  <w14:solidFill>
                    <w14:schemeClr w14:val="tx1"/>
                  </w14:solidFill>
                </w14:textFill>
              </w:rPr>
              <w:t>自行承担，同时，</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eastAsia="宋体" w:cs="宋体"/>
                <w:color w:val="000000" w:themeColor="text1"/>
                <w:spacing w:val="6"/>
                <w:sz w:val="24"/>
                <w:szCs w:val="24"/>
                <w14:textFill>
                  <w14:solidFill>
                    <w14:schemeClr w14:val="tx1"/>
                  </w14:solidFill>
                </w14:textFill>
              </w:rPr>
              <w:t>要完善主体库。提示：本项目为电子化、无纸化交易项目，为保证您能投标成功，请需仔细阅读以上条款。</w:t>
            </w:r>
          </w:p>
        </w:tc>
      </w:tr>
    </w:tbl>
    <w:p w14:paraId="05E8CB9A">
      <w:pPr>
        <w:spacing w:line="440" w:lineRule="exact"/>
        <w:jc w:val="both"/>
        <w:rPr>
          <w:rFonts w:hint="eastAsia" w:ascii="宋体" w:hAnsi="宋体" w:eastAsia="宋体" w:cs="宋体"/>
          <w:b/>
          <w:bCs/>
          <w:color w:val="auto"/>
          <w:sz w:val="28"/>
          <w:szCs w:val="24"/>
        </w:rPr>
      </w:pPr>
    </w:p>
    <w:p w14:paraId="58EA8AFB">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1.总则</w:t>
      </w:r>
    </w:p>
    <w:p w14:paraId="29F62458">
      <w:pPr>
        <w:widowControl/>
        <w:kinsoku w:val="0"/>
        <w:autoSpaceDE w:val="0"/>
        <w:autoSpaceDN w:val="0"/>
        <w:adjustRightInd w:val="0"/>
        <w:snapToGrid w:val="0"/>
        <w:spacing w:line="360" w:lineRule="auto"/>
        <w:ind w:firstLine="486" w:firstLineChars="200"/>
        <w:jc w:val="left"/>
        <w:textAlignment w:val="baseline"/>
        <w:rPr>
          <w:rFonts w:hint="eastAsia" w:ascii="宋体" w:hAnsi="宋体" w:eastAsia="宋体" w:cs="宋体"/>
          <w:b/>
          <w:snapToGrid w:val="0"/>
          <w:color w:val="auto"/>
          <w:kern w:val="0"/>
          <w:sz w:val="24"/>
          <w:szCs w:val="24"/>
        </w:rPr>
      </w:pPr>
      <w:r>
        <w:rPr>
          <w:rFonts w:hint="eastAsia" w:ascii="宋体" w:hAnsi="宋体" w:eastAsia="宋体" w:cs="宋体"/>
          <w:b/>
          <w:bCs/>
          <w:snapToGrid w:val="0"/>
          <w:color w:val="auto"/>
          <w:spacing w:val="1"/>
          <w:kern w:val="0"/>
          <w:sz w:val="24"/>
          <w:szCs w:val="24"/>
        </w:rPr>
        <w:t>1.</w:t>
      </w:r>
      <w:r>
        <w:rPr>
          <w:rFonts w:hint="eastAsia" w:ascii="宋体" w:hAnsi="宋体" w:eastAsia="宋体" w:cs="宋体"/>
          <w:b/>
          <w:bCs/>
          <w:snapToGrid w:val="0"/>
          <w:color w:val="auto"/>
          <w:kern w:val="0"/>
          <w:sz w:val="24"/>
          <w:szCs w:val="24"/>
        </w:rPr>
        <w:t>1</w:t>
      </w:r>
      <w:r>
        <w:rPr>
          <w:rFonts w:hint="eastAsia" w:ascii="宋体" w:hAnsi="宋体" w:eastAsia="宋体" w:cs="宋体"/>
          <w:b/>
          <w:snapToGrid w:val="0"/>
          <w:color w:val="auto"/>
          <w:kern w:val="0"/>
          <w:sz w:val="24"/>
          <w:szCs w:val="24"/>
        </w:rPr>
        <w:t>项目概况</w:t>
      </w:r>
    </w:p>
    <w:p w14:paraId="6A6AFCB1">
      <w:pPr>
        <w:widowControl/>
        <w:kinsoku w:val="0"/>
        <w:autoSpaceDE w:val="0"/>
        <w:autoSpaceDN w:val="0"/>
        <w:adjustRightInd w:val="0"/>
        <w:snapToGrid w:val="0"/>
        <w:spacing w:line="360" w:lineRule="auto"/>
        <w:ind w:left="37" w:right="24" w:firstLine="496" w:firstLineChars="200"/>
        <w:jc w:val="left"/>
        <w:textAlignment w:val="baseline"/>
        <w:rPr>
          <w:rFonts w:hint="eastAsia" w:ascii="宋体" w:hAnsi="宋体" w:eastAsia="宋体" w:cs="宋体"/>
          <w:snapToGrid w:val="0"/>
          <w:color w:val="auto"/>
          <w:spacing w:val="1"/>
          <w:kern w:val="0"/>
          <w:sz w:val="24"/>
          <w:szCs w:val="24"/>
        </w:rPr>
      </w:pPr>
      <w:r>
        <w:rPr>
          <w:rFonts w:hint="eastAsia" w:ascii="宋体" w:hAnsi="宋体" w:eastAsia="宋体" w:cs="宋体"/>
          <w:snapToGrid w:val="0"/>
          <w:color w:val="auto"/>
          <w:spacing w:val="4"/>
          <w:kern w:val="0"/>
          <w:sz w:val="24"/>
          <w:szCs w:val="24"/>
        </w:rPr>
        <w:t>1.1.1</w:t>
      </w:r>
      <w:r>
        <w:rPr>
          <w:rFonts w:hint="eastAsia" w:ascii="宋体" w:hAnsi="宋体" w:eastAsia="宋体" w:cs="宋体"/>
          <w:snapToGrid w:val="0"/>
          <w:color w:val="auto"/>
          <w:spacing w:val="2"/>
          <w:kern w:val="0"/>
          <w:sz w:val="24"/>
          <w:szCs w:val="24"/>
        </w:rPr>
        <w:t>本项目</w:t>
      </w:r>
      <w:r>
        <w:rPr>
          <w:rFonts w:hint="eastAsia" w:ascii="宋体" w:hAnsi="宋体" w:eastAsia="宋体" w:cs="宋体"/>
          <w:snapToGrid w:val="0"/>
          <w:color w:val="auto"/>
          <w:spacing w:val="2"/>
          <w:kern w:val="0"/>
          <w:sz w:val="24"/>
          <w:szCs w:val="24"/>
          <w:lang w:eastAsia="zh-CN"/>
        </w:rPr>
        <w:t>参照</w:t>
      </w:r>
      <w:r>
        <w:rPr>
          <w:rFonts w:hint="eastAsia" w:ascii="宋体" w:hAnsi="宋体" w:eastAsia="宋体" w:cs="宋体"/>
          <w:snapToGrid w:val="0"/>
          <w:color w:val="auto"/>
          <w:spacing w:val="-4"/>
          <w:kern w:val="0"/>
          <w:sz w:val="24"/>
          <w:szCs w:val="24"/>
        </w:rPr>
        <w:t>《中华人民共和国政府采购法》《中华人民共和国</w:t>
      </w:r>
      <w:r>
        <w:rPr>
          <w:rFonts w:hint="eastAsia" w:ascii="宋体" w:hAnsi="宋体" w:eastAsia="宋体" w:cs="宋体"/>
          <w:snapToGrid w:val="0"/>
          <w:color w:val="auto"/>
          <w:spacing w:val="-3"/>
          <w:kern w:val="0"/>
          <w:sz w:val="24"/>
          <w:szCs w:val="24"/>
        </w:rPr>
        <w:t>政</w:t>
      </w:r>
      <w:r>
        <w:rPr>
          <w:rFonts w:hint="eastAsia" w:ascii="宋体" w:hAnsi="宋体" w:eastAsia="宋体" w:cs="宋体"/>
          <w:snapToGrid w:val="0"/>
          <w:color w:val="auto"/>
          <w:spacing w:val="1"/>
          <w:kern w:val="0"/>
          <w:sz w:val="24"/>
          <w:szCs w:val="24"/>
        </w:rPr>
        <w:t>府采购法实施条例》等有关法律、法规和规章的规定</w:t>
      </w:r>
      <w:r>
        <w:rPr>
          <w:rFonts w:hint="eastAsia" w:ascii="宋体" w:hAnsi="宋体" w:eastAsia="宋体" w:cs="宋体"/>
          <w:snapToGrid w:val="0"/>
          <w:color w:val="auto"/>
          <w:spacing w:val="-7"/>
          <w:kern w:val="0"/>
          <w:sz w:val="24"/>
          <w:szCs w:val="24"/>
        </w:rPr>
        <w:t>，</w:t>
      </w:r>
      <w:r>
        <w:rPr>
          <w:rFonts w:hint="eastAsia" w:ascii="宋体" w:hAnsi="宋体" w:eastAsia="宋体" w:cs="宋体"/>
          <w:snapToGrid w:val="0"/>
          <w:color w:val="auto"/>
          <w:spacing w:val="2"/>
          <w:kern w:val="0"/>
          <w:sz w:val="24"/>
          <w:szCs w:val="24"/>
        </w:rPr>
        <w:t>本</w:t>
      </w:r>
      <w:r>
        <w:rPr>
          <w:rFonts w:hint="eastAsia" w:ascii="宋体" w:hAnsi="宋体" w:cs="宋体"/>
          <w:snapToGrid w:val="0"/>
          <w:color w:val="auto"/>
          <w:spacing w:val="2"/>
          <w:kern w:val="0"/>
          <w:sz w:val="24"/>
          <w:szCs w:val="24"/>
          <w:lang w:eastAsia="zh-CN"/>
        </w:rPr>
        <w:t>磋商</w:t>
      </w:r>
      <w:r>
        <w:rPr>
          <w:rFonts w:hint="eastAsia" w:ascii="宋体" w:hAnsi="宋体" w:eastAsia="宋体" w:cs="宋体"/>
          <w:snapToGrid w:val="0"/>
          <w:color w:val="auto"/>
          <w:spacing w:val="-5"/>
          <w:kern w:val="0"/>
          <w:sz w:val="24"/>
          <w:szCs w:val="24"/>
        </w:rPr>
        <w:t>项目已具备</w:t>
      </w:r>
      <w:r>
        <w:rPr>
          <w:rFonts w:hint="eastAsia" w:ascii="宋体" w:hAnsi="宋体" w:cs="宋体"/>
          <w:snapToGrid w:val="0"/>
          <w:color w:val="auto"/>
          <w:spacing w:val="-5"/>
          <w:kern w:val="0"/>
          <w:sz w:val="24"/>
          <w:szCs w:val="24"/>
          <w:lang w:eastAsia="zh-CN"/>
        </w:rPr>
        <w:t>磋商</w:t>
      </w:r>
      <w:r>
        <w:rPr>
          <w:rFonts w:hint="eastAsia" w:ascii="宋体" w:hAnsi="宋体" w:eastAsia="宋体" w:cs="宋体"/>
          <w:snapToGrid w:val="0"/>
          <w:color w:val="auto"/>
          <w:spacing w:val="-5"/>
          <w:kern w:val="0"/>
          <w:sz w:val="24"/>
          <w:szCs w:val="24"/>
        </w:rPr>
        <w:t>条件，现对本项目进行</w:t>
      </w:r>
      <w:r>
        <w:rPr>
          <w:rFonts w:hint="eastAsia" w:ascii="宋体" w:hAnsi="宋体" w:cs="宋体"/>
          <w:snapToGrid w:val="0"/>
          <w:color w:val="auto"/>
          <w:spacing w:val="-5"/>
          <w:kern w:val="0"/>
          <w:sz w:val="24"/>
          <w:szCs w:val="24"/>
          <w:lang w:val="en-US" w:eastAsia="zh-CN"/>
        </w:rPr>
        <w:t>竞争性磋商</w:t>
      </w:r>
      <w:r>
        <w:rPr>
          <w:rFonts w:hint="eastAsia" w:ascii="宋体" w:hAnsi="宋体" w:eastAsia="宋体" w:cs="宋体"/>
          <w:snapToGrid w:val="0"/>
          <w:color w:val="auto"/>
          <w:spacing w:val="-4"/>
          <w:kern w:val="0"/>
          <w:sz w:val="24"/>
          <w:szCs w:val="24"/>
        </w:rPr>
        <w:t>。</w:t>
      </w:r>
    </w:p>
    <w:p w14:paraId="119AC155">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1.1.2采购人</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见</w:t>
      </w:r>
      <w:r>
        <w:rPr>
          <w:rFonts w:hint="eastAsia" w:ascii="宋体" w:hAnsi="宋体" w:eastAsia="宋体" w:cs="宋体"/>
          <w:color w:val="auto"/>
          <w:spacing w:val="-2"/>
          <w:kern w:val="0"/>
          <w:sz w:val="24"/>
          <w:szCs w:val="24"/>
        </w:rPr>
        <w:t>投标供应商须</w:t>
      </w:r>
      <w:r>
        <w:rPr>
          <w:rFonts w:hint="eastAsia" w:ascii="宋体" w:hAnsi="宋体" w:eastAsia="宋体" w:cs="宋体"/>
          <w:color w:val="auto"/>
          <w:kern w:val="0"/>
          <w:sz w:val="24"/>
          <w:szCs w:val="24"/>
        </w:rPr>
        <w:t>知前</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表。</w:t>
      </w:r>
    </w:p>
    <w:p w14:paraId="558BA524">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1.1.3采购代</w:t>
      </w:r>
      <w:r>
        <w:rPr>
          <w:rFonts w:hint="eastAsia" w:ascii="宋体" w:hAnsi="宋体" w:eastAsia="宋体" w:cs="宋体"/>
          <w:color w:val="auto"/>
          <w:spacing w:val="-2"/>
          <w:kern w:val="0"/>
          <w:sz w:val="24"/>
          <w:szCs w:val="24"/>
        </w:rPr>
        <w:t>理</w:t>
      </w:r>
      <w:r>
        <w:rPr>
          <w:rFonts w:hint="eastAsia" w:ascii="宋体" w:hAnsi="宋体" w:eastAsia="宋体" w:cs="宋体"/>
          <w:color w:val="auto"/>
          <w:kern w:val="0"/>
          <w:sz w:val="24"/>
          <w:szCs w:val="24"/>
        </w:rPr>
        <w:t>机</w:t>
      </w:r>
      <w:r>
        <w:rPr>
          <w:rFonts w:hint="eastAsia" w:ascii="宋体" w:hAnsi="宋体" w:eastAsia="宋体" w:cs="宋体"/>
          <w:color w:val="auto"/>
          <w:spacing w:val="-2"/>
          <w:kern w:val="0"/>
          <w:sz w:val="24"/>
          <w:szCs w:val="24"/>
        </w:rPr>
        <w:t>构</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见投标供应商须</w:t>
      </w:r>
      <w:r>
        <w:rPr>
          <w:rFonts w:hint="eastAsia" w:ascii="宋体" w:hAnsi="宋体" w:eastAsia="宋体" w:cs="宋体"/>
          <w:color w:val="auto"/>
          <w:kern w:val="0"/>
          <w:sz w:val="24"/>
          <w:szCs w:val="24"/>
        </w:rPr>
        <w:t>知</w:t>
      </w:r>
      <w:r>
        <w:rPr>
          <w:rFonts w:hint="eastAsia" w:ascii="宋体" w:hAnsi="宋体" w:eastAsia="宋体" w:cs="宋体"/>
          <w:color w:val="auto"/>
          <w:spacing w:val="-2"/>
          <w:kern w:val="0"/>
          <w:sz w:val="24"/>
          <w:szCs w:val="24"/>
        </w:rPr>
        <w:t>前</w:t>
      </w:r>
      <w:r>
        <w:rPr>
          <w:rFonts w:hint="eastAsia" w:ascii="宋体" w:hAnsi="宋体" w:eastAsia="宋体" w:cs="宋体"/>
          <w:color w:val="auto"/>
          <w:kern w:val="0"/>
          <w:sz w:val="24"/>
          <w:szCs w:val="24"/>
        </w:rPr>
        <w:t>附</w:t>
      </w:r>
      <w:r>
        <w:rPr>
          <w:rFonts w:hint="eastAsia" w:ascii="宋体" w:hAnsi="宋体" w:eastAsia="宋体" w:cs="宋体"/>
          <w:color w:val="auto"/>
          <w:spacing w:val="-2"/>
          <w:kern w:val="0"/>
          <w:sz w:val="24"/>
          <w:szCs w:val="24"/>
        </w:rPr>
        <w:t>表</w:t>
      </w:r>
      <w:r>
        <w:rPr>
          <w:rFonts w:hint="eastAsia" w:ascii="宋体" w:hAnsi="宋体" w:eastAsia="宋体" w:cs="宋体"/>
          <w:color w:val="auto"/>
          <w:kern w:val="0"/>
          <w:sz w:val="24"/>
          <w:szCs w:val="24"/>
        </w:rPr>
        <w:t>。</w:t>
      </w:r>
    </w:p>
    <w:p w14:paraId="2E9A4460">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1.1.4采购项目名称：见投标供应商须知前附表。</w:t>
      </w:r>
    </w:p>
    <w:p w14:paraId="4015A339">
      <w:pPr>
        <w:spacing w:line="360" w:lineRule="auto"/>
        <w:ind w:firstLine="478" w:firstLineChars="200"/>
        <w:rPr>
          <w:rFonts w:hint="eastAsia" w:ascii="宋体" w:hAnsi="宋体" w:eastAsia="宋体" w:cs="宋体"/>
          <w:b/>
          <w:bCs/>
          <w:color w:val="auto"/>
          <w:sz w:val="24"/>
          <w:szCs w:val="24"/>
        </w:rPr>
      </w:pPr>
      <w:r>
        <w:rPr>
          <w:rFonts w:hint="eastAsia" w:ascii="宋体" w:hAnsi="宋体" w:eastAsia="宋体" w:cs="宋体"/>
          <w:b/>
          <w:bCs/>
          <w:color w:val="auto"/>
          <w:spacing w:val="-1"/>
          <w:sz w:val="24"/>
          <w:szCs w:val="24"/>
        </w:rPr>
        <w:t>1.2</w:t>
      </w:r>
      <w:r>
        <w:rPr>
          <w:rFonts w:hint="eastAsia" w:ascii="宋体" w:hAnsi="宋体" w:eastAsia="宋体" w:cs="宋体"/>
          <w:b/>
          <w:color w:val="auto"/>
          <w:spacing w:val="-1"/>
          <w:sz w:val="24"/>
          <w:szCs w:val="24"/>
        </w:rPr>
        <w:t>资</w:t>
      </w:r>
      <w:r>
        <w:rPr>
          <w:rFonts w:hint="eastAsia" w:ascii="宋体" w:hAnsi="宋体" w:eastAsia="宋体" w:cs="宋体"/>
          <w:b/>
          <w:color w:val="auto"/>
          <w:sz w:val="24"/>
          <w:szCs w:val="24"/>
        </w:rPr>
        <w:t>金来源和落实情况</w:t>
      </w:r>
    </w:p>
    <w:p w14:paraId="68AA7949">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1.2.1资</w:t>
      </w:r>
      <w:r>
        <w:rPr>
          <w:rFonts w:hint="eastAsia" w:ascii="宋体" w:hAnsi="宋体" w:eastAsia="宋体" w:cs="宋体"/>
          <w:color w:val="auto"/>
          <w:spacing w:val="-2"/>
          <w:kern w:val="0"/>
          <w:sz w:val="24"/>
          <w:szCs w:val="24"/>
        </w:rPr>
        <w:t>金</w:t>
      </w:r>
      <w:r>
        <w:rPr>
          <w:rFonts w:hint="eastAsia" w:ascii="宋体" w:hAnsi="宋体" w:eastAsia="宋体" w:cs="宋体"/>
          <w:color w:val="auto"/>
          <w:kern w:val="0"/>
          <w:sz w:val="24"/>
          <w:szCs w:val="24"/>
        </w:rPr>
        <w:t>来</w:t>
      </w:r>
      <w:r>
        <w:rPr>
          <w:rFonts w:hint="eastAsia" w:ascii="宋体" w:hAnsi="宋体" w:eastAsia="宋体" w:cs="宋体"/>
          <w:color w:val="auto"/>
          <w:spacing w:val="-2"/>
          <w:kern w:val="0"/>
          <w:sz w:val="24"/>
          <w:szCs w:val="24"/>
        </w:rPr>
        <w:t>源</w:t>
      </w:r>
      <w:r>
        <w:rPr>
          <w:rFonts w:hint="eastAsia" w:ascii="宋体" w:hAnsi="宋体" w:eastAsia="宋体" w:cs="宋体"/>
          <w:color w:val="auto"/>
          <w:kern w:val="0"/>
          <w:sz w:val="24"/>
          <w:szCs w:val="24"/>
        </w:rPr>
        <w:t>及</w:t>
      </w:r>
      <w:r>
        <w:rPr>
          <w:rFonts w:hint="eastAsia" w:ascii="宋体" w:hAnsi="宋体" w:eastAsia="宋体" w:cs="宋体"/>
          <w:color w:val="auto"/>
          <w:spacing w:val="-2"/>
          <w:kern w:val="0"/>
          <w:sz w:val="24"/>
          <w:szCs w:val="24"/>
        </w:rPr>
        <w:t>比</w:t>
      </w:r>
      <w:r>
        <w:rPr>
          <w:rFonts w:hint="eastAsia" w:ascii="宋体" w:hAnsi="宋体" w:eastAsia="宋体" w:cs="宋体"/>
          <w:color w:val="auto"/>
          <w:kern w:val="0"/>
          <w:sz w:val="24"/>
          <w:szCs w:val="24"/>
        </w:rPr>
        <w:t>例</w:t>
      </w:r>
      <w:r>
        <w:rPr>
          <w:rFonts w:hint="eastAsia" w:ascii="宋体" w:hAnsi="宋体" w:eastAsia="宋体" w:cs="宋体"/>
          <w:color w:val="auto"/>
          <w:spacing w:val="-2"/>
          <w:kern w:val="0"/>
          <w:sz w:val="24"/>
          <w:szCs w:val="24"/>
        </w:rPr>
        <w:t>：见</w:t>
      </w:r>
      <w:r>
        <w:rPr>
          <w:rFonts w:hint="eastAsia" w:ascii="宋体" w:hAnsi="宋体" w:eastAsia="宋体" w:cs="宋体"/>
          <w:color w:val="auto"/>
          <w:kern w:val="0"/>
          <w:sz w:val="24"/>
          <w:szCs w:val="24"/>
        </w:rPr>
        <w:t>投标供应商须</w:t>
      </w:r>
      <w:r>
        <w:rPr>
          <w:rFonts w:hint="eastAsia" w:ascii="宋体" w:hAnsi="宋体" w:eastAsia="宋体" w:cs="宋体"/>
          <w:color w:val="auto"/>
          <w:spacing w:val="-2"/>
          <w:kern w:val="0"/>
          <w:sz w:val="24"/>
          <w:szCs w:val="24"/>
        </w:rPr>
        <w:t>知</w:t>
      </w:r>
      <w:r>
        <w:rPr>
          <w:rFonts w:hint="eastAsia" w:ascii="宋体" w:hAnsi="宋体" w:eastAsia="宋体" w:cs="宋体"/>
          <w:color w:val="auto"/>
          <w:kern w:val="0"/>
          <w:sz w:val="24"/>
          <w:szCs w:val="24"/>
        </w:rPr>
        <w:t>前</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表。</w:t>
      </w:r>
    </w:p>
    <w:p w14:paraId="6ABECD67">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1.2.2资</w:t>
      </w:r>
      <w:r>
        <w:rPr>
          <w:rFonts w:hint="eastAsia" w:ascii="宋体" w:hAnsi="宋体" w:eastAsia="宋体" w:cs="宋体"/>
          <w:color w:val="auto"/>
          <w:spacing w:val="-2"/>
          <w:kern w:val="0"/>
          <w:sz w:val="24"/>
          <w:szCs w:val="24"/>
        </w:rPr>
        <w:t>金</w:t>
      </w:r>
      <w:r>
        <w:rPr>
          <w:rFonts w:hint="eastAsia" w:ascii="宋体" w:hAnsi="宋体" w:eastAsia="宋体" w:cs="宋体"/>
          <w:color w:val="auto"/>
          <w:kern w:val="0"/>
          <w:sz w:val="24"/>
          <w:szCs w:val="24"/>
        </w:rPr>
        <w:t>落</w:t>
      </w:r>
      <w:r>
        <w:rPr>
          <w:rFonts w:hint="eastAsia" w:ascii="宋体" w:hAnsi="宋体" w:eastAsia="宋体" w:cs="宋体"/>
          <w:color w:val="auto"/>
          <w:spacing w:val="-2"/>
          <w:kern w:val="0"/>
          <w:sz w:val="24"/>
          <w:szCs w:val="24"/>
        </w:rPr>
        <w:t>实</w:t>
      </w:r>
      <w:r>
        <w:rPr>
          <w:rFonts w:hint="eastAsia" w:ascii="宋体" w:hAnsi="宋体" w:eastAsia="宋体" w:cs="宋体"/>
          <w:color w:val="auto"/>
          <w:kern w:val="0"/>
          <w:sz w:val="24"/>
          <w:szCs w:val="24"/>
        </w:rPr>
        <w:t>情</w:t>
      </w:r>
      <w:r>
        <w:rPr>
          <w:rFonts w:hint="eastAsia" w:ascii="宋体" w:hAnsi="宋体" w:eastAsia="宋体" w:cs="宋体"/>
          <w:color w:val="auto"/>
          <w:spacing w:val="-2"/>
          <w:kern w:val="0"/>
          <w:sz w:val="24"/>
          <w:szCs w:val="24"/>
        </w:rPr>
        <w:t>况</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见投标供应商须</w:t>
      </w:r>
      <w:r>
        <w:rPr>
          <w:rFonts w:hint="eastAsia" w:ascii="宋体" w:hAnsi="宋体" w:eastAsia="宋体" w:cs="宋体"/>
          <w:color w:val="auto"/>
          <w:kern w:val="0"/>
          <w:sz w:val="24"/>
          <w:szCs w:val="24"/>
        </w:rPr>
        <w:t>知</w:t>
      </w:r>
      <w:r>
        <w:rPr>
          <w:rFonts w:hint="eastAsia" w:ascii="宋体" w:hAnsi="宋体" w:eastAsia="宋体" w:cs="宋体"/>
          <w:color w:val="auto"/>
          <w:spacing w:val="-2"/>
          <w:kern w:val="0"/>
          <w:sz w:val="24"/>
          <w:szCs w:val="24"/>
        </w:rPr>
        <w:t>前</w:t>
      </w:r>
      <w:r>
        <w:rPr>
          <w:rFonts w:hint="eastAsia" w:ascii="宋体" w:hAnsi="宋体" w:eastAsia="宋体" w:cs="宋体"/>
          <w:color w:val="auto"/>
          <w:kern w:val="0"/>
          <w:sz w:val="24"/>
          <w:szCs w:val="24"/>
        </w:rPr>
        <w:t>附</w:t>
      </w:r>
      <w:r>
        <w:rPr>
          <w:rFonts w:hint="eastAsia" w:ascii="宋体" w:hAnsi="宋体" w:eastAsia="宋体" w:cs="宋体"/>
          <w:color w:val="auto"/>
          <w:spacing w:val="-2"/>
          <w:kern w:val="0"/>
          <w:sz w:val="24"/>
          <w:szCs w:val="24"/>
        </w:rPr>
        <w:t>表</w:t>
      </w:r>
      <w:r>
        <w:rPr>
          <w:rFonts w:hint="eastAsia" w:ascii="宋体" w:hAnsi="宋体" w:eastAsia="宋体" w:cs="宋体"/>
          <w:color w:val="auto"/>
          <w:kern w:val="0"/>
          <w:sz w:val="24"/>
          <w:szCs w:val="24"/>
        </w:rPr>
        <w:t>。</w:t>
      </w:r>
    </w:p>
    <w:p w14:paraId="48246E2E">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lang w:eastAsia="zh-CN"/>
        </w:rPr>
      </w:pPr>
      <w:r>
        <w:rPr>
          <w:rFonts w:hint="eastAsia" w:ascii="宋体" w:hAnsi="宋体" w:eastAsia="宋体" w:cs="宋体"/>
          <w:b/>
          <w:color w:val="auto"/>
          <w:spacing w:val="1"/>
          <w:kern w:val="0"/>
          <w:sz w:val="24"/>
          <w:szCs w:val="24"/>
        </w:rPr>
        <w:t>1</w:t>
      </w:r>
      <w:r>
        <w:rPr>
          <w:rFonts w:hint="eastAsia" w:ascii="宋体" w:hAnsi="宋体" w:eastAsia="宋体" w:cs="宋体"/>
          <w:b/>
          <w:color w:val="auto"/>
          <w:kern w:val="0"/>
          <w:sz w:val="24"/>
          <w:szCs w:val="24"/>
        </w:rPr>
        <w:t>.3采购范</w:t>
      </w:r>
      <w:r>
        <w:rPr>
          <w:rFonts w:hint="eastAsia" w:ascii="宋体" w:hAnsi="宋体" w:eastAsia="宋体" w:cs="宋体"/>
          <w:b/>
          <w:color w:val="auto"/>
          <w:spacing w:val="-3"/>
          <w:kern w:val="0"/>
          <w:sz w:val="24"/>
          <w:szCs w:val="24"/>
        </w:rPr>
        <w:t>围</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eastAsia="zh-CN"/>
        </w:rPr>
        <w:t>服务</w:t>
      </w:r>
      <w:r>
        <w:rPr>
          <w:rFonts w:hint="eastAsia" w:ascii="宋体" w:hAnsi="宋体" w:cs="宋体"/>
          <w:b/>
          <w:color w:val="auto"/>
          <w:kern w:val="0"/>
          <w:sz w:val="24"/>
          <w:szCs w:val="24"/>
          <w:lang w:val="en-US" w:eastAsia="zh-CN"/>
        </w:rPr>
        <w:t>周期</w:t>
      </w:r>
      <w:r>
        <w:rPr>
          <w:rFonts w:hint="eastAsia" w:ascii="宋体" w:hAnsi="宋体" w:eastAsia="宋体" w:cs="宋体"/>
          <w:b/>
          <w:color w:val="auto"/>
          <w:kern w:val="0"/>
          <w:sz w:val="24"/>
          <w:szCs w:val="24"/>
        </w:rPr>
        <w:t>、</w:t>
      </w:r>
      <w:r>
        <w:rPr>
          <w:rFonts w:hint="eastAsia" w:ascii="宋体" w:hAnsi="宋体" w:eastAsia="宋体" w:cs="宋体"/>
          <w:b/>
          <w:color w:val="auto"/>
          <w:spacing w:val="-3"/>
          <w:kern w:val="0"/>
          <w:sz w:val="24"/>
          <w:szCs w:val="24"/>
        </w:rPr>
        <w:t>质量要求</w:t>
      </w:r>
      <w:r>
        <w:rPr>
          <w:rFonts w:hint="eastAsia" w:ascii="宋体" w:hAnsi="宋体" w:cs="宋体"/>
          <w:b/>
          <w:color w:val="auto"/>
          <w:spacing w:val="-3"/>
          <w:kern w:val="0"/>
          <w:sz w:val="24"/>
          <w:szCs w:val="24"/>
          <w:lang w:eastAsia="zh-CN"/>
        </w:rPr>
        <w:t>、</w:t>
      </w:r>
      <w:r>
        <w:rPr>
          <w:rFonts w:hint="eastAsia" w:ascii="宋体" w:hAnsi="宋体" w:eastAsia="宋体" w:cs="宋体"/>
          <w:b/>
          <w:color w:val="auto"/>
          <w:spacing w:val="-3"/>
          <w:kern w:val="0"/>
          <w:sz w:val="24"/>
          <w:szCs w:val="24"/>
        </w:rPr>
        <w:t>合同履约期限</w:t>
      </w:r>
    </w:p>
    <w:p w14:paraId="19919F7F">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1.3.1采购范</w:t>
      </w:r>
      <w:r>
        <w:rPr>
          <w:rFonts w:hint="eastAsia" w:ascii="宋体" w:hAnsi="宋体" w:eastAsia="宋体" w:cs="宋体"/>
          <w:color w:val="auto"/>
          <w:spacing w:val="-2"/>
          <w:kern w:val="0"/>
          <w:sz w:val="24"/>
          <w:szCs w:val="24"/>
        </w:rPr>
        <w:t>围</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见</w:t>
      </w:r>
      <w:r>
        <w:rPr>
          <w:rFonts w:hint="eastAsia" w:ascii="宋体" w:hAnsi="宋体" w:eastAsia="宋体" w:cs="宋体"/>
          <w:color w:val="auto"/>
          <w:kern w:val="0"/>
          <w:sz w:val="24"/>
          <w:szCs w:val="24"/>
        </w:rPr>
        <w:t>投标供应商须知</w:t>
      </w:r>
      <w:r>
        <w:rPr>
          <w:rFonts w:hint="eastAsia" w:ascii="宋体" w:hAnsi="宋体" w:eastAsia="宋体" w:cs="宋体"/>
          <w:color w:val="auto"/>
          <w:spacing w:val="-2"/>
          <w:kern w:val="0"/>
          <w:sz w:val="24"/>
          <w:szCs w:val="24"/>
        </w:rPr>
        <w:t>前</w:t>
      </w:r>
      <w:r>
        <w:rPr>
          <w:rFonts w:hint="eastAsia" w:ascii="宋体" w:hAnsi="宋体" w:eastAsia="宋体" w:cs="宋体"/>
          <w:color w:val="auto"/>
          <w:kern w:val="0"/>
          <w:sz w:val="24"/>
          <w:szCs w:val="24"/>
        </w:rPr>
        <w:t>附</w:t>
      </w:r>
      <w:r>
        <w:rPr>
          <w:rFonts w:hint="eastAsia" w:ascii="宋体" w:hAnsi="宋体" w:eastAsia="宋体" w:cs="宋体"/>
          <w:color w:val="auto"/>
          <w:spacing w:val="-2"/>
          <w:kern w:val="0"/>
          <w:sz w:val="24"/>
          <w:szCs w:val="24"/>
        </w:rPr>
        <w:t>表</w:t>
      </w:r>
      <w:r>
        <w:rPr>
          <w:rFonts w:hint="eastAsia" w:ascii="宋体" w:hAnsi="宋体" w:eastAsia="宋体" w:cs="宋体"/>
          <w:color w:val="auto"/>
          <w:kern w:val="0"/>
          <w:sz w:val="24"/>
          <w:szCs w:val="24"/>
        </w:rPr>
        <w:t>。</w:t>
      </w:r>
    </w:p>
    <w:p w14:paraId="25621832">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1.3.2</w:t>
      </w:r>
      <w:r>
        <w:rPr>
          <w:rFonts w:hint="eastAsia" w:ascii="宋体" w:hAnsi="宋体" w:eastAsia="宋体" w:cs="宋体"/>
          <w:color w:val="auto"/>
          <w:kern w:val="0"/>
          <w:sz w:val="24"/>
          <w:szCs w:val="24"/>
          <w:lang w:eastAsia="zh-CN"/>
        </w:rPr>
        <w:t>服务</w:t>
      </w:r>
      <w:r>
        <w:rPr>
          <w:rFonts w:hint="eastAsia" w:ascii="宋体" w:hAnsi="宋体" w:cs="宋体"/>
          <w:color w:val="auto"/>
          <w:kern w:val="0"/>
          <w:sz w:val="24"/>
          <w:szCs w:val="24"/>
          <w:lang w:val="en-US" w:eastAsia="zh-CN"/>
        </w:rPr>
        <w:t>周期</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见</w:t>
      </w:r>
      <w:r>
        <w:rPr>
          <w:rFonts w:hint="eastAsia" w:ascii="宋体" w:hAnsi="宋体" w:eastAsia="宋体" w:cs="宋体"/>
          <w:color w:val="auto"/>
          <w:spacing w:val="-2"/>
          <w:kern w:val="0"/>
          <w:sz w:val="24"/>
          <w:szCs w:val="24"/>
        </w:rPr>
        <w:t>投标供应商须</w:t>
      </w:r>
      <w:r>
        <w:rPr>
          <w:rFonts w:hint="eastAsia" w:ascii="宋体" w:hAnsi="宋体" w:eastAsia="宋体" w:cs="宋体"/>
          <w:color w:val="auto"/>
          <w:kern w:val="0"/>
          <w:sz w:val="24"/>
          <w:szCs w:val="24"/>
        </w:rPr>
        <w:t>知前</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表。</w:t>
      </w:r>
    </w:p>
    <w:p w14:paraId="254E8231">
      <w:p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bCs/>
          <w:color w:val="auto"/>
          <w:sz w:val="24"/>
          <w:szCs w:val="24"/>
        </w:rPr>
        <w:t>1.3.</w:t>
      </w:r>
      <w:r>
        <w:rPr>
          <w:rFonts w:hint="eastAsia" w:ascii="宋体" w:hAnsi="宋体" w:cs="宋体"/>
          <w:bCs/>
          <w:color w:val="auto"/>
          <w:sz w:val="24"/>
          <w:szCs w:val="24"/>
          <w:lang w:val="en-US" w:eastAsia="zh-CN"/>
        </w:rPr>
        <w:t>3</w:t>
      </w:r>
      <w:r>
        <w:rPr>
          <w:rFonts w:hint="eastAsia" w:ascii="宋体" w:hAnsi="宋体" w:eastAsia="宋体" w:cs="宋体"/>
          <w:color w:val="auto"/>
          <w:sz w:val="24"/>
          <w:szCs w:val="24"/>
        </w:rPr>
        <w:t>质量要求：</w:t>
      </w:r>
      <w:r>
        <w:rPr>
          <w:rFonts w:hint="eastAsia" w:ascii="宋体" w:hAnsi="宋体" w:eastAsia="宋体" w:cs="宋体"/>
          <w:color w:val="auto"/>
          <w:kern w:val="0"/>
          <w:sz w:val="24"/>
          <w:szCs w:val="24"/>
        </w:rPr>
        <w:t>见</w:t>
      </w:r>
      <w:r>
        <w:rPr>
          <w:rFonts w:hint="eastAsia" w:ascii="宋体" w:hAnsi="宋体" w:eastAsia="宋体" w:cs="宋体"/>
          <w:color w:val="auto"/>
          <w:spacing w:val="-2"/>
          <w:kern w:val="0"/>
          <w:sz w:val="24"/>
          <w:szCs w:val="24"/>
        </w:rPr>
        <w:t>投标供应商须</w:t>
      </w:r>
      <w:r>
        <w:rPr>
          <w:rFonts w:hint="eastAsia" w:ascii="宋体" w:hAnsi="宋体" w:eastAsia="宋体" w:cs="宋体"/>
          <w:color w:val="auto"/>
          <w:kern w:val="0"/>
          <w:sz w:val="24"/>
          <w:szCs w:val="24"/>
        </w:rPr>
        <w:t>知前</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表。</w:t>
      </w:r>
    </w:p>
    <w:p w14:paraId="1B845921">
      <w:pPr>
        <w:spacing w:line="360" w:lineRule="auto"/>
        <w:ind w:firstLine="480" w:firstLineChars="200"/>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 xml:space="preserve">1.3.4 </w:t>
      </w:r>
      <w:r>
        <w:rPr>
          <w:rFonts w:hint="eastAsia" w:ascii="宋体" w:hAnsi="宋体" w:eastAsia="宋体" w:cs="宋体"/>
          <w:kern w:val="0"/>
          <w:sz w:val="24"/>
          <w:szCs w:val="24"/>
          <w:highlight w:val="none"/>
        </w:rPr>
        <w:t>合同履约期限</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见</w:t>
      </w:r>
      <w:r>
        <w:rPr>
          <w:rFonts w:hint="eastAsia" w:ascii="宋体" w:hAnsi="宋体" w:eastAsia="宋体" w:cs="宋体"/>
          <w:color w:val="auto"/>
          <w:spacing w:val="-2"/>
          <w:kern w:val="0"/>
          <w:sz w:val="24"/>
          <w:szCs w:val="24"/>
        </w:rPr>
        <w:t>投标供应商须</w:t>
      </w:r>
      <w:r>
        <w:rPr>
          <w:rFonts w:hint="eastAsia" w:ascii="宋体" w:hAnsi="宋体" w:eastAsia="宋体" w:cs="宋体"/>
          <w:color w:val="auto"/>
          <w:kern w:val="0"/>
          <w:sz w:val="24"/>
          <w:szCs w:val="24"/>
        </w:rPr>
        <w:t>知前</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表。</w:t>
      </w:r>
    </w:p>
    <w:p w14:paraId="52F052E0">
      <w:pPr>
        <w:spacing w:line="360" w:lineRule="auto"/>
        <w:ind w:firstLine="486" w:firstLineChars="200"/>
        <w:rPr>
          <w:rFonts w:hint="eastAsia" w:ascii="宋体" w:hAnsi="宋体" w:eastAsia="宋体" w:cs="宋体"/>
          <w:b/>
          <w:color w:val="auto"/>
          <w:kern w:val="0"/>
          <w:sz w:val="24"/>
          <w:szCs w:val="24"/>
        </w:rPr>
      </w:pPr>
      <w:r>
        <w:rPr>
          <w:rFonts w:hint="eastAsia" w:ascii="宋体" w:hAnsi="宋体" w:eastAsia="宋体" w:cs="宋体"/>
          <w:b/>
          <w:color w:val="auto"/>
          <w:spacing w:val="1"/>
          <w:kern w:val="0"/>
          <w:sz w:val="24"/>
          <w:szCs w:val="24"/>
        </w:rPr>
        <w:t>1</w:t>
      </w:r>
      <w:r>
        <w:rPr>
          <w:rFonts w:hint="eastAsia" w:ascii="宋体" w:hAnsi="宋体" w:eastAsia="宋体" w:cs="宋体"/>
          <w:b/>
          <w:color w:val="auto"/>
          <w:kern w:val="0"/>
          <w:sz w:val="24"/>
          <w:szCs w:val="24"/>
        </w:rPr>
        <w:t>.4投标供应商</w:t>
      </w:r>
      <w:r>
        <w:rPr>
          <w:rFonts w:hint="eastAsia" w:ascii="宋体" w:hAnsi="宋体" w:eastAsia="宋体" w:cs="宋体"/>
          <w:b/>
          <w:color w:val="auto"/>
          <w:spacing w:val="-3"/>
          <w:kern w:val="0"/>
          <w:sz w:val="24"/>
          <w:szCs w:val="24"/>
        </w:rPr>
        <w:t>资</w:t>
      </w:r>
      <w:r>
        <w:rPr>
          <w:rFonts w:hint="eastAsia" w:ascii="宋体" w:hAnsi="宋体" w:eastAsia="宋体" w:cs="宋体"/>
          <w:b/>
          <w:color w:val="auto"/>
          <w:kern w:val="0"/>
          <w:sz w:val="24"/>
          <w:szCs w:val="24"/>
        </w:rPr>
        <w:t>格要求</w:t>
      </w:r>
    </w:p>
    <w:p w14:paraId="74BADCB6">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1.4.1投标供应商</w:t>
      </w:r>
      <w:r>
        <w:rPr>
          <w:rFonts w:hint="eastAsia" w:ascii="宋体" w:hAnsi="宋体" w:eastAsia="宋体" w:cs="宋体"/>
          <w:color w:val="auto"/>
          <w:spacing w:val="-2"/>
          <w:kern w:val="0"/>
          <w:sz w:val="24"/>
          <w:szCs w:val="24"/>
        </w:rPr>
        <w:t>应</w:t>
      </w:r>
      <w:r>
        <w:rPr>
          <w:rFonts w:hint="eastAsia" w:ascii="宋体" w:hAnsi="宋体" w:eastAsia="宋体" w:cs="宋体"/>
          <w:color w:val="auto"/>
          <w:kern w:val="0"/>
          <w:sz w:val="24"/>
          <w:szCs w:val="24"/>
        </w:rPr>
        <w:t>具</w:t>
      </w:r>
      <w:r>
        <w:rPr>
          <w:rFonts w:hint="eastAsia" w:ascii="宋体" w:hAnsi="宋体" w:eastAsia="宋体" w:cs="宋体"/>
          <w:color w:val="auto"/>
          <w:spacing w:val="-2"/>
          <w:kern w:val="0"/>
          <w:sz w:val="24"/>
          <w:szCs w:val="24"/>
        </w:rPr>
        <w:t>备</w:t>
      </w:r>
      <w:r>
        <w:rPr>
          <w:rFonts w:hint="eastAsia" w:ascii="宋体" w:hAnsi="宋体" w:eastAsia="宋体" w:cs="宋体"/>
          <w:color w:val="auto"/>
          <w:kern w:val="0"/>
          <w:sz w:val="24"/>
          <w:szCs w:val="24"/>
        </w:rPr>
        <w:t>承</w:t>
      </w:r>
      <w:r>
        <w:rPr>
          <w:rFonts w:hint="eastAsia" w:ascii="宋体" w:hAnsi="宋体" w:eastAsia="宋体" w:cs="宋体"/>
          <w:color w:val="auto"/>
          <w:spacing w:val="-2"/>
          <w:kern w:val="0"/>
          <w:sz w:val="24"/>
          <w:szCs w:val="24"/>
        </w:rPr>
        <w:t>担本</w:t>
      </w:r>
      <w:r>
        <w:rPr>
          <w:rFonts w:hint="eastAsia" w:ascii="宋体" w:hAnsi="宋体" w:cs="宋体"/>
          <w:color w:val="auto"/>
          <w:kern w:val="0"/>
          <w:sz w:val="24"/>
          <w:szCs w:val="24"/>
          <w:lang w:eastAsia="zh-CN"/>
        </w:rPr>
        <w:t>磋商</w:t>
      </w:r>
      <w:r>
        <w:rPr>
          <w:rFonts w:hint="eastAsia" w:ascii="宋体" w:hAnsi="宋体" w:eastAsia="宋体" w:cs="宋体"/>
          <w:color w:val="auto"/>
          <w:spacing w:val="-2"/>
          <w:kern w:val="0"/>
          <w:sz w:val="24"/>
          <w:szCs w:val="24"/>
        </w:rPr>
        <w:t>项</w:t>
      </w:r>
      <w:r>
        <w:rPr>
          <w:rFonts w:hint="eastAsia" w:ascii="宋体" w:hAnsi="宋体" w:eastAsia="宋体" w:cs="宋体"/>
          <w:color w:val="auto"/>
          <w:kern w:val="0"/>
          <w:sz w:val="24"/>
          <w:szCs w:val="24"/>
        </w:rPr>
        <w:t>目</w:t>
      </w:r>
      <w:r>
        <w:rPr>
          <w:rFonts w:hint="eastAsia" w:ascii="宋体" w:hAnsi="宋体" w:eastAsia="宋体" w:cs="宋体"/>
          <w:color w:val="auto"/>
          <w:spacing w:val="-2"/>
          <w:kern w:val="0"/>
          <w:sz w:val="24"/>
          <w:szCs w:val="24"/>
        </w:rPr>
        <w:t>资</w:t>
      </w:r>
      <w:r>
        <w:rPr>
          <w:rFonts w:hint="eastAsia" w:ascii="宋体" w:hAnsi="宋体" w:eastAsia="宋体" w:cs="宋体"/>
          <w:color w:val="auto"/>
          <w:kern w:val="0"/>
          <w:sz w:val="24"/>
          <w:szCs w:val="24"/>
        </w:rPr>
        <w:t>质</w:t>
      </w:r>
      <w:r>
        <w:rPr>
          <w:rFonts w:hint="eastAsia" w:ascii="宋体" w:hAnsi="宋体" w:eastAsia="宋体" w:cs="宋体"/>
          <w:color w:val="auto"/>
          <w:spacing w:val="-2"/>
          <w:kern w:val="0"/>
          <w:sz w:val="24"/>
          <w:szCs w:val="24"/>
        </w:rPr>
        <w:t>条</w:t>
      </w:r>
      <w:r>
        <w:rPr>
          <w:rFonts w:hint="eastAsia" w:ascii="宋体" w:hAnsi="宋体" w:eastAsia="宋体" w:cs="宋体"/>
          <w:color w:val="auto"/>
          <w:kern w:val="0"/>
          <w:sz w:val="24"/>
          <w:szCs w:val="24"/>
        </w:rPr>
        <w:t>件</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能</w:t>
      </w:r>
      <w:r>
        <w:rPr>
          <w:rFonts w:hint="eastAsia" w:ascii="宋体" w:hAnsi="宋体" w:eastAsia="宋体" w:cs="宋体"/>
          <w:color w:val="auto"/>
          <w:spacing w:val="-2"/>
          <w:kern w:val="0"/>
          <w:sz w:val="24"/>
          <w:szCs w:val="24"/>
        </w:rPr>
        <w:t>力</w:t>
      </w:r>
      <w:r>
        <w:rPr>
          <w:rFonts w:hint="eastAsia" w:ascii="宋体" w:hAnsi="宋体" w:eastAsia="宋体" w:cs="宋体"/>
          <w:color w:val="auto"/>
          <w:kern w:val="0"/>
          <w:sz w:val="24"/>
          <w:szCs w:val="24"/>
        </w:rPr>
        <w:t>和信</w:t>
      </w:r>
      <w:r>
        <w:rPr>
          <w:rFonts w:hint="eastAsia" w:ascii="宋体" w:hAnsi="宋体" w:eastAsia="宋体" w:cs="宋体"/>
          <w:color w:val="auto"/>
          <w:spacing w:val="-2"/>
          <w:kern w:val="0"/>
          <w:sz w:val="24"/>
          <w:szCs w:val="24"/>
        </w:rPr>
        <w:t>誉</w:t>
      </w:r>
      <w:r>
        <w:rPr>
          <w:rFonts w:hint="eastAsia" w:ascii="宋体" w:hAnsi="宋体" w:eastAsia="宋体" w:cs="宋体"/>
          <w:color w:val="auto"/>
          <w:kern w:val="0"/>
          <w:sz w:val="24"/>
          <w:szCs w:val="24"/>
        </w:rPr>
        <w:t>：</w:t>
      </w:r>
      <w:r>
        <w:rPr>
          <w:rFonts w:hint="eastAsia" w:ascii="宋体" w:hAnsi="宋体" w:eastAsia="宋体" w:cs="宋体"/>
          <w:color w:val="auto"/>
          <w:spacing w:val="1"/>
          <w:kern w:val="0"/>
          <w:sz w:val="24"/>
          <w:szCs w:val="24"/>
        </w:rPr>
        <w:t>见投标供应商须知前附表。</w:t>
      </w:r>
    </w:p>
    <w:p w14:paraId="394213FB">
      <w:pPr>
        <w:spacing w:line="360" w:lineRule="auto"/>
        <w:ind w:firstLine="480" w:firstLineChars="200"/>
        <w:rPr>
          <w:rFonts w:hint="eastAsia" w:ascii="宋体" w:hAnsi="宋体" w:eastAsia="宋体" w:cs="宋体"/>
          <w:color w:val="auto"/>
          <w:kern w:val="0"/>
          <w:position w:val="-1"/>
          <w:sz w:val="24"/>
          <w:szCs w:val="24"/>
        </w:rPr>
      </w:pPr>
      <w:r>
        <w:rPr>
          <w:rFonts w:hint="eastAsia" w:ascii="宋体" w:hAnsi="宋体" w:eastAsia="宋体" w:cs="宋体"/>
          <w:color w:val="auto"/>
          <w:kern w:val="0"/>
          <w:position w:val="-1"/>
          <w:sz w:val="24"/>
          <w:szCs w:val="24"/>
        </w:rPr>
        <w:t>1.4.2</w:t>
      </w:r>
      <w:r>
        <w:rPr>
          <w:rFonts w:hint="eastAsia" w:ascii="宋体" w:hAnsi="宋体" w:eastAsia="宋体" w:cs="宋体"/>
          <w:color w:val="auto"/>
          <w:spacing w:val="-2"/>
          <w:kern w:val="0"/>
          <w:position w:val="-1"/>
          <w:sz w:val="24"/>
          <w:szCs w:val="24"/>
        </w:rPr>
        <w:t>本项目</w:t>
      </w:r>
      <w:r>
        <w:rPr>
          <w:rFonts w:hint="eastAsia" w:ascii="宋体" w:hAnsi="宋体" w:cs="宋体"/>
          <w:color w:val="auto"/>
          <w:spacing w:val="-2"/>
          <w:kern w:val="0"/>
          <w:position w:val="-1"/>
          <w:sz w:val="24"/>
          <w:szCs w:val="24"/>
          <w:lang w:val="en-US" w:eastAsia="zh-CN"/>
        </w:rPr>
        <w:t>不</w:t>
      </w:r>
      <w:r>
        <w:rPr>
          <w:rFonts w:hint="eastAsia" w:ascii="宋体" w:hAnsi="宋体" w:eastAsia="宋体" w:cs="宋体"/>
          <w:color w:val="auto"/>
          <w:kern w:val="0"/>
          <w:position w:val="-1"/>
          <w:sz w:val="24"/>
          <w:szCs w:val="24"/>
        </w:rPr>
        <w:t>接</w:t>
      </w:r>
      <w:r>
        <w:rPr>
          <w:rFonts w:hint="eastAsia" w:ascii="宋体" w:hAnsi="宋体" w:eastAsia="宋体" w:cs="宋体"/>
          <w:color w:val="auto"/>
          <w:spacing w:val="-2"/>
          <w:kern w:val="0"/>
          <w:position w:val="-1"/>
          <w:sz w:val="24"/>
          <w:szCs w:val="24"/>
        </w:rPr>
        <w:t>受</w:t>
      </w:r>
      <w:r>
        <w:rPr>
          <w:rFonts w:hint="eastAsia" w:ascii="宋体" w:hAnsi="宋体" w:eastAsia="宋体" w:cs="宋体"/>
          <w:color w:val="auto"/>
          <w:kern w:val="0"/>
          <w:position w:val="-1"/>
          <w:sz w:val="24"/>
          <w:szCs w:val="24"/>
        </w:rPr>
        <w:t>联</w:t>
      </w:r>
      <w:r>
        <w:rPr>
          <w:rFonts w:hint="eastAsia" w:ascii="宋体" w:hAnsi="宋体" w:eastAsia="宋体" w:cs="宋体"/>
          <w:color w:val="auto"/>
          <w:spacing w:val="-2"/>
          <w:kern w:val="0"/>
          <w:position w:val="-1"/>
          <w:sz w:val="24"/>
          <w:szCs w:val="24"/>
        </w:rPr>
        <w:t>合</w:t>
      </w:r>
      <w:r>
        <w:rPr>
          <w:rFonts w:hint="eastAsia" w:ascii="宋体" w:hAnsi="宋体" w:eastAsia="宋体" w:cs="宋体"/>
          <w:color w:val="auto"/>
          <w:kern w:val="0"/>
          <w:position w:val="-1"/>
          <w:sz w:val="24"/>
          <w:szCs w:val="24"/>
        </w:rPr>
        <w:t>体</w:t>
      </w:r>
      <w:r>
        <w:rPr>
          <w:rFonts w:hint="eastAsia" w:ascii="宋体" w:hAnsi="宋体" w:eastAsia="宋体" w:cs="宋体"/>
          <w:color w:val="auto"/>
          <w:spacing w:val="-2"/>
          <w:kern w:val="0"/>
          <w:position w:val="-1"/>
          <w:sz w:val="24"/>
          <w:szCs w:val="24"/>
        </w:rPr>
        <w:t>投</w:t>
      </w:r>
      <w:r>
        <w:rPr>
          <w:rFonts w:hint="eastAsia" w:ascii="宋体" w:hAnsi="宋体" w:eastAsia="宋体" w:cs="宋体"/>
          <w:color w:val="auto"/>
          <w:kern w:val="0"/>
          <w:position w:val="-1"/>
          <w:sz w:val="24"/>
          <w:szCs w:val="24"/>
        </w:rPr>
        <w:t>标。</w:t>
      </w:r>
    </w:p>
    <w:p w14:paraId="13D75BA5">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1.4.3投标供应商</w:t>
      </w:r>
      <w:r>
        <w:rPr>
          <w:rFonts w:hint="eastAsia" w:ascii="宋体" w:hAnsi="宋体" w:eastAsia="宋体" w:cs="宋体"/>
          <w:color w:val="auto"/>
          <w:spacing w:val="-2"/>
          <w:kern w:val="0"/>
          <w:sz w:val="24"/>
          <w:szCs w:val="24"/>
        </w:rPr>
        <w:t>不</w:t>
      </w:r>
      <w:r>
        <w:rPr>
          <w:rFonts w:hint="eastAsia" w:ascii="宋体" w:hAnsi="宋体" w:eastAsia="宋体" w:cs="宋体"/>
          <w:color w:val="auto"/>
          <w:kern w:val="0"/>
          <w:sz w:val="24"/>
          <w:szCs w:val="24"/>
        </w:rPr>
        <w:t>得</w:t>
      </w:r>
      <w:r>
        <w:rPr>
          <w:rFonts w:hint="eastAsia" w:ascii="宋体" w:hAnsi="宋体" w:eastAsia="宋体" w:cs="宋体"/>
          <w:color w:val="auto"/>
          <w:spacing w:val="-2"/>
          <w:kern w:val="0"/>
          <w:sz w:val="24"/>
          <w:szCs w:val="24"/>
        </w:rPr>
        <w:t>存</w:t>
      </w:r>
      <w:r>
        <w:rPr>
          <w:rFonts w:hint="eastAsia" w:ascii="宋体" w:hAnsi="宋体" w:eastAsia="宋体" w:cs="宋体"/>
          <w:color w:val="auto"/>
          <w:kern w:val="0"/>
          <w:sz w:val="24"/>
          <w:szCs w:val="24"/>
        </w:rPr>
        <w:t>在</w:t>
      </w:r>
      <w:r>
        <w:rPr>
          <w:rFonts w:hint="eastAsia" w:ascii="宋体" w:hAnsi="宋体" w:eastAsia="宋体" w:cs="宋体"/>
          <w:color w:val="auto"/>
          <w:spacing w:val="-2"/>
          <w:kern w:val="0"/>
          <w:sz w:val="24"/>
          <w:szCs w:val="24"/>
        </w:rPr>
        <w:t>下列</w:t>
      </w:r>
      <w:r>
        <w:rPr>
          <w:rFonts w:hint="eastAsia" w:ascii="宋体" w:hAnsi="宋体" w:eastAsia="宋体" w:cs="宋体"/>
          <w:color w:val="auto"/>
          <w:kern w:val="0"/>
          <w:sz w:val="24"/>
          <w:szCs w:val="24"/>
        </w:rPr>
        <w:t>情形</w:t>
      </w:r>
      <w:r>
        <w:rPr>
          <w:rFonts w:hint="eastAsia" w:ascii="宋体" w:hAnsi="宋体" w:eastAsia="宋体" w:cs="宋体"/>
          <w:color w:val="auto"/>
          <w:spacing w:val="-2"/>
          <w:kern w:val="0"/>
          <w:sz w:val="24"/>
          <w:szCs w:val="24"/>
        </w:rPr>
        <w:t>之</w:t>
      </w:r>
      <w:r>
        <w:rPr>
          <w:rFonts w:hint="eastAsia" w:ascii="宋体" w:hAnsi="宋体" w:eastAsia="宋体" w:cs="宋体"/>
          <w:color w:val="auto"/>
          <w:kern w:val="0"/>
          <w:sz w:val="24"/>
          <w:szCs w:val="24"/>
        </w:rPr>
        <w:t>一：</w:t>
      </w:r>
    </w:p>
    <w:p w14:paraId="2352B646">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与</w:t>
      </w:r>
      <w:r>
        <w:rPr>
          <w:rFonts w:hint="eastAsia" w:ascii="宋体" w:hAnsi="宋体" w:eastAsia="宋体" w:cs="宋体"/>
          <w:color w:val="auto"/>
          <w:spacing w:val="-2"/>
          <w:kern w:val="0"/>
          <w:sz w:val="24"/>
          <w:szCs w:val="24"/>
        </w:rPr>
        <w:t>采购人</w:t>
      </w:r>
      <w:r>
        <w:rPr>
          <w:rFonts w:hint="eastAsia" w:ascii="宋体" w:hAnsi="宋体" w:eastAsia="宋体" w:cs="宋体"/>
          <w:color w:val="auto"/>
          <w:kern w:val="0"/>
          <w:sz w:val="24"/>
          <w:szCs w:val="24"/>
        </w:rPr>
        <w:t>存</w:t>
      </w:r>
      <w:r>
        <w:rPr>
          <w:rFonts w:hint="eastAsia" w:ascii="宋体" w:hAnsi="宋体" w:eastAsia="宋体" w:cs="宋体"/>
          <w:color w:val="auto"/>
          <w:spacing w:val="-2"/>
          <w:kern w:val="0"/>
          <w:sz w:val="24"/>
          <w:szCs w:val="24"/>
        </w:rPr>
        <w:t>在</w:t>
      </w:r>
      <w:r>
        <w:rPr>
          <w:rFonts w:hint="eastAsia" w:ascii="宋体" w:hAnsi="宋体" w:eastAsia="宋体" w:cs="宋体"/>
          <w:color w:val="auto"/>
          <w:kern w:val="0"/>
          <w:sz w:val="24"/>
          <w:szCs w:val="24"/>
        </w:rPr>
        <w:t>利</w:t>
      </w:r>
      <w:r>
        <w:rPr>
          <w:rFonts w:hint="eastAsia" w:ascii="宋体" w:hAnsi="宋体" w:eastAsia="宋体" w:cs="宋体"/>
          <w:color w:val="auto"/>
          <w:spacing w:val="-2"/>
          <w:kern w:val="0"/>
          <w:sz w:val="24"/>
          <w:szCs w:val="24"/>
        </w:rPr>
        <w:t>害关</w:t>
      </w:r>
      <w:r>
        <w:rPr>
          <w:rFonts w:hint="eastAsia" w:ascii="宋体" w:hAnsi="宋体" w:eastAsia="宋体" w:cs="宋体"/>
          <w:color w:val="auto"/>
          <w:kern w:val="0"/>
          <w:sz w:val="24"/>
          <w:szCs w:val="24"/>
        </w:rPr>
        <w:t>系且</w:t>
      </w:r>
      <w:r>
        <w:rPr>
          <w:rFonts w:hint="eastAsia" w:ascii="宋体" w:hAnsi="宋体" w:eastAsia="宋体" w:cs="宋体"/>
          <w:color w:val="auto"/>
          <w:spacing w:val="-2"/>
          <w:kern w:val="0"/>
          <w:sz w:val="24"/>
          <w:szCs w:val="24"/>
        </w:rPr>
        <w:t>可</w:t>
      </w:r>
      <w:r>
        <w:rPr>
          <w:rFonts w:hint="eastAsia" w:ascii="宋体" w:hAnsi="宋体" w:eastAsia="宋体" w:cs="宋体"/>
          <w:color w:val="auto"/>
          <w:kern w:val="0"/>
          <w:sz w:val="24"/>
          <w:szCs w:val="24"/>
        </w:rPr>
        <w:t>能</w:t>
      </w:r>
      <w:r>
        <w:rPr>
          <w:rFonts w:hint="eastAsia" w:ascii="宋体" w:hAnsi="宋体" w:eastAsia="宋体" w:cs="宋体"/>
          <w:color w:val="auto"/>
          <w:spacing w:val="-2"/>
          <w:kern w:val="0"/>
          <w:sz w:val="24"/>
          <w:szCs w:val="24"/>
        </w:rPr>
        <w:t>影</w:t>
      </w:r>
      <w:r>
        <w:rPr>
          <w:rFonts w:hint="eastAsia" w:ascii="宋体" w:hAnsi="宋体" w:eastAsia="宋体" w:cs="宋体"/>
          <w:color w:val="auto"/>
          <w:kern w:val="0"/>
          <w:sz w:val="24"/>
          <w:szCs w:val="24"/>
        </w:rPr>
        <w:t>响</w:t>
      </w:r>
      <w:r>
        <w:rPr>
          <w:rFonts w:hint="eastAsia" w:ascii="宋体" w:hAnsi="宋体" w:cs="宋体"/>
          <w:color w:val="auto"/>
          <w:spacing w:val="-2"/>
          <w:kern w:val="0"/>
          <w:sz w:val="24"/>
          <w:szCs w:val="24"/>
          <w:lang w:eastAsia="zh-CN"/>
        </w:rPr>
        <w:t>磋商</w:t>
      </w:r>
      <w:r>
        <w:rPr>
          <w:rFonts w:hint="eastAsia" w:ascii="宋体" w:hAnsi="宋体" w:eastAsia="宋体" w:cs="宋体"/>
          <w:color w:val="auto"/>
          <w:spacing w:val="-2"/>
          <w:kern w:val="0"/>
          <w:sz w:val="24"/>
          <w:szCs w:val="24"/>
        </w:rPr>
        <w:t>公</w:t>
      </w:r>
      <w:r>
        <w:rPr>
          <w:rFonts w:hint="eastAsia" w:ascii="宋体" w:hAnsi="宋体" w:eastAsia="宋体" w:cs="宋体"/>
          <w:color w:val="auto"/>
          <w:kern w:val="0"/>
          <w:sz w:val="24"/>
          <w:szCs w:val="24"/>
        </w:rPr>
        <w:t>正</w:t>
      </w:r>
      <w:r>
        <w:rPr>
          <w:rFonts w:hint="eastAsia" w:ascii="宋体" w:hAnsi="宋体" w:eastAsia="宋体" w:cs="宋体"/>
          <w:color w:val="auto"/>
          <w:spacing w:val="-2"/>
          <w:kern w:val="0"/>
          <w:sz w:val="24"/>
          <w:szCs w:val="24"/>
        </w:rPr>
        <w:t>性</w:t>
      </w:r>
      <w:r>
        <w:rPr>
          <w:rFonts w:hint="eastAsia" w:ascii="宋体" w:hAnsi="宋体" w:eastAsia="宋体" w:cs="宋体"/>
          <w:color w:val="auto"/>
          <w:kern w:val="0"/>
          <w:sz w:val="24"/>
          <w:szCs w:val="24"/>
        </w:rPr>
        <w:t>；</w:t>
      </w:r>
    </w:p>
    <w:p w14:paraId="5DDDA9D1">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与本</w:t>
      </w:r>
      <w:r>
        <w:rPr>
          <w:rFonts w:hint="eastAsia" w:ascii="宋体" w:hAnsi="宋体" w:cs="宋体"/>
          <w:color w:val="auto"/>
          <w:kern w:val="0"/>
          <w:sz w:val="24"/>
          <w:szCs w:val="24"/>
          <w:lang w:eastAsia="zh-CN"/>
        </w:rPr>
        <w:t>磋商</w:t>
      </w:r>
      <w:r>
        <w:rPr>
          <w:rFonts w:hint="eastAsia" w:ascii="宋体" w:hAnsi="宋体" w:eastAsia="宋体" w:cs="宋体"/>
          <w:color w:val="auto"/>
          <w:kern w:val="0"/>
          <w:sz w:val="24"/>
          <w:szCs w:val="24"/>
        </w:rPr>
        <w:t>项目的其他投标供应商的单位负责人为同一人；</w:t>
      </w:r>
    </w:p>
    <w:p w14:paraId="39F61314">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与本</w:t>
      </w:r>
      <w:r>
        <w:rPr>
          <w:rFonts w:hint="eastAsia" w:ascii="宋体" w:hAnsi="宋体" w:cs="宋体"/>
          <w:color w:val="auto"/>
          <w:kern w:val="0"/>
          <w:sz w:val="24"/>
          <w:szCs w:val="24"/>
          <w:lang w:eastAsia="zh-CN"/>
        </w:rPr>
        <w:t>磋商</w:t>
      </w:r>
      <w:r>
        <w:rPr>
          <w:rFonts w:hint="eastAsia" w:ascii="宋体" w:hAnsi="宋体" w:eastAsia="宋体" w:cs="宋体"/>
          <w:color w:val="auto"/>
          <w:kern w:val="0"/>
          <w:sz w:val="24"/>
          <w:szCs w:val="24"/>
        </w:rPr>
        <w:t>项目的其他投标供应商存在直接控股、管理关系；</w:t>
      </w:r>
    </w:p>
    <w:p w14:paraId="40EF16ED">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pacing w:val="-7"/>
          <w:kern w:val="0"/>
          <w:sz w:val="24"/>
          <w:szCs w:val="24"/>
        </w:rPr>
        <w:t>4</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被</w:t>
      </w:r>
      <w:r>
        <w:rPr>
          <w:rFonts w:hint="eastAsia" w:ascii="宋体" w:hAnsi="宋体" w:eastAsia="宋体" w:cs="宋体"/>
          <w:color w:val="auto"/>
          <w:kern w:val="0"/>
          <w:sz w:val="24"/>
          <w:szCs w:val="24"/>
        </w:rPr>
        <w:t>依</w:t>
      </w:r>
      <w:r>
        <w:rPr>
          <w:rFonts w:hint="eastAsia" w:ascii="宋体" w:hAnsi="宋体" w:eastAsia="宋体" w:cs="宋体"/>
          <w:color w:val="auto"/>
          <w:spacing w:val="-2"/>
          <w:kern w:val="0"/>
          <w:sz w:val="24"/>
          <w:szCs w:val="24"/>
        </w:rPr>
        <w:t>法</w:t>
      </w:r>
      <w:r>
        <w:rPr>
          <w:rFonts w:hint="eastAsia" w:ascii="宋体" w:hAnsi="宋体" w:eastAsia="宋体" w:cs="宋体"/>
          <w:color w:val="auto"/>
          <w:kern w:val="0"/>
          <w:sz w:val="24"/>
          <w:szCs w:val="24"/>
        </w:rPr>
        <w:t>暂</w:t>
      </w:r>
      <w:r>
        <w:rPr>
          <w:rFonts w:hint="eastAsia" w:ascii="宋体" w:hAnsi="宋体" w:eastAsia="宋体" w:cs="宋体"/>
          <w:color w:val="auto"/>
          <w:spacing w:val="-2"/>
          <w:kern w:val="0"/>
          <w:sz w:val="24"/>
          <w:szCs w:val="24"/>
        </w:rPr>
        <w:t>停</w:t>
      </w:r>
      <w:r>
        <w:rPr>
          <w:rFonts w:hint="eastAsia" w:ascii="宋体" w:hAnsi="宋体" w:eastAsia="宋体" w:cs="宋体"/>
          <w:color w:val="auto"/>
          <w:kern w:val="0"/>
          <w:sz w:val="24"/>
          <w:szCs w:val="24"/>
        </w:rPr>
        <w:t>或</w:t>
      </w:r>
      <w:r>
        <w:rPr>
          <w:rFonts w:hint="eastAsia" w:ascii="宋体" w:hAnsi="宋体" w:eastAsia="宋体" w:cs="宋体"/>
          <w:color w:val="auto"/>
          <w:spacing w:val="-2"/>
          <w:kern w:val="0"/>
          <w:sz w:val="24"/>
          <w:szCs w:val="24"/>
        </w:rPr>
        <w:t>者取</w:t>
      </w:r>
      <w:r>
        <w:rPr>
          <w:rFonts w:hint="eastAsia" w:ascii="宋体" w:hAnsi="宋体" w:eastAsia="宋体" w:cs="宋体"/>
          <w:color w:val="auto"/>
          <w:kern w:val="0"/>
          <w:sz w:val="24"/>
          <w:szCs w:val="24"/>
        </w:rPr>
        <w:t>消投</w:t>
      </w:r>
      <w:r>
        <w:rPr>
          <w:rFonts w:hint="eastAsia" w:ascii="宋体" w:hAnsi="宋体" w:eastAsia="宋体" w:cs="宋体"/>
          <w:color w:val="auto"/>
          <w:spacing w:val="-2"/>
          <w:kern w:val="0"/>
          <w:sz w:val="24"/>
          <w:szCs w:val="24"/>
        </w:rPr>
        <w:t>标</w:t>
      </w:r>
      <w:r>
        <w:rPr>
          <w:rFonts w:hint="eastAsia" w:ascii="宋体" w:hAnsi="宋体" w:eastAsia="宋体" w:cs="宋体"/>
          <w:color w:val="auto"/>
          <w:kern w:val="0"/>
          <w:sz w:val="24"/>
          <w:szCs w:val="24"/>
        </w:rPr>
        <w:t>资</w:t>
      </w:r>
      <w:r>
        <w:rPr>
          <w:rFonts w:hint="eastAsia" w:ascii="宋体" w:hAnsi="宋体" w:eastAsia="宋体" w:cs="宋体"/>
          <w:color w:val="auto"/>
          <w:spacing w:val="-2"/>
          <w:kern w:val="0"/>
          <w:sz w:val="24"/>
          <w:szCs w:val="24"/>
        </w:rPr>
        <w:t>格</w:t>
      </w:r>
      <w:r>
        <w:rPr>
          <w:rFonts w:hint="eastAsia" w:ascii="宋体" w:hAnsi="宋体" w:eastAsia="宋体" w:cs="宋体"/>
          <w:color w:val="auto"/>
          <w:kern w:val="0"/>
          <w:sz w:val="24"/>
          <w:szCs w:val="24"/>
        </w:rPr>
        <w:t>；</w:t>
      </w:r>
    </w:p>
    <w:p w14:paraId="11540A04">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被</w:t>
      </w:r>
      <w:r>
        <w:rPr>
          <w:rFonts w:hint="eastAsia" w:ascii="宋体" w:hAnsi="宋体" w:eastAsia="宋体" w:cs="宋体"/>
          <w:color w:val="auto"/>
          <w:spacing w:val="-2"/>
          <w:kern w:val="0"/>
          <w:sz w:val="24"/>
          <w:szCs w:val="24"/>
        </w:rPr>
        <w:t>责</w:t>
      </w:r>
      <w:r>
        <w:rPr>
          <w:rFonts w:hint="eastAsia" w:ascii="宋体" w:hAnsi="宋体" w:eastAsia="宋体" w:cs="宋体"/>
          <w:color w:val="auto"/>
          <w:kern w:val="0"/>
          <w:sz w:val="24"/>
          <w:szCs w:val="24"/>
        </w:rPr>
        <w:t>令</w:t>
      </w:r>
      <w:r>
        <w:rPr>
          <w:rFonts w:hint="eastAsia" w:ascii="宋体" w:hAnsi="宋体" w:eastAsia="宋体" w:cs="宋体"/>
          <w:color w:val="auto"/>
          <w:spacing w:val="-2"/>
          <w:kern w:val="0"/>
          <w:sz w:val="24"/>
          <w:szCs w:val="24"/>
        </w:rPr>
        <w:t>停</w:t>
      </w:r>
      <w:r>
        <w:rPr>
          <w:rFonts w:hint="eastAsia" w:ascii="宋体" w:hAnsi="宋体" w:eastAsia="宋体" w:cs="宋体"/>
          <w:color w:val="auto"/>
          <w:kern w:val="0"/>
          <w:sz w:val="24"/>
          <w:szCs w:val="24"/>
        </w:rPr>
        <w:t>产</w:t>
      </w:r>
      <w:r>
        <w:rPr>
          <w:rFonts w:hint="eastAsia" w:ascii="宋体" w:hAnsi="宋体" w:eastAsia="宋体" w:cs="宋体"/>
          <w:color w:val="auto"/>
          <w:spacing w:val="-2"/>
          <w:kern w:val="0"/>
          <w:sz w:val="24"/>
          <w:szCs w:val="24"/>
        </w:rPr>
        <w:t>停</w:t>
      </w:r>
      <w:r>
        <w:rPr>
          <w:rFonts w:hint="eastAsia" w:ascii="宋体" w:hAnsi="宋体" w:eastAsia="宋体" w:cs="宋体"/>
          <w:color w:val="auto"/>
          <w:kern w:val="0"/>
          <w:sz w:val="24"/>
          <w:szCs w:val="24"/>
        </w:rPr>
        <w:t>业</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暂扣</w:t>
      </w:r>
      <w:r>
        <w:rPr>
          <w:rFonts w:hint="eastAsia" w:ascii="宋体" w:hAnsi="宋体" w:eastAsia="宋体" w:cs="宋体"/>
          <w:color w:val="auto"/>
          <w:spacing w:val="-2"/>
          <w:kern w:val="0"/>
          <w:sz w:val="24"/>
          <w:szCs w:val="24"/>
        </w:rPr>
        <w:t>或</w:t>
      </w:r>
      <w:r>
        <w:rPr>
          <w:rFonts w:hint="eastAsia" w:ascii="宋体" w:hAnsi="宋体" w:eastAsia="宋体" w:cs="宋体"/>
          <w:color w:val="auto"/>
          <w:kern w:val="0"/>
          <w:sz w:val="24"/>
          <w:szCs w:val="24"/>
        </w:rPr>
        <w:t>者</w:t>
      </w:r>
      <w:r>
        <w:rPr>
          <w:rFonts w:hint="eastAsia" w:ascii="宋体" w:hAnsi="宋体" w:eastAsia="宋体" w:cs="宋体"/>
          <w:color w:val="auto"/>
          <w:spacing w:val="-2"/>
          <w:kern w:val="0"/>
          <w:sz w:val="24"/>
          <w:szCs w:val="24"/>
        </w:rPr>
        <w:t>吊</w:t>
      </w:r>
      <w:r>
        <w:rPr>
          <w:rFonts w:hint="eastAsia" w:ascii="宋体" w:hAnsi="宋体" w:eastAsia="宋体" w:cs="宋体"/>
          <w:color w:val="auto"/>
          <w:kern w:val="0"/>
          <w:sz w:val="24"/>
          <w:szCs w:val="24"/>
        </w:rPr>
        <w:t>销</w:t>
      </w:r>
      <w:r>
        <w:rPr>
          <w:rFonts w:hint="eastAsia" w:ascii="宋体" w:hAnsi="宋体" w:eastAsia="宋体" w:cs="宋体"/>
          <w:color w:val="auto"/>
          <w:spacing w:val="-2"/>
          <w:kern w:val="0"/>
          <w:sz w:val="24"/>
          <w:szCs w:val="24"/>
        </w:rPr>
        <w:t>许</w:t>
      </w:r>
      <w:r>
        <w:rPr>
          <w:rFonts w:hint="eastAsia" w:ascii="宋体" w:hAnsi="宋体" w:eastAsia="宋体" w:cs="宋体"/>
          <w:color w:val="auto"/>
          <w:kern w:val="0"/>
          <w:sz w:val="24"/>
          <w:szCs w:val="24"/>
        </w:rPr>
        <w:t>可</w:t>
      </w:r>
      <w:r>
        <w:rPr>
          <w:rFonts w:hint="eastAsia" w:ascii="宋体" w:hAnsi="宋体" w:eastAsia="宋体" w:cs="宋体"/>
          <w:color w:val="auto"/>
          <w:spacing w:val="-2"/>
          <w:kern w:val="0"/>
          <w:sz w:val="24"/>
          <w:szCs w:val="24"/>
        </w:rPr>
        <w:t>证</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暂</w:t>
      </w:r>
      <w:r>
        <w:rPr>
          <w:rFonts w:hint="eastAsia" w:ascii="宋体" w:hAnsi="宋体" w:eastAsia="宋体" w:cs="宋体"/>
          <w:color w:val="auto"/>
          <w:kern w:val="0"/>
          <w:sz w:val="24"/>
          <w:szCs w:val="24"/>
        </w:rPr>
        <w:t>扣或</w:t>
      </w:r>
      <w:r>
        <w:rPr>
          <w:rFonts w:hint="eastAsia" w:ascii="宋体" w:hAnsi="宋体" w:eastAsia="宋体" w:cs="宋体"/>
          <w:color w:val="auto"/>
          <w:spacing w:val="-2"/>
          <w:kern w:val="0"/>
          <w:sz w:val="24"/>
          <w:szCs w:val="24"/>
        </w:rPr>
        <w:t>者</w:t>
      </w:r>
      <w:r>
        <w:rPr>
          <w:rFonts w:hint="eastAsia" w:ascii="宋体" w:hAnsi="宋体" w:eastAsia="宋体" w:cs="宋体"/>
          <w:color w:val="auto"/>
          <w:kern w:val="0"/>
          <w:sz w:val="24"/>
          <w:szCs w:val="24"/>
        </w:rPr>
        <w:t>吊</w:t>
      </w:r>
      <w:r>
        <w:rPr>
          <w:rFonts w:hint="eastAsia" w:ascii="宋体" w:hAnsi="宋体" w:eastAsia="宋体" w:cs="宋体"/>
          <w:color w:val="auto"/>
          <w:spacing w:val="-2"/>
          <w:kern w:val="0"/>
          <w:sz w:val="24"/>
          <w:szCs w:val="24"/>
        </w:rPr>
        <w:t>销</w:t>
      </w:r>
      <w:r>
        <w:rPr>
          <w:rFonts w:hint="eastAsia" w:ascii="宋体" w:hAnsi="宋体" w:eastAsia="宋体" w:cs="宋体"/>
          <w:color w:val="auto"/>
          <w:kern w:val="0"/>
          <w:sz w:val="24"/>
          <w:szCs w:val="24"/>
        </w:rPr>
        <w:t>执</w:t>
      </w:r>
      <w:r>
        <w:rPr>
          <w:rFonts w:hint="eastAsia" w:ascii="宋体" w:hAnsi="宋体" w:eastAsia="宋体" w:cs="宋体"/>
          <w:color w:val="auto"/>
          <w:spacing w:val="-2"/>
          <w:kern w:val="0"/>
          <w:sz w:val="24"/>
          <w:szCs w:val="24"/>
        </w:rPr>
        <w:t>照</w:t>
      </w:r>
      <w:r>
        <w:rPr>
          <w:rFonts w:hint="eastAsia" w:ascii="宋体" w:hAnsi="宋体" w:eastAsia="宋体" w:cs="宋体"/>
          <w:color w:val="auto"/>
          <w:kern w:val="0"/>
          <w:sz w:val="24"/>
          <w:szCs w:val="24"/>
        </w:rPr>
        <w:t>；</w:t>
      </w:r>
    </w:p>
    <w:p w14:paraId="0C44D012">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进</w:t>
      </w:r>
      <w:r>
        <w:rPr>
          <w:rFonts w:hint="eastAsia" w:ascii="宋体" w:hAnsi="宋体" w:eastAsia="宋体" w:cs="宋体"/>
          <w:color w:val="auto"/>
          <w:spacing w:val="-2"/>
          <w:kern w:val="0"/>
          <w:sz w:val="24"/>
          <w:szCs w:val="24"/>
        </w:rPr>
        <w:t>入</w:t>
      </w:r>
      <w:r>
        <w:rPr>
          <w:rFonts w:hint="eastAsia" w:ascii="宋体" w:hAnsi="宋体" w:eastAsia="宋体" w:cs="宋体"/>
          <w:color w:val="auto"/>
          <w:kern w:val="0"/>
          <w:sz w:val="24"/>
          <w:szCs w:val="24"/>
        </w:rPr>
        <w:t>清</w:t>
      </w:r>
      <w:r>
        <w:rPr>
          <w:rFonts w:hint="eastAsia" w:ascii="宋体" w:hAnsi="宋体" w:eastAsia="宋体" w:cs="宋体"/>
          <w:color w:val="auto"/>
          <w:spacing w:val="-2"/>
          <w:kern w:val="0"/>
          <w:sz w:val="24"/>
          <w:szCs w:val="24"/>
        </w:rPr>
        <w:t>算</w:t>
      </w:r>
      <w:r>
        <w:rPr>
          <w:rFonts w:hint="eastAsia" w:ascii="宋体" w:hAnsi="宋体" w:eastAsia="宋体" w:cs="宋体"/>
          <w:color w:val="auto"/>
          <w:kern w:val="0"/>
          <w:sz w:val="24"/>
          <w:szCs w:val="24"/>
        </w:rPr>
        <w:t>程</w:t>
      </w:r>
      <w:r>
        <w:rPr>
          <w:rFonts w:hint="eastAsia" w:ascii="宋体" w:hAnsi="宋体" w:eastAsia="宋体" w:cs="宋体"/>
          <w:color w:val="auto"/>
          <w:spacing w:val="-2"/>
          <w:kern w:val="0"/>
          <w:sz w:val="24"/>
          <w:szCs w:val="24"/>
        </w:rPr>
        <w:t>序</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或</w:t>
      </w:r>
      <w:r>
        <w:rPr>
          <w:rFonts w:hint="eastAsia" w:ascii="宋体" w:hAnsi="宋体" w:eastAsia="宋体" w:cs="宋体"/>
          <w:color w:val="auto"/>
          <w:kern w:val="0"/>
          <w:sz w:val="24"/>
          <w:szCs w:val="24"/>
        </w:rPr>
        <w:t>被宣</w:t>
      </w:r>
      <w:r>
        <w:rPr>
          <w:rFonts w:hint="eastAsia" w:ascii="宋体" w:hAnsi="宋体" w:eastAsia="宋体" w:cs="宋体"/>
          <w:color w:val="auto"/>
          <w:spacing w:val="-2"/>
          <w:kern w:val="0"/>
          <w:sz w:val="24"/>
          <w:szCs w:val="24"/>
        </w:rPr>
        <w:t>告</w:t>
      </w:r>
      <w:r>
        <w:rPr>
          <w:rFonts w:hint="eastAsia" w:ascii="宋体" w:hAnsi="宋体" w:eastAsia="宋体" w:cs="宋体"/>
          <w:color w:val="auto"/>
          <w:kern w:val="0"/>
          <w:sz w:val="24"/>
          <w:szCs w:val="24"/>
        </w:rPr>
        <w:t>破</w:t>
      </w:r>
      <w:r>
        <w:rPr>
          <w:rFonts w:hint="eastAsia" w:ascii="宋体" w:hAnsi="宋体" w:eastAsia="宋体" w:cs="宋体"/>
          <w:color w:val="auto"/>
          <w:spacing w:val="-2"/>
          <w:kern w:val="0"/>
          <w:sz w:val="24"/>
          <w:szCs w:val="24"/>
        </w:rPr>
        <w:t>产</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或</w:t>
      </w:r>
      <w:r>
        <w:rPr>
          <w:rFonts w:hint="eastAsia" w:ascii="宋体" w:hAnsi="宋体" w:eastAsia="宋体" w:cs="宋体"/>
          <w:color w:val="auto"/>
          <w:kern w:val="0"/>
          <w:sz w:val="24"/>
          <w:szCs w:val="24"/>
        </w:rPr>
        <w:t>其</w:t>
      </w:r>
      <w:r>
        <w:rPr>
          <w:rFonts w:hint="eastAsia" w:ascii="宋体" w:hAnsi="宋体" w:eastAsia="宋体" w:cs="宋体"/>
          <w:color w:val="auto"/>
          <w:spacing w:val="-2"/>
          <w:kern w:val="0"/>
          <w:sz w:val="24"/>
          <w:szCs w:val="24"/>
        </w:rPr>
        <w:t>他</w:t>
      </w:r>
      <w:r>
        <w:rPr>
          <w:rFonts w:hint="eastAsia" w:ascii="宋体" w:hAnsi="宋体" w:eastAsia="宋体" w:cs="宋体"/>
          <w:color w:val="auto"/>
          <w:kern w:val="0"/>
          <w:sz w:val="24"/>
          <w:szCs w:val="24"/>
        </w:rPr>
        <w:t>丧</w:t>
      </w:r>
      <w:r>
        <w:rPr>
          <w:rFonts w:hint="eastAsia" w:ascii="宋体" w:hAnsi="宋体" w:eastAsia="宋体" w:cs="宋体"/>
          <w:color w:val="auto"/>
          <w:spacing w:val="-2"/>
          <w:kern w:val="0"/>
          <w:sz w:val="24"/>
          <w:szCs w:val="24"/>
        </w:rPr>
        <w:t>失</w:t>
      </w:r>
      <w:r>
        <w:rPr>
          <w:rFonts w:hint="eastAsia" w:ascii="宋体" w:hAnsi="宋体" w:eastAsia="宋体" w:cs="宋体"/>
          <w:color w:val="auto"/>
          <w:kern w:val="0"/>
          <w:sz w:val="24"/>
          <w:szCs w:val="24"/>
        </w:rPr>
        <w:t>履约</w:t>
      </w:r>
      <w:r>
        <w:rPr>
          <w:rFonts w:hint="eastAsia" w:ascii="宋体" w:hAnsi="宋体" w:eastAsia="宋体" w:cs="宋体"/>
          <w:color w:val="auto"/>
          <w:spacing w:val="-2"/>
          <w:kern w:val="0"/>
          <w:sz w:val="24"/>
          <w:szCs w:val="24"/>
        </w:rPr>
        <w:t>能</w:t>
      </w:r>
      <w:r>
        <w:rPr>
          <w:rFonts w:hint="eastAsia" w:ascii="宋体" w:hAnsi="宋体" w:eastAsia="宋体" w:cs="宋体"/>
          <w:color w:val="auto"/>
          <w:kern w:val="0"/>
          <w:sz w:val="24"/>
          <w:szCs w:val="24"/>
        </w:rPr>
        <w:t>力</w:t>
      </w:r>
      <w:r>
        <w:rPr>
          <w:rFonts w:hint="eastAsia" w:ascii="宋体" w:hAnsi="宋体" w:eastAsia="宋体" w:cs="宋体"/>
          <w:color w:val="auto"/>
          <w:spacing w:val="-2"/>
          <w:kern w:val="0"/>
          <w:sz w:val="24"/>
          <w:szCs w:val="24"/>
        </w:rPr>
        <w:t>的</w:t>
      </w:r>
      <w:r>
        <w:rPr>
          <w:rFonts w:hint="eastAsia" w:ascii="宋体" w:hAnsi="宋体" w:eastAsia="宋体" w:cs="宋体"/>
          <w:color w:val="auto"/>
          <w:kern w:val="0"/>
          <w:sz w:val="24"/>
          <w:szCs w:val="24"/>
        </w:rPr>
        <w:t>情</w:t>
      </w:r>
      <w:r>
        <w:rPr>
          <w:rFonts w:hint="eastAsia" w:ascii="宋体" w:hAnsi="宋体" w:eastAsia="宋体" w:cs="宋体"/>
          <w:color w:val="auto"/>
          <w:spacing w:val="-2"/>
          <w:kern w:val="0"/>
          <w:sz w:val="24"/>
          <w:szCs w:val="24"/>
        </w:rPr>
        <w:t>形</w:t>
      </w:r>
      <w:r>
        <w:rPr>
          <w:rFonts w:hint="eastAsia" w:ascii="宋体" w:hAnsi="宋体" w:eastAsia="宋体" w:cs="宋体"/>
          <w:color w:val="auto"/>
          <w:kern w:val="0"/>
          <w:sz w:val="24"/>
          <w:szCs w:val="24"/>
        </w:rPr>
        <w:t>；</w:t>
      </w:r>
    </w:p>
    <w:p w14:paraId="30D14823">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（7）在最近三年</w:t>
      </w:r>
      <w:r>
        <w:rPr>
          <w:rFonts w:hint="eastAsia" w:ascii="宋体" w:hAnsi="宋体" w:eastAsia="宋体" w:cs="宋体"/>
          <w:color w:val="auto"/>
          <w:spacing w:val="-2"/>
          <w:kern w:val="0"/>
          <w:sz w:val="24"/>
          <w:szCs w:val="24"/>
        </w:rPr>
        <w:t>内严重违约、</w:t>
      </w:r>
      <w:r>
        <w:rPr>
          <w:rFonts w:hint="eastAsia" w:ascii="宋体" w:hAnsi="宋体" w:eastAsia="宋体" w:cs="宋体"/>
          <w:color w:val="auto"/>
          <w:kern w:val="0"/>
          <w:sz w:val="24"/>
          <w:szCs w:val="24"/>
        </w:rPr>
        <w:t>发</w:t>
      </w:r>
      <w:r>
        <w:rPr>
          <w:rFonts w:hint="eastAsia" w:ascii="宋体" w:hAnsi="宋体" w:eastAsia="宋体" w:cs="宋体"/>
          <w:color w:val="auto"/>
          <w:spacing w:val="-2"/>
          <w:kern w:val="0"/>
          <w:sz w:val="24"/>
          <w:szCs w:val="24"/>
        </w:rPr>
        <w:t>生</w:t>
      </w:r>
      <w:r>
        <w:rPr>
          <w:rFonts w:hint="eastAsia" w:ascii="宋体" w:hAnsi="宋体" w:eastAsia="宋体" w:cs="宋体"/>
          <w:color w:val="auto"/>
          <w:kern w:val="0"/>
          <w:sz w:val="24"/>
          <w:szCs w:val="24"/>
        </w:rPr>
        <w:t>重大</w:t>
      </w:r>
      <w:r>
        <w:rPr>
          <w:rFonts w:hint="eastAsia" w:ascii="宋体" w:hAnsi="宋体" w:eastAsia="宋体" w:cs="宋体"/>
          <w:color w:val="auto"/>
          <w:kern w:val="0"/>
          <w:sz w:val="24"/>
          <w:szCs w:val="24"/>
          <w:lang w:eastAsia="zh-CN"/>
        </w:rPr>
        <w:t>服务</w:t>
      </w:r>
      <w:r>
        <w:rPr>
          <w:rFonts w:hint="eastAsia" w:ascii="宋体" w:hAnsi="宋体" w:eastAsia="宋体" w:cs="宋体"/>
          <w:color w:val="auto"/>
          <w:kern w:val="0"/>
          <w:sz w:val="24"/>
          <w:szCs w:val="24"/>
        </w:rPr>
        <w:t>质量问题</w:t>
      </w:r>
      <w:r>
        <w:rPr>
          <w:rFonts w:hint="eastAsia" w:ascii="宋体" w:hAnsi="宋体" w:eastAsia="宋体" w:cs="宋体"/>
          <w:color w:val="auto"/>
          <w:spacing w:val="-2"/>
          <w:kern w:val="0"/>
          <w:sz w:val="24"/>
          <w:szCs w:val="24"/>
        </w:rPr>
        <w:t>的。</w:t>
      </w:r>
    </w:p>
    <w:p w14:paraId="2EAF19EC">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rPr>
      </w:pPr>
      <w:r>
        <w:rPr>
          <w:rFonts w:hint="eastAsia" w:ascii="宋体" w:hAnsi="宋体" w:eastAsia="宋体" w:cs="宋体"/>
          <w:b/>
          <w:color w:val="auto"/>
          <w:spacing w:val="1"/>
          <w:kern w:val="0"/>
          <w:position w:val="-1"/>
          <w:sz w:val="24"/>
          <w:szCs w:val="24"/>
        </w:rPr>
        <w:t>1</w:t>
      </w:r>
      <w:r>
        <w:rPr>
          <w:rFonts w:hint="eastAsia" w:ascii="宋体" w:hAnsi="宋体" w:eastAsia="宋体" w:cs="宋体"/>
          <w:b/>
          <w:color w:val="auto"/>
          <w:kern w:val="0"/>
          <w:position w:val="-1"/>
          <w:sz w:val="24"/>
          <w:szCs w:val="24"/>
        </w:rPr>
        <w:t>.5费用承担</w:t>
      </w:r>
    </w:p>
    <w:p w14:paraId="2582B68F">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投标供应商准</w:t>
      </w:r>
      <w:r>
        <w:rPr>
          <w:rFonts w:hint="eastAsia" w:ascii="宋体" w:hAnsi="宋体" w:eastAsia="宋体" w:cs="宋体"/>
          <w:color w:val="auto"/>
          <w:spacing w:val="-2"/>
          <w:kern w:val="0"/>
          <w:sz w:val="24"/>
          <w:szCs w:val="24"/>
        </w:rPr>
        <w:t>备</w:t>
      </w:r>
      <w:r>
        <w:rPr>
          <w:rFonts w:hint="eastAsia" w:ascii="宋体" w:hAnsi="宋体" w:eastAsia="宋体" w:cs="宋体"/>
          <w:color w:val="auto"/>
          <w:kern w:val="0"/>
          <w:sz w:val="24"/>
          <w:szCs w:val="24"/>
        </w:rPr>
        <w:t>和</w:t>
      </w:r>
      <w:r>
        <w:rPr>
          <w:rFonts w:hint="eastAsia" w:ascii="宋体" w:hAnsi="宋体" w:eastAsia="宋体" w:cs="宋体"/>
          <w:color w:val="auto"/>
          <w:spacing w:val="-2"/>
          <w:kern w:val="0"/>
          <w:sz w:val="24"/>
          <w:szCs w:val="24"/>
        </w:rPr>
        <w:t>参</w:t>
      </w:r>
      <w:r>
        <w:rPr>
          <w:rFonts w:hint="eastAsia" w:ascii="宋体" w:hAnsi="宋体" w:eastAsia="宋体" w:cs="宋体"/>
          <w:color w:val="auto"/>
          <w:kern w:val="0"/>
          <w:sz w:val="24"/>
          <w:szCs w:val="24"/>
        </w:rPr>
        <w:t>加</w:t>
      </w:r>
      <w:r>
        <w:rPr>
          <w:rFonts w:hint="eastAsia" w:ascii="宋体" w:hAnsi="宋体" w:eastAsia="宋体" w:cs="宋体"/>
          <w:color w:val="auto"/>
          <w:spacing w:val="-2"/>
          <w:kern w:val="0"/>
          <w:sz w:val="24"/>
          <w:szCs w:val="24"/>
        </w:rPr>
        <w:t>投</w:t>
      </w:r>
      <w:r>
        <w:rPr>
          <w:rFonts w:hint="eastAsia" w:ascii="宋体" w:hAnsi="宋体" w:eastAsia="宋体" w:cs="宋体"/>
          <w:color w:val="auto"/>
          <w:kern w:val="0"/>
          <w:sz w:val="24"/>
          <w:szCs w:val="24"/>
        </w:rPr>
        <w:t>标</w:t>
      </w:r>
      <w:r>
        <w:rPr>
          <w:rFonts w:hint="eastAsia" w:ascii="宋体" w:hAnsi="宋体" w:eastAsia="宋体" w:cs="宋体"/>
          <w:color w:val="auto"/>
          <w:spacing w:val="-2"/>
          <w:kern w:val="0"/>
          <w:sz w:val="24"/>
          <w:szCs w:val="24"/>
        </w:rPr>
        <w:t>活</w:t>
      </w:r>
      <w:r>
        <w:rPr>
          <w:rFonts w:hint="eastAsia" w:ascii="宋体" w:hAnsi="宋体" w:eastAsia="宋体" w:cs="宋体"/>
          <w:color w:val="auto"/>
          <w:kern w:val="0"/>
          <w:sz w:val="24"/>
          <w:szCs w:val="24"/>
        </w:rPr>
        <w:t>动发</w:t>
      </w:r>
      <w:r>
        <w:rPr>
          <w:rFonts w:hint="eastAsia" w:ascii="宋体" w:hAnsi="宋体" w:eastAsia="宋体" w:cs="宋体"/>
          <w:color w:val="auto"/>
          <w:spacing w:val="-2"/>
          <w:kern w:val="0"/>
          <w:sz w:val="24"/>
          <w:szCs w:val="24"/>
        </w:rPr>
        <w:t>生</w:t>
      </w:r>
      <w:r>
        <w:rPr>
          <w:rFonts w:hint="eastAsia" w:ascii="宋体" w:hAnsi="宋体" w:eastAsia="宋体" w:cs="宋体"/>
          <w:color w:val="auto"/>
          <w:kern w:val="0"/>
          <w:sz w:val="24"/>
          <w:szCs w:val="24"/>
        </w:rPr>
        <w:t>的</w:t>
      </w:r>
      <w:r>
        <w:rPr>
          <w:rFonts w:hint="eastAsia" w:ascii="宋体" w:hAnsi="宋体" w:eastAsia="宋体" w:cs="宋体"/>
          <w:color w:val="auto"/>
          <w:spacing w:val="-2"/>
          <w:kern w:val="0"/>
          <w:sz w:val="24"/>
          <w:szCs w:val="24"/>
        </w:rPr>
        <w:t>费</w:t>
      </w:r>
      <w:r>
        <w:rPr>
          <w:rFonts w:hint="eastAsia" w:ascii="宋体" w:hAnsi="宋体" w:eastAsia="宋体" w:cs="宋体"/>
          <w:color w:val="auto"/>
          <w:kern w:val="0"/>
          <w:sz w:val="24"/>
          <w:szCs w:val="24"/>
        </w:rPr>
        <w:t>用</w:t>
      </w:r>
      <w:r>
        <w:rPr>
          <w:rFonts w:hint="eastAsia" w:ascii="宋体" w:hAnsi="宋体" w:eastAsia="宋体" w:cs="宋体"/>
          <w:color w:val="auto"/>
          <w:spacing w:val="-2"/>
          <w:kern w:val="0"/>
          <w:sz w:val="24"/>
          <w:szCs w:val="24"/>
        </w:rPr>
        <w:t>自</w:t>
      </w:r>
      <w:r>
        <w:rPr>
          <w:rFonts w:hint="eastAsia" w:ascii="宋体" w:hAnsi="宋体" w:eastAsia="宋体" w:cs="宋体"/>
          <w:color w:val="auto"/>
          <w:kern w:val="0"/>
          <w:sz w:val="24"/>
          <w:szCs w:val="24"/>
        </w:rPr>
        <w:t>理。</w:t>
      </w:r>
    </w:p>
    <w:p w14:paraId="7FF25AF6">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rPr>
      </w:pPr>
      <w:r>
        <w:rPr>
          <w:rFonts w:hint="eastAsia" w:ascii="宋体" w:hAnsi="宋体" w:eastAsia="宋体" w:cs="宋体"/>
          <w:b/>
          <w:color w:val="auto"/>
          <w:spacing w:val="1"/>
          <w:kern w:val="0"/>
          <w:sz w:val="24"/>
          <w:szCs w:val="24"/>
        </w:rPr>
        <w:t>1</w:t>
      </w:r>
      <w:r>
        <w:rPr>
          <w:rFonts w:hint="eastAsia" w:ascii="宋体" w:hAnsi="宋体" w:eastAsia="宋体" w:cs="宋体"/>
          <w:b/>
          <w:color w:val="auto"/>
          <w:kern w:val="0"/>
          <w:sz w:val="24"/>
          <w:szCs w:val="24"/>
        </w:rPr>
        <w:t>.6保密</w:t>
      </w:r>
    </w:p>
    <w:p w14:paraId="59C1ECF1">
      <w:pPr>
        <w:autoSpaceDE w:val="0"/>
        <w:autoSpaceDN w:val="0"/>
        <w:adjustRightInd w:val="0"/>
        <w:spacing w:line="360" w:lineRule="auto"/>
        <w:ind w:right="143"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参与</w:t>
      </w:r>
      <w:r>
        <w:rPr>
          <w:rFonts w:hint="eastAsia" w:ascii="宋体" w:hAnsi="宋体" w:cs="宋体"/>
          <w:color w:val="auto"/>
          <w:kern w:val="0"/>
          <w:sz w:val="24"/>
          <w:szCs w:val="24"/>
          <w:lang w:eastAsia="zh-CN"/>
        </w:rPr>
        <w:t>磋商</w:t>
      </w:r>
      <w:r>
        <w:rPr>
          <w:rFonts w:hint="eastAsia" w:ascii="宋体" w:hAnsi="宋体" w:eastAsia="宋体" w:cs="宋体"/>
          <w:color w:val="auto"/>
          <w:kern w:val="0"/>
          <w:sz w:val="24"/>
          <w:szCs w:val="24"/>
        </w:rPr>
        <w:t>投标活动的各方应对</w:t>
      </w:r>
      <w:r>
        <w:rPr>
          <w:rFonts w:hint="eastAsia" w:ascii="宋体" w:hAnsi="宋体" w:eastAsia="宋体" w:cs="宋体"/>
          <w:color w:val="auto"/>
          <w:kern w:val="0"/>
          <w:sz w:val="24"/>
          <w:szCs w:val="24"/>
          <w:lang w:val="en-US" w:eastAsia="zh-CN"/>
        </w:rPr>
        <w:t>竞争性磋商文件</w:t>
      </w:r>
      <w:r>
        <w:rPr>
          <w:rFonts w:hint="eastAsia" w:ascii="宋体" w:hAnsi="宋体" w:eastAsia="宋体" w:cs="宋体"/>
          <w:color w:val="auto"/>
          <w:kern w:val="0"/>
          <w:sz w:val="24"/>
          <w:szCs w:val="24"/>
        </w:rPr>
        <w:t>和</w:t>
      </w:r>
      <w:r>
        <w:rPr>
          <w:rFonts w:hint="eastAsia" w:ascii="宋体" w:hAnsi="宋体" w:eastAsia="宋体" w:cs="宋体"/>
          <w:color w:val="auto"/>
          <w:kern w:val="0"/>
          <w:sz w:val="24"/>
          <w:szCs w:val="24"/>
          <w:lang w:val="en-US" w:eastAsia="zh-CN"/>
        </w:rPr>
        <w:t>响应文件</w:t>
      </w:r>
      <w:r>
        <w:rPr>
          <w:rFonts w:hint="eastAsia" w:ascii="宋体" w:hAnsi="宋体" w:eastAsia="宋体" w:cs="宋体"/>
          <w:color w:val="auto"/>
          <w:kern w:val="0"/>
          <w:sz w:val="24"/>
          <w:szCs w:val="24"/>
        </w:rPr>
        <w:t>中的商业和技术等秘密保密，否则应承担相</w:t>
      </w:r>
      <w:r>
        <w:rPr>
          <w:rFonts w:hint="eastAsia" w:ascii="宋体" w:hAnsi="宋体" w:eastAsia="宋体" w:cs="宋体"/>
          <w:color w:val="auto"/>
          <w:spacing w:val="-2"/>
          <w:kern w:val="0"/>
          <w:sz w:val="24"/>
          <w:szCs w:val="24"/>
        </w:rPr>
        <w:t>应</w:t>
      </w:r>
      <w:r>
        <w:rPr>
          <w:rFonts w:hint="eastAsia" w:ascii="宋体" w:hAnsi="宋体" w:eastAsia="宋体" w:cs="宋体"/>
          <w:color w:val="auto"/>
          <w:kern w:val="0"/>
          <w:sz w:val="24"/>
          <w:szCs w:val="24"/>
        </w:rPr>
        <w:t>的</w:t>
      </w:r>
      <w:r>
        <w:rPr>
          <w:rFonts w:hint="eastAsia" w:ascii="宋体" w:hAnsi="宋体" w:eastAsia="宋体" w:cs="宋体"/>
          <w:color w:val="auto"/>
          <w:spacing w:val="-2"/>
          <w:kern w:val="0"/>
          <w:sz w:val="24"/>
          <w:szCs w:val="24"/>
        </w:rPr>
        <w:t>法</w:t>
      </w:r>
      <w:r>
        <w:rPr>
          <w:rFonts w:hint="eastAsia" w:ascii="宋体" w:hAnsi="宋体" w:eastAsia="宋体" w:cs="宋体"/>
          <w:color w:val="auto"/>
          <w:kern w:val="0"/>
          <w:sz w:val="24"/>
          <w:szCs w:val="24"/>
        </w:rPr>
        <w:t>律</w:t>
      </w:r>
      <w:r>
        <w:rPr>
          <w:rFonts w:hint="eastAsia" w:ascii="宋体" w:hAnsi="宋体" w:eastAsia="宋体" w:cs="宋体"/>
          <w:color w:val="auto"/>
          <w:spacing w:val="-2"/>
          <w:kern w:val="0"/>
          <w:sz w:val="24"/>
          <w:szCs w:val="24"/>
        </w:rPr>
        <w:t>责</w:t>
      </w:r>
      <w:r>
        <w:rPr>
          <w:rFonts w:hint="eastAsia" w:ascii="宋体" w:hAnsi="宋体" w:eastAsia="宋体" w:cs="宋体"/>
          <w:color w:val="auto"/>
          <w:kern w:val="0"/>
          <w:sz w:val="24"/>
          <w:szCs w:val="24"/>
        </w:rPr>
        <w:t>任。</w:t>
      </w:r>
    </w:p>
    <w:p w14:paraId="3ABCCF7B">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rPr>
      </w:pPr>
      <w:r>
        <w:rPr>
          <w:rFonts w:hint="eastAsia" w:ascii="宋体" w:hAnsi="宋体" w:eastAsia="宋体" w:cs="宋体"/>
          <w:b/>
          <w:color w:val="auto"/>
          <w:spacing w:val="1"/>
          <w:kern w:val="0"/>
          <w:sz w:val="24"/>
          <w:szCs w:val="24"/>
        </w:rPr>
        <w:t>1</w:t>
      </w:r>
      <w:r>
        <w:rPr>
          <w:rFonts w:hint="eastAsia" w:ascii="宋体" w:hAnsi="宋体" w:eastAsia="宋体" w:cs="宋体"/>
          <w:b/>
          <w:color w:val="auto"/>
          <w:spacing w:val="-1"/>
          <w:kern w:val="0"/>
          <w:sz w:val="24"/>
          <w:szCs w:val="24"/>
        </w:rPr>
        <w:t>.</w:t>
      </w:r>
      <w:r>
        <w:rPr>
          <w:rFonts w:hint="eastAsia" w:ascii="宋体" w:hAnsi="宋体" w:eastAsia="宋体" w:cs="宋体"/>
          <w:b/>
          <w:color w:val="auto"/>
          <w:kern w:val="0"/>
          <w:sz w:val="24"/>
          <w:szCs w:val="24"/>
        </w:rPr>
        <w:t>7语言文字</w:t>
      </w:r>
    </w:p>
    <w:p w14:paraId="280A4FD3">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竞争性磋商文件</w:t>
      </w:r>
      <w:r>
        <w:rPr>
          <w:rFonts w:hint="eastAsia" w:ascii="宋体" w:hAnsi="宋体" w:eastAsia="宋体" w:cs="宋体"/>
          <w:color w:val="auto"/>
          <w:kern w:val="0"/>
          <w:sz w:val="24"/>
          <w:szCs w:val="24"/>
          <w:highlight w:val="none"/>
          <w:lang w:eastAsia="zh-CN"/>
        </w:rPr>
        <w:t>及响应文件</w:t>
      </w:r>
      <w:r>
        <w:rPr>
          <w:rFonts w:hint="eastAsia" w:ascii="宋体" w:hAnsi="宋体" w:eastAsia="宋体" w:cs="宋体"/>
          <w:color w:val="auto"/>
          <w:spacing w:val="-2"/>
          <w:kern w:val="0"/>
          <w:sz w:val="24"/>
          <w:szCs w:val="24"/>
        </w:rPr>
        <w:t>使</w:t>
      </w:r>
      <w:r>
        <w:rPr>
          <w:rFonts w:hint="eastAsia" w:ascii="宋体" w:hAnsi="宋体" w:eastAsia="宋体" w:cs="宋体"/>
          <w:color w:val="auto"/>
          <w:kern w:val="0"/>
          <w:sz w:val="24"/>
          <w:szCs w:val="24"/>
        </w:rPr>
        <w:t>用</w:t>
      </w:r>
      <w:r>
        <w:rPr>
          <w:rFonts w:hint="eastAsia" w:ascii="宋体" w:hAnsi="宋体" w:eastAsia="宋体" w:cs="宋体"/>
          <w:color w:val="auto"/>
          <w:spacing w:val="-2"/>
          <w:kern w:val="0"/>
          <w:sz w:val="24"/>
          <w:szCs w:val="24"/>
        </w:rPr>
        <w:t>的</w:t>
      </w:r>
      <w:r>
        <w:rPr>
          <w:rFonts w:hint="eastAsia" w:ascii="宋体" w:hAnsi="宋体" w:eastAsia="宋体" w:cs="宋体"/>
          <w:color w:val="auto"/>
          <w:kern w:val="0"/>
          <w:sz w:val="24"/>
          <w:szCs w:val="24"/>
        </w:rPr>
        <w:t>语</w:t>
      </w:r>
      <w:r>
        <w:rPr>
          <w:rFonts w:hint="eastAsia" w:ascii="宋体" w:hAnsi="宋体" w:eastAsia="宋体" w:cs="宋体"/>
          <w:color w:val="auto"/>
          <w:spacing w:val="-2"/>
          <w:kern w:val="0"/>
          <w:sz w:val="24"/>
          <w:szCs w:val="24"/>
        </w:rPr>
        <w:t>言</w:t>
      </w:r>
      <w:r>
        <w:rPr>
          <w:rFonts w:hint="eastAsia" w:ascii="宋体" w:hAnsi="宋体" w:eastAsia="宋体" w:cs="宋体"/>
          <w:color w:val="auto"/>
          <w:kern w:val="0"/>
          <w:sz w:val="24"/>
          <w:szCs w:val="24"/>
        </w:rPr>
        <w:t>文字</w:t>
      </w:r>
      <w:r>
        <w:rPr>
          <w:rFonts w:hint="eastAsia" w:ascii="宋体" w:hAnsi="宋体" w:eastAsia="宋体" w:cs="宋体"/>
          <w:color w:val="auto"/>
          <w:spacing w:val="-2"/>
          <w:kern w:val="0"/>
          <w:sz w:val="24"/>
          <w:szCs w:val="24"/>
        </w:rPr>
        <w:t>为</w:t>
      </w:r>
      <w:r>
        <w:rPr>
          <w:rFonts w:hint="eastAsia" w:ascii="宋体" w:hAnsi="宋体" w:eastAsia="宋体" w:cs="宋体"/>
          <w:color w:val="auto"/>
          <w:kern w:val="0"/>
          <w:sz w:val="24"/>
          <w:szCs w:val="24"/>
        </w:rPr>
        <w:t>中</w:t>
      </w:r>
      <w:r>
        <w:rPr>
          <w:rFonts w:hint="eastAsia" w:ascii="宋体" w:hAnsi="宋体" w:eastAsia="宋体" w:cs="宋体"/>
          <w:color w:val="auto"/>
          <w:spacing w:val="-2"/>
          <w:kern w:val="0"/>
          <w:sz w:val="24"/>
          <w:szCs w:val="24"/>
        </w:rPr>
        <w:t>文</w:t>
      </w:r>
      <w:r>
        <w:rPr>
          <w:rFonts w:hint="eastAsia" w:ascii="宋体" w:hAnsi="宋体" w:eastAsia="宋体" w:cs="宋体"/>
          <w:color w:val="auto"/>
          <w:kern w:val="0"/>
          <w:sz w:val="24"/>
          <w:szCs w:val="24"/>
        </w:rPr>
        <w:t>。</w:t>
      </w:r>
      <w:r>
        <w:rPr>
          <w:rFonts w:hint="eastAsia" w:ascii="宋体" w:hAnsi="宋体" w:eastAsia="宋体" w:cs="宋体"/>
          <w:color w:val="auto"/>
          <w:spacing w:val="-2"/>
          <w:kern w:val="0"/>
          <w:sz w:val="24"/>
          <w:szCs w:val="24"/>
        </w:rPr>
        <w:t>专</w:t>
      </w:r>
      <w:r>
        <w:rPr>
          <w:rFonts w:hint="eastAsia" w:ascii="宋体" w:hAnsi="宋体" w:eastAsia="宋体" w:cs="宋体"/>
          <w:color w:val="auto"/>
          <w:kern w:val="0"/>
          <w:sz w:val="24"/>
          <w:szCs w:val="24"/>
        </w:rPr>
        <w:t>用</w:t>
      </w:r>
      <w:r>
        <w:rPr>
          <w:rFonts w:hint="eastAsia" w:ascii="宋体" w:hAnsi="宋体" w:eastAsia="宋体" w:cs="宋体"/>
          <w:color w:val="auto"/>
          <w:spacing w:val="-2"/>
          <w:kern w:val="0"/>
          <w:sz w:val="24"/>
          <w:szCs w:val="24"/>
        </w:rPr>
        <w:t>术</w:t>
      </w:r>
      <w:r>
        <w:rPr>
          <w:rFonts w:hint="eastAsia" w:ascii="宋体" w:hAnsi="宋体" w:eastAsia="宋体" w:cs="宋体"/>
          <w:color w:val="auto"/>
          <w:kern w:val="0"/>
          <w:sz w:val="24"/>
          <w:szCs w:val="24"/>
        </w:rPr>
        <w:t>语</w:t>
      </w:r>
      <w:r>
        <w:rPr>
          <w:rFonts w:hint="eastAsia" w:ascii="宋体" w:hAnsi="宋体" w:eastAsia="宋体" w:cs="宋体"/>
          <w:color w:val="auto"/>
          <w:spacing w:val="-2"/>
          <w:kern w:val="0"/>
          <w:sz w:val="24"/>
          <w:szCs w:val="24"/>
        </w:rPr>
        <w:t>使</w:t>
      </w:r>
      <w:r>
        <w:rPr>
          <w:rFonts w:hint="eastAsia" w:ascii="宋体" w:hAnsi="宋体" w:eastAsia="宋体" w:cs="宋体"/>
          <w:color w:val="auto"/>
          <w:kern w:val="0"/>
          <w:sz w:val="24"/>
          <w:szCs w:val="24"/>
        </w:rPr>
        <w:t>用外</w:t>
      </w:r>
      <w:r>
        <w:rPr>
          <w:rFonts w:hint="eastAsia" w:ascii="宋体" w:hAnsi="宋体" w:eastAsia="宋体" w:cs="宋体"/>
          <w:color w:val="auto"/>
          <w:spacing w:val="-2"/>
          <w:kern w:val="0"/>
          <w:sz w:val="24"/>
          <w:szCs w:val="24"/>
        </w:rPr>
        <w:t>文</w:t>
      </w:r>
      <w:r>
        <w:rPr>
          <w:rFonts w:hint="eastAsia" w:ascii="宋体" w:hAnsi="宋体" w:eastAsia="宋体" w:cs="宋体"/>
          <w:color w:val="auto"/>
          <w:kern w:val="0"/>
          <w:sz w:val="24"/>
          <w:szCs w:val="24"/>
        </w:rPr>
        <w:t>的</w:t>
      </w:r>
      <w:r>
        <w:rPr>
          <w:rFonts w:hint="eastAsia" w:ascii="宋体" w:hAnsi="宋体" w:eastAsia="宋体" w:cs="宋体"/>
          <w:color w:val="auto"/>
          <w:spacing w:val="-2"/>
          <w:kern w:val="0"/>
          <w:sz w:val="24"/>
          <w:szCs w:val="24"/>
        </w:rPr>
        <w:t>，</w:t>
      </w:r>
      <w:r>
        <w:rPr>
          <w:rFonts w:hint="eastAsia" w:ascii="宋体" w:hAnsi="宋体" w:eastAsia="宋体" w:cs="宋体"/>
          <w:color w:val="auto"/>
          <w:kern w:val="0"/>
          <w:sz w:val="24"/>
          <w:szCs w:val="24"/>
        </w:rPr>
        <w:t>应</w:t>
      </w:r>
      <w:r>
        <w:rPr>
          <w:rFonts w:hint="eastAsia" w:ascii="宋体" w:hAnsi="宋体" w:eastAsia="宋体" w:cs="宋体"/>
          <w:color w:val="auto"/>
          <w:spacing w:val="-2"/>
          <w:kern w:val="0"/>
          <w:sz w:val="24"/>
          <w:szCs w:val="24"/>
        </w:rPr>
        <w:t>附</w:t>
      </w:r>
      <w:r>
        <w:rPr>
          <w:rFonts w:hint="eastAsia" w:ascii="宋体" w:hAnsi="宋体" w:eastAsia="宋体" w:cs="宋体"/>
          <w:color w:val="auto"/>
          <w:kern w:val="0"/>
          <w:sz w:val="24"/>
          <w:szCs w:val="24"/>
        </w:rPr>
        <w:t>有</w:t>
      </w:r>
      <w:r>
        <w:rPr>
          <w:rFonts w:hint="eastAsia" w:ascii="宋体" w:hAnsi="宋体" w:eastAsia="宋体" w:cs="宋体"/>
          <w:color w:val="auto"/>
          <w:spacing w:val="-2"/>
          <w:kern w:val="0"/>
          <w:sz w:val="24"/>
          <w:szCs w:val="24"/>
        </w:rPr>
        <w:t>中</w:t>
      </w:r>
      <w:r>
        <w:rPr>
          <w:rFonts w:hint="eastAsia" w:ascii="宋体" w:hAnsi="宋体" w:eastAsia="宋体" w:cs="宋体"/>
          <w:color w:val="auto"/>
          <w:kern w:val="0"/>
          <w:sz w:val="24"/>
          <w:szCs w:val="24"/>
        </w:rPr>
        <w:t>文</w:t>
      </w:r>
      <w:r>
        <w:rPr>
          <w:rFonts w:hint="eastAsia" w:ascii="宋体" w:hAnsi="宋体" w:eastAsia="宋体" w:cs="宋体"/>
          <w:color w:val="auto"/>
          <w:spacing w:val="-2"/>
          <w:kern w:val="0"/>
          <w:sz w:val="24"/>
          <w:szCs w:val="24"/>
        </w:rPr>
        <w:t>注</w:t>
      </w:r>
      <w:r>
        <w:rPr>
          <w:rFonts w:hint="eastAsia" w:ascii="宋体" w:hAnsi="宋体" w:eastAsia="宋体" w:cs="宋体"/>
          <w:color w:val="auto"/>
          <w:kern w:val="0"/>
          <w:sz w:val="24"/>
          <w:szCs w:val="24"/>
        </w:rPr>
        <w:t>释。</w:t>
      </w:r>
    </w:p>
    <w:p w14:paraId="72B45DF3">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rPr>
      </w:pPr>
      <w:r>
        <w:rPr>
          <w:rFonts w:hint="eastAsia" w:ascii="宋体" w:hAnsi="宋体" w:eastAsia="宋体" w:cs="宋体"/>
          <w:b/>
          <w:color w:val="auto"/>
          <w:spacing w:val="1"/>
          <w:kern w:val="0"/>
          <w:sz w:val="24"/>
          <w:szCs w:val="24"/>
        </w:rPr>
        <w:t>1</w:t>
      </w:r>
      <w:r>
        <w:rPr>
          <w:rFonts w:hint="eastAsia" w:ascii="宋体" w:hAnsi="宋体" w:eastAsia="宋体" w:cs="宋体"/>
          <w:b/>
          <w:color w:val="auto"/>
          <w:spacing w:val="-1"/>
          <w:kern w:val="0"/>
          <w:sz w:val="24"/>
          <w:szCs w:val="24"/>
        </w:rPr>
        <w:t>.</w:t>
      </w:r>
      <w:r>
        <w:rPr>
          <w:rFonts w:hint="eastAsia" w:ascii="宋体" w:hAnsi="宋体" w:eastAsia="宋体" w:cs="宋体"/>
          <w:b/>
          <w:color w:val="auto"/>
          <w:kern w:val="0"/>
          <w:sz w:val="24"/>
          <w:szCs w:val="24"/>
        </w:rPr>
        <w:t>8计量单位</w:t>
      </w:r>
    </w:p>
    <w:p w14:paraId="162BCF6D">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所有</w:t>
      </w:r>
      <w:r>
        <w:rPr>
          <w:rFonts w:hint="eastAsia" w:ascii="宋体" w:hAnsi="宋体" w:eastAsia="宋体" w:cs="宋体"/>
          <w:color w:val="auto"/>
          <w:spacing w:val="-2"/>
          <w:kern w:val="0"/>
          <w:sz w:val="24"/>
          <w:szCs w:val="24"/>
        </w:rPr>
        <w:t>计</w:t>
      </w:r>
      <w:r>
        <w:rPr>
          <w:rFonts w:hint="eastAsia" w:ascii="宋体" w:hAnsi="宋体" w:eastAsia="宋体" w:cs="宋体"/>
          <w:color w:val="auto"/>
          <w:kern w:val="0"/>
          <w:sz w:val="24"/>
          <w:szCs w:val="24"/>
        </w:rPr>
        <w:t>量</w:t>
      </w:r>
      <w:r>
        <w:rPr>
          <w:rFonts w:hint="eastAsia" w:ascii="宋体" w:hAnsi="宋体" w:eastAsia="宋体" w:cs="宋体"/>
          <w:color w:val="auto"/>
          <w:spacing w:val="-2"/>
          <w:kern w:val="0"/>
          <w:sz w:val="24"/>
          <w:szCs w:val="24"/>
        </w:rPr>
        <w:t>均</w:t>
      </w:r>
      <w:r>
        <w:rPr>
          <w:rFonts w:hint="eastAsia" w:ascii="宋体" w:hAnsi="宋体" w:eastAsia="宋体" w:cs="宋体"/>
          <w:color w:val="auto"/>
          <w:kern w:val="0"/>
          <w:sz w:val="24"/>
          <w:szCs w:val="24"/>
        </w:rPr>
        <w:t>采</w:t>
      </w:r>
      <w:r>
        <w:rPr>
          <w:rFonts w:hint="eastAsia" w:ascii="宋体" w:hAnsi="宋体" w:eastAsia="宋体" w:cs="宋体"/>
          <w:color w:val="auto"/>
          <w:spacing w:val="-2"/>
          <w:kern w:val="0"/>
          <w:sz w:val="24"/>
          <w:szCs w:val="24"/>
        </w:rPr>
        <w:t>用</w:t>
      </w:r>
      <w:r>
        <w:rPr>
          <w:rFonts w:hint="eastAsia" w:ascii="宋体" w:hAnsi="宋体" w:eastAsia="宋体" w:cs="宋体"/>
          <w:color w:val="auto"/>
          <w:kern w:val="0"/>
          <w:sz w:val="24"/>
          <w:szCs w:val="24"/>
        </w:rPr>
        <w:t>中</w:t>
      </w:r>
      <w:r>
        <w:rPr>
          <w:rFonts w:hint="eastAsia" w:ascii="宋体" w:hAnsi="宋体" w:eastAsia="宋体" w:cs="宋体"/>
          <w:color w:val="auto"/>
          <w:spacing w:val="-2"/>
          <w:kern w:val="0"/>
          <w:sz w:val="24"/>
          <w:szCs w:val="24"/>
        </w:rPr>
        <w:t>华</w:t>
      </w:r>
      <w:r>
        <w:rPr>
          <w:rFonts w:hint="eastAsia" w:ascii="宋体" w:hAnsi="宋体" w:eastAsia="宋体" w:cs="宋体"/>
          <w:color w:val="auto"/>
          <w:kern w:val="0"/>
          <w:sz w:val="24"/>
          <w:szCs w:val="24"/>
        </w:rPr>
        <w:t>人</w:t>
      </w:r>
      <w:r>
        <w:rPr>
          <w:rFonts w:hint="eastAsia" w:ascii="宋体" w:hAnsi="宋体" w:eastAsia="宋体" w:cs="宋体"/>
          <w:color w:val="auto"/>
          <w:spacing w:val="-2"/>
          <w:kern w:val="0"/>
          <w:sz w:val="24"/>
          <w:szCs w:val="24"/>
        </w:rPr>
        <w:t>民</w:t>
      </w:r>
      <w:r>
        <w:rPr>
          <w:rFonts w:hint="eastAsia" w:ascii="宋体" w:hAnsi="宋体" w:eastAsia="宋体" w:cs="宋体"/>
          <w:color w:val="auto"/>
          <w:kern w:val="0"/>
          <w:sz w:val="24"/>
          <w:szCs w:val="24"/>
        </w:rPr>
        <w:t>共和</w:t>
      </w:r>
      <w:r>
        <w:rPr>
          <w:rFonts w:hint="eastAsia" w:ascii="宋体" w:hAnsi="宋体" w:eastAsia="宋体" w:cs="宋体"/>
          <w:color w:val="auto"/>
          <w:spacing w:val="-2"/>
          <w:kern w:val="0"/>
          <w:sz w:val="24"/>
          <w:szCs w:val="24"/>
        </w:rPr>
        <w:t>国</w:t>
      </w:r>
      <w:r>
        <w:rPr>
          <w:rFonts w:hint="eastAsia" w:ascii="宋体" w:hAnsi="宋体" w:eastAsia="宋体" w:cs="宋体"/>
          <w:color w:val="auto"/>
          <w:kern w:val="0"/>
          <w:sz w:val="24"/>
          <w:szCs w:val="24"/>
        </w:rPr>
        <w:t>法</w:t>
      </w:r>
      <w:r>
        <w:rPr>
          <w:rFonts w:hint="eastAsia" w:ascii="宋体" w:hAnsi="宋体" w:eastAsia="宋体" w:cs="宋体"/>
          <w:color w:val="auto"/>
          <w:spacing w:val="-2"/>
          <w:kern w:val="0"/>
          <w:sz w:val="24"/>
          <w:szCs w:val="24"/>
        </w:rPr>
        <w:t>定</w:t>
      </w:r>
      <w:r>
        <w:rPr>
          <w:rFonts w:hint="eastAsia" w:ascii="宋体" w:hAnsi="宋体" w:eastAsia="宋体" w:cs="宋体"/>
          <w:color w:val="auto"/>
          <w:kern w:val="0"/>
          <w:sz w:val="24"/>
          <w:szCs w:val="24"/>
        </w:rPr>
        <w:t>计</w:t>
      </w:r>
      <w:r>
        <w:rPr>
          <w:rFonts w:hint="eastAsia" w:ascii="宋体" w:hAnsi="宋体" w:eastAsia="宋体" w:cs="宋体"/>
          <w:color w:val="auto"/>
          <w:spacing w:val="-2"/>
          <w:kern w:val="0"/>
          <w:sz w:val="24"/>
          <w:szCs w:val="24"/>
        </w:rPr>
        <w:t>量</w:t>
      </w:r>
      <w:r>
        <w:rPr>
          <w:rFonts w:hint="eastAsia" w:ascii="宋体" w:hAnsi="宋体" w:eastAsia="宋体" w:cs="宋体"/>
          <w:color w:val="auto"/>
          <w:kern w:val="0"/>
          <w:sz w:val="24"/>
          <w:szCs w:val="24"/>
        </w:rPr>
        <w:t>单</w:t>
      </w:r>
      <w:r>
        <w:rPr>
          <w:rFonts w:hint="eastAsia" w:ascii="宋体" w:hAnsi="宋体" w:eastAsia="宋体" w:cs="宋体"/>
          <w:color w:val="auto"/>
          <w:spacing w:val="-2"/>
          <w:kern w:val="0"/>
          <w:sz w:val="24"/>
          <w:szCs w:val="24"/>
        </w:rPr>
        <w:t>位</w:t>
      </w:r>
      <w:r>
        <w:rPr>
          <w:rFonts w:hint="eastAsia" w:ascii="宋体" w:hAnsi="宋体" w:eastAsia="宋体" w:cs="宋体"/>
          <w:color w:val="auto"/>
          <w:kern w:val="0"/>
          <w:sz w:val="24"/>
          <w:szCs w:val="24"/>
        </w:rPr>
        <w:t>。</w:t>
      </w:r>
    </w:p>
    <w:p w14:paraId="2D2F61B0">
      <w:pPr>
        <w:autoSpaceDE w:val="0"/>
        <w:autoSpaceDN w:val="0"/>
        <w:adjustRightInd w:val="0"/>
        <w:spacing w:line="360" w:lineRule="auto"/>
        <w:ind w:right="-20" w:firstLine="486" w:firstLineChars="200"/>
        <w:jc w:val="left"/>
        <w:rPr>
          <w:rFonts w:hint="eastAsia" w:ascii="宋体" w:hAnsi="宋体" w:eastAsia="宋体" w:cs="宋体"/>
          <w:b/>
          <w:color w:val="auto"/>
          <w:spacing w:val="-2"/>
          <w:kern w:val="0"/>
          <w:sz w:val="24"/>
          <w:szCs w:val="24"/>
        </w:rPr>
      </w:pPr>
      <w:r>
        <w:rPr>
          <w:rFonts w:hint="eastAsia" w:ascii="宋体" w:hAnsi="宋体" w:eastAsia="宋体" w:cs="宋体"/>
          <w:b/>
          <w:color w:val="auto"/>
          <w:spacing w:val="1"/>
          <w:kern w:val="0"/>
          <w:sz w:val="24"/>
          <w:szCs w:val="24"/>
        </w:rPr>
        <w:t>1</w:t>
      </w:r>
      <w:r>
        <w:rPr>
          <w:rFonts w:hint="eastAsia" w:ascii="宋体" w:hAnsi="宋体" w:eastAsia="宋体" w:cs="宋体"/>
          <w:b/>
          <w:color w:val="auto"/>
          <w:spacing w:val="-1"/>
          <w:kern w:val="0"/>
          <w:sz w:val="24"/>
          <w:szCs w:val="24"/>
        </w:rPr>
        <w:t>.</w:t>
      </w:r>
      <w:r>
        <w:rPr>
          <w:rFonts w:hint="eastAsia" w:ascii="宋体" w:hAnsi="宋体" w:eastAsia="宋体" w:cs="宋体"/>
          <w:b/>
          <w:color w:val="auto"/>
          <w:kern w:val="0"/>
          <w:sz w:val="24"/>
          <w:szCs w:val="24"/>
        </w:rPr>
        <w:t>9</w:t>
      </w:r>
      <w:r>
        <w:rPr>
          <w:rFonts w:hint="eastAsia" w:ascii="宋体" w:hAnsi="宋体" w:eastAsia="宋体" w:cs="宋体"/>
          <w:b/>
          <w:color w:val="auto"/>
          <w:sz w:val="24"/>
          <w:szCs w:val="24"/>
        </w:rPr>
        <w:t>踏勘现场</w:t>
      </w:r>
    </w:p>
    <w:p w14:paraId="068241D7">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1.9.1采购人不组织现场踏勘，由投标供应商自行踏勘。</w:t>
      </w:r>
    </w:p>
    <w:p w14:paraId="46D591B4">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1.9.2投标供应商踏勘现场发生的费用自理。</w:t>
      </w:r>
    </w:p>
    <w:p w14:paraId="30F012E6">
      <w:pPr>
        <w:spacing w:line="360" w:lineRule="auto"/>
        <w:ind w:firstLine="464" w:firstLineChars="200"/>
        <w:rPr>
          <w:rFonts w:hint="eastAsia" w:ascii="宋体" w:hAnsi="宋体" w:eastAsia="宋体" w:cs="宋体"/>
          <w:color w:val="auto"/>
          <w:sz w:val="24"/>
          <w:szCs w:val="28"/>
        </w:rPr>
      </w:pPr>
      <w:r>
        <w:rPr>
          <w:rFonts w:hint="eastAsia" w:ascii="宋体" w:hAnsi="宋体" w:eastAsia="宋体" w:cs="宋体"/>
          <w:snapToGrid w:val="0"/>
          <w:color w:val="auto"/>
          <w:spacing w:val="-4"/>
          <w:kern w:val="0"/>
          <w:sz w:val="24"/>
          <w:szCs w:val="24"/>
        </w:rPr>
        <w:t>1.9.3</w:t>
      </w:r>
      <w:r>
        <w:rPr>
          <w:rFonts w:hint="eastAsia" w:ascii="宋体" w:hAnsi="宋体" w:eastAsia="宋体" w:cs="宋体"/>
          <w:snapToGrid w:val="0"/>
          <w:color w:val="auto"/>
          <w:spacing w:val="-2"/>
          <w:kern w:val="0"/>
          <w:sz w:val="24"/>
          <w:szCs w:val="24"/>
        </w:rPr>
        <w:t>除采购人的原因外，潜在投标供应商自行负责在踏勘现场中所发生的人员伤亡和财产</w:t>
      </w:r>
      <w:r>
        <w:rPr>
          <w:rFonts w:hint="eastAsia" w:ascii="宋体" w:hAnsi="宋体" w:eastAsia="宋体" w:cs="宋体"/>
          <w:snapToGrid w:val="0"/>
          <w:color w:val="auto"/>
          <w:spacing w:val="-8"/>
          <w:kern w:val="0"/>
          <w:sz w:val="24"/>
          <w:szCs w:val="24"/>
        </w:rPr>
        <w:t>损失。</w:t>
      </w:r>
    </w:p>
    <w:p w14:paraId="46246DFF">
      <w:pPr>
        <w:widowControl/>
        <w:kinsoku w:val="0"/>
        <w:autoSpaceDE w:val="0"/>
        <w:autoSpaceDN w:val="0"/>
        <w:adjustRightInd w:val="0"/>
        <w:snapToGrid w:val="0"/>
        <w:spacing w:line="360" w:lineRule="auto"/>
        <w:ind w:left="37" w:right="24" w:firstLine="464" w:firstLineChars="200"/>
        <w:jc w:val="left"/>
        <w:textAlignment w:val="baseline"/>
        <w:rPr>
          <w:rFonts w:hint="eastAsia" w:ascii="宋体" w:hAnsi="宋体" w:eastAsia="宋体" w:cs="宋体"/>
          <w:snapToGrid w:val="0"/>
          <w:color w:val="auto"/>
          <w:kern w:val="0"/>
          <w:sz w:val="24"/>
          <w:szCs w:val="24"/>
        </w:rPr>
      </w:pPr>
      <w:r>
        <w:rPr>
          <w:rFonts w:hint="eastAsia" w:ascii="宋体" w:hAnsi="宋体" w:eastAsia="宋体" w:cs="宋体"/>
          <w:snapToGrid w:val="0"/>
          <w:color w:val="auto"/>
          <w:spacing w:val="-4"/>
          <w:kern w:val="0"/>
          <w:sz w:val="24"/>
          <w:szCs w:val="24"/>
        </w:rPr>
        <w:t>1.9.4</w:t>
      </w:r>
      <w:r>
        <w:rPr>
          <w:rFonts w:hint="eastAsia" w:ascii="宋体" w:hAnsi="宋体" w:eastAsia="宋体" w:cs="宋体"/>
          <w:snapToGrid w:val="0"/>
          <w:color w:val="auto"/>
          <w:spacing w:val="-2"/>
          <w:kern w:val="0"/>
          <w:sz w:val="24"/>
          <w:szCs w:val="24"/>
        </w:rPr>
        <w:t>采购人在踏勘现场中介绍的项目现场和相关的周边环境情况，供潜在投标供应商在编</w:t>
      </w:r>
      <w:r>
        <w:rPr>
          <w:rFonts w:hint="eastAsia" w:ascii="宋体" w:hAnsi="宋体" w:eastAsia="宋体" w:cs="宋体"/>
          <w:snapToGrid w:val="0"/>
          <w:color w:val="auto"/>
          <w:spacing w:val="-6"/>
          <w:kern w:val="0"/>
          <w:sz w:val="24"/>
          <w:szCs w:val="24"/>
        </w:rPr>
        <w:t>制投标文件</w:t>
      </w:r>
      <w:r>
        <w:rPr>
          <w:rFonts w:hint="eastAsia" w:ascii="宋体" w:hAnsi="宋体" w:eastAsia="宋体" w:cs="宋体"/>
          <w:snapToGrid w:val="0"/>
          <w:color w:val="auto"/>
          <w:spacing w:val="-3"/>
          <w:kern w:val="0"/>
          <w:sz w:val="24"/>
          <w:szCs w:val="24"/>
        </w:rPr>
        <w:t>时参考，采购人不对投标供应商据此作出的判断和决策负责。</w:t>
      </w:r>
    </w:p>
    <w:p w14:paraId="76B1D714">
      <w:pPr>
        <w:autoSpaceDE w:val="0"/>
        <w:autoSpaceDN w:val="0"/>
        <w:adjustRightInd w:val="0"/>
        <w:spacing w:line="360" w:lineRule="auto"/>
        <w:ind w:right="-20" w:firstLine="482" w:firstLineChars="200"/>
        <w:jc w:val="left"/>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1.10投标预</w:t>
      </w:r>
      <w:r>
        <w:rPr>
          <w:rFonts w:hint="eastAsia" w:ascii="宋体" w:hAnsi="宋体" w:eastAsia="宋体" w:cs="宋体"/>
          <w:b/>
          <w:color w:val="auto"/>
          <w:spacing w:val="-3"/>
          <w:kern w:val="0"/>
          <w:sz w:val="24"/>
          <w:szCs w:val="24"/>
        </w:rPr>
        <w:t>备</w:t>
      </w:r>
      <w:r>
        <w:rPr>
          <w:rFonts w:hint="eastAsia" w:ascii="宋体" w:hAnsi="宋体" w:eastAsia="宋体" w:cs="宋体"/>
          <w:b/>
          <w:color w:val="auto"/>
          <w:kern w:val="0"/>
          <w:sz w:val="24"/>
          <w:szCs w:val="24"/>
        </w:rPr>
        <w:t>会</w:t>
      </w:r>
    </w:p>
    <w:p w14:paraId="4F39B145">
      <w:pPr>
        <w:pStyle w:val="18"/>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不召开</w:t>
      </w:r>
    </w:p>
    <w:p w14:paraId="41808522">
      <w:pPr>
        <w:spacing w:line="360" w:lineRule="auto"/>
        <w:ind w:firstLine="482" w:firstLineChars="200"/>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1.11响应和偏差</w:t>
      </w:r>
    </w:p>
    <w:p w14:paraId="325667DE">
      <w:p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投标文件应当对</w:t>
      </w:r>
      <w:r>
        <w:rPr>
          <w:rFonts w:hint="eastAsia" w:ascii="宋体" w:hAnsi="宋体" w:cs="宋体"/>
          <w:color w:val="auto"/>
          <w:kern w:val="0"/>
          <w:sz w:val="24"/>
          <w:szCs w:val="24"/>
          <w:lang w:eastAsia="zh-CN"/>
        </w:rPr>
        <w:t>磋商</w:t>
      </w:r>
      <w:r>
        <w:rPr>
          <w:rFonts w:hint="eastAsia" w:ascii="宋体" w:hAnsi="宋体" w:eastAsia="宋体" w:cs="宋体"/>
          <w:color w:val="auto"/>
          <w:kern w:val="0"/>
          <w:sz w:val="24"/>
          <w:szCs w:val="24"/>
        </w:rPr>
        <w:t>文件的实质性要求和条件作出满足性或更有利于采购人的响应，否则，投标供应商的投标将被否决。实质性要求和条件见投标供应商须知前附表。</w:t>
      </w:r>
    </w:p>
    <w:p w14:paraId="467F319C">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1.12投标费用</w:t>
      </w:r>
    </w:p>
    <w:p w14:paraId="2B49E1F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投标供应商承担其</w:t>
      </w:r>
      <w:r>
        <w:rPr>
          <w:rFonts w:hint="eastAsia" w:ascii="宋体" w:hAnsi="宋体" w:eastAsia="宋体" w:cs="宋体"/>
          <w:color w:val="auto"/>
          <w:kern w:val="0"/>
          <w:sz w:val="24"/>
          <w:szCs w:val="24"/>
        </w:rPr>
        <w:t>电子化</w:t>
      </w:r>
      <w:r>
        <w:rPr>
          <w:rFonts w:hint="eastAsia" w:ascii="宋体" w:hAnsi="宋体" w:eastAsia="宋体" w:cs="宋体"/>
          <w:color w:val="auto"/>
          <w:sz w:val="24"/>
          <w:szCs w:val="24"/>
        </w:rPr>
        <w:t>投标文件编制与递交所涉及的一切费用。在任何情况下采购人和采购代理机构对上述费用均不承担任何责任。</w:t>
      </w:r>
    </w:p>
    <w:p w14:paraId="77CCA3C4">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1.13保证</w:t>
      </w:r>
    </w:p>
    <w:p w14:paraId="66B5BD3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投标供应商应保证在</w:t>
      </w:r>
      <w:r>
        <w:rPr>
          <w:rFonts w:hint="eastAsia" w:ascii="宋体" w:hAnsi="宋体" w:eastAsia="宋体" w:cs="宋体"/>
          <w:color w:val="auto"/>
          <w:kern w:val="0"/>
          <w:sz w:val="24"/>
          <w:szCs w:val="24"/>
        </w:rPr>
        <w:t>电子化</w:t>
      </w:r>
      <w:r>
        <w:rPr>
          <w:rFonts w:hint="eastAsia" w:ascii="宋体" w:hAnsi="宋体" w:eastAsia="宋体" w:cs="宋体"/>
          <w:color w:val="auto"/>
          <w:sz w:val="24"/>
          <w:szCs w:val="24"/>
        </w:rPr>
        <w:t>投标文件中所提交的资料和数据是真实的。</w:t>
      </w:r>
    </w:p>
    <w:p w14:paraId="6856BE7D">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1.14定义及解释</w:t>
      </w:r>
    </w:p>
    <w:p w14:paraId="2229476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1.14.1</w:t>
      </w:r>
      <w:r>
        <w:rPr>
          <w:rFonts w:hint="eastAsia" w:ascii="宋体" w:hAnsi="宋体" w:eastAsia="宋体" w:cs="宋体"/>
          <w:color w:val="auto"/>
          <w:sz w:val="24"/>
          <w:szCs w:val="24"/>
        </w:rPr>
        <w:t>货物：系指投标供应商按</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文件规定而提供的货物及其他有关资料和材料。</w:t>
      </w:r>
    </w:p>
    <w:p w14:paraId="332E775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1.14.2</w:t>
      </w:r>
      <w:r>
        <w:rPr>
          <w:rFonts w:hint="eastAsia" w:ascii="宋体" w:hAnsi="宋体" w:eastAsia="宋体" w:cs="宋体"/>
          <w:color w:val="auto"/>
          <w:sz w:val="24"/>
          <w:szCs w:val="24"/>
        </w:rPr>
        <w:t>服务：系指投标供应商按</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文件提供的服务。</w:t>
      </w:r>
    </w:p>
    <w:p w14:paraId="63B477F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1.14.3</w:t>
      </w:r>
      <w:r>
        <w:rPr>
          <w:rFonts w:hint="eastAsia" w:ascii="宋体" w:hAnsi="宋体" w:eastAsia="宋体" w:cs="宋体"/>
          <w:color w:val="auto"/>
          <w:sz w:val="24"/>
          <w:szCs w:val="24"/>
        </w:rPr>
        <w:t>采购人：</w:t>
      </w:r>
      <w:r>
        <w:rPr>
          <w:rFonts w:hint="eastAsia" w:ascii="宋体" w:hAnsi="宋体" w:cs="宋体"/>
          <w:color w:val="auto"/>
          <w:sz w:val="24"/>
          <w:szCs w:val="24"/>
          <w:lang w:val="en-US" w:eastAsia="zh-CN"/>
        </w:rPr>
        <w:t>三门峡市湖滨区教育体育局</w:t>
      </w:r>
    </w:p>
    <w:p w14:paraId="51FEDAD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1.14.4</w:t>
      </w:r>
      <w:r>
        <w:rPr>
          <w:rFonts w:hint="eastAsia" w:ascii="宋体" w:hAnsi="宋体" w:eastAsia="宋体" w:cs="宋体"/>
          <w:color w:val="auto"/>
          <w:sz w:val="24"/>
          <w:szCs w:val="24"/>
        </w:rPr>
        <w:t>投标供应商：是指响应</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、参加投标竞争的法人或者其他组织。</w:t>
      </w:r>
    </w:p>
    <w:p w14:paraId="644C706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1.14.5采购代理机构：</w:t>
      </w:r>
      <w:r>
        <w:rPr>
          <w:rFonts w:hint="eastAsia" w:ascii="宋体" w:hAnsi="宋体" w:cs="宋体"/>
          <w:color w:val="auto"/>
          <w:sz w:val="24"/>
          <w:szCs w:val="24"/>
          <w:lang w:eastAsia="zh-CN"/>
        </w:rPr>
        <w:t>信宇腾远工程咨询集团有限公司</w:t>
      </w:r>
      <w:r>
        <w:rPr>
          <w:rFonts w:hint="eastAsia" w:ascii="宋体" w:hAnsi="宋体" w:eastAsia="宋体" w:cs="宋体"/>
          <w:color w:val="auto"/>
          <w:sz w:val="24"/>
          <w:szCs w:val="24"/>
        </w:rPr>
        <w:t>。</w:t>
      </w:r>
    </w:p>
    <w:p w14:paraId="5234BA7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1.14.6</w:t>
      </w: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rPr>
        <w:t>：是指按照《中华人民共和国政府采购法》和《政府采购竞争性磋商采购方式管理暂行办法》的规定组建的专门负责本次</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的评标工作的临时机构。</w:t>
      </w:r>
    </w:p>
    <w:p w14:paraId="243AEB4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1.14.7</w:t>
      </w:r>
      <w:r>
        <w:rPr>
          <w:rFonts w:hint="eastAsia" w:ascii="宋体" w:hAnsi="宋体" w:eastAsia="宋体" w:cs="宋体"/>
          <w:color w:val="auto"/>
          <w:sz w:val="24"/>
          <w:szCs w:val="24"/>
        </w:rPr>
        <w:t>日期、天数、时间：无特别说明时是指公历日及北京时间。</w:t>
      </w:r>
    </w:p>
    <w:p w14:paraId="2534BB40">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2.</w:t>
      </w:r>
      <w:r>
        <w:rPr>
          <w:rFonts w:hint="eastAsia" w:ascii="宋体" w:hAnsi="宋体" w:cs="宋体"/>
          <w:b/>
          <w:bCs/>
          <w:color w:val="auto"/>
          <w:sz w:val="24"/>
          <w:szCs w:val="24"/>
          <w:lang w:val="en-US" w:eastAsia="zh-CN"/>
        </w:rPr>
        <w:t>竞争性磋</w:t>
      </w:r>
      <w:r>
        <w:rPr>
          <w:rFonts w:hint="eastAsia" w:ascii="宋体" w:hAnsi="宋体" w:cs="宋体"/>
          <w:b/>
          <w:bCs/>
          <w:color w:val="auto"/>
          <w:sz w:val="24"/>
          <w:szCs w:val="24"/>
          <w:highlight w:val="none"/>
          <w:lang w:val="en-US" w:eastAsia="zh-CN"/>
        </w:rPr>
        <w:t>商</w:t>
      </w:r>
      <w:r>
        <w:rPr>
          <w:rFonts w:hint="eastAsia" w:ascii="宋体" w:hAnsi="宋体" w:eastAsia="宋体" w:cs="宋体"/>
          <w:b/>
          <w:bCs/>
          <w:color w:val="auto"/>
          <w:sz w:val="24"/>
          <w:szCs w:val="24"/>
          <w:highlight w:val="none"/>
        </w:rPr>
        <w:t>文件</w:t>
      </w:r>
    </w:p>
    <w:p w14:paraId="1164C0E6">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2.1</w:t>
      </w:r>
      <w:r>
        <w:rPr>
          <w:rFonts w:hint="eastAsia" w:ascii="宋体" w:hAnsi="宋体" w:cs="宋体"/>
          <w:b/>
          <w:bCs/>
          <w:color w:val="auto"/>
          <w:sz w:val="24"/>
          <w:szCs w:val="24"/>
          <w:lang w:eastAsia="zh-CN"/>
        </w:rPr>
        <w:t>磋商</w:t>
      </w:r>
      <w:r>
        <w:rPr>
          <w:rFonts w:hint="eastAsia" w:ascii="宋体" w:hAnsi="宋体" w:eastAsia="宋体" w:cs="宋体"/>
          <w:b/>
          <w:bCs/>
          <w:color w:val="auto"/>
          <w:sz w:val="24"/>
          <w:szCs w:val="24"/>
        </w:rPr>
        <w:t>文件的组成</w:t>
      </w:r>
    </w:p>
    <w:p w14:paraId="5F66810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2.1.1本</w:t>
      </w:r>
      <w:r>
        <w:rPr>
          <w:rFonts w:hint="eastAsia" w:ascii="宋体" w:hAnsi="宋体" w:cs="宋体"/>
          <w:b w:val="0"/>
          <w:bCs w:val="0"/>
          <w:color w:val="auto"/>
          <w:sz w:val="24"/>
          <w:szCs w:val="24"/>
          <w:highlight w:val="none"/>
          <w:lang w:val="en-US" w:eastAsia="zh-CN"/>
        </w:rPr>
        <w:t>竞争性磋商</w:t>
      </w:r>
      <w:r>
        <w:rPr>
          <w:rFonts w:hint="eastAsia" w:ascii="宋体" w:hAnsi="宋体" w:eastAsia="宋体" w:cs="宋体"/>
          <w:b w:val="0"/>
          <w:bCs w:val="0"/>
          <w:color w:val="auto"/>
          <w:sz w:val="24"/>
          <w:szCs w:val="24"/>
          <w:highlight w:val="none"/>
        </w:rPr>
        <w:t>文件</w:t>
      </w:r>
      <w:r>
        <w:rPr>
          <w:rFonts w:hint="eastAsia" w:ascii="宋体" w:hAnsi="宋体" w:eastAsia="宋体" w:cs="宋体"/>
          <w:bCs/>
          <w:color w:val="auto"/>
          <w:sz w:val="24"/>
          <w:szCs w:val="24"/>
        </w:rPr>
        <w:t>包括：</w:t>
      </w:r>
    </w:p>
    <w:p w14:paraId="02A1384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2.1.1.1</w:t>
      </w:r>
      <w:r>
        <w:rPr>
          <w:rFonts w:hint="eastAsia" w:ascii="宋体" w:hAnsi="宋体" w:eastAsia="宋体" w:cs="宋体"/>
          <w:color w:val="auto"/>
          <w:sz w:val="24"/>
          <w:szCs w:val="24"/>
          <w:lang w:val="en-US" w:eastAsia="zh-CN"/>
        </w:rPr>
        <w:t>竞争性磋商</w:t>
      </w:r>
      <w:r>
        <w:rPr>
          <w:rFonts w:hint="eastAsia" w:ascii="宋体" w:hAnsi="宋体" w:eastAsia="宋体" w:cs="宋体"/>
          <w:color w:val="auto"/>
          <w:sz w:val="24"/>
          <w:szCs w:val="24"/>
        </w:rPr>
        <w:t>公告</w:t>
      </w:r>
    </w:p>
    <w:p w14:paraId="250FB25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2.1.1.2投标供应商须知</w:t>
      </w:r>
    </w:p>
    <w:p w14:paraId="4BC1B0F7">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bCs/>
          <w:color w:val="auto"/>
          <w:sz w:val="24"/>
          <w:szCs w:val="24"/>
        </w:rPr>
        <w:t>2.1.1.3</w:t>
      </w:r>
      <w:r>
        <w:rPr>
          <w:rFonts w:hint="eastAsia" w:ascii="宋体" w:hAnsi="宋体" w:eastAsia="宋体" w:cs="宋体"/>
          <w:color w:val="auto"/>
          <w:sz w:val="24"/>
          <w:szCs w:val="24"/>
          <w:lang w:eastAsia="zh-CN"/>
        </w:rPr>
        <w:t>服务内容及要求</w:t>
      </w:r>
    </w:p>
    <w:p w14:paraId="6FC5A4E7">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bCs/>
          <w:color w:val="auto"/>
          <w:sz w:val="24"/>
          <w:szCs w:val="24"/>
        </w:rPr>
        <w:t>2.1.1.4</w:t>
      </w:r>
      <w:r>
        <w:rPr>
          <w:rFonts w:hint="eastAsia" w:ascii="宋体" w:hAnsi="宋体" w:cs="宋体"/>
          <w:color w:val="auto"/>
          <w:sz w:val="24"/>
          <w:szCs w:val="24"/>
          <w:lang w:eastAsia="zh-CN"/>
        </w:rPr>
        <w:t>评审办法</w:t>
      </w:r>
    </w:p>
    <w:p w14:paraId="3218FBB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2.1.1.5</w:t>
      </w:r>
      <w:r>
        <w:rPr>
          <w:rFonts w:hint="eastAsia" w:ascii="宋体" w:hAnsi="宋体" w:eastAsia="宋体" w:cs="宋体"/>
          <w:color w:val="auto"/>
          <w:sz w:val="24"/>
          <w:szCs w:val="24"/>
        </w:rPr>
        <w:t>合同条款及格式</w:t>
      </w:r>
    </w:p>
    <w:p w14:paraId="1CC412B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2.1.1.6</w:t>
      </w:r>
      <w:r>
        <w:rPr>
          <w:rFonts w:hint="eastAsia" w:ascii="宋体" w:hAnsi="宋体" w:cs="宋体"/>
          <w:bCs/>
          <w:color w:val="auto"/>
          <w:sz w:val="24"/>
          <w:szCs w:val="24"/>
          <w:lang w:val="en-US" w:eastAsia="zh-CN"/>
        </w:rPr>
        <w:t>响</w:t>
      </w:r>
      <w:r>
        <w:rPr>
          <w:rFonts w:hint="eastAsia" w:ascii="宋体" w:hAnsi="宋体" w:cs="宋体"/>
          <w:bCs/>
          <w:color w:val="auto"/>
          <w:sz w:val="24"/>
          <w:szCs w:val="24"/>
          <w:highlight w:val="none"/>
          <w:lang w:val="en-US" w:eastAsia="zh-CN"/>
        </w:rPr>
        <w:t>应</w:t>
      </w:r>
      <w:r>
        <w:rPr>
          <w:rFonts w:hint="eastAsia" w:ascii="宋体" w:hAnsi="宋体" w:eastAsia="宋体" w:cs="宋体"/>
          <w:color w:val="auto"/>
          <w:sz w:val="24"/>
          <w:szCs w:val="24"/>
          <w:highlight w:val="none"/>
        </w:rPr>
        <w:t>文件格式</w:t>
      </w:r>
    </w:p>
    <w:p w14:paraId="68FF6AE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2.1.2根据本章第2.2款对</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文件所做的澄清、修改，构成</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文件的组成部分。</w:t>
      </w:r>
    </w:p>
    <w:p w14:paraId="5A4EE6D8">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2.2</w:t>
      </w:r>
      <w:r>
        <w:rPr>
          <w:rFonts w:hint="eastAsia" w:ascii="宋体" w:hAnsi="宋体" w:cs="宋体"/>
          <w:b/>
          <w:bCs/>
          <w:color w:val="auto"/>
          <w:sz w:val="24"/>
          <w:szCs w:val="24"/>
          <w:lang w:eastAsia="zh-CN"/>
        </w:rPr>
        <w:t>磋商</w:t>
      </w:r>
      <w:r>
        <w:rPr>
          <w:rFonts w:hint="eastAsia" w:ascii="宋体" w:hAnsi="宋体" w:eastAsia="宋体" w:cs="宋体"/>
          <w:b/>
          <w:bCs/>
          <w:color w:val="auto"/>
          <w:sz w:val="24"/>
          <w:szCs w:val="24"/>
        </w:rPr>
        <w:t>文件的澄清或者修改</w:t>
      </w:r>
    </w:p>
    <w:p w14:paraId="58B1AE8E">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2.2.1投标供应商应详细阅读</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文件中的全部内容。如对</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文件有异议的，应在</w:t>
      </w:r>
      <w:r>
        <w:rPr>
          <w:rFonts w:hint="eastAsia" w:ascii="宋体" w:hAnsi="宋体" w:eastAsia="宋体" w:cs="宋体"/>
          <w:bCs/>
          <w:color w:val="auto"/>
          <w:sz w:val="24"/>
          <w:szCs w:val="24"/>
          <w:lang w:eastAsia="zh-CN"/>
        </w:rPr>
        <w:t>提交首次响应文件截止时间前</w:t>
      </w:r>
      <w:r>
        <w:rPr>
          <w:rFonts w:hint="eastAsia" w:ascii="宋体" w:hAnsi="宋体" w:eastAsia="宋体" w:cs="宋体"/>
          <w:bCs/>
          <w:color w:val="auto"/>
          <w:sz w:val="24"/>
          <w:szCs w:val="24"/>
          <w:lang w:val="en-US" w:eastAsia="zh-CN"/>
        </w:rPr>
        <w:t>5日</w:t>
      </w:r>
      <w:r>
        <w:rPr>
          <w:rFonts w:hint="eastAsia" w:ascii="宋体" w:hAnsi="宋体" w:eastAsia="宋体" w:cs="宋体"/>
          <w:bCs/>
          <w:color w:val="auto"/>
          <w:sz w:val="24"/>
          <w:szCs w:val="24"/>
        </w:rPr>
        <w:t>在三门峡市公共资源交易平台上一次性提出，否则，将被视为完全理解并接受</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文件的全部内容。</w:t>
      </w:r>
    </w:p>
    <w:p w14:paraId="70A5E97D">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2.2.2采购人或者采购代理机构可以对已发出的</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文件进行必要的澄清或者修改，但不得改变采购标的和资格条件。澄清或者修改的内容为</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文件的组成部分。澄清或者修改的内容可能影响投标文件编制的，采购人或者采购代理机构在投标截止时间至少5日前，通知所有获取</w:t>
      </w:r>
      <w:r>
        <w:rPr>
          <w:rFonts w:hint="eastAsia" w:ascii="宋体" w:hAnsi="宋体" w:cs="宋体"/>
          <w:bCs/>
          <w:color w:val="auto"/>
          <w:sz w:val="24"/>
          <w:szCs w:val="24"/>
          <w:lang w:eastAsia="zh-CN"/>
        </w:rPr>
        <w:t>磋商</w:t>
      </w:r>
      <w:r>
        <w:rPr>
          <w:rFonts w:hint="eastAsia" w:ascii="宋体" w:hAnsi="宋体" w:eastAsia="宋体" w:cs="宋体"/>
          <w:bCs/>
          <w:color w:val="auto"/>
          <w:sz w:val="24"/>
          <w:szCs w:val="24"/>
        </w:rPr>
        <w:t>文件的潜在投标供应商；不足5日的，顺延提交投标文件的截止时间。</w:t>
      </w:r>
    </w:p>
    <w:p w14:paraId="4DAB2F0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2.2.3</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文件的澄清或者修改将通过交易平台系统内部“答疑文件”告知投标供应商，发布给所有下载</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文件的投标供应商，并在原公告发布媒体上发布澄清公告，但不指明澄清问题的来源。对于项目中已经下载</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文件的投标供应商，系统将通过第三方短信群发方式提醒投标供应商进行查询。各投标供应商须重新下载最新的答疑文件，以此编制投标文件。</w:t>
      </w:r>
    </w:p>
    <w:p w14:paraId="5ECBFF6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2.2.4投标供应商市场主体信息登记时所留手机联系方式要保持畅通，因联系方式变更而未及时更新系统内联系方式的，将会造成收不到短信。此短信仅系友情提示，并不具有任何约束性和必要性，采购人和采购代理机构不承担投标供应商未收到短信而引起的一切后果和法律责任。</w:t>
      </w:r>
    </w:p>
    <w:p w14:paraId="6F69944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2.2.5因交易中心平台在开标前具有保密性，投标供应商在投标截止时间前须自行查看项目进展、变更通知、澄清及回复，因投标供应商未及时查看而造成的后果自行承担。</w:t>
      </w:r>
    </w:p>
    <w:p w14:paraId="7AF1E4A6">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cs="宋体"/>
          <w:b/>
          <w:bCs/>
          <w:color w:val="auto"/>
          <w:sz w:val="24"/>
          <w:szCs w:val="24"/>
          <w:lang w:val="en-US" w:eastAsia="zh-CN"/>
        </w:rPr>
        <w:t>响应</w:t>
      </w:r>
      <w:r>
        <w:rPr>
          <w:rFonts w:hint="eastAsia" w:ascii="宋体" w:hAnsi="宋体" w:eastAsia="宋体" w:cs="宋体"/>
          <w:b/>
          <w:bCs/>
          <w:color w:val="auto"/>
          <w:sz w:val="24"/>
          <w:szCs w:val="24"/>
        </w:rPr>
        <w:t>文件</w:t>
      </w:r>
    </w:p>
    <w:p w14:paraId="46C37CB3">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3.1电子化</w:t>
      </w:r>
      <w:r>
        <w:rPr>
          <w:rFonts w:hint="eastAsia" w:ascii="宋体" w:hAnsi="宋体" w:cs="宋体"/>
          <w:b/>
          <w:bCs/>
          <w:color w:val="auto"/>
          <w:sz w:val="24"/>
          <w:szCs w:val="24"/>
          <w:lang w:val="en-US" w:eastAsia="zh-CN"/>
        </w:rPr>
        <w:t>响应</w:t>
      </w:r>
      <w:r>
        <w:rPr>
          <w:rFonts w:hint="eastAsia" w:ascii="宋体" w:hAnsi="宋体" w:eastAsia="宋体" w:cs="宋体"/>
          <w:b/>
          <w:bCs/>
          <w:color w:val="auto"/>
          <w:sz w:val="24"/>
          <w:szCs w:val="24"/>
        </w:rPr>
        <w:t>文件的组成</w:t>
      </w:r>
    </w:p>
    <w:p w14:paraId="5B5003EF">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1</w:t>
      </w:r>
      <w:r>
        <w:rPr>
          <w:rFonts w:hint="eastAsia" w:ascii="宋体" w:hAnsi="宋体" w:eastAsia="宋体" w:cs="宋体"/>
          <w:bCs/>
          <w:color w:val="auto"/>
          <w:sz w:val="24"/>
          <w:szCs w:val="24"/>
          <w:lang w:val="en-US" w:eastAsia="zh-CN"/>
        </w:rPr>
        <w:t>、响应函及响应函附录</w:t>
      </w:r>
    </w:p>
    <w:p w14:paraId="1F4A3E54">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2</w:t>
      </w:r>
      <w:r>
        <w:rPr>
          <w:rFonts w:hint="eastAsia" w:ascii="宋体" w:hAnsi="宋体" w:eastAsia="宋体" w:cs="宋体"/>
          <w:bCs/>
          <w:color w:val="auto"/>
          <w:sz w:val="24"/>
          <w:szCs w:val="24"/>
          <w:lang w:val="en-US" w:eastAsia="zh-CN"/>
        </w:rPr>
        <w:t>、法定代表人身份证明</w:t>
      </w:r>
    </w:p>
    <w:p w14:paraId="6B8AB399">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3</w:t>
      </w:r>
      <w:r>
        <w:rPr>
          <w:rFonts w:hint="eastAsia" w:ascii="宋体" w:hAnsi="宋体" w:eastAsia="宋体" w:cs="宋体"/>
          <w:bCs/>
          <w:color w:val="auto"/>
          <w:sz w:val="24"/>
          <w:szCs w:val="24"/>
          <w:lang w:val="en-US" w:eastAsia="zh-CN"/>
        </w:rPr>
        <w:t>、授权委托书</w:t>
      </w:r>
    </w:p>
    <w:p w14:paraId="535F0903">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4</w:t>
      </w:r>
      <w:r>
        <w:rPr>
          <w:rFonts w:hint="eastAsia" w:ascii="宋体" w:hAnsi="宋体" w:eastAsia="宋体" w:cs="宋体"/>
          <w:bCs/>
          <w:color w:val="auto"/>
          <w:sz w:val="24"/>
          <w:szCs w:val="24"/>
          <w:lang w:val="en-US" w:eastAsia="zh-CN"/>
        </w:rPr>
        <w:t>、资格审查</w:t>
      </w:r>
    </w:p>
    <w:p w14:paraId="34ABD581">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5</w:t>
      </w:r>
      <w:r>
        <w:rPr>
          <w:rFonts w:hint="eastAsia" w:ascii="宋体" w:hAnsi="宋体" w:eastAsia="宋体" w:cs="宋体"/>
          <w:bCs/>
          <w:color w:val="auto"/>
          <w:sz w:val="24"/>
          <w:szCs w:val="24"/>
          <w:lang w:val="en-US" w:eastAsia="zh-CN"/>
        </w:rPr>
        <w:t>、供应商基本情况表</w:t>
      </w:r>
    </w:p>
    <w:p w14:paraId="3B13BE86">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6</w:t>
      </w:r>
      <w:r>
        <w:rPr>
          <w:rFonts w:hint="eastAsia" w:ascii="宋体" w:hAnsi="宋体" w:eastAsia="宋体" w:cs="宋体"/>
          <w:bCs/>
          <w:color w:val="auto"/>
          <w:sz w:val="24"/>
          <w:szCs w:val="24"/>
          <w:lang w:val="en-US" w:eastAsia="zh-CN"/>
        </w:rPr>
        <w:t>、技术部分</w:t>
      </w:r>
    </w:p>
    <w:p w14:paraId="2378C777">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7</w:t>
      </w:r>
      <w:r>
        <w:rPr>
          <w:rFonts w:hint="eastAsia" w:ascii="宋体" w:hAnsi="宋体" w:eastAsia="宋体" w:cs="宋体"/>
          <w:bCs/>
          <w:color w:val="auto"/>
          <w:sz w:val="24"/>
          <w:szCs w:val="24"/>
          <w:lang w:val="en-US" w:eastAsia="zh-CN"/>
        </w:rPr>
        <w:t>、商务部分</w:t>
      </w:r>
    </w:p>
    <w:p w14:paraId="1199595D">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8</w:t>
      </w:r>
      <w:r>
        <w:rPr>
          <w:rFonts w:hint="eastAsia" w:ascii="宋体" w:hAnsi="宋体" w:eastAsia="宋体" w:cs="宋体"/>
          <w:bCs/>
          <w:color w:val="auto"/>
          <w:sz w:val="24"/>
          <w:szCs w:val="24"/>
          <w:lang w:val="en-US" w:eastAsia="zh-CN"/>
        </w:rPr>
        <w:t>、其他内容</w:t>
      </w:r>
    </w:p>
    <w:p w14:paraId="6EEA89DC">
      <w:p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3.2磋商报价</w:t>
      </w:r>
    </w:p>
    <w:p w14:paraId="2D8A79AD">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3.2.1请投标供应商认真测算所投全部服务内容，</w:t>
      </w:r>
      <w:r>
        <w:rPr>
          <w:rFonts w:hint="eastAsia" w:ascii="宋体" w:hAnsi="宋体" w:cs="宋体"/>
          <w:bCs/>
          <w:color w:val="auto"/>
          <w:sz w:val="24"/>
          <w:szCs w:val="24"/>
          <w:lang w:val="en-US" w:eastAsia="zh-CN"/>
        </w:rPr>
        <w:t>磋商报价</w:t>
      </w:r>
      <w:r>
        <w:rPr>
          <w:rFonts w:hint="eastAsia" w:ascii="宋体" w:hAnsi="宋体" w:eastAsia="宋体" w:cs="宋体"/>
          <w:bCs/>
          <w:color w:val="auto"/>
          <w:sz w:val="24"/>
          <w:szCs w:val="24"/>
          <w:lang w:val="en-US" w:eastAsia="zh-CN"/>
        </w:rPr>
        <w:t>应是投标文件所确定的服务范围内的全部工作内容的价格体现。</w:t>
      </w:r>
    </w:p>
    <w:p w14:paraId="1F488DFE">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3.2.2投标供应商只能提出一个报价，采购人不接受任何有选择的报价，报价不得超过最高投标限价。</w:t>
      </w:r>
    </w:p>
    <w:p w14:paraId="79E8F61F">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3.2.3投标供应商的报价明显低于其他报价，使得其报价可能低于其个别成本的，有可能影响商品质量和不能诚信履约的，应当要求该报价人作出书面说明并提供相关证明材料。报价人不能合理说明或者不能提供相关证明材料的，由</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bCs/>
          <w:color w:val="auto"/>
          <w:sz w:val="24"/>
          <w:szCs w:val="24"/>
          <w:lang w:val="en-US" w:eastAsia="zh-CN"/>
        </w:rPr>
        <w:t>认定该报价人以低于成本报价，其报价应作无效报价处理。</w:t>
      </w:r>
    </w:p>
    <w:p w14:paraId="2ACE2353">
      <w:p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3.2.4如报价表中的大写金额和小写金额不一致的，以大写金额为准；对不同文字文本响应文件的解释发生异议的，以中文文本为准。</w:t>
      </w:r>
    </w:p>
    <w:p w14:paraId="511B1681">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3.3投标有效期</w:t>
      </w:r>
    </w:p>
    <w:p w14:paraId="0540EACC">
      <w:pPr>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3.3.1</w:t>
      </w:r>
      <w:r>
        <w:rPr>
          <w:rFonts w:hint="eastAsia" w:ascii="宋体" w:hAnsi="宋体" w:eastAsia="宋体" w:cs="宋体"/>
          <w:b w:val="0"/>
          <w:bCs w:val="0"/>
          <w:color w:val="auto"/>
          <w:sz w:val="24"/>
          <w:szCs w:val="24"/>
          <w:lang w:val="en-US" w:eastAsia="zh-CN"/>
        </w:rPr>
        <w:t>磋商有效期为</w:t>
      </w:r>
      <w:r>
        <w:rPr>
          <w:rFonts w:hint="eastAsia" w:ascii="宋体" w:hAnsi="宋体" w:eastAsia="宋体" w:cs="宋体"/>
          <w:b w:val="0"/>
          <w:bCs w:val="0"/>
          <w:color w:val="auto"/>
          <w:sz w:val="24"/>
          <w:szCs w:val="24"/>
        </w:rPr>
        <w:t>60日历天(从磋商截止之日算起)。</w:t>
      </w:r>
    </w:p>
    <w:p w14:paraId="2498E9A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3.3.2</w:t>
      </w:r>
      <w:r>
        <w:rPr>
          <w:rFonts w:hint="eastAsia" w:ascii="宋体" w:hAnsi="宋体" w:eastAsia="宋体" w:cs="宋体"/>
          <w:color w:val="auto"/>
          <w:sz w:val="24"/>
          <w:szCs w:val="24"/>
        </w:rPr>
        <w:t>在特殊情况下，采购人可征求投标供应商同意延长投标有效期。投标供应商可以拒绝采购人的这种要求。同意延长投标有效期的投标供应商不需要也不允许修改其电子化投标文件。</w:t>
      </w:r>
    </w:p>
    <w:p w14:paraId="14C18668">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3.4投标保证金</w:t>
      </w:r>
    </w:p>
    <w:p w14:paraId="288F69A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根据《河南省财政厅关于优化政府采购营商环境有关问题的通知》（豫财购【2019】4号）第6条的规定，投标保证金不再收取，需提供</w:t>
      </w:r>
      <w:r>
        <w:rPr>
          <w:rFonts w:hint="eastAsia" w:ascii="宋体" w:hAnsi="宋体" w:cs="宋体"/>
          <w:color w:val="auto"/>
          <w:sz w:val="24"/>
          <w:szCs w:val="24"/>
          <w:lang w:val="en-US" w:eastAsia="zh-CN"/>
        </w:rPr>
        <w:t>磋商</w:t>
      </w:r>
      <w:r>
        <w:rPr>
          <w:rFonts w:hint="eastAsia" w:ascii="宋体" w:hAnsi="宋体" w:eastAsia="宋体" w:cs="宋体"/>
          <w:color w:val="auto"/>
          <w:sz w:val="24"/>
          <w:szCs w:val="24"/>
        </w:rPr>
        <w:t>承诺函（详见</w:t>
      </w:r>
      <w:r>
        <w:rPr>
          <w:rFonts w:hint="eastAsia" w:ascii="宋体" w:hAnsi="宋体" w:eastAsia="宋体" w:cs="宋体"/>
          <w:bCs/>
          <w:color w:val="auto"/>
          <w:sz w:val="24"/>
          <w:szCs w:val="24"/>
        </w:rPr>
        <w:t>电子化投标文件格式</w:t>
      </w:r>
      <w:r>
        <w:rPr>
          <w:rFonts w:hint="eastAsia" w:ascii="宋体" w:hAnsi="宋体" w:eastAsia="宋体" w:cs="宋体"/>
          <w:color w:val="auto"/>
          <w:sz w:val="24"/>
          <w:szCs w:val="24"/>
        </w:rPr>
        <w:t>）。</w:t>
      </w:r>
    </w:p>
    <w:p w14:paraId="1C9E1787">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电子化投标文件的编制</w:t>
      </w:r>
    </w:p>
    <w:p w14:paraId="1C15433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3.</w:t>
      </w: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.1</w:t>
      </w:r>
      <w:r>
        <w:rPr>
          <w:rFonts w:hint="eastAsia" w:ascii="宋体" w:hAnsi="宋体" w:eastAsia="宋体" w:cs="宋体"/>
          <w:color w:val="auto"/>
          <w:sz w:val="24"/>
          <w:szCs w:val="24"/>
        </w:rPr>
        <w:t>投标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w:t>
      </w:r>
    </w:p>
    <w:p w14:paraId="10B0AF0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.2在</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文件中要求供应商按照投标文件格式进行投标文件编制，在投标文件编制时，应明确将投标单位企业基本情况、业绩情况编入投标文件，便于进行资格审查及评标打分。</w:t>
      </w:r>
    </w:p>
    <w:p w14:paraId="1A78AB8E">
      <w:pPr>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.3电子化投标文件的签署</w:t>
      </w:r>
    </w:p>
    <w:p w14:paraId="4E75B338">
      <w:pPr>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中要求投标供应商盖章的，以签盖单位章为准；要求法定代表人签章的，以签盖法定代表人签章为准。电子化投标文件具体制作教材请投标供应商通过CA证书登录三门峡市公共资源电子化交易系统在右上角“组件下载”中查看。</w:t>
      </w:r>
    </w:p>
    <w:p w14:paraId="1533243A">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4.投标</w:t>
      </w:r>
    </w:p>
    <w:p w14:paraId="7E16C79C">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4.1投标文件的加密</w:t>
      </w:r>
    </w:p>
    <w:p w14:paraId="60E3336E">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color w:val="auto"/>
          <w:sz w:val="24"/>
          <w:szCs w:val="24"/>
        </w:rPr>
        <w:t>网上上传的电子投标文件应使用数字证书认证并加密。</w:t>
      </w:r>
    </w:p>
    <w:p w14:paraId="7AD226D4">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4.2投标文件的上传</w:t>
      </w:r>
    </w:p>
    <w:p w14:paraId="11ADC274">
      <w:pPr>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电子化投标文件应在投标截止时间前成功上传至三门峡市公共资源电子化交易系统。至投标截止时间止，仍未上传成功的电子化投标文件将不予接收。</w:t>
      </w:r>
    </w:p>
    <w:p w14:paraId="2399C63D">
      <w:pPr>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14:paraId="61E7770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新点客服电话:4009980000</w:t>
      </w:r>
    </w:p>
    <w:p w14:paraId="2431728D">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4.3投标截止时间</w:t>
      </w:r>
    </w:p>
    <w:p w14:paraId="737A718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4.3.1</w:t>
      </w:r>
      <w:r>
        <w:rPr>
          <w:rFonts w:hint="eastAsia" w:ascii="宋体" w:hAnsi="宋体" w:eastAsia="宋体" w:cs="宋体"/>
          <w:color w:val="auto"/>
          <w:sz w:val="24"/>
          <w:szCs w:val="24"/>
        </w:rPr>
        <w:t>电子化投标文件的截止时间见本须知前附表规定。</w:t>
      </w:r>
    </w:p>
    <w:p w14:paraId="25FC786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4.3.2</w:t>
      </w:r>
      <w:r>
        <w:rPr>
          <w:rFonts w:hint="eastAsia" w:ascii="宋体" w:hAnsi="宋体" w:eastAsia="宋体" w:cs="宋体"/>
          <w:color w:val="auto"/>
          <w:sz w:val="24"/>
          <w:szCs w:val="24"/>
        </w:rPr>
        <w:t>采购人可按本须知第8条规定以修改补充通知的方式，酌情延长提交电子化投标文件的截止时间。在此情况下，投标供应商的所有权利和义务以及投标供应商受制约的截止时间，均以延长后新的投标截止时间为准。</w:t>
      </w:r>
    </w:p>
    <w:p w14:paraId="3A10356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4.3.3</w:t>
      </w:r>
      <w:r>
        <w:rPr>
          <w:rFonts w:hint="eastAsia" w:ascii="宋体" w:hAnsi="宋体" w:eastAsia="宋体" w:cs="宋体"/>
          <w:color w:val="auto"/>
          <w:sz w:val="24"/>
          <w:szCs w:val="24"/>
        </w:rPr>
        <w:t>到投标截止时间止，上传成功的电子化投标文件少于3个的，采购人将依法重新组织</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w:t>
      </w:r>
    </w:p>
    <w:p w14:paraId="0E71D74F">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4.4电子化投标文件的补充、修改与撤回</w:t>
      </w:r>
    </w:p>
    <w:p w14:paraId="377729F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在投标截止时间之后，投标供应商不得补充、修改电子化投标文件。</w:t>
      </w:r>
    </w:p>
    <w:p w14:paraId="2B81577A">
      <w:pPr>
        <w:autoSpaceDE w:val="0"/>
        <w:autoSpaceDN w:val="0"/>
        <w:adjustRightInd w:val="0"/>
        <w:spacing w:line="360" w:lineRule="auto"/>
        <w:ind w:firstLine="482" w:firstLineChars="200"/>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5.开标</w:t>
      </w:r>
    </w:p>
    <w:p w14:paraId="3B39AA18">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5.1开标时间和地点</w:t>
      </w:r>
    </w:p>
    <w:p w14:paraId="0B2B933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5.1.1采购人在</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规定的开标时间和地点通过远程开标大厅进行公开开标。开标当日，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w:t>
      </w:r>
    </w:p>
    <w:p w14:paraId="30C54E34">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5.1.2电子化投标文件采用一次加密方式。开标时，由投标供应商使用CA证书，在规定时间内对其电子化投标文件进行解密。每位投标供应商的解密时间为开标时间起30分钟内，如在规定时间内未完成解密的，其投标文件不予开标、唱标。每位投标供应商的解密时间为开标时间起30分钟内完成。</w:t>
      </w:r>
    </w:p>
    <w:p w14:paraId="31543F00">
      <w:pPr>
        <w:autoSpaceDE w:val="0"/>
        <w:autoSpaceDN w:val="0"/>
        <w:adjustRightInd w:val="0"/>
        <w:spacing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5.2开标程序</w:t>
      </w:r>
    </w:p>
    <w:p w14:paraId="03FC0CD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（1）公布投标单位名单；</w:t>
      </w:r>
    </w:p>
    <w:p w14:paraId="6AA55B2D">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（2）投标供应商远程解密投标文件；</w:t>
      </w:r>
    </w:p>
    <w:p w14:paraId="7ABDFD9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（3）投标文件导入；</w:t>
      </w:r>
    </w:p>
    <w:p w14:paraId="27610839">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（4）唱标；</w:t>
      </w:r>
    </w:p>
    <w:p w14:paraId="070E80E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（5）异议与回复(如有)；</w:t>
      </w:r>
    </w:p>
    <w:p w14:paraId="4356CDDC">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（6）开标结束。</w:t>
      </w:r>
    </w:p>
    <w:p w14:paraId="28D92EB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供应商不足3家的，不得开标。供应商未参加开标的，视同认可开标结果。</w:t>
      </w:r>
    </w:p>
    <w:p w14:paraId="33E92390">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5.3电子化投标文件解密异常的处理</w:t>
      </w:r>
    </w:p>
    <w:p w14:paraId="35D7B3E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如出现投标供应商的电子投标文件无法解密等异常情况，投标供应商应及时致电中介服务机构说明。投标文件异常，按以下步骤进行处理：</w:t>
      </w:r>
    </w:p>
    <w:p w14:paraId="1266603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（1）首先由技术人员进行问题排查。</w:t>
      </w:r>
    </w:p>
    <w:p w14:paraId="200EF6F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（2）经技术人员排查后，是投标供应商文件自身问题导致投标文件无法解密的，该投标文件将不予接收、解密和唱标。开标会议继续进行。</w:t>
      </w:r>
    </w:p>
    <w:p w14:paraId="44BF8FB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2E8DF14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（4）待所有供应商投标文件解密完成后，由</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方操作，对所有已解密文件进行唱标。</w:t>
      </w:r>
    </w:p>
    <w:p w14:paraId="4728C42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供应商应保证在开标期间电话、电脑、网络能够正常工作，供应商因停电、电脑病毒、网络堵塞等原因，未在规定的解密时间内对投标文件进行解密的，其投标文件不予接收、唱标。</w:t>
      </w:r>
    </w:p>
    <w:p w14:paraId="0E802CC6">
      <w:pPr>
        <w:autoSpaceDE w:val="0"/>
        <w:autoSpaceDN w:val="0"/>
        <w:adjustRightInd w:val="0"/>
        <w:spacing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5.4开标异议</w:t>
      </w:r>
    </w:p>
    <w:p w14:paraId="024E0257">
      <w:pPr>
        <w:spacing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开标时投标供应商可登录到交易系统中在开标大厅中点击开标一览表查看自己的</w:t>
      </w:r>
      <w:r>
        <w:rPr>
          <w:rFonts w:hint="eastAsia" w:ascii="宋体" w:hAnsi="宋体" w:cs="宋体"/>
          <w:color w:val="auto"/>
          <w:sz w:val="24"/>
          <w:szCs w:val="24"/>
          <w:lang w:eastAsia="zh-CN"/>
        </w:rPr>
        <w:t>磋商报价</w:t>
      </w:r>
      <w:r>
        <w:rPr>
          <w:rFonts w:hint="eastAsia" w:ascii="宋体" w:hAnsi="宋体" w:eastAsia="宋体" w:cs="宋体"/>
          <w:color w:val="auto"/>
          <w:sz w:val="24"/>
          <w:szCs w:val="24"/>
        </w:rPr>
        <w:t>。如对自己的唱标内容有异议的，应在唱标内容显示后10分钟内向中介服务机构电话质疑。中介服务机构应在监督人员的监督下进行免提通话接受投标供应商的质疑并做好书面记录。投标供应商未在规定时间内提出质疑的，视为认可唱标内容。</w:t>
      </w:r>
    </w:p>
    <w:p w14:paraId="152DB2F0">
      <w:pPr>
        <w:autoSpaceDE w:val="0"/>
        <w:autoSpaceDN w:val="0"/>
        <w:adjustRightInd w:val="0"/>
        <w:spacing w:line="360" w:lineRule="auto"/>
        <w:ind w:firstLine="482" w:firstLineChars="200"/>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6.评标</w:t>
      </w:r>
    </w:p>
    <w:p w14:paraId="2FD54EDC">
      <w:pPr>
        <w:spacing w:line="360" w:lineRule="auto"/>
        <w:ind w:firstLine="482" w:firstLineChars="200"/>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6.1磋商小组</w:t>
      </w:r>
    </w:p>
    <w:p w14:paraId="6886E6C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kern w:val="0"/>
          <w:sz w:val="24"/>
          <w:szCs w:val="24"/>
        </w:rPr>
        <w:t>6.1.1</w:t>
      </w:r>
      <w:r>
        <w:rPr>
          <w:rFonts w:hint="eastAsia" w:ascii="宋体" w:hAnsi="宋体" w:eastAsia="宋体" w:cs="宋体"/>
          <w:color w:val="auto"/>
          <w:sz w:val="24"/>
          <w:szCs w:val="24"/>
        </w:rPr>
        <w:t>评标由采购人依法组建的</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负责。</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由采购人，以及有关技术、经济等方面的专家组成。</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成员人数以及技术、经济等方面专家的确定方式见投标供应商须知前附表。</w:t>
      </w:r>
    </w:p>
    <w:p w14:paraId="745C170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6.1.2</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成员有下列情形之一的，应当回避：</w:t>
      </w:r>
    </w:p>
    <w:p w14:paraId="3601180F">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（1）参加采购活动前三年内，与供应商存在劳动关系，或者担任过供应商的董事、监事，或者是供应商的控股股东或实际控制人；</w:t>
      </w:r>
    </w:p>
    <w:p w14:paraId="1C37B505">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（2）与供应商的法定代表人或者负责人有夫妻、直系血亲、三代以内旁系血亲或者近姻亲关系；</w:t>
      </w:r>
    </w:p>
    <w:p w14:paraId="713FF16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（3）项目主管部门或者行政监督部门的人员；</w:t>
      </w:r>
    </w:p>
    <w:p w14:paraId="1069BCCA">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（4）曾因在</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、评标以及其他与</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投标有关活动中从事违法行为而受过行政处罚或刑事处罚的。</w:t>
      </w:r>
      <w:r>
        <w:rPr>
          <w:rFonts w:hint="eastAsia" w:ascii="宋体" w:hAnsi="宋体" w:cs="宋体"/>
          <w:color w:val="auto"/>
          <w:sz w:val="24"/>
          <w:szCs w:val="24"/>
          <w:lang w:eastAsia="zh-CN"/>
        </w:rPr>
        <w:t>磋商小组</w:t>
      </w:r>
      <w:r>
        <w:rPr>
          <w:rFonts w:hint="eastAsia" w:ascii="宋体" w:hAnsi="宋体" w:eastAsia="宋体" w:cs="宋体"/>
          <w:color w:val="auto"/>
          <w:sz w:val="24"/>
          <w:szCs w:val="24"/>
        </w:rPr>
        <w:t>成员有前款规定情形之一的，应当主动提出回避；</w:t>
      </w:r>
    </w:p>
    <w:p w14:paraId="14507B44">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（5）与供应商有其他可能影响政府采购活动公平、公正进行的关系。</w:t>
      </w:r>
    </w:p>
    <w:p w14:paraId="6072C1E5">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6.1.3评标过程中，</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成员有回避事由、擅离职守或者因健康等原因不能继续评标的，采购人有权更换。被更换的</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成员作出的评审结论无效，由更换后的</w:t>
      </w:r>
      <w:r>
        <w:rPr>
          <w:rFonts w:hint="eastAsia" w:ascii="宋体" w:hAnsi="宋体" w:cs="宋体"/>
          <w:color w:val="auto"/>
          <w:sz w:val="24"/>
          <w:szCs w:val="24"/>
          <w:lang w:eastAsia="zh-CN"/>
        </w:rPr>
        <w:t>磋商小组</w:t>
      </w:r>
      <w:r>
        <w:rPr>
          <w:rFonts w:hint="eastAsia" w:ascii="宋体" w:hAnsi="宋体" w:eastAsia="宋体" w:cs="宋体"/>
          <w:color w:val="auto"/>
          <w:sz w:val="24"/>
          <w:szCs w:val="24"/>
        </w:rPr>
        <w:t>成员重新进行评审。</w:t>
      </w:r>
    </w:p>
    <w:p w14:paraId="60411B25">
      <w:pPr>
        <w:autoSpaceDE w:val="0"/>
        <w:autoSpaceDN w:val="0"/>
        <w:adjustRightInd w:val="0"/>
        <w:spacing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6.2评标原则</w:t>
      </w:r>
    </w:p>
    <w:p w14:paraId="6F6C2C06">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评标活动遵循公平、公正、科学和择优的原则。</w:t>
      </w:r>
    </w:p>
    <w:p w14:paraId="05A6B272">
      <w:pPr>
        <w:autoSpaceDE w:val="0"/>
        <w:autoSpaceDN w:val="0"/>
        <w:adjustRightInd w:val="0"/>
        <w:spacing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rPr>
        <w:t>6.3评标</w:t>
      </w:r>
    </w:p>
    <w:p w14:paraId="3E58CB13">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6.3.1评标方法综合评分法，详见</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文件第四章。</w:t>
      </w:r>
    </w:p>
    <w:p w14:paraId="7FC3F332">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6.3.2</w:t>
      </w:r>
      <w:r>
        <w:rPr>
          <w:rFonts w:hint="eastAsia" w:ascii="宋体" w:hAnsi="宋体" w:eastAsia="宋体" w:cs="宋体"/>
          <w:color w:val="auto"/>
          <w:sz w:val="24"/>
          <w:szCs w:val="24"/>
          <w:lang w:val="en-US" w:eastAsia="zh-CN"/>
        </w:rPr>
        <w:t xml:space="preserve"> 资格性评审、</w:t>
      </w:r>
      <w:r>
        <w:rPr>
          <w:rFonts w:hint="eastAsia" w:ascii="宋体" w:hAnsi="宋体" w:eastAsia="宋体" w:cs="宋体"/>
          <w:color w:val="auto"/>
          <w:sz w:val="24"/>
          <w:szCs w:val="24"/>
        </w:rPr>
        <w:t>形式评审和符合性评审</w:t>
      </w:r>
    </w:p>
    <w:p w14:paraId="05BB2F98">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rPr>
        <w:t>应当对投标供应商的投标文件进行</w:t>
      </w:r>
      <w:r>
        <w:rPr>
          <w:rFonts w:hint="eastAsia" w:ascii="宋体" w:hAnsi="宋体" w:eastAsia="宋体" w:cs="宋体"/>
          <w:color w:val="auto"/>
          <w:sz w:val="24"/>
          <w:szCs w:val="24"/>
          <w:lang w:val="en-US" w:eastAsia="zh-CN"/>
        </w:rPr>
        <w:t xml:space="preserve"> 资格性评审、</w:t>
      </w:r>
      <w:r>
        <w:rPr>
          <w:rFonts w:hint="eastAsia" w:ascii="宋体" w:hAnsi="宋体" w:eastAsia="宋体" w:cs="宋体"/>
          <w:color w:val="auto"/>
          <w:sz w:val="24"/>
          <w:szCs w:val="24"/>
        </w:rPr>
        <w:t>形式评审和符合性评审，以确定其是否满足</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文件的实质性要求。</w:t>
      </w:r>
    </w:p>
    <w:p w14:paraId="2E917E0E">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6.3.3投标文件的澄清</w:t>
      </w:r>
    </w:p>
    <w:p w14:paraId="4794AABD">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在评标期间，为有助于电子化投标文件的审查、评价和比较，</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可以以书面形式要求投标供应商对电子化投标文件含义不明确的内容作必要的澄清或说明，投标供应商应采用书面形式进行澄清或说明，但不得超出电子化投标文件的范围或改变电子化投标文件的实质性内容。根据本须知规定，凡属于</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在评标中发现的计算错误并进行核实的修改不在此列。</w:t>
      </w:r>
    </w:p>
    <w:p w14:paraId="56858C93">
      <w:pPr>
        <w:spacing w:line="360" w:lineRule="auto"/>
        <w:ind w:firstLine="480" w:firstLineChars="200"/>
        <w:rPr>
          <w:rFonts w:hint="eastAsia" w:ascii="宋体" w:hAnsi="宋体" w:eastAsia="宋体" w:cs="宋体"/>
          <w:bCs/>
          <w:color w:val="auto"/>
          <w:kern w:val="0"/>
          <w:sz w:val="24"/>
          <w:szCs w:val="24"/>
        </w:rPr>
      </w:pPr>
      <w:r>
        <w:rPr>
          <w:rFonts w:hint="eastAsia" w:ascii="宋体" w:hAnsi="宋体" w:eastAsia="宋体" w:cs="宋体"/>
          <w:bCs/>
          <w:color w:val="auto"/>
          <w:sz w:val="24"/>
          <w:szCs w:val="24"/>
        </w:rPr>
        <w:t>6.3.4电子化投标文件计算错误的修正</w:t>
      </w:r>
    </w:p>
    <w:p w14:paraId="2DB62F9A">
      <w:pPr>
        <w:spacing w:line="360" w:lineRule="auto"/>
        <w:ind w:firstLine="504" w:firstLineChars="200"/>
        <w:rPr>
          <w:rFonts w:hint="eastAsia" w:ascii="宋体" w:hAnsi="宋体" w:eastAsia="宋体" w:cs="宋体"/>
          <w:color w:val="auto"/>
          <w:sz w:val="24"/>
          <w:szCs w:val="24"/>
        </w:rPr>
      </w:pP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将对确定为实质上响应</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文件要求的电子化投标文件进行校核，看其是否有计算或表达上的错误，修正错误的原则如下：</w:t>
      </w:r>
    </w:p>
    <w:p w14:paraId="27227DF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kern w:val="0"/>
          <w:sz w:val="24"/>
          <w:szCs w:val="24"/>
        </w:rPr>
        <w:t>（1）</w:t>
      </w:r>
      <w:r>
        <w:rPr>
          <w:rFonts w:hint="eastAsia" w:ascii="宋体" w:hAnsi="宋体" w:eastAsia="宋体" w:cs="宋体"/>
          <w:color w:val="auto"/>
          <w:sz w:val="24"/>
          <w:szCs w:val="24"/>
        </w:rPr>
        <w:t>电子化投标文件中的大写金额和小写金额不一致的，以大写金额为准；</w:t>
      </w:r>
    </w:p>
    <w:p w14:paraId="69B8281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kern w:val="0"/>
          <w:sz w:val="24"/>
          <w:szCs w:val="24"/>
        </w:rPr>
        <w:t>（2）</w:t>
      </w:r>
      <w:r>
        <w:rPr>
          <w:rFonts w:hint="eastAsia" w:ascii="宋体" w:hAnsi="宋体" w:eastAsia="宋体" w:cs="宋体"/>
          <w:color w:val="auto"/>
          <w:sz w:val="24"/>
          <w:szCs w:val="24"/>
        </w:rPr>
        <w:t>对不同文字文本电子化投标文件的解释发生异议的，以中文文本为准。</w:t>
      </w:r>
    </w:p>
    <w:p w14:paraId="4E3FB849">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按上述修正错误的原则及方法调整或修正电子化投标文件的</w:t>
      </w:r>
      <w:r>
        <w:rPr>
          <w:rFonts w:hint="eastAsia" w:ascii="宋体" w:hAnsi="宋体" w:cs="宋体"/>
          <w:color w:val="auto"/>
          <w:sz w:val="24"/>
          <w:szCs w:val="24"/>
          <w:lang w:eastAsia="zh-CN"/>
        </w:rPr>
        <w:t>磋商报价</w:t>
      </w:r>
      <w:r>
        <w:rPr>
          <w:rFonts w:hint="eastAsia" w:ascii="宋体" w:hAnsi="宋体" w:eastAsia="宋体" w:cs="宋体"/>
          <w:color w:val="auto"/>
          <w:sz w:val="24"/>
          <w:szCs w:val="24"/>
        </w:rPr>
        <w:t>，投标供应商同意后，调整后的</w:t>
      </w:r>
      <w:r>
        <w:rPr>
          <w:rFonts w:hint="eastAsia" w:ascii="宋体" w:hAnsi="宋体" w:cs="宋体"/>
          <w:color w:val="auto"/>
          <w:sz w:val="24"/>
          <w:szCs w:val="24"/>
          <w:lang w:eastAsia="zh-CN"/>
        </w:rPr>
        <w:t>磋商报价</w:t>
      </w:r>
      <w:r>
        <w:rPr>
          <w:rFonts w:hint="eastAsia" w:ascii="宋体" w:hAnsi="宋体" w:eastAsia="宋体" w:cs="宋体"/>
          <w:color w:val="auto"/>
          <w:sz w:val="24"/>
          <w:szCs w:val="24"/>
        </w:rPr>
        <w:t>对投标供应商起约束作用。</w:t>
      </w:r>
    </w:p>
    <w:p w14:paraId="2A9A5BC1">
      <w:pPr>
        <w:autoSpaceDE w:val="0"/>
        <w:autoSpaceDN w:val="0"/>
        <w:adjustRightInd w:val="0"/>
        <w:spacing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6.3.</w:t>
      </w: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投标无效</w:t>
      </w:r>
    </w:p>
    <w:p w14:paraId="202F3EEE">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电子化投标文件有下列情形之一的，由</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初审后按无效标处理：</w:t>
      </w:r>
    </w:p>
    <w:p w14:paraId="0366BF6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（1）投标文件未按照</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文件规定要求签署、盖章的；</w:t>
      </w:r>
    </w:p>
    <w:p w14:paraId="03264D8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cs="宋体"/>
          <w:color w:val="auto"/>
          <w:sz w:val="24"/>
          <w:szCs w:val="24"/>
          <w:lang w:eastAsia="zh-CN"/>
        </w:rPr>
        <w:t>磋商报价</w:t>
      </w:r>
      <w:r>
        <w:rPr>
          <w:rFonts w:hint="eastAsia" w:ascii="宋体" w:hAnsi="宋体" w:eastAsia="宋体" w:cs="宋体"/>
          <w:color w:val="auto"/>
          <w:sz w:val="24"/>
          <w:szCs w:val="24"/>
        </w:rPr>
        <w:t>高于</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文件中投标最高限价的；</w:t>
      </w:r>
    </w:p>
    <w:p w14:paraId="5071310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（3）电子化投标文件附有采购人不能接受的条件的；</w:t>
      </w:r>
    </w:p>
    <w:p w14:paraId="6FC7447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（4）以他人的名义投标、串通投标、以行贿手段谋取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或者以其他弄虚作假方式投标的；</w:t>
      </w:r>
    </w:p>
    <w:p w14:paraId="682031C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（5）采取不正当手段谋取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的。</w:t>
      </w:r>
    </w:p>
    <w:p w14:paraId="665FB61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kern w:val="0"/>
          <w:sz w:val="24"/>
          <w:szCs w:val="24"/>
        </w:rPr>
        <w:t>6.3.</w:t>
      </w:r>
      <w:r>
        <w:rPr>
          <w:rFonts w:hint="eastAsia" w:ascii="宋体" w:hAnsi="宋体" w:eastAsia="宋体" w:cs="宋体"/>
          <w:bCs/>
          <w:color w:val="auto"/>
          <w:kern w:val="0"/>
          <w:sz w:val="24"/>
          <w:szCs w:val="24"/>
          <w:lang w:val="en-US" w:eastAsia="zh-CN"/>
        </w:rPr>
        <w:t>6</w:t>
      </w:r>
      <w:r>
        <w:rPr>
          <w:rFonts w:hint="eastAsia" w:ascii="宋体" w:hAnsi="宋体" w:eastAsia="宋体" w:cs="宋体"/>
          <w:color w:val="auto"/>
          <w:kern w:val="0"/>
          <w:sz w:val="24"/>
          <w:szCs w:val="24"/>
        </w:rPr>
        <w:t>评标时，</w:t>
      </w:r>
      <w:r>
        <w:rPr>
          <w:rFonts w:hint="eastAsia" w:ascii="宋体" w:hAnsi="宋体" w:cs="宋体"/>
          <w:color w:val="auto"/>
          <w:kern w:val="0"/>
          <w:sz w:val="24"/>
          <w:szCs w:val="24"/>
          <w:lang w:eastAsia="zh-CN"/>
        </w:rPr>
        <w:t>磋商报价</w:t>
      </w:r>
      <w:r>
        <w:rPr>
          <w:rFonts w:hint="eastAsia" w:ascii="宋体" w:hAnsi="宋体" w:eastAsia="宋体" w:cs="宋体"/>
          <w:color w:val="auto"/>
          <w:kern w:val="0"/>
          <w:sz w:val="24"/>
          <w:szCs w:val="24"/>
        </w:rPr>
        <w:t>是评标的重要依据，但不是唯一依据，</w:t>
      </w:r>
      <w:r>
        <w:rPr>
          <w:rFonts w:hint="eastAsia" w:ascii="宋体" w:hAnsi="宋体" w:eastAsia="宋体" w:cs="宋体"/>
          <w:color w:val="auto"/>
          <w:sz w:val="24"/>
          <w:szCs w:val="24"/>
        </w:rPr>
        <w:t>采购人不承诺将合同授予报价最低或最高的投标供应商。</w:t>
      </w:r>
    </w:p>
    <w:p w14:paraId="29C8476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rPr>
        <w:t>6.3.</w:t>
      </w:r>
      <w:r>
        <w:rPr>
          <w:rFonts w:hint="eastAsia" w:ascii="宋体" w:hAnsi="宋体" w:eastAsia="宋体" w:cs="宋体"/>
          <w:bCs/>
          <w:color w:val="auto"/>
          <w:sz w:val="24"/>
          <w:szCs w:val="24"/>
          <w:lang w:val="en-US" w:eastAsia="zh-CN"/>
        </w:rPr>
        <w:t>7</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认为投标供应商的报价明显低于其他通过符合性审查投标供应商的报价，有可能影响</w:t>
      </w:r>
      <w:r>
        <w:rPr>
          <w:rFonts w:hint="eastAsia" w:ascii="宋体" w:hAnsi="宋体" w:eastAsia="宋体" w:cs="宋体"/>
          <w:color w:val="auto"/>
          <w:sz w:val="24"/>
          <w:szCs w:val="24"/>
          <w:lang w:eastAsia="zh-CN"/>
        </w:rPr>
        <w:t>服务</w:t>
      </w:r>
      <w:r>
        <w:rPr>
          <w:rFonts w:hint="eastAsia" w:ascii="宋体" w:hAnsi="宋体" w:eastAsia="宋体" w:cs="宋体"/>
          <w:color w:val="auto"/>
          <w:sz w:val="24"/>
          <w:szCs w:val="24"/>
        </w:rPr>
        <w:t>质量或者不能诚信履约的，应当要求其在评标现场合理的时间内提供书面说明，必要时提交相关证明材料；投标供应商不能证明其报价合理性的，</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应当将其作为无效投标处理。</w:t>
      </w:r>
    </w:p>
    <w:p w14:paraId="6FBC080E">
      <w:pPr>
        <w:adjustRightInd w:val="0"/>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sz w:val="24"/>
          <w:szCs w:val="24"/>
        </w:rPr>
        <w:t>6.3.</w:t>
      </w:r>
      <w:r>
        <w:rPr>
          <w:rFonts w:hint="eastAsia" w:ascii="宋体" w:hAnsi="宋体" w:eastAsia="宋体" w:cs="宋体"/>
          <w:bCs/>
          <w:color w:val="auto"/>
          <w:sz w:val="24"/>
          <w:szCs w:val="24"/>
          <w:lang w:val="en-US" w:eastAsia="zh-CN"/>
        </w:rPr>
        <w:t>8</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依据本须知规定的评标标准和方法，对电子化投标文件进行评审和比较，按评委计分结果,</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按照得分由高到低的顺序推荐3名</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rPr>
        <w:t>供应商，并向采购人提供书面评标报告。</w:t>
      </w:r>
    </w:p>
    <w:p w14:paraId="748B9829">
      <w:pPr>
        <w:adjustRightInd w:val="0"/>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kern w:val="0"/>
          <w:sz w:val="24"/>
          <w:szCs w:val="24"/>
        </w:rPr>
        <w:t>6.3.</w:t>
      </w:r>
      <w:r>
        <w:rPr>
          <w:rFonts w:hint="eastAsia" w:ascii="宋体" w:hAnsi="宋体" w:eastAsia="宋体" w:cs="宋体"/>
          <w:bCs/>
          <w:color w:val="auto"/>
          <w:kern w:val="0"/>
          <w:sz w:val="24"/>
          <w:szCs w:val="24"/>
          <w:lang w:val="en-US" w:eastAsia="zh-CN"/>
        </w:rPr>
        <w:t>9</w:t>
      </w:r>
      <w:r>
        <w:rPr>
          <w:rFonts w:hint="eastAsia" w:ascii="宋体" w:hAnsi="宋体" w:eastAsia="宋体" w:cs="宋体"/>
          <w:color w:val="auto"/>
          <w:kern w:val="0"/>
          <w:sz w:val="24"/>
          <w:szCs w:val="24"/>
        </w:rPr>
        <w:t>本项目采用综合评分法，按评审后得分由高到低顺序排列。得分相同的，按</w:t>
      </w:r>
      <w:r>
        <w:rPr>
          <w:rFonts w:hint="eastAsia" w:ascii="宋体" w:hAnsi="宋体" w:cs="宋体"/>
          <w:color w:val="auto"/>
          <w:kern w:val="0"/>
          <w:sz w:val="24"/>
          <w:szCs w:val="24"/>
          <w:lang w:eastAsia="zh-CN"/>
        </w:rPr>
        <w:t>磋商报价</w:t>
      </w:r>
      <w:r>
        <w:rPr>
          <w:rFonts w:hint="eastAsia" w:ascii="宋体" w:hAnsi="宋体" w:eastAsia="宋体" w:cs="宋体"/>
          <w:color w:val="auto"/>
          <w:kern w:val="0"/>
          <w:sz w:val="24"/>
          <w:szCs w:val="24"/>
        </w:rPr>
        <w:t>由低到高的顺序排列。得分且</w:t>
      </w:r>
      <w:r>
        <w:rPr>
          <w:rFonts w:hint="eastAsia" w:ascii="宋体" w:hAnsi="宋体" w:cs="宋体"/>
          <w:color w:val="auto"/>
          <w:kern w:val="0"/>
          <w:sz w:val="24"/>
          <w:szCs w:val="24"/>
          <w:lang w:eastAsia="zh-CN"/>
        </w:rPr>
        <w:t>磋商报价</w:t>
      </w:r>
      <w:r>
        <w:rPr>
          <w:rFonts w:hint="eastAsia" w:ascii="宋体" w:hAnsi="宋体" w:eastAsia="宋体" w:cs="宋体"/>
          <w:color w:val="auto"/>
          <w:kern w:val="0"/>
          <w:sz w:val="24"/>
          <w:szCs w:val="24"/>
        </w:rPr>
        <w:t>相同的，按技术标得分由高到低的顺序排列。技术指标仍相同的，按商务标由高到低的顺序排列，以上各项都相同的，由</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确定排名第一的为</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p>
    <w:p w14:paraId="78DA8DA4">
      <w:pPr>
        <w:autoSpaceDE w:val="0"/>
        <w:autoSpaceDN w:val="0"/>
        <w:adjustRightInd w:val="0"/>
        <w:spacing w:line="360" w:lineRule="auto"/>
        <w:ind w:firstLine="480" w:firstLineChars="200"/>
        <w:jc w:val="left"/>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6.3.1</w:t>
      </w:r>
      <w:r>
        <w:rPr>
          <w:rFonts w:hint="eastAsia" w:ascii="宋体" w:hAnsi="宋体" w:eastAsia="宋体" w:cs="宋体"/>
          <w:bCs/>
          <w:color w:val="auto"/>
          <w:kern w:val="0"/>
          <w:sz w:val="24"/>
          <w:szCs w:val="24"/>
          <w:lang w:val="en-US" w:eastAsia="zh-CN"/>
        </w:rPr>
        <w:t>0</w:t>
      </w:r>
      <w:r>
        <w:rPr>
          <w:rFonts w:hint="eastAsia" w:ascii="宋体" w:hAnsi="宋体" w:eastAsia="宋体" w:cs="宋体"/>
          <w:bCs/>
          <w:color w:val="auto"/>
          <w:sz w:val="24"/>
          <w:szCs w:val="24"/>
        </w:rPr>
        <w:t>评标过程的保密</w:t>
      </w:r>
    </w:p>
    <w:p w14:paraId="5EC9D398">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sz w:val="24"/>
          <w:szCs w:val="24"/>
        </w:rPr>
        <w:t>（1）</w:t>
      </w:r>
      <w:r>
        <w:rPr>
          <w:rFonts w:hint="eastAsia" w:ascii="宋体" w:hAnsi="宋体" w:eastAsia="宋体" w:cs="宋体"/>
          <w:color w:val="auto"/>
          <w:sz w:val="24"/>
          <w:szCs w:val="24"/>
        </w:rPr>
        <w:t>开标后，直至授予</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供应商合同为止，凡属于对电子化投标文件的审查、澄清、评价和比较有关的资料，</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候选供应商的推荐情况，及其他任何与评标有关的情况均应严格保密。</w:t>
      </w:r>
    </w:p>
    <w:p w14:paraId="7E195F19">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sz w:val="24"/>
          <w:szCs w:val="24"/>
        </w:rPr>
        <w:t>（2）</w:t>
      </w:r>
      <w:r>
        <w:rPr>
          <w:rFonts w:hint="eastAsia" w:ascii="宋体" w:hAnsi="宋体" w:eastAsia="宋体" w:cs="宋体"/>
          <w:color w:val="auto"/>
          <w:sz w:val="24"/>
          <w:szCs w:val="24"/>
        </w:rPr>
        <w:t>在电子化投标文件的评审和比较、</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候选供应商推荐以及授予合同的过程中，投标供应商向采购人和</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施加影响的任何行为，都将会导致其投标被拒绝。</w:t>
      </w:r>
    </w:p>
    <w:p w14:paraId="1D64B3A0">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sz w:val="24"/>
          <w:szCs w:val="24"/>
        </w:rPr>
        <w:t>（3）</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供应商确定后，采购人不对未</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供应商就评标过程以及未能</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原因做出任何解释。未</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供应商不得向</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组成人员或其他有关人员索问评标过程的情况和材料。</w:t>
      </w:r>
    </w:p>
    <w:p w14:paraId="45BB5796">
      <w:pPr>
        <w:autoSpaceDE w:val="0"/>
        <w:autoSpaceDN w:val="0"/>
        <w:adjustRightInd w:val="0"/>
        <w:spacing w:line="360" w:lineRule="auto"/>
        <w:ind w:firstLine="482" w:firstLineChars="200"/>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7.授予合同</w:t>
      </w:r>
    </w:p>
    <w:p w14:paraId="26221767">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7.1</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公告</w:t>
      </w:r>
    </w:p>
    <w:p w14:paraId="79FD2765">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7.1.1采购代理机构应当在评标结束后2个工作日内将评标报告送采购人。采购人应当自收到评标报告之日起5个工作日内，在评标报告确定的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候选供应商名单中，选定排名第一</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候选供应商为</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候选供应商并列的，由采购人按照</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文件规定的方式确定</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文件未规定的，采取随机抽取的方式确定。采购人在收到评标报告5个工作日内未按评标报告推荐的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候选供应商顺序确定</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供应商，又不能说明合法理由的，视同按评标报告推荐的顺序确定排名第一的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候选供应商为</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p>
    <w:p w14:paraId="7228F0AE">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7.1.2采购代理机构自</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供应商确定之日起2个工作日内，在</w:t>
      </w:r>
      <w:r>
        <w:rPr>
          <w:rFonts w:hint="eastAsia" w:ascii="宋体" w:hAnsi="宋体" w:eastAsia="宋体" w:cs="宋体"/>
          <w:kern w:val="0"/>
          <w:sz w:val="24"/>
          <w:szCs w:val="24"/>
          <w:highlight w:val="none"/>
          <w:lang w:eastAsia="zh-CN"/>
        </w:rPr>
        <w:t>《中国</w:t>
      </w:r>
      <w:r>
        <w:rPr>
          <w:rFonts w:hint="eastAsia" w:ascii="宋体" w:hAnsi="宋体" w:cs="宋体"/>
          <w:kern w:val="0"/>
          <w:sz w:val="24"/>
          <w:szCs w:val="24"/>
          <w:highlight w:val="none"/>
          <w:lang w:val="en-US" w:eastAsia="zh-CN"/>
        </w:rPr>
        <w:t>招标</w:t>
      </w:r>
      <w:r>
        <w:rPr>
          <w:rFonts w:hint="eastAsia" w:ascii="宋体" w:hAnsi="宋体" w:eastAsia="宋体" w:cs="宋体"/>
          <w:kern w:val="0"/>
          <w:sz w:val="24"/>
          <w:szCs w:val="24"/>
          <w:highlight w:val="none"/>
          <w:lang w:eastAsia="zh-CN"/>
        </w:rPr>
        <w:t>投标公共服务平台》</w:t>
      </w:r>
      <w:r>
        <w:rPr>
          <w:rFonts w:hint="eastAsia" w:ascii="宋体" w:hAnsi="宋体" w:eastAsia="宋体" w:cs="宋体"/>
          <w:kern w:val="0"/>
          <w:sz w:val="24"/>
          <w:szCs w:val="24"/>
        </w:rPr>
        <w:t>、</w:t>
      </w:r>
      <w:r>
        <w:rPr>
          <w:rFonts w:hint="eastAsia" w:ascii="宋体" w:hAnsi="宋体" w:eastAsia="宋体" w:cs="宋体"/>
          <w:kern w:val="0"/>
          <w:sz w:val="24"/>
          <w:szCs w:val="24"/>
          <w:shd w:val="clear" w:color="auto" w:fill="auto"/>
        </w:rPr>
        <w:t>《</w:t>
      </w:r>
      <w:r>
        <w:rPr>
          <w:rFonts w:hint="eastAsia" w:ascii="宋体" w:hAnsi="宋体" w:eastAsia="宋体" w:cs="宋体"/>
          <w:kern w:val="0"/>
          <w:sz w:val="24"/>
          <w:szCs w:val="24"/>
          <w:shd w:val="clear" w:color="auto" w:fill="auto"/>
          <w:lang w:val="en-US" w:eastAsia="zh-CN"/>
        </w:rPr>
        <w:t>河南省政府采购网</w:t>
      </w:r>
      <w:r>
        <w:rPr>
          <w:rFonts w:hint="eastAsia" w:ascii="宋体" w:hAnsi="宋体" w:eastAsia="宋体" w:cs="宋体"/>
          <w:kern w:val="0"/>
          <w:sz w:val="24"/>
          <w:szCs w:val="24"/>
          <w:shd w:val="clear" w:color="auto" w:fill="auto"/>
        </w:rPr>
        <w:t>》</w:t>
      </w:r>
      <w:r>
        <w:rPr>
          <w:rFonts w:hint="eastAsia" w:ascii="宋体" w:hAnsi="宋体" w:eastAsia="宋体" w:cs="宋体"/>
          <w:kern w:val="0"/>
          <w:sz w:val="24"/>
          <w:szCs w:val="24"/>
        </w:rPr>
        <w:t>和《三门峡市公共资源交易中心网》</w:t>
      </w:r>
      <w:r>
        <w:rPr>
          <w:rFonts w:hint="eastAsia" w:ascii="宋体" w:hAnsi="宋体" w:eastAsia="宋体" w:cs="宋体"/>
          <w:color w:val="auto"/>
          <w:sz w:val="24"/>
          <w:szCs w:val="24"/>
        </w:rPr>
        <w:t>公告</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文件随</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结果同时公告。</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供应商为中小企业的，同时公告其《中小企业声明函》；</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供应商为残疾人福利性单位的，同时公告其《残疾人福利性单位声明函》，接受社会监督。</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公告期限为1个工作日。</w:t>
      </w:r>
    </w:p>
    <w:p w14:paraId="5AAF1E72">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rPr>
        <w:t>7.2</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rPr>
        <w:t>通知书</w:t>
      </w:r>
    </w:p>
    <w:p w14:paraId="7A4B258E">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highlight w:val="none"/>
        </w:rPr>
        <w:t>在公告</w:t>
      </w:r>
      <w:r>
        <w:rPr>
          <w:rFonts w:hint="eastAsia" w:ascii="宋体" w:hAnsi="宋体" w:cs="宋体"/>
          <w:color w:val="auto"/>
          <w:sz w:val="24"/>
          <w:szCs w:val="24"/>
          <w:highlight w:val="none"/>
          <w:lang w:val="en-US" w:eastAsia="zh-CN"/>
        </w:rPr>
        <w:t>成交</w:t>
      </w:r>
      <w:r>
        <w:rPr>
          <w:rFonts w:hint="eastAsia" w:ascii="宋体" w:hAnsi="宋体" w:eastAsia="宋体" w:cs="宋体"/>
          <w:color w:val="auto"/>
          <w:sz w:val="24"/>
          <w:szCs w:val="24"/>
          <w:highlight w:val="none"/>
        </w:rPr>
        <w:t>结果</w:t>
      </w:r>
      <w:r>
        <w:rPr>
          <w:rFonts w:hint="eastAsia" w:ascii="宋体" w:hAnsi="宋体" w:eastAsia="宋体" w:cs="宋体"/>
          <w:color w:val="auto"/>
          <w:sz w:val="24"/>
          <w:szCs w:val="24"/>
        </w:rPr>
        <w:t>的同时，向</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供应商发出</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通知书，</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通知书发出后，采购人不得违法改变</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供应商无正当理由不得放弃</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w:t>
      </w:r>
    </w:p>
    <w:p w14:paraId="0AE11D3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7.3履约保证金</w:t>
      </w:r>
    </w:p>
    <w:p w14:paraId="78FF61E3">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本项目不收取履约保证金。如供应商违反政府采购合同约定给采购人造成损失的,采购人按照合同约定,要求供应商承担赔偿责任。</w:t>
      </w:r>
    </w:p>
    <w:p w14:paraId="1CFE65A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7.4签订合同</w:t>
      </w:r>
    </w:p>
    <w:p w14:paraId="3B46D59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7.4.1采购人和</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供应商应当在</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通知书发出之日起</w:t>
      </w:r>
      <w:r>
        <w:rPr>
          <w:rFonts w:hint="eastAsia" w:ascii="宋体" w:hAnsi="宋体" w:eastAsia="宋体" w:cs="宋体"/>
          <w:color w:val="auto"/>
          <w:sz w:val="24"/>
          <w:szCs w:val="24"/>
          <w:lang w:val="en-US" w:eastAsia="zh-CN"/>
        </w:rPr>
        <w:t>2个工作</w:t>
      </w:r>
      <w:r>
        <w:rPr>
          <w:rFonts w:hint="eastAsia" w:ascii="宋体" w:hAnsi="宋体" w:eastAsia="宋体" w:cs="宋体"/>
          <w:color w:val="auto"/>
          <w:sz w:val="24"/>
          <w:szCs w:val="24"/>
        </w:rPr>
        <w:t>日内，根据</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文件和</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供应商的</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文件订立书面合同。所签订的合同不得对</w:t>
      </w:r>
      <w:r>
        <w:rPr>
          <w:rFonts w:hint="eastAsia" w:ascii="宋体" w:hAnsi="宋体" w:cs="宋体"/>
          <w:color w:val="auto"/>
          <w:sz w:val="24"/>
          <w:szCs w:val="24"/>
          <w:lang w:eastAsia="zh-CN"/>
        </w:rPr>
        <w:t>磋商</w:t>
      </w:r>
      <w:r>
        <w:rPr>
          <w:rFonts w:hint="eastAsia" w:ascii="宋体" w:hAnsi="宋体" w:eastAsia="宋体" w:cs="宋体"/>
          <w:color w:val="auto"/>
          <w:sz w:val="24"/>
          <w:szCs w:val="24"/>
        </w:rPr>
        <w:t>文件确定的事项和</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文件作实质性修改。</w:t>
      </w:r>
    </w:p>
    <w:p w14:paraId="683B3CB3">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7.4.2</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供应商无正当理由拒签合同、在签订合同时向采购人提出附加条件的，采购人有权取消其</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资格，给采购人带来损失的，还应给予赔偿；采购人可以按照评标报告推荐的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候选供应商排序，确定排名下一位的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候选供应商为</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供应商，也可以重新开展采购活动。当出现法规规定的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无效或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结果无效情形时，采购人可与排名下一位的</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候选供应商另行签订合同，或依法重新开展采购活动。</w:t>
      </w:r>
    </w:p>
    <w:p w14:paraId="797FD73A">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7.4.3采购人不得向</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供应商提出任何不合理的要求作为签订合同的条件。</w:t>
      </w:r>
    </w:p>
    <w:p w14:paraId="1A7DFC05">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7.5质疑</w:t>
      </w:r>
    </w:p>
    <w:p w14:paraId="57519723">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各有关当事人对</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结果有异议的，可以在</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结果公告期限届满之日起七个工作日内，按《政府采购质疑和投诉办法》（财政部令第94号）要求以书面形式同时向采购人和采购代理机构提出质疑，逾期提交或未按照要求提交的质疑函将不予受理。</w:t>
      </w:r>
    </w:p>
    <w:p w14:paraId="1C4A601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8.纪律和监督</w:t>
      </w:r>
    </w:p>
    <w:p w14:paraId="14682B1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8.1对采购人的纪律要求</w:t>
      </w:r>
    </w:p>
    <w:p w14:paraId="41691B0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采购人不得泄露</w:t>
      </w:r>
      <w:r>
        <w:rPr>
          <w:rFonts w:hint="eastAsia" w:ascii="宋体" w:hAnsi="宋体" w:cs="宋体"/>
          <w:color w:val="auto"/>
          <w:sz w:val="24"/>
          <w:szCs w:val="24"/>
          <w:lang w:eastAsia="zh-CN"/>
        </w:rPr>
        <w:t>磋商响应</w:t>
      </w:r>
      <w:r>
        <w:rPr>
          <w:rFonts w:hint="eastAsia" w:ascii="宋体" w:hAnsi="宋体" w:eastAsia="宋体" w:cs="宋体"/>
          <w:color w:val="auto"/>
          <w:sz w:val="24"/>
          <w:szCs w:val="24"/>
        </w:rPr>
        <w:t>活动中应当保密的情况和资料，不得与</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供应商串通损害国家利益、社会公共利益或者他人合法权益。</w:t>
      </w:r>
    </w:p>
    <w:p w14:paraId="0DEF537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8.2对</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供应商的纪律要求</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供应商不得相互串通</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或者与采购人串通</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，不得向采购人或者</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成员行贿谋取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，不得以他人名义</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或者以其他方式弄虚作假骗取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供应商不得以任何方式干扰、影响评标工作。</w:t>
      </w:r>
    </w:p>
    <w:p w14:paraId="2722870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8.2.1有下列情形之一的，属于</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供应商相互串通</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w:t>
      </w:r>
    </w:p>
    <w:p w14:paraId="437BA86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供应商之间协商</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报价等</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文件的实质性内容；</w:t>
      </w:r>
    </w:p>
    <w:p w14:paraId="1117368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供应商之间约定</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供应商；</w:t>
      </w:r>
    </w:p>
    <w:p w14:paraId="224D22A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供应商之间约定部分供应商放弃</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或者</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w:t>
      </w:r>
    </w:p>
    <w:p w14:paraId="0971E17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供应商之间为谋取</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或者排斥特定供应商而采取的其他联合行动。</w:t>
      </w:r>
    </w:p>
    <w:p w14:paraId="7CA1B73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8.2.2有下列情形之一的，视为</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供应商相互串通</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w:t>
      </w:r>
    </w:p>
    <w:p w14:paraId="502C3F5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（一）不同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供应商的</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文件由同一单位或者个人编制；</w:t>
      </w:r>
    </w:p>
    <w:p w14:paraId="544A6E4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（二）不同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供应商委托同一单位或者个人办理</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事宜；</w:t>
      </w:r>
    </w:p>
    <w:p w14:paraId="5C1AC1C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（三）不同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供应商的</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文件载明的项目管理成员为同一人；</w:t>
      </w:r>
    </w:p>
    <w:p w14:paraId="51DB210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（四）不同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供应商的</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文件异常一致或者</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报价呈规律性差异；</w:t>
      </w:r>
    </w:p>
    <w:p w14:paraId="1356EAF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（五）不同</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供应商的</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文件制作机器码一致视为串通</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行为；</w:t>
      </w:r>
    </w:p>
    <w:p w14:paraId="1FE90DA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8.2.3有下列情形之一的，属于以他人名义</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w:t>
      </w:r>
    </w:p>
    <w:p w14:paraId="2C07CF43">
      <w:pPr>
        <w:spacing w:line="360" w:lineRule="auto"/>
        <w:ind w:firstLine="480" w:firstLineChars="200"/>
        <w:rPr>
          <w:rFonts w:hint="eastAsia" w:ascii="宋体" w:hAnsi="宋体" w:eastAsia="宋体" w:cs="宋体"/>
          <w:b/>
          <w:bCs/>
          <w:color w:val="auto"/>
          <w:kern w:val="0"/>
          <w:sz w:val="24"/>
          <w:szCs w:val="24"/>
        </w:rPr>
      </w:pPr>
      <w:r>
        <w:rPr>
          <w:rFonts w:hint="eastAsia" w:ascii="宋体" w:hAnsi="宋体" w:eastAsia="宋体" w:cs="宋体"/>
          <w:color w:val="auto"/>
          <w:sz w:val="24"/>
          <w:szCs w:val="24"/>
        </w:rPr>
        <w:t>（一）使用通过受让或者租借等方式获取的资格、资质证书</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的</w:t>
      </w:r>
    </w:p>
    <w:p w14:paraId="10261CE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8.2.4有下列情形之一的，属于以其他方式弄虚作假的行为：</w:t>
      </w:r>
    </w:p>
    <w:p w14:paraId="723D05A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（一）使用伪造、变造的许可证件；</w:t>
      </w:r>
    </w:p>
    <w:p w14:paraId="7BAA418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（二）提供虚假的财务状况或者业绩；</w:t>
      </w:r>
    </w:p>
    <w:p w14:paraId="1CB05FE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（三）提供虚假的项目负责人或者主要技术人员简历、劳动关系证明；</w:t>
      </w:r>
    </w:p>
    <w:p w14:paraId="292BE18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（四）提供虚假的信用状况；</w:t>
      </w:r>
    </w:p>
    <w:p w14:paraId="33EDDDF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（五）其他弄虚作假的行为。</w:t>
      </w:r>
    </w:p>
    <w:p w14:paraId="50564A3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8.3对</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成员的纪律要求</w:t>
      </w:r>
    </w:p>
    <w:p w14:paraId="48347876">
      <w:pPr>
        <w:spacing w:line="360" w:lineRule="auto"/>
        <w:ind w:firstLine="504" w:firstLineChars="200"/>
        <w:rPr>
          <w:rFonts w:hint="eastAsia" w:ascii="宋体" w:hAnsi="宋体" w:eastAsia="宋体" w:cs="宋体"/>
          <w:color w:val="auto"/>
          <w:sz w:val="24"/>
          <w:szCs w:val="24"/>
        </w:rPr>
      </w:pP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成员不得收受他人的财物或者其他好处，不得向他人透露对</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文件的评审和比较、</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候选供应商的推荐情况以及评标有关的其他情况。在评标活动中，</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color w:val="auto"/>
          <w:sz w:val="24"/>
          <w:szCs w:val="24"/>
        </w:rPr>
        <w:t>成员应当客观、公正地履行职责，遵守职业道德，不得擅离职守，影响评标程序正常进行，不得使用第四章“评标方法和标准”没有规定的评审因素和标准进行评标。</w:t>
      </w:r>
    </w:p>
    <w:p w14:paraId="4FFE1D1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8.4对与评标活动有关的工作人员的纪律要求</w:t>
      </w:r>
    </w:p>
    <w:p w14:paraId="4721EA1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与评标活动有关的工作人员不得收受他人的财物或者其他好处，不得向他人透露对</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文件的评审和比较、</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候选供应商的推荐情况以及评标有关的其他情况。在评标活动中，与评标活动有关的工作人员不得擅离职守，影响评标程序正常进行。</w:t>
      </w:r>
    </w:p>
    <w:p w14:paraId="09CF788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9.需要补充的其他内容</w:t>
      </w:r>
    </w:p>
    <w:p w14:paraId="2A3526F7">
      <w:pPr>
        <w:spacing w:line="360" w:lineRule="auto"/>
        <w:ind w:firstLine="480" w:firstLineChars="200"/>
        <w:jc w:val="left"/>
        <w:rPr>
          <w:rFonts w:hint="eastAsia" w:ascii="宋体" w:hAnsi="宋体" w:eastAsia="宋体" w:cs="宋体"/>
          <w:color w:val="auto"/>
          <w:sz w:val="24"/>
          <w:szCs w:val="24"/>
        </w:rPr>
        <w:sectPr>
          <w:footerReference r:id="rId5" w:type="default"/>
          <w:pgSz w:w="11906" w:h="16838"/>
          <w:pgMar w:top="1440" w:right="1418" w:bottom="1440" w:left="1418" w:header="851" w:footer="992" w:gutter="0"/>
          <w:pgNumType w:start="1"/>
          <w:cols w:space="720" w:num="1"/>
          <w:docGrid w:type="lines" w:linePitch="312" w:charSpace="0"/>
        </w:sectPr>
      </w:pPr>
      <w:r>
        <w:rPr>
          <w:rFonts w:hint="eastAsia" w:ascii="宋体" w:hAnsi="宋体" w:eastAsia="宋体" w:cs="宋体"/>
          <w:color w:val="auto"/>
          <w:sz w:val="24"/>
          <w:szCs w:val="24"/>
        </w:rPr>
        <w:t>需要补充的其他内容：见</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供应商须知前附表。</w:t>
      </w:r>
    </w:p>
    <w:p w14:paraId="5CB6EE8A">
      <w:pPr>
        <w:pStyle w:val="3"/>
        <w:keepNext/>
        <w:keepLines/>
        <w:pageBreakBefore w:val="0"/>
        <w:widowControl w:val="0"/>
        <w:numPr>
          <w:ilvl w:val="0"/>
          <w:numId w:val="0"/>
        </w:numPr>
        <w:kinsoku/>
        <w:wordWrap/>
        <w:overflowPunct/>
        <w:topLinePunct w:val="0"/>
        <w:autoSpaceDE/>
        <w:autoSpaceDN/>
        <w:bidi w:val="0"/>
        <w:adjustRightInd/>
        <w:snapToGrid/>
        <w:spacing w:before="0" w:after="0" w:line="240" w:lineRule="auto"/>
        <w:jc w:val="center"/>
        <w:textAlignment w:val="auto"/>
        <w:rPr>
          <w:rFonts w:hint="eastAsia" w:ascii="宋体" w:hAnsi="宋体" w:eastAsia="宋体" w:cs="宋体"/>
          <w:color w:val="0000FF"/>
          <w:highlight w:val="none"/>
          <w:lang w:eastAsia="zh-CN"/>
        </w:rPr>
      </w:pPr>
      <w:bookmarkStart w:id="4" w:name="_Toc8061"/>
      <w:bookmarkStart w:id="5" w:name="_Toc20302"/>
      <w:r>
        <w:rPr>
          <w:rFonts w:hint="eastAsia" w:ascii="宋体" w:hAnsi="宋体" w:eastAsia="宋体" w:cs="宋体"/>
          <w:color w:val="auto"/>
          <w:highlight w:val="none"/>
          <w:lang w:val="en-US" w:eastAsia="zh-CN"/>
        </w:rPr>
        <w:t>第三章 服务内容及要求</w:t>
      </w:r>
      <w:bookmarkEnd w:id="4"/>
      <w:bookmarkEnd w:id="5"/>
    </w:p>
    <w:p w14:paraId="66861F43">
      <w:pPr>
        <w:pageBreakBefore w:val="0"/>
        <w:widowControl/>
        <w:shd w:val="clear" w:color="auto" w:fill="auto"/>
        <w:overflowPunct/>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采购项目编号：SGZ[2025]577-ZC376、湖滨竞磋采购-2025-35</w:t>
      </w:r>
      <w:r>
        <w:rPr>
          <w:rFonts w:hint="eastAsia" w:ascii="宋体" w:hAnsi="宋体" w:eastAsia="宋体" w:cs="宋体"/>
          <w:color w:val="auto"/>
          <w:kern w:val="0"/>
          <w:sz w:val="24"/>
          <w:szCs w:val="24"/>
          <w:highlight w:val="none"/>
        </w:rPr>
        <w:t>；</w:t>
      </w:r>
    </w:p>
    <w:p w14:paraId="4B509907">
      <w:pPr>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en-US" w:eastAsia="zh-CN"/>
        </w:rPr>
        <w:t>采购</w:t>
      </w:r>
      <w:r>
        <w:rPr>
          <w:rFonts w:hint="eastAsia" w:ascii="宋体" w:hAnsi="宋体" w:eastAsia="宋体" w:cs="宋体"/>
          <w:color w:val="auto"/>
          <w:kern w:val="0"/>
          <w:sz w:val="24"/>
          <w:szCs w:val="24"/>
        </w:rPr>
        <w:t>项目名称：</w:t>
      </w:r>
      <w:r>
        <w:rPr>
          <w:rFonts w:hint="eastAsia" w:ascii="宋体" w:hAnsi="宋体" w:cs="宋体"/>
          <w:color w:val="auto"/>
          <w:kern w:val="0"/>
          <w:sz w:val="24"/>
          <w:szCs w:val="24"/>
          <w:lang w:val="en-US" w:eastAsia="zh-CN" w:bidi="ar"/>
        </w:rPr>
        <w:t>三门峡市湖滨区教育体育局三门峡市湖滨区中小学校消防审验历史遗留问题现场评定项目</w:t>
      </w:r>
    </w:p>
    <w:p w14:paraId="0A6FA5E5">
      <w:pPr>
        <w:pageBreakBefore w:val="0"/>
        <w:overflowPunct/>
        <w:bidi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rPr>
        <w:t>3、采购方式</w:t>
      </w:r>
      <w:r>
        <w:rPr>
          <w:rFonts w:hint="eastAsia" w:ascii="宋体" w:hAnsi="宋体" w:eastAsia="宋体" w:cs="宋体"/>
          <w:color w:val="auto"/>
          <w:kern w:val="0"/>
          <w:sz w:val="24"/>
          <w:szCs w:val="24"/>
          <w:lang w:val="en-US" w:eastAsia="zh-CN" w:bidi="ar"/>
        </w:rPr>
        <w:t>：竞争性磋商</w:t>
      </w:r>
    </w:p>
    <w:p w14:paraId="15D31C18">
      <w:pPr>
        <w:pageBreakBefore w:val="0"/>
        <w:widowControl/>
        <w:shd w:val="clear" w:color="auto" w:fill="auto"/>
        <w:overflowPunct/>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4、预算金额：</w:t>
      </w:r>
      <w:r>
        <w:rPr>
          <w:rFonts w:hint="eastAsia" w:ascii="宋体" w:hAnsi="宋体" w:cs="宋体"/>
          <w:color w:val="auto"/>
          <w:kern w:val="0"/>
          <w:sz w:val="24"/>
          <w:szCs w:val="24"/>
          <w:highlight w:val="none"/>
          <w:lang w:val="en-US" w:eastAsia="zh-CN"/>
        </w:rPr>
        <w:t>440000</w:t>
      </w:r>
      <w:r>
        <w:rPr>
          <w:rFonts w:hint="eastAsia" w:ascii="宋体" w:hAnsi="宋体" w:eastAsia="宋体" w:cs="宋体"/>
          <w:color w:val="auto"/>
          <w:kern w:val="0"/>
          <w:sz w:val="24"/>
          <w:szCs w:val="24"/>
          <w:highlight w:val="none"/>
        </w:rPr>
        <w:t>元</w:t>
      </w:r>
    </w:p>
    <w:p w14:paraId="1A8EFF71">
      <w:pPr>
        <w:pageBreakBefore w:val="0"/>
        <w:widowControl/>
        <w:shd w:val="clear" w:color="auto" w:fill="auto"/>
        <w:overflowPunct/>
        <w:bidi w:val="0"/>
        <w:spacing w:line="360" w:lineRule="auto"/>
        <w:ind w:firstLine="720" w:firstLineChars="3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最高限价：</w:t>
      </w:r>
      <w:r>
        <w:rPr>
          <w:rFonts w:hint="eastAsia" w:ascii="宋体" w:hAnsi="宋体" w:cs="宋体"/>
          <w:color w:val="auto"/>
          <w:kern w:val="0"/>
          <w:sz w:val="24"/>
          <w:szCs w:val="24"/>
          <w:highlight w:val="none"/>
          <w:lang w:val="en-US" w:eastAsia="zh-CN"/>
        </w:rPr>
        <w:t>440000</w:t>
      </w:r>
      <w:r>
        <w:rPr>
          <w:rFonts w:hint="eastAsia" w:ascii="宋体" w:hAnsi="宋体" w:eastAsia="宋体" w:cs="宋体"/>
          <w:color w:val="auto"/>
          <w:kern w:val="0"/>
          <w:sz w:val="24"/>
          <w:szCs w:val="24"/>
          <w:highlight w:val="none"/>
        </w:rPr>
        <w:t>元</w:t>
      </w:r>
    </w:p>
    <w:p w14:paraId="7C405D93">
      <w:pPr>
        <w:pageBreakBefore w:val="0"/>
        <w:overflowPunct/>
        <w:bidi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5、采购需求（包括但不限于标的的名称、数量、简要技术需求或服务要求等）：</w:t>
      </w:r>
    </w:p>
    <w:p w14:paraId="1CFF14A1">
      <w:pPr>
        <w:pStyle w:val="27"/>
        <w:keepNext w:val="0"/>
        <w:keepLines w:val="0"/>
        <w:pageBreakBefore w:val="0"/>
        <w:widowControl/>
        <w:numPr>
          <w:ilvl w:val="0"/>
          <w:numId w:val="0"/>
        </w:numPr>
        <w:kinsoku/>
        <w:wordWrap/>
        <w:overflowPunct/>
        <w:topLinePunct w:val="0"/>
        <w:autoSpaceDE/>
        <w:autoSpaceDN/>
        <w:bidi w:val="0"/>
        <w:adjustRightInd/>
        <w:spacing w:line="360" w:lineRule="auto"/>
        <w:ind w:left="0" w:leftChars="0" w:firstLine="480" w:firstLineChars="200"/>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rPr>
        <w:t>5.1、</w:t>
      </w:r>
      <w:r>
        <w:rPr>
          <w:rFonts w:hint="eastAsia" w:ascii="宋体" w:hAnsi="宋体" w:eastAsia="宋体" w:cs="宋体"/>
          <w:kern w:val="0"/>
          <w:sz w:val="24"/>
          <w:szCs w:val="24"/>
          <w:highlight w:val="none"/>
          <w:lang w:val="en-US" w:eastAsia="zh-CN"/>
        </w:rPr>
        <w:t>采购内容</w:t>
      </w:r>
      <w:r>
        <w:rPr>
          <w:rFonts w:hint="eastAsia" w:ascii="宋体" w:hAnsi="宋体" w:eastAsia="宋体" w:cs="宋体"/>
          <w:kern w:val="0"/>
          <w:sz w:val="24"/>
          <w:szCs w:val="24"/>
          <w:highlight w:val="none"/>
        </w:rPr>
        <w:t>：按照国家相关规范对</w:t>
      </w:r>
      <w:r>
        <w:rPr>
          <w:rFonts w:hint="eastAsia" w:ascii="宋体" w:hAnsi="宋体" w:eastAsia="宋体" w:cs="宋体"/>
          <w:color w:val="444444"/>
          <w:kern w:val="0"/>
          <w:sz w:val="24"/>
          <w:szCs w:val="24"/>
          <w:lang w:val="en-US" w:eastAsia="zh-CN" w:bidi="ar"/>
        </w:rPr>
        <w:t>对三门峡市湖滨区20所学校校舍</w:t>
      </w:r>
      <w:r>
        <w:rPr>
          <w:rFonts w:hint="eastAsia" w:ascii="宋体" w:hAnsi="宋体" w:eastAsia="宋体" w:cs="宋体"/>
          <w:kern w:val="0"/>
          <w:sz w:val="24"/>
          <w:szCs w:val="24"/>
          <w:highlight w:val="none"/>
        </w:rPr>
        <w:t>的建筑进行消防验收现场评定服务，按照相关技术标准规范要求进行消防现场评定工作，并出具评定报告</w:t>
      </w:r>
      <w:r>
        <w:rPr>
          <w:rFonts w:hint="eastAsia" w:ascii="宋体" w:hAnsi="宋体" w:cs="宋体"/>
          <w:kern w:val="0"/>
          <w:sz w:val="24"/>
          <w:szCs w:val="24"/>
          <w:highlight w:val="none"/>
          <w:lang w:eastAsia="zh-CN"/>
        </w:rPr>
        <w:t>。</w:t>
      </w:r>
    </w:p>
    <w:p w14:paraId="1B944820">
      <w:pPr>
        <w:pageBreakBefore w:val="0"/>
        <w:overflowPunct/>
        <w:bidi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5.2资金来源：</w:t>
      </w:r>
      <w:r>
        <w:rPr>
          <w:rFonts w:hint="eastAsia" w:ascii="宋体" w:hAnsi="宋体" w:eastAsia="宋体" w:cs="宋体"/>
          <w:kern w:val="0"/>
          <w:sz w:val="24"/>
          <w:szCs w:val="24"/>
          <w:highlight w:val="none"/>
          <w:lang w:val="en-US" w:eastAsia="zh-CN"/>
        </w:rPr>
        <w:t>财政资金</w:t>
      </w:r>
      <w:r>
        <w:rPr>
          <w:rFonts w:hint="eastAsia" w:ascii="宋体" w:hAnsi="宋体" w:eastAsia="宋体" w:cs="宋体"/>
          <w:kern w:val="0"/>
          <w:sz w:val="24"/>
          <w:szCs w:val="24"/>
          <w:highlight w:val="none"/>
        </w:rPr>
        <w:t>，已落实</w:t>
      </w:r>
    </w:p>
    <w:p w14:paraId="6DA938AA">
      <w:pPr>
        <w:pageBreakBefore w:val="0"/>
        <w:overflowPunct/>
        <w:bidi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5.3项目地点：</w:t>
      </w:r>
      <w:r>
        <w:rPr>
          <w:rFonts w:hint="eastAsia" w:ascii="宋体" w:hAnsi="宋体" w:cs="宋体"/>
          <w:spacing w:val="0"/>
          <w:w w:val="100"/>
          <w:kern w:val="0"/>
          <w:sz w:val="24"/>
          <w:szCs w:val="24"/>
          <w:highlight w:val="none"/>
          <w:u w:val="none"/>
          <w:lang w:val="en-US" w:eastAsia="zh-CN"/>
        </w:rPr>
        <w:t>三门峡市湖滨区</w:t>
      </w:r>
    </w:p>
    <w:p w14:paraId="092A527F">
      <w:pPr>
        <w:pageBreakBefore w:val="0"/>
        <w:overflowPunct/>
        <w:bidi w:val="0"/>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5.4</w:t>
      </w:r>
      <w:r>
        <w:rPr>
          <w:rFonts w:hint="eastAsia" w:ascii="宋体" w:hAnsi="宋体" w:eastAsia="宋体" w:cs="宋体"/>
          <w:color w:val="auto"/>
          <w:kern w:val="0"/>
          <w:sz w:val="24"/>
          <w:szCs w:val="24"/>
          <w:highlight w:val="none"/>
        </w:rPr>
        <w:t>服务</w:t>
      </w:r>
      <w:r>
        <w:rPr>
          <w:rFonts w:hint="eastAsia" w:ascii="宋体" w:hAnsi="宋体" w:cs="宋体"/>
          <w:color w:val="auto"/>
          <w:kern w:val="0"/>
          <w:sz w:val="24"/>
          <w:szCs w:val="24"/>
          <w:highlight w:val="none"/>
          <w:lang w:val="en-US" w:eastAsia="zh-CN"/>
        </w:rPr>
        <w:t>周期</w:t>
      </w:r>
      <w:r>
        <w:rPr>
          <w:rFonts w:hint="eastAsia" w:ascii="宋体" w:hAnsi="宋体" w:eastAsia="宋体" w:cs="宋体"/>
          <w:color w:val="auto"/>
          <w:kern w:val="0"/>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合同签订后2个月内完成并提交报告。</w:t>
      </w:r>
    </w:p>
    <w:p w14:paraId="6550A8ED">
      <w:pPr>
        <w:pageBreakBefore w:val="0"/>
        <w:overflowPunct/>
        <w:bidi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5.5质量要求：</w:t>
      </w:r>
      <w:r>
        <w:rPr>
          <w:rFonts w:hint="eastAsia" w:ascii="宋体" w:hAnsi="宋体" w:eastAsia="宋体" w:cs="宋体"/>
          <w:sz w:val="24"/>
          <w:szCs w:val="24"/>
          <w:lang w:val="en-US" w:eastAsia="zh-CN"/>
        </w:rPr>
        <w:t>合格，符合国家相关法律、法规及规范要求，满足采购人要求</w:t>
      </w:r>
    </w:p>
    <w:p w14:paraId="445DFFC7">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lang w:val="en-US"/>
        </w:rPr>
      </w:pPr>
      <w:r>
        <w:rPr>
          <w:rFonts w:hint="eastAsia" w:ascii="宋体" w:hAnsi="宋体" w:eastAsia="宋体" w:cs="宋体"/>
          <w:kern w:val="0"/>
          <w:sz w:val="24"/>
          <w:szCs w:val="24"/>
          <w:highlight w:val="none"/>
        </w:rPr>
        <w:t>6、合同履约期限：</w:t>
      </w:r>
      <w:r>
        <w:rPr>
          <w:rFonts w:hint="eastAsia" w:ascii="宋体" w:hAnsi="宋体" w:eastAsia="宋体" w:cs="宋体"/>
          <w:kern w:val="0"/>
          <w:sz w:val="24"/>
          <w:szCs w:val="24"/>
          <w:highlight w:val="none"/>
          <w:lang w:val="en-US" w:eastAsia="zh-CN"/>
        </w:rPr>
        <w:t>按合同约定执行。</w:t>
      </w:r>
    </w:p>
    <w:p w14:paraId="06961A5F">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7、本项目是否接受联合体投标：</w:t>
      </w:r>
      <w:r>
        <w:rPr>
          <w:rFonts w:hint="eastAsia" w:ascii="宋体" w:hAnsi="宋体" w:cs="宋体"/>
          <w:color w:val="auto"/>
          <w:kern w:val="0"/>
          <w:sz w:val="24"/>
          <w:szCs w:val="24"/>
          <w:highlight w:val="none"/>
          <w:lang w:val="en-US" w:eastAsia="zh-CN"/>
        </w:rPr>
        <w:t>否</w:t>
      </w:r>
    </w:p>
    <w:p w14:paraId="7684B3F2">
      <w:pPr>
        <w:pageBreakBefore w:val="0"/>
        <w:overflowPunct/>
        <w:bidi w:val="0"/>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8、是否接受进口产品：否</w:t>
      </w:r>
    </w:p>
    <w:p w14:paraId="49FBBC8F">
      <w:pPr>
        <w:pageBreakBefore w:val="0"/>
        <w:overflowPunct/>
        <w:bidi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9、是否专门面向中小企业：</w:t>
      </w:r>
      <w:r>
        <w:rPr>
          <w:rFonts w:hint="eastAsia" w:ascii="宋体" w:hAnsi="宋体" w:cs="宋体"/>
          <w:color w:val="auto"/>
          <w:kern w:val="0"/>
          <w:sz w:val="24"/>
          <w:szCs w:val="24"/>
          <w:highlight w:val="none"/>
          <w:lang w:val="en-US" w:eastAsia="zh-CN"/>
        </w:rPr>
        <w:t>否</w:t>
      </w:r>
    </w:p>
    <w:p w14:paraId="2C454935">
      <w:pPr>
        <w:pStyle w:val="4"/>
        <w:outlineLvl w:val="9"/>
        <w:rPr>
          <w:rFonts w:hint="eastAsia" w:ascii="宋体" w:hAnsi="宋体" w:eastAsia="宋体" w:cs="宋体"/>
          <w:color w:val="auto"/>
          <w:sz w:val="24"/>
          <w:szCs w:val="24"/>
        </w:rPr>
      </w:pPr>
    </w:p>
    <w:p w14:paraId="5373E181">
      <w:pPr>
        <w:rPr>
          <w:rFonts w:hint="eastAsia" w:ascii="宋体" w:hAnsi="宋体" w:eastAsia="宋体" w:cs="宋体"/>
          <w:color w:val="auto"/>
          <w:sz w:val="24"/>
          <w:szCs w:val="24"/>
        </w:rPr>
      </w:pPr>
    </w:p>
    <w:p w14:paraId="0285DE2C">
      <w:pPr>
        <w:pStyle w:val="4"/>
        <w:outlineLvl w:val="9"/>
        <w:rPr>
          <w:rFonts w:hint="eastAsia" w:ascii="宋体" w:hAnsi="宋体" w:eastAsia="宋体" w:cs="宋体"/>
          <w:color w:val="auto"/>
          <w:sz w:val="24"/>
          <w:szCs w:val="24"/>
        </w:rPr>
      </w:pPr>
    </w:p>
    <w:p w14:paraId="3491D9C3">
      <w:pPr>
        <w:rPr>
          <w:rFonts w:hint="eastAsia" w:ascii="宋体" w:hAnsi="宋体" w:eastAsia="宋体" w:cs="宋体"/>
          <w:color w:val="auto"/>
          <w:sz w:val="24"/>
          <w:szCs w:val="24"/>
        </w:rPr>
      </w:pPr>
    </w:p>
    <w:p w14:paraId="66F328E6">
      <w:pPr>
        <w:pageBreakBefore w:val="0"/>
        <w:overflowPunct/>
        <w:bidi w:val="0"/>
        <w:spacing w:line="360" w:lineRule="auto"/>
        <w:jc w:val="left"/>
        <w:rPr>
          <w:rFonts w:hint="eastAsia" w:ascii="宋体" w:hAnsi="宋体" w:eastAsia="宋体" w:cs="宋体"/>
          <w:kern w:val="0"/>
          <w:sz w:val="24"/>
          <w:szCs w:val="24"/>
          <w:lang w:eastAsia="zh-CN"/>
        </w:rPr>
      </w:pPr>
      <w:bookmarkStart w:id="6" w:name="_Toc23949"/>
      <w:r>
        <w:rPr>
          <w:rFonts w:hint="eastAsia" w:ascii="宋体" w:hAnsi="宋体" w:eastAsia="宋体" w:cs="宋体"/>
          <w:b/>
          <w:bCs/>
          <w:color w:val="auto"/>
          <w:sz w:val="40"/>
          <w:szCs w:val="40"/>
        </w:rPr>
        <w:br w:type="page"/>
      </w:r>
    </w:p>
    <w:p w14:paraId="1F552C2B">
      <w:pPr>
        <w:jc w:val="center"/>
        <w:outlineLvl w:val="0"/>
        <w:rPr>
          <w:rFonts w:hint="eastAsia" w:ascii="宋体" w:hAnsi="宋体" w:eastAsia="宋体" w:cs="宋体"/>
          <w:b/>
          <w:bCs/>
          <w:color w:val="auto"/>
          <w:kern w:val="44"/>
          <w:sz w:val="32"/>
          <w:szCs w:val="44"/>
          <w:highlight w:val="none"/>
          <w:lang w:val="en-US" w:eastAsia="zh-CN" w:bidi="ar-SA"/>
        </w:rPr>
      </w:pPr>
      <w:bookmarkStart w:id="7" w:name="_Toc8223"/>
      <w:r>
        <w:rPr>
          <w:rFonts w:hint="eastAsia" w:ascii="宋体" w:hAnsi="宋体" w:eastAsia="宋体" w:cs="宋体"/>
          <w:b/>
          <w:bCs/>
          <w:color w:val="auto"/>
          <w:kern w:val="44"/>
          <w:sz w:val="32"/>
          <w:szCs w:val="44"/>
          <w:highlight w:val="none"/>
          <w:lang w:val="en-US" w:eastAsia="zh-CN" w:bidi="ar-SA"/>
        </w:rPr>
        <w:t xml:space="preserve">第四章 </w:t>
      </w:r>
      <w:bookmarkEnd w:id="6"/>
      <w:r>
        <w:rPr>
          <w:rFonts w:hint="eastAsia" w:ascii="宋体" w:hAnsi="宋体" w:eastAsia="宋体" w:cs="宋体"/>
          <w:b/>
          <w:bCs/>
          <w:color w:val="auto"/>
          <w:kern w:val="44"/>
          <w:sz w:val="32"/>
          <w:szCs w:val="44"/>
          <w:highlight w:val="none"/>
          <w:lang w:val="en-US" w:eastAsia="zh-CN" w:bidi="ar-SA"/>
        </w:rPr>
        <w:t>评审办法</w:t>
      </w:r>
      <w:bookmarkEnd w:id="7"/>
    </w:p>
    <w:p w14:paraId="1D82C06E">
      <w:pPr>
        <w:widowControl/>
        <w:spacing w:line="425" w:lineRule="atLeast"/>
        <w:jc w:val="center"/>
        <w:textAlignment w:val="baseline"/>
        <w:rPr>
          <w:rFonts w:hint="eastAsia" w:ascii="宋体" w:hAnsi="宋体" w:eastAsia="宋体" w:cs="宋体"/>
          <w:b/>
          <w:sz w:val="28"/>
          <w:szCs w:val="21"/>
          <w:lang w:val="zh-CN"/>
        </w:rPr>
      </w:pPr>
      <w:r>
        <w:rPr>
          <w:rFonts w:hint="eastAsia" w:ascii="宋体" w:hAnsi="宋体" w:cs="宋体"/>
          <w:b/>
          <w:kern w:val="0"/>
          <w:sz w:val="28"/>
          <w:szCs w:val="22"/>
          <w:lang w:eastAsia="zh-CN"/>
        </w:rPr>
        <w:t>评审办法</w:t>
      </w:r>
      <w:r>
        <w:rPr>
          <w:rFonts w:hint="eastAsia" w:ascii="宋体" w:hAnsi="宋体" w:eastAsia="宋体" w:cs="宋体"/>
          <w:b/>
          <w:kern w:val="0"/>
          <w:sz w:val="28"/>
          <w:szCs w:val="22"/>
        </w:rPr>
        <w:t>前附表</w:t>
      </w:r>
    </w:p>
    <w:tbl>
      <w:tblPr>
        <w:tblStyle w:val="20"/>
        <w:tblW w:w="9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362"/>
        <w:gridCol w:w="1914"/>
        <w:gridCol w:w="5701"/>
      </w:tblGrid>
      <w:tr w14:paraId="47D1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11" w:type="dxa"/>
            <w:gridSpan w:val="2"/>
            <w:noWrap w:val="0"/>
            <w:tcMar>
              <w:left w:w="57" w:type="dxa"/>
              <w:right w:w="57" w:type="dxa"/>
            </w:tcMar>
            <w:vAlign w:val="center"/>
          </w:tcPr>
          <w:p w14:paraId="1E7C9A23">
            <w:pPr>
              <w:pageBreakBefore w:val="0"/>
              <w:overflowPunct/>
              <w:bidi w:val="0"/>
              <w:spacing w:before="206" w:line="360" w:lineRule="auto"/>
              <w:ind w:left="147" w:right="139"/>
              <w:rPr>
                <w:rFonts w:hint="eastAsia" w:ascii="宋体" w:hAnsi="宋体" w:eastAsia="宋体" w:cs="宋体"/>
                <w:b/>
                <w:bCs/>
                <w:sz w:val="24"/>
                <w:szCs w:val="24"/>
              </w:rPr>
            </w:pPr>
            <w:r>
              <w:rPr>
                <w:rFonts w:hint="eastAsia" w:ascii="宋体" w:hAnsi="宋体" w:eastAsia="宋体" w:cs="宋体"/>
                <w:b/>
                <w:bCs/>
                <w:sz w:val="24"/>
                <w:szCs w:val="24"/>
              </w:rPr>
              <w:t>条款号</w:t>
            </w:r>
          </w:p>
        </w:tc>
        <w:tc>
          <w:tcPr>
            <w:tcW w:w="1914" w:type="dxa"/>
            <w:noWrap w:val="0"/>
            <w:tcMar>
              <w:left w:w="57" w:type="dxa"/>
              <w:right w:w="57" w:type="dxa"/>
            </w:tcMar>
            <w:vAlign w:val="center"/>
          </w:tcPr>
          <w:p w14:paraId="3C8A8C56">
            <w:pPr>
              <w:pageBreakBefore w:val="0"/>
              <w:overflowPunct/>
              <w:bidi w:val="0"/>
              <w:spacing w:before="206" w:line="360" w:lineRule="auto"/>
              <w:ind w:left="147" w:right="139"/>
              <w:rPr>
                <w:rFonts w:hint="eastAsia" w:ascii="宋体" w:hAnsi="宋体" w:eastAsia="宋体" w:cs="宋体"/>
                <w:b/>
                <w:bCs/>
                <w:sz w:val="24"/>
                <w:szCs w:val="24"/>
              </w:rPr>
            </w:pPr>
            <w:r>
              <w:rPr>
                <w:rFonts w:hint="eastAsia" w:ascii="宋体" w:hAnsi="宋体" w:eastAsia="宋体" w:cs="宋体"/>
                <w:b/>
                <w:bCs/>
                <w:sz w:val="24"/>
                <w:szCs w:val="24"/>
              </w:rPr>
              <w:t>评审因素</w:t>
            </w:r>
          </w:p>
        </w:tc>
        <w:tc>
          <w:tcPr>
            <w:tcW w:w="5701" w:type="dxa"/>
            <w:noWrap w:val="0"/>
            <w:tcMar>
              <w:left w:w="57" w:type="dxa"/>
              <w:right w:w="57" w:type="dxa"/>
            </w:tcMar>
            <w:vAlign w:val="center"/>
          </w:tcPr>
          <w:p w14:paraId="29CC2F23">
            <w:pPr>
              <w:pageBreakBefore w:val="0"/>
              <w:overflowPunct/>
              <w:bidi w:val="0"/>
              <w:spacing w:before="206" w:line="360" w:lineRule="auto"/>
              <w:ind w:left="147" w:right="139"/>
              <w:rPr>
                <w:rFonts w:hint="eastAsia" w:ascii="宋体" w:hAnsi="宋体" w:eastAsia="宋体" w:cs="宋体"/>
                <w:b/>
                <w:bCs/>
                <w:sz w:val="24"/>
                <w:szCs w:val="24"/>
              </w:rPr>
            </w:pPr>
            <w:r>
              <w:rPr>
                <w:rFonts w:hint="eastAsia" w:ascii="宋体" w:hAnsi="宋体" w:eastAsia="宋体" w:cs="宋体"/>
                <w:b/>
                <w:bCs/>
                <w:sz w:val="24"/>
                <w:szCs w:val="24"/>
              </w:rPr>
              <w:t>评审标准</w:t>
            </w:r>
          </w:p>
        </w:tc>
      </w:tr>
      <w:tr w14:paraId="67D0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restart"/>
            <w:noWrap w:val="0"/>
            <w:tcMar>
              <w:left w:w="57" w:type="dxa"/>
              <w:right w:w="57" w:type="dxa"/>
            </w:tcMar>
            <w:vAlign w:val="center"/>
          </w:tcPr>
          <w:p w14:paraId="64327D49">
            <w:pPr>
              <w:pageBreakBefore w:val="0"/>
              <w:overflowPunct/>
              <w:bidi w:val="0"/>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2.1.1</w:t>
            </w:r>
          </w:p>
        </w:tc>
        <w:tc>
          <w:tcPr>
            <w:tcW w:w="1362" w:type="dxa"/>
            <w:vMerge w:val="restart"/>
            <w:noWrap w:val="0"/>
            <w:tcMar>
              <w:left w:w="57" w:type="dxa"/>
              <w:right w:w="57" w:type="dxa"/>
            </w:tcMar>
            <w:vAlign w:val="center"/>
          </w:tcPr>
          <w:p w14:paraId="7AEDB6C8">
            <w:pPr>
              <w:pageBreakBefore w:val="0"/>
              <w:overflowPunct/>
              <w:bidi w:val="0"/>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符合性评审标准</w:t>
            </w:r>
          </w:p>
        </w:tc>
        <w:tc>
          <w:tcPr>
            <w:tcW w:w="1914" w:type="dxa"/>
            <w:noWrap w:val="0"/>
            <w:tcMar>
              <w:left w:w="57" w:type="dxa"/>
              <w:right w:w="57" w:type="dxa"/>
            </w:tcMar>
            <w:vAlign w:val="center"/>
          </w:tcPr>
          <w:p w14:paraId="53423222">
            <w:pPr>
              <w:pageBreakBefore w:val="0"/>
              <w:overflowPunct/>
              <w:bidi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供应商名称</w:t>
            </w:r>
          </w:p>
        </w:tc>
        <w:tc>
          <w:tcPr>
            <w:tcW w:w="5701" w:type="dxa"/>
            <w:noWrap w:val="0"/>
            <w:tcMar>
              <w:left w:w="57" w:type="dxa"/>
              <w:right w:w="57" w:type="dxa"/>
            </w:tcMar>
            <w:vAlign w:val="center"/>
          </w:tcPr>
          <w:p w14:paraId="6F7531D7">
            <w:pPr>
              <w:pageBreakBefore w:val="0"/>
              <w:overflowPunct/>
              <w:bidi w:val="0"/>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与营业执照一致</w:t>
            </w:r>
          </w:p>
        </w:tc>
      </w:tr>
      <w:tr w14:paraId="66A8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continue"/>
            <w:noWrap w:val="0"/>
            <w:tcMar>
              <w:left w:w="57" w:type="dxa"/>
              <w:right w:w="57" w:type="dxa"/>
            </w:tcMar>
            <w:vAlign w:val="center"/>
          </w:tcPr>
          <w:p w14:paraId="2FC71CBE">
            <w:pPr>
              <w:pageBreakBefore w:val="0"/>
              <w:overflowPunct/>
              <w:bidi w:val="0"/>
              <w:spacing w:line="360" w:lineRule="auto"/>
              <w:rPr>
                <w:rFonts w:hint="eastAsia" w:ascii="宋体" w:hAnsi="宋体" w:eastAsia="宋体" w:cs="宋体"/>
                <w:color w:val="000000"/>
                <w:sz w:val="24"/>
                <w:szCs w:val="24"/>
                <w:lang w:val="en-US" w:eastAsia="zh-CN"/>
              </w:rPr>
            </w:pPr>
          </w:p>
        </w:tc>
        <w:tc>
          <w:tcPr>
            <w:tcW w:w="1362" w:type="dxa"/>
            <w:vMerge w:val="continue"/>
            <w:noWrap w:val="0"/>
            <w:tcMar>
              <w:left w:w="57" w:type="dxa"/>
              <w:right w:w="57" w:type="dxa"/>
            </w:tcMar>
            <w:vAlign w:val="center"/>
          </w:tcPr>
          <w:p w14:paraId="0C7F4BA2">
            <w:pPr>
              <w:pageBreakBefore w:val="0"/>
              <w:overflowPunct/>
              <w:bidi w:val="0"/>
              <w:spacing w:line="360" w:lineRule="auto"/>
              <w:rPr>
                <w:rFonts w:hint="eastAsia" w:ascii="宋体" w:hAnsi="宋体" w:eastAsia="宋体" w:cs="宋体"/>
                <w:color w:val="000000"/>
                <w:sz w:val="24"/>
                <w:szCs w:val="24"/>
                <w:lang w:val="en-US" w:eastAsia="zh-CN"/>
              </w:rPr>
            </w:pPr>
          </w:p>
        </w:tc>
        <w:tc>
          <w:tcPr>
            <w:tcW w:w="1914" w:type="dxa"/>
            <w:noWrap w:val="0"/>
            <w:tcMar>
              <w:left w:w="57" w:type="dxa"/>
              <w:right w:w="57" w:type="dxa"/>
            </w:tcMar>
            <w:vAlign w:val="center"/>
          </w:tcPr>
          <w:p w14:paraId="3BBE3192">
            <w:pPr>
              <w:pageBreakBefore w:val="0"/>
              <w:overflowPunct/>
              <w:bidi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签字盖章</w:t>
            </w:r>
          </w:p>
        </w:tc>
        <w:tc>
          <w:tcPr>
            <w:tcW w:w="5701" w:type="dxa"/>
            <w:noWrap w:val="0"/>
            <w:tcMar>
              <w:left w:w="57" w:type="dxa"/>
              <w:right w:w="57" w:type="dxa"/>
            </w:tcMar>
            <w:vAlign w:val="center"/>
          </w:tcPr>
          <w:p w14:paraId="32A70D52">
            <w:pPr>
              <w:pageBreakBefore w:val="0"/>
              <w:overflowPunct/>
              <w:bidi w:val="0"/>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按</w:t>
            </w:r>
            <w:r>
              <w:rPr>
                <w:rFonts w:hint="eastAsia" w:ascii="宋体" w:hAnsi="宋体" w:cs="宋体"/>
                <w:color w:val="000000"/>
                <w:sz w:val="24"/>
                <w:szCs w:val="24"/>
                <w:lang w:val="en-US" w:eastAsia="zh-CN"/>
              </w:rPr>
              <w:t>采购</w:t>
            </w:r>
            <w:r>
              <w:rPr>
                <w:rFonts w:hint="eastAsia" w:ascii="宋体" w:hAnsi="宋体" w:eastAsia="宋体" w:cs="宋体"/>
                <w:color w:val="000000"/>
                <w:sz w:val="24"/>
                <w:szCs w:val="24"/>
                <w:lang w:val="en-US" w:eastAsia="zh-CN"/>
              </w:rPr>
              <w:t>文件要求签署、盖章</w:t>
            </w:r>
          </w:p>
        </w:tc>
      </w:tr>
      <w:tr w14:paraId="415F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continue"/>
            <w:noWrap w:val="0"/>
            <w:tcMar>
              <w:left w:w="57" w:type="dxa"/>
              <w:right w:w="57" w:type="dxa"/>
            </w:tcMar>
            <w:vAlign w:val="center"/>
          </w:tcPr>
          <w:p w14:paraId="6485E59F">
            <w:pPr>
              <w:pageBreakBefore w:val="0"/>
              <w:overflowPunct/>
              <w:bidi w:val="0"/>
              <w:spacing w:line="360" w:lineRule="auto"/>
              <w:rPr>
                <w:rFonts w:hint="eastAsia" w:ascii="宋体" w:hAnsi="宋体" w:eastAsia="宋体" w:cs="宋体"/>
                <w:color w:val="000000"/>
                <w:sz w:val="24"/>
                <w:szCs w:val="24"/>
                <w:lang w:val="en-US" w:eastAsia="zh-CN"/>
              </w:rPr>
            </w:pPr>
          </w:p>
        </w:tc>
        <w:tc>
          <w:tcPr>
            <w:tcW w:w="1362" w:type="dxa"/>
            <w:vMerge w:val="continue"/>
            <w:noWrap w:val="0"/>
            <w:tcMar>
              <w:left w:w="57" w:type="dxa"/>
              <w:right w:w="57" w:type="dxa"/>
            </w:tcMar>
            <w:vAlign w:val="center"/>
          </w:tcPr>
          <w:p w14:paraId="0E71D82D">
            <w:pPr>
              <w:pageBreakBefore w:val="0"/>
              <w:overflowPunct/>
              <w:bidi w:val="0"/>
              <w:spacing w:line="360" w:lineRule="auto"/>
              <w:rPr>
                <w:rFonts w:hint="eastAsia" w:ascii="宋体" w:hAnsi="宋体" w:eastAsia="宋体" w:cs="宋体"/>
                <w:color w:val="000000"/>
                <w:sz w:val="24"/>
                <w:szCs w:val="24"/>
                <w:lang w:val="en-US" w:eastAsia="zh-CN"/>
              </w:rPr>
            </w:pPr>
          </w:p>
        </w:tc>
        <w:tc>
          <w:tcPr>
            <w:tcW w:w="1914" w:type="dxa"/>
            <w:noWrap w:val="0"/>
            <w:tcMar>
              <w:left w:w="57" w:type="dxa"/>
              <w:right w:w="57" w:type="dxa"/>
            </w:tcMar>
            <w:vAlign w:val="center"/>
          </w:tcPr>
          <w:p w14:paraId="7D5D83AC">
            <w:pPr>
              <w:pageBreakBefore w:val="0"/>
              <w:overflowPunct/>
              <w:bidi w:val="0"/>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报价唯一</w:t>
            </w:r>
          </w:p>
        </w:tc>
        <w:tc>
          <w:tcPr>
            <w:tcW w:w="5701" w:type="dxa"/>
            <w:noWrap w:val="0"/>
            <w:tcMar>
              <w:left w:w="57" w:type="dxa"/>
              <w:right w:w="57" w:type="dxa"/>
            </w:tcMar>
            <w:vAlign w:val="center"/>
          </w:tcPr>
          <w:p w14:paraId="7C88FEED">
            <w:pPr>
              <w:pageBreakBefore w:val="0"/>
              <w:overflowPunct/>
              <w:bidi w:val="0"/>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只能有一个有效报价。</w:t>
            </w:r>
          </w:p>
        </w:tc>
      </w:tr>
      <w:tr w14:paraId="2411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restart"/>
            <w:noWrap w:val="0"/>
            <w:tcMar>
              <w:left w:w="57" w:type="dxa"/>
              <w:right w:w="57" w:type="dxa"/>
            </w:tcMar>
            <w:vAlign w:val="center"/>
          </w:tcPr>
          <w:p w14:paraId="0699A404">
            <w:pPr>
              <w:pageBreakBefore w:val="0"/>
              <w:overflowPunct/>
              <w:bidi w:val="0"/>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2.1.2</w:t>
            </w:r>
          </w:p>
        </w:tc>
        <w:tc>
          <w:tcPr>
            <w:tcW w:w="1362" w:type="dxa"/>
            <w:vMerge w:val="restart"/>
            <w:noWrap w:val="0"/>
            <w:tcMar>
              <w:left w:w="57" w:type="dxa"/>
              <w:right w:w="57" w:type="dxa"/>
            </w:tcMar>
            <w:vAlign w:val="center"/>
          </w:tcPr>
          <w:p w14:paraId="777EC716">
            <w:pPr>
              <w:pageBreakBefore w:val="0"/>
              <w:overflowPunct/>
              <w:bidi w:val="0"/>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资格评审标准</w:t>
            </w:r>
          </w:p>
        </w:tc>
        <w:tc>
          <w:tcPr>
            <w:tcW w:w="1914" w:type="dxa"/>
            <w:noWrap w:val="0"/>
            <w:tcMar>
              <w:left w:w="57" w:type="dxa"/>
              <w:right w:w="57" w:type="dxa"/>
            </w:tcMar>
            <w:vAlign w:val="center"/>
          </w:tcPr>
          <w:p w14:paraId="23FFC696">
            <w:pPr>
              <w:pageBreakBefore w:val="0"/>
              <w:overflowPunct/>
              <w:bidi w:val="0"/>
              <w:spacing w:line="360" w:lineRule="auto"/>
              <w:jc w:val="center"/>
              <w:rPr>
                <w:rFonts w:hint="eastAsia" w:ascii="宋体" w:hAnsi="宋体" w:eastAsia="宋体" w:cs="宋体"/>
                <w:color w:val="000000"/>
                <w:sz w:val="24"/>
                <w:szCs w:val="24"/>
                <w:lang w:val="en-US" w:eastAsia="zh-CN"/>
              </w:rPr>
            </w:pPr>
            <w:r>
              <w:rPr>
                <w:rFonts w:hint="eastAsia" w:ascii="宋体" w:hAnsi="宋体"/>
                <w:color w:val="000000"/>
                <w:sz w:val="24"/>
                <w:szCs w:val="24"/>
              </w:rPr>
              <w:t>合格的</w:t>
            </w:r>
            <w:r>
              <w:rPr>
                <w:rFonts w:hint="eastAsia" w:ascii="宋体" w:hAnsi="宋体"/>
                <w:color w:val="000000"/>
                <w:sz w:val="24"/>
                <w:szCs w:val="24"/>
                <w:lang w:eastAsia="zh-CN"/>
              </w:rPr>
              <w:t>供应商</w:t>
            </w:r>
          </w:p>
        </w:tc>
        <w:tc>
          <w:tcPr>
            <w:tcW w:w="5701" w:type="dxa"/>
            <w:noWrap w:val="0"/>
            <w:vAlign w:val="center"/>
          </w:tcPr>
          <w:p w14:paraId="01A0868D">
            <w:pPr>
              <w:pageBreakBefore w:val="0"/>
              <w:overflowPunct/>
              <w:bidi w:val="0"/>
              <w:spacing w:line="360" w:lineRule="auto"/>
              <w:rPr>
                <w:rFonts w:hint="eastAsia" w:ascii="宋体" w:hAnsi="宋体" w:eastAsia="宋体" w:cs="宋体"/>
                <w:color w:val="000000"/>
                <w:sz w:val="24"/>
                <w:szCs w:val="24"/>
                <w:lang w:val="en-US" w:eastAsia="zh-CN"/>
              </w:rPr>
            </w:pPr>
            <w:r>
              <w:rPr>
                <w:rFonts w:hint="eastAsia" w:ascii="宋体" w:hAnsi="宋体"/>
                <w:color w:val="000000"/>
                <w:sz w:val="24"/>
                <w:szCs w:val="24"/>
              </w:rPr>
              <w:t>符合《中华人民共和国政府采购法》第二十二条规定</w:t>
            </w:r>
            <w:r>
              <w:rPr>
                <w:rFonts w:hint="eastAsia" w:ascii="宋体" w:hAnsi="宋体"/>
                <w:color w:val="000000"/>
                <w:sz w:val="24"/>
                <w:szCs w:val="24"/>
                <w:lang w:eastAsia="zh-CN"/>
              </w:rPr>
              <w:t>；</w:t>
            </w:r>
          </w:p>
        </w:tc>
      </w:tr>
      <w:tr w14:paraId="776A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9" w:type="dxa"/>
            <w:vMerge w:val="continue"/>
            <w:noWrap w:val="0"/>
            <w:tcMar>
              <w:left w:w="57" w:type="dxa"/>
              <w:right w:w="57" w:type="dxa"/>
            </w:tcMar>
            <w:vAlign w:val="center"/>
          </w:tcPr>
          <w:p w14:paraId="14A069E5">
            <w:pPr>
              <w:pageBreakBefore w:val="0"/>
              <w:overflowPunct/>
              <w:bidi w:val="0"/>
              <w:spacing w:line="360" w:lineRule="auto"/>
              <w:jc w:val="center"/>
              <w:rPr>
                <w:rFonts w:hint="eastAsia" w:ascii="宋体" w:hAnsi="宋体" w:eastAsia="宋体" w:cs="宋体"/>
                <w:sz w:val="24"/>
                <w:szCs w:val="24"/>
              </w:rPr>
            </w:pPr>
          </w:p>
        </w:tc>
        <w:tc>
          <w:tcPr>
            <w:tcW w:w="1362" w:type="dxa"/>
            <w:vMerge w:val="continue"/>
            <w:noWrap w:val="0"/>
            <w:tcMar>
              <w:left w:w="57" w:type="dxa"/>
              <w:right w:w="57" w:type="dxa"/>
            </w:tcMar>
            <w:vAlign w:val="center"/>
          </w:tcPr>
          <w:p w14:paraId="2669BD72">
            <w:pPr>
              <w:pageBreakBefore w:val="0"/>
              <w:overflowPunct/>
              <w:bidi w:val="0"/>
              <w:spacing w:line="360" w:lineRule="auto"/>
              <w:jc w:val="center"/>
              <w:rPr>
                <w:rFonts w:hint="eastAsia" w:ascii="宋体" w:hAnsi="宋体" w:eastAsia="宋体" w:cs="宋体"/>
                <w:sz w:val="24"/>
                <w:szCs w:val="24"/>
              </w:rPr>
            </w:pPr>
          </w:p>
        </w:tc>
        <w:tc>
          <w:tcPr>
            <w:tcW w:w="1914" w:type="dxa"/>
            <w:noWrap w:val="0"/>
            <w:tcMar>
              <w:left w:w="57" w:type="dxa"/>
              <w:right w:w="57" w:type="dxa"/>
            </w:tcMar>
            <w:vAlign w:val="center"/>
          </w:tcPr>
          <w:p w14:paraId="3A2F34B8">
            <w:pPr>
              <w:pageBreakBefore w:val="0"/>
              <w:overflowPunct/>
              <w:bidi w:val="0"/>
              <w:spacing w:line="360" w:lineRule="auto"/>
              <w:jc w:val="center"/>
              <w:rPr>
                <w:rFonts w:hint="eastAsia" w:ascii="宋体" w:hAnsi="宋体" w:eastAsia="宋体" w:cs="宋体"/>
                <w:b/>
                <w:bCs/>
                <w:sz w:val="24"/>
                <w:szCs w:val="24"/>
              </w:rPr>
            </w:pPr>
            <w:r>
              <w:rPr>
                <w:rFonts w:hint="eastAsia" w:ascii="宋体" w:hAnsi="宋体"/>
                <w:color w:val="000000"/>
                <w:sz w:val="24"/>
                <w:szCs w:val="24"/>
                <w:lang w:eastAsia="zh-CN"/>
              </w:rPr>
              <w:t>供应商</w:t>
            </w:r>
            <w:r>
              <w:rPr>
                <w:rFonts w:hint="eastAsia" w:ascii="宋体" w:hAnsi="宋体"/>
                <w:color w:val="000000"/>
                <w:sz w:val="24"/>
                <w:szCs w:val="24"/>
                <w:lang w:val="en-US" w:eastAsia="zh-CN"/>
              </w:rPr>
              <w:t>资质</w:t>
            </w:r>
          </w:p>
        </w:tc>
        <w:tc>
          <w:tcPr>
            <w:tcW w:w="5701" w:type="dxa"/>
            <w:noWrap w:val="0"/>
            <w:vAlign w:val="center"/>
          </w:tcPr>
          <w:p w14:paraId="139BB1A4">
            <w:pPr>
              <w:pageBreakBefore w:val="0"/>
              <w:widowControl/>
              <w:overflowPunct/>
              <w:bidi w:val="0"/>
              <w:spacing w:line="360" w:lineRule="auto"/>
              <w:jc w:val="left"/>
              <w:rPr>
                <w:rFonts w:hint="eastAsia" w:ascii="宋体" w:hAnsi="宋体" w:eastAsia="宋体" w:cs="宋体"/>
                <w:b/>
                <w:bCs/>
                <w:sz w:val="24"/>
                <w:szCs w:val="24"/>
              </w:rPr>
            </w:pPr>
            <w:r>
              <w:rPr>
                <w:rFonts w:hint="eastAsia" w:ascii="宋体" w:hAnsi="宋体" w:eastAsia="宋体" w:cs="宋体"/>
                <w:color w:val="auto"/>
                <w:kern w:val="0"/>
                <w:sz w:val="24"/>
                <w:szCs w:val="24"/>
              </w:rPr>
              <w:t>供应商须在“社会消防技术服务信息系统”登记备案,提供消防技术服务机构査询截图</w:t>
            </w:r>
          </w:p>
        </w:tc>
      </w:tr>
      <w:tr w14:paraId="2A03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9" w:type="dxa"/>
            <w:vMerge w:val="continue"/>
            <w:noWrap w:val="0"/>
            <w:tcMar>
              <w:left w:w="57" w:type="dxa"/>
              <w:right w:w="57" w:type="dxa"/>
            </w:tcMar>
            <w:vAlign w:val="center"/>
          </w:tcPr>
          <w:p w14:paraId="69D64A56">
            <w:pPr>
              <w:pageBreakBefore w:val="0"/>
              <w:overflowPunct/>
              <w:bidi w:val="0"/>
              <w:spacing w:line="360" w:lineRule="auto"/>
              <w:jc w:val="center"/>
              <w:rPr>
                <w:rFonts w:hint="eastAsia" w:ascii="宋体" w:hAnsi="宋体" w:eastAsia="宋体" w:cs="宋体"/>
                <w:sz w:val="24"/>
                <w:szCs w:val="24"/>
              </w:rPr>
            </w:pPr>
          </w:p>
        </w:tc>
        <w:tc>
          <w:tcPr>
            <w:tcW w:w="1362" w:type="dxa"/>
            <w:vMerge w:val="continue"/>
            <w:noWrap w:val="0"/>
            <w:tcMar>
              <w:left w:w="57" w:type="dxa"/>
              <w:right w:w="57" w:type="dxa"/>
            </w:tcMar>
            <w:vAlign w:val="center"/>
          </w:tcPr>
          <w:p w14:paraId="45149AEA">
            <w:pPr>
              <w:pageBreakBefore w:val="0"/>
              <w:overflowPunct/>
              <w:bidi w:val="0"/>
              <w:spacing w:line="360" w:lineRule="auto"/>
              <w:jc w:val="center"/>
              <w:rPr>
                <w:rFonts w:hint="eastAsia" w:ascii="宋体" w:hAnsi="宋体" w:eastAsia="宋体" w:cs="宋体"/>
                <w:sz w:val="24"/>
                <w:szCs w:val="24"/>
              </w:rPr>
            </w:pPr>
          </w:p>
        </w:tc>
        <w:tc>
          <w:tcPr>
            <w:tcW w:w="1914" w:type="dxa"/>
            <w:noWrap w:val="0"/>
            <w:tcMar>
              <w:left w:w="57" w:type="dxa"/>
              <w:right w:w="57" w:type="dxa"/>
            </w:tcMar>
            <w:vAlign w:val="center"/>
          </w:tcPr>
          <w:p w14:paraId="5A94CFC5">
            <w:pPr>
              <w:pageBreakBefore w:val="0"/>
              <w:overflowPunct/>
              <w:bidi w:val="0"/>
              <w:spacing w:line="360" w:lineRule="auto"/>
              <w:jc w:val="center"/>
              <w:rPr>
                <w:rFonts w:hint="eastAsia" w:ascii="宋体" w:hAnsi="宋体" w:eastAsia="宋体" w:cs="宋体"/>
                <w:b/>
                <w:bCs/>
                <w:color w:val="000000"/>
                <w:sz w:val="24"/>
                <w:szCs w:val="24"/>
                <w:lang w:val="en-US" w:eastAsia="zh-CN"/>
              </w:rPr>
            </w:pPr>
            <w:r>
              <w:rPr>
                <w:rFonts w:hint="eastAsia" w:ascii="宋体" w:hAnsi="宋体"/>
                <w:color w:val="000000"/>
                <w:sz w:val="24"/>
                <w:szCs w:val="24"/>
              </w:rPr>
              <w:t>项目负责人</w:t>
            </w:r>
          </w:p>
        </w:tc>
        <w:tc>
          <w:tcPr>
            <w:tcW w:w="5701" w:type="dxa"/>
            <w:noWrap w:val="0"/>
            <w:vAlign w:val="center"/>
          </w:tcPr>
          <w:p w14:paraId="630603FF">
            <w:pPr>
              <w:pageBreakBefore w:val="0"/>
              <w:widowControl/>
              <w:overflowPunct/>
              <w:bidi w:val="0"/>
              <w:spacing w:line="360" w:lineRule="auto"/>
              <w:jc w:val="left"/>
              <w:rPr>
                <w:rFonts w:hint="eastAsia" w:ascii="宋体" w:hAnsi="宋体" w:eastAsia="宋体" w:cs="宋体"/>
                <w:b/>
                <w:bCs/>
                <w:sz w:val="24"/>
                <w:szCs w:val="24"/>
              </w:rPr>
            </w:pPr>
            <w:r>
              <w:rPr>
                <w:rFonts w:hint="eastAsia" w:ascii="宋体" w:hAnsi="宋体" w:eastAsia="宋体" w:cs="宋体"/>
                <w:color w:val="auto"/>
                <w:kern w:val="0"/>
                <w:sz w:val="24"/>
                <w:szCs w:val="24"/>
                <w:lang w:val="en-US" w:eastAsia="zh-CN"/>
              </w:rPr>
              <w:t>拟派项目负责人应具有国家一级注册消防工程师执业资格证书，须提供社会养老保险缴纳记录证明，若存在退休后返聘人员，须提供退休证明</w:t>
            </w:r>
          </w:p>
        </w:tc>
      </w:tr>
      <w:tr w14:paraId="3104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9" w:type="dxa"/>
            <w:vMerge w:val="continue"/>
            <w:noWrap w:val="0"/>
            <w:tcMar>
              <w:left w:w="57" w:type="dxa"/>
              <w:right w:w="57" w:type="dxa"/>
            </w:tcMar>
            <w:vAlign w:val="center"/>
          </w:tcPr>
          <w:p w14:paraId="3F2E79CB">
            <w:pPr>
              <w:pageBreakBefore w:val="0"/>
              <w:overflowPunct/>
              <w:bidi w:val="0"/>
              <w:spacing w:line="360" w:lineRule="auto"/>
              <w:jc w:val="center"/>
              <w:rPr>
                <w:rFonts w:hint="eastAsia" w:ascii="宋体" w:hAnsi="宋体" w:eastAsia="宋体" w:cs="宋体"/>
                <w:sz w:val="24"/>
                <w:szCs w:val="24"/>
              </w:rPr>
            </w:pPr>
          </w:p>
        </w:tc>
        <w:tc>
          <w:tcPr>
            <w:tcW w:w="1362" w:type="dxa"/>
            <w:vMerge w:val="continue"/>
            <w:noWrap w:val="0"/>
            <w:tcMar>
              <w:left w:w="57" w:type="dxa"/>
              <w:right w:w="57" w:type="dxa"/>
            </w:tcMar>
            <w:vAlign w:val="center"/>
          </w:tcPr>
          <w:p w14:paraId="4F8F6649">
            <w:pPr>
              <w:pageBreakBefore w:val="0"/>
              <w:overflowPunct/>
              <w:bidi w:val="0"/>
              <w:spacing w:line="360" w:lineRule="auto"/>
              <w:jc w:val="center"/>
              <w:rPr>
                <w:rFonts w:hint="eastAsia" w:ascii="宋体" w:hAnsi="宋体" w:eastAsia="宋体" w:cs="宋体"/>
                <w:sz w:val="24"/>
                <w:szCs w:val="24"/>
              </w:rPr>
            </w:pPr>
          </w:p>
        </w:tc>
        <w:tc>
          <w:tcPr>
            <w:tcW w:w="1914" w:type="dxa"/>
            <w:noWrap w:val="0"/>
            <w:tcMar>
              <w:left w:w="57" w:type="dxa"/>
              <w:right w:w="57" w:type="dxa"/>
            </w:tcMar>
            <w:vAlign w:val="center"/>
          </w:tcPr>
          <w:p w14:paraId="368CCAE1">
            <w:pPr>
              <w:pageBreakBefore w:val="0"/>
              <w:overflowPunct/>
              <w:bidi w:val="0"/>
              <w:spacing w:line="360" w:lineRule="auto"/>
              <w:jc w:val="center"/>
              <w:rPr>
                <w:rFonts w:hint="eastAsia" w:ascii="宋体" w:hAnsi="宋体" w:eastAsia="宋体" w:cs="宋体"/>
                <w:b/>
                <w:bCs/>
                <w:color w:val="000000"/>
                <w:sz w:val="24"/>
                <w:szCs w:val="24"/>
                <w:lang w:val="en-US" w:eastAsia="zh-CN"/>
              </w:rPr>
            </w:pPr>
            <w:r>
              <w:rPr>
                <w:rFonts w:hint="eastAsia" w:ascii="宋体" w:hAnsi="宋体"/>
                <w:color w:val="000000"/>
                <w:sz w:val="24"/>
                <w:szCs w:val="24"/>
              </w:rPr>
              <w:t>承诺书</w:t>
            </w:r>
          </w:p>
        </w:tc>
        <w:tc>
          <w:tcPr>
            <w:tcW w:w="5701" w:type="dxa"/>
            <w:noWrap w:val="0"/>
            <w:vAlign w:val="center"/>
          </w:tcPr>
          <w:p w14:paraId="3CB53301">
            <w:pPr>
              <w:pageBreakBefore w:val="0"/>
              <w:overflowPunct/>
              <w:bidi w:val="0"/>
              <w:spacing w:line="360" w:lineRule="auto"/>
              <w:rPr>
                <w:rFonts w:hint="eastAsia" w:ascii="宋体" w:hAnsi="宋体" w:eastAsia="宋体" w:cs="宋体"/>
                <w:b/>
                <w:bCs/>
                <w:sz w:val="24"/>
                <w:szCs w:val="24"/>
              </w:rPr>
            </w:pPr>
            <w:r>
              <w:rPr>
                <w:rFonts w:hint="eastAsia" w:ascii="宋体" w:hAnsi="宋体" w:eastAsia="宋体" w:cs="宋体"/>
                <w:kern w:val="0"/>
                <w:sz w:val="24"/>
                <w:szCs w:val="24"/>
              </w:rPr>
              <w:t>供应商出具无行贿记录</w:t>
            </w:r>
            <w:r>
              <w:rPr>
                <w:rFonts w:hint="eastAsia" w:ascii="宋体" w:hAnsi="宋体" w:cs="宋体"/>
                <w:kern w:val="0"/>
                <w:sz w:val="24"/>
                <w:szCs w:val="24"/>
                <w:lang w:eastAsia="zh-CN"/>
              </w:rPr>
              <w:t>，</w:t>
            </w:r>
            <w:r>
              <w:rPr>
                <w:rFonts w:hint="eastAsia" w:ascii="宋体" w:hAnsi="宋体" w:eastAsia="宋体" w:cs="宋体"/>
                <w:kern w:val="0"/>
                <w:sz w:val="24"/>
                <w:szCs w:val="24"/>
              </w:rPr>
              <w:t>在中国裁判文书网自行查询或自行承诺（查询</w:t>
            </w:r>
            <w:r>
              <w:rPr>
                <w:rFonts w:hint="eastAsia" w:ascii="宋体" w:hAnsi="宋体" w:cs="宋体"/>
                <w:kern w:val="0"/>
                <w:sz w:val="24"/>
                <w:szCs w:val="24"/>
                <w:lang w:val="en-US" w:eastAsia="zh-CN"/>
              </w:rPr>
              <w:t>/</w:t>
            </w:r>
            <w:r>
              <w:rPr>
                <w:rFonts w:hint="eastAsia" w:ascii="宋体" w:hAnsi="宋体" w:eastAsia="宋体" w:cs="宋体"/>
                <w:kern w:val="0"/>
                <w:sz w:val="24"/>
                <w:szCs w:val="24"/>
              </w:rPr>
              <w:t>承诺对象：企业、法定代表人）及企业自行承诺无商业贿赂和不正当竞争行为</w:t>
            </w:r>
          </w:p>
        </w:tc>
      </w:tr>
      <w:tr w14:paraId="3665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49" w:type="dxa"/>
            <w:vMerge w:val="continue"/>
            <w:noWrap w:val="0"/>
            <w:tcMar>
              <w:left w:w="57" w:type="dxa"/>
              <w:right w:w="57" w:type="dxa"/>
            </w:tcMar>
            <w:vAlign w:val="center"/>
          </w:tcPr>
          <w:p w14:paraId="2888E2BB">
            <w:pPr>
              <w:pageBreakBefore w:val="0"/>
              <w:overflowPunct/>
              <w:bidi w:val="0"/>
              <w:spacing w:line="360" w:lineRule="auto"/>
              <w:rPr>
                <w:rFonts w:hint="eastAsia" w:ascii="宋体" w:hAnsi="宋体" w:eastAsia="宋体" w:cs="宋体"/>
                <w:sz w:val="24"/>
                <w:szCs w:val="24"/>
              </w:rPr>
            </w:pPr>
          </w:p>
        </w:tc>
        <w:tc>
          <w:tcPr>
            <w:tcW w:w="1362" w:type="dxa"/>
            <w:vMerge w:val="continue"/>
            <w:noWrap w:val="0"/>
            <w:tcMar>
              <w:left w:w="57" w:type="dxa"/>
              <w:right w:w="57" w:type="dxa"/>
            </w:tcMar>
            <w:vAlign w:val="center"/>
          </w:tcPr>
          <w:p w14:paraId="0852898D">
            <w:pPr>
              <w:pageBreakBefore w:val="0"/>
              <w:overflowPunct/>
              <w:bidi w:val="0"/>
              <w:spacing w:line="360" w:lineRule="auto"/>
              <w:jc w:val="center"/>
              <w:rPr>
                <w:rFonts w:hint="eastAsia" w:ascii="宋体" w:hAnsi="宋体" w:eastAsia="宋体" w:cs="宋体"/>
                <w:sz w:val="24"/>
                <w:szCs w:val="24"/>
              </w:rPr>
            </w:pPr>
          </w:p>
        </w:tc>
        <w:tc>
          <w:tcPr>
            <w:tcW w:w="1914" w:type="dxa"/>
            <w:noWrap w:val="0"/>
            <w:tcMar>
              <w:left w:w="57" w:type="dxa"/>
              <w:right w:w="57" w:type="dxa"/>
            </w:tcMar>
            <w:vAlign w:val="center"/>
          </w:tcPr>
          <w:p w14:paraId="64637E45">
            <w:pPr>
              <w:pageBreakBefore w:val="0"/>
              <w:overflowPunct/>
              <w:bidi w:val="0"/>
              <w:spacing w:line="360" w:lineRule="auto"/>
              <w:jc w:val="center"/>
              <w:rPr>
                <w:rFonts w:hint="eastAsia" w:ascii="宋体" w:hAnsi="宋体" w:eastAsia="宋体" w:cs="宋体"/>
                <w:color w:val="000000"/>
                <w:sz w:val="24"/>
                <w:szCs w:val="24"/>
              </w:rPr>
            </w:pPr>
            <w:r>
              <w:rPr>
                <w:rFonts w:hint="eastAsia" w:ascii="宋体" w:hAnsi="宋体"/>
                <w:color w:val="000000"/>
                <w:sz w:val="24"/>
                <w:szCs w:val="24"/>
              </w:rPr>
              <w:t>信誉及信用查询</w:t>
            </w:r>
          </w:p>
        </w:tc>
        <w:tc>
          <w:tcPr>
            <w:tcW w:w="5701" w:type="dxa"/>
            <w:noWrap w:val="0"/>
            <w:vAlign w:val="center"/>
          </w:tcPr>
          <w:p w14:paraId="3B47D99D">
            <w:pPr>
              <w:pageBreakBefore w:val="0"/>
              <w:overflowPunct/>
              <w:bidi w:val="0"/>
              <w:spacing w:line="360" w:lineRule="auto"/>
              <w:jc w:val="left"/>
              <w:rPr>
                <w:rFonts w:hint="eastAsia" w:ascii="宋体" w:hAnsi="宋体" w:eastAsia="宋体" w:cs="宋体"/>
                <w:color w:val="000000"/>
                <w:sz w:val="24"/>
                <w:szCs w:val="24"/>
                <w:lang w:val="en-US" w:eastAsia="zh-CN"/>
              </w:rPr>
            </w:pPr>
            <w:r>
              <w:rPr>
                <w:rFonts w:hint="eastAsia" w:ascii="宋体" w:hAnsi="宋体" w:eastAsia="宋体" w:cs="宋体"/>
                <w:kern w:val="0"/>
                <w:sz w:val="24"/>
                <w:szCs w:val="24"/>
              </w:rPr>
              <w:t>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r>
              <w:rPr>
                <w:rFonts w:hint="eastAsia" w:ascii="宋体" w:hAnsi="宋体" w:eastAsia="宋体" w:cs="宋体"/>
                <w:kern w:val="0"/>
                <w:sz w:val="24"/>
                <w:szCs w:val="24"/>
                <w:lang w:eastAsia="zh-CN"/>
              </w:rPr>
              <w:t>；</w:t>
            </w:r>
          </w:p>
        </w:tc>
      </w:tr>
      <w:tr w14:paraId="69BE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49" w:type="dxa"/>
            <w:vMerge w:val="continue"/>
            <w:noWrap w:val="0"/>
            <w:tcMar>
              <w:left w:w="57" w:type="dxa"/>
              <w:right w:w="57" w:type="dxa"/>
            </w:tcMar>
            <w:vAlign w:val="center"/>
          </w:tcPr>
          <w:p w14:paraId="4420B3B2">
            <w:pPr>
              <w:pageBreakBefore w:val="0"/>
              <w:overflowPunct/>
              <w:bidi w:val="0"/>
              <w:spacing w:line="360" w:lineRule="auto"/>
              <w:rPr>
                <w:rFonts w:hint="eastAsia" w:ascii="宋体" w:hAnsi="宋体" w:eastAsia="宋体" w:cs="宋体"/>
                <w:sz w:val="24"/>
                <w:szCs w:val="24"/>
              </w:rPr>
            </w:pPr>
          </w:p>
        </w:tc>
        <w:tc>
          <w:tcPr>
            <w:tcW w:w="1362" w:type="dxa"/>
            <w:vMerge w:val="continue"/>
            <w:noWrap w:val="0"/>
            <w:tcMar>
              <w:left w:w="57" w:type="dxa"/>
              <w:right w:w="57" w:type="dxa"/>
            </w:tcMar>
            <w:vAlign w:val="center"/>
          </w:tcPr>
          <w:p w14:paraId="66D07443">
            <w:pPr>
              <w:pageBreakBefore w:val="0"/>
              <w:overflowPunct/>
              <w:bidi w:val="0"/>
              <w:spacing w:line="360" w:lineRule="auto"/>
              <w:jc w:val="center"/>
              <w:rPr>
                <w:rFonts w:hint="eastAsia" w:ascii="宋体" w:hAnsi="宋体" w:eastAsia="宋体" w:cs="宋体"/>
                <w:sz w:val="24"/>
                <w:szCs w:val="24"/>
              </w:rPr>
            </w:pPr>
          </w:p>
        </w:tc>
        <w:tc>
          <w:tcPr>
            <w:tcW w:w="1914" w:type="dxa"/>
            <w:noWrap w:val="0"/>
            <w:tcMar>
              <w:left w:w="57" w:type="dxa"/>
              <w:right w:w="57" w:type="dxa"/>
            </w:tcMar>
            <w:vAlign w:val="center"/>
          </w:tcPr>
          <w:p w14:paraId="337EE159">
            <w:pPr>
              <w:pageBreakBefore w:val="0"/>
              <w:overflowPunct/>
              <w:bidi w:val="0"/>
              <w:spacing w:line="360" w:lineRule="auto"/>
              <w:jc w:val="center"/>
              <w:rPr>
                <w:rFonts w:hint="eastAsia" w:ascii="宋体" w:hAnsi="宋体"/>
                <w:color w:val="000000"/>
                <w:sz w:val="24"/>
                <w:szCs w:val="24"/>
              </w:rPr>
            </w:pPr>
            <w:r>
              <w:rPr>
                <w:rFonts w:hint="eastAsia" w:ascii="宋体" w:hAnsi="宋体"/>
                <w:color w:val="000000"/>
                <w:sz w:val="24"/>
                <w:szCs w:val="24"/>
                <w:lang w:val="en-US" w:eastAsia="zh-CN"/>
              </w:rPr>
              <w:t>非</w:t>
            </w:r>
            <w:r>
              <w:rPr>
                <w:rFonts w:hint="eastAsia" w:ascii="宋体" w:hAnsi="宋体"/>
                <w:color w:val="000000"/>
                <w:sz w:val="24"/>
                <w:szCs w:val="24"/>
              </w:rPr>
              <w:t>联合体投标</w:t>
            </w:r>
          </w:p>
        </w:tc>
        <w:tc>
          <w:tcPr>
            <w:tcW w:w="5701" w:type="dxa"/>
            <w:noWrap w:val="0"/>
            <w:vAlign w:val="center"/>
          </w:tcPr>
          <w:p w14:paraId="6C83F48A">
            <w:pPr>
              <w:pageBreakBefore w:val="0"/>
              <w:overflowPunct/>
              <w:bidi w:val="0"/>
              <w:spacing w:line="360" w:lineRule="auto"/>
              <w:rPr>
                <w:rFonts w:hint="eastAsia" w:ascii="宋体" w:hAnsi="宋体"/>
                <w:color w:val="000000"/>
                <w:sz w:val="24"/>
                <w:szCs w:val="24"/>
                <w:lang w:val="en-US" w:eastAsia="zh-CN"/>
              </w:rPr>
            </w:pPr>
            <w:r>
              <w:rPr>
                <w:rFonts w:hint="eastAsia" w:ascii="宋体" w:hAnsi="宋体"/>
                <w:color w:val="000000"/>
                <w:sz w:val="24"/>
                <w:szCs w:val="24"/>
                <w:lang w:val="en-US" w:eastAsia="zh-CN"/>
              </w:rPr>
              <w:t>本项目不接受联合体投标（提供承诺函）</w:t>
            </w:r>
          </w:p>
        </w:tc>
      </w:tr>
      <w:tr w14:paraId="04A3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restart"/>
            <w:noWrap w:val="0"/>
            <w:tcMar>
              <w:left w:w="57" w:type="dxa"/>
              <w:right w:w="57" w:type="dxa"/>
            </w:tcMar>
            <w:vAlign w:val="center"/>
          </w:tcPr>
          <w:p w14:paraId="41391066">
            <w:pPr>
              <w:pageBreakBefore w:val="0"/>
              <w:overflowPunct/>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2.1.3</w:t>
            </w:r>
          </w:p>
        </w:tc>
        <w:tc>
          <w:tcPr>
            <w:tcW w:w="1362" w:type="dxa"/>
            <w:vMerge w:val="restart"/>
            <w:noWrap w:val="0"/>
            <w:tcMar>
              <w:left w:w="57" w:type="dxa"/>
              <w:right w:w="57" w:type="dxa"/>
            </w:tcMar>
            <w:vAlign w:val="center"/>
          </w:tcPr>
          <w:p w14:paraId="7CD584B4">
            <w:pPr>
              <w:pageBreakBefore w:val="0"/>
              <w:overflowPunct/>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实质</w:t>
            </w:r>
            <w:r>
              <w:rPr>
                <w:rFonts w:hint="eastAsia" w:ascii="宋体" w:hAnsi="宋体" w:eastAsia="宋体" w:cs="宋体"/>
                <w:sz w:val="24"/>
                <w:szCs w:val="24"/>
              </w:rPr>
              <w:t>性响应评审标准</w:t>
            </w:r>
          </w:p>
        </w:tc>
        <w:tc>
          <w:tcPr>
            <w:tcW w:w="1914" w:type="dxa"/>
            <w:noWrap w:val="0"/>
            <w:tcMar>
              <w:left w:w="57" w:type="dxa"/>
              <w:right w:w="57" w:type="dxa"/>
            </w:tcMar>
            <w:vAlign w:val="center"/>
          </w:tcPr>
          <w:p w14:paraId="3A3EE8C8">
            <w:pPr>
              <w:pageBreakBefore w:val="0"/>
              <w:overflowPunct/>
              <w:bidi w:val="0"/>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服务范围</w:t>
            </w:r>
          </w:p>
        </w:tc>
        <w:tc>
          <w:tcPr>
            <w:tcW w:w="5701" w:type="dxa"/>
            <w:noWrap w:val="0"/>
            <w:vAlign w:val="center"/>
          </w:tcPr>
          <w:p w14:paraId="66554CA3">
            <w:pPr>
              <w:pStyle w:val="15"/>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444444"/>
                <w:kern w:val="0"/>
                <w:sz w:val="24"/>
                <w:szCs w:val="24"/>
                <w:lang w:val="en-US" w:eastAsia="zh-CN" w:bidi="ar"/>
              </w:rPr>
              <w:t>按照国家相关规范对对三门峡市湖滨区20所学校校舍的建筑进行消防验收现场评定服务，按照相关技术标准规范要求进行消防现场评定工作，并出具评定报告。</w:t>
            </w:r>
          </w:p>
        </w:tc>
      </w:tr>
      <w:tr w14:paraId="5F71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dxa"/>
            <w:vMerge w:val="continue"/>
            <w:noWrap w:val="0"/>
            <w:tcMar>
              <w:left w:w="57" w:type="dxa"/>
              <w:right w:w="57" w:type="dxa"/>
            </w:tcMar>
            <w:vAlign w:val="center"/>
          </w:tcPr>
          <w:p w14:paraId="660C948C">
            <w:pPr>
              <w:pageBreakBefore w:val="0"/>
              <w:overflowPunct/>
              <w:bidi w:val="0"/>
              <w:spacing w:line="360" w:lineRule="auto"/>
              <w:jc w:val="center"/>
              <w:rPr>
                <w:rFonts w:hint="eastAsia" w:ascii="宋体" w:hAnsi="宋体" w:eastAsia="宋体" w:cs="宋体"/>
                <w:sz w:val="24"/>
                <w:szCs w:val="24"/>
              </w:rPr>
            </w:pPr>
          </w:p>
        </w:tc>
        <w:tc>
          <w:tcPr>
            <w:tcW w:w="1362" w:type="dxa"/>
            <w:vMerge w:val="continue"/>
            <w:noWrap w:val="0"/>
            <w:tcMar>
              <w:left w:w="57" w:type="dxa"/>
              <w:right w:w="57" w:type="dxa"/>
            </w:tcMar>
            <w:vAlign w:val="center"/>
          </w:tcPr>
          <w:p w14:paraId="7A627D16">
            <w:pPr>
              <w:pageBreakBefore w:val="0"/>
              <w:overflowPunct/>
              <w:bidi w:val="0"/>
              <w:spacing w:line="360" w:lineRule="auto"/>
              <w:jc w:val="center"/>
              <w:rPr>
                <w:rFonts w:hint="eastAsia" w:ascii="宋体" w:hAnsi="宋体" w:eastAsia="宋体" w:cs="宋体"/>
                <w:sz w:val="24"/>
                <w:szCs w:val="24"/>
              </w:rPr>
            </w:pPr>
          </w:p>
        </w:tc>
        <w:tc>
          <w:tcPr>
            <w:tcW w:w="1914" w:type="dxa"/>
            <w:noWrap w:val="0"/>
            <w:tcMar>
              <w:left w:w="57" w:type="dxa"/>
              <w:right w:w="57" w:type="dxa"/>
            </w:tcMar>
            <w:vAlign w:val="center"/>
          </w:tcPr>
          <w:p w14:paraId="5238A485">
            <w:pPr>
              <w:pageBreakBefore w:val="0"/>
              <w:overflowPunct/>
              <w:bidi w:val="0"/>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服务</w:t>
            </w:r>
            <w:r>
              <w:rPr>
                <w:rFonts w:hint="eastAsia" w:ascii="宋体" w:hAnsi="宋体" w:cs="宋体"/>
                <w:color w:val="000000"/>
                <w:sz w:val="24"/>
                <w:szCs w:val="24"/>
                <w:lang w:val="en-US" w:eastAsia="zh-CN"/>
              </w:rPr>
              <w:t>周期</w:t>
            </w:r>
          </w:p>
        </w:tc>
        <w:tc>
          <w:tcPr>
            <w:tcW w:w="5701" w:type="dxa"/>
            <w:noWrap w:val="0"/>
            <w:vAlign w:val="center"/>
          </w:tcPr>
          <w:p w14:paraId="45C7B2AD">
            <w:pPr>
              <w:pStyle w:val="27"/>
              <w:keepNext w:val="0"/>
              <w:keepLines w:val="0"/>
              <w:pageBreakBefore w:val="0"/>
              <w:widowControl/>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合同签订后2个月内完成并提交报告</w:t>
            </w:r>
          </w:p>
        </w:tc>
      </w:tr>
      <w:tr w14:paraId="576D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49" w:type="dxa"/>
            <w:vMerge w:val="continue"/>
            <w:noWrap w:val="0"/>
            <w:tcMar>
              <w:left w:w="57" w:type="dxa"/>
              <w:right w:w="57" w:type="dxa"/>
            </w:tcMar>
            <w:vAlign w:val="center"/>
          </w:tcPr>
          <w:p w14:paraId="1C5DD685">
            <w:pPr>
              <w:pageBreakBefore w:val="0"/>
              <w:overflowPunct/>
              <w:bidi w:val="0"/>
              <w:spacing w:line="360" w:lineRule="auto"/>
              <w:jc w:val="center"/>
              <w:rPr>
                <w:rFonts w:hint="eastAsia" w:ascii="宋体" w:hAnsi="宋体" w:eastAsia="宋体" w:cs="宋体"/>
                <w:sz w:val="24"/>
                <w:szCs w:val="24"/>
              </w:rPr>
            </w:pPr>
          </w:p>
        </w:tc>
        <w:tc>
          <w:tcPr>
            <w:tcW w:w="1362" w:type="dxa"/>
            <w:vMerge w:val="continue"/>
            <w:noWrap w:val="0"/>
            <w:tcMar>
              <w:left w:w="57" w:type="dxa"/>
              <w:right w:w="57" w:type="dxa"/>
            </w:tcMar>
            <w:vAlign w:val="center"/>
          </w:tcPr>
          <w:p w14:paraId="5BD31842">
            <w:pPr>
              <w:pageBreakBefore w:val="0"/>
              <w:overflowPunct/>
              <w:bidi w:val="0"/>
              <w:spacing w:line="360" w:lineRule="auto"/>
              <w:jc w:val="center"/>
              <w:rPr>
                <w:rFonts w:hint="eastAsia" w:ascii="宋体" w:hAnsi="宋体" w:eastAsia="宋体" w:cs="宋体"/>
                <w:sz w:val="24"/>
                <w:szCs w:val="24"/>
              </w:rPr>
            </w:pPr>
          </w:p>
        </w:tc>
        <w:tc>
          <w:tcPr>
            <w:tcW w:w="1914" w:type="dxa"/>
            <w:noWrap w:val="0"/>
            <w:tcMar>
              <w:left w:w="57" w:type="dxa"/>
              <w:right w:w="57" w:type="dxa"/>
            </w:tcMar>
            <w:vAlign w:val="center"/>
          </w:tcPr>
          <w:p w14:paraId="63D3B086">
            <w:pPr>
              <w:pageBreakBefore w:val="0"/>
              <w:overflowPunct/>
              <w:bidi w:val="0"/>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质量要求</w:t>
            </w:r>
          </w:p>
        </w:tc>
        <w:tc>
          <w:tcPr>
            <w:tcW w:w="5701" w:type="dxa"/>
            <w:noWrap w:val="0"/>
            <w:vAlign w:val="center"/>
          </w:tcPr>
          <w:p w14:paraId="5F8C770A">
            <w:pPr>
              <w:pStyle w:val="17"/>
              <w:pageBreakBefore w:val="0"/>
              <w:overflowPunct/>
              <w:bidi w:val="0"/>
              <w:spacing w:beforeAutospacing="0" w:afterAutospacing="0" w:line="360" w:lineRule="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合格，符合国家相关法律、法规及规范要求，满足采购人要求；</w:t>
            </w:r>
          </w:p>
        </w:tc>
      </w:tr>
      <w:tr w14:paraId="04CF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849" w:type="dxa"/>
            <w:vMerge w:val="continue"/>
            <w:noWrap w:val="0"/>
            <w:tcMar>
              <w:left w:w="57" w:type="dxa"/>
              <w:right w:w="57" w:type="dxa"/>
            </w:tcMar>
            <w:vAlign w:val="center"/>
          </w:tcPr>
          <w:p w14:paraId="7CF0BB40">
            <w:pPr>
              <w:pageBreakBefore w:val="0"/>
              <w:overflowPunct/>
              <w:bidi w:val="0"/>
              <w:spacing w:line="360" w:lineRule="auto"/>
              <w:jc w:val="center"/>
              <w:rPr>
                <w:rFonts w:hint="eastAsia" w:ascii="宋体" w:hAnsi="宋体" w:eastAsia="宋体" w:cs="宋体"/>
                <w:sz w:val="24"/>
                <w:szCs w:val="24"/>
              </w:rPr>
            </w:pPr>
          </w:p>
        </w:tc>
        <w:tc>
          <w:tcPr>
            <w:tcW w:w="1362" w:type="dxa"/>
            <w:vMerge w:val="continue"/>
            <w:noWrap w:val="0"/>
            <w:tcMar>
              <w:left w:w="57" w:type="dxa"/>
              <w:right w:w="57" w:type="dxa"/>
            </w:tcMar>
            <w:vAlign w:val="center"/>
          </w:tcPr>
          <w:p w14:paraId="4BCC61BB">
            <w:pPr>
              <w:pageBreakBefore w:val="0"/>
              <w:overflowPunct/>
              <w:bidi w:val="0"/>
              <w:spacing w:line="360" w:lineRule="auto"/>
              <w:jc w:val="center"/>
              <w:rPr>
                <w:rFonts w:hint="eastAsia" w:ascii="宋体" w:hAnsi="宋体" w:eastAsia="宋体" w:cs="宋体"/>
                <w:sz w:val="24"/>
                <w:szCs w:val="24"/>
              </w:rPr>
            </w:pPr>
          </w:p>
        </w:tc>
        <w:tc>
          <w:tcPr>
            <w:tcW w:w="1914" w:type="dxa"/>
            <w:noWrap w:val="0"/>
            <w:tcMar>
              <w:left w:w="57" w:type="dxa"/>
              <w:right w:w="57" w:type="dxa"/>
            </w:tcMar>
            <w:vAlign w:val="center"/>
          </w:tcPr>
          <w:p w14:paraId="4E787CCF">
            <w:pPr>
              <w:pageBreakBefore w:val="0"/>
              <w:overflowPunct/>
              <w:bidi w:val="0"/>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响应</w:t>
            </w:r>
            <w:r>
              <w:rPr>
                <w:rFonts w:hint="eastAsia" w:ascii="宋体" w:hAnsi="宋体" w:eastAsia="宋体" w:cs="宋体"/>
                <w:kern w:val="2"/>
                <w:sz w:val="24"/>
                <w:szCs w:val="24"/>
                <w:highlight w:val="none"/>
                <w:lang w:val="en-US" w:eastAsia="zh-CN" w:bidi="ar-SA"/>
              </w:rPr>
              <w:t>价格</w:t>
            </w:r>
          </w:p>
        </w:tc>
        <w:tc>
          <w:tcPr>
            <w:tcW w:w="5701" w:type="dxa"/>
            <w:noWrap w:val="0"/>
            <w:vAlign w:val="center"/>
          </w:tcPr>
          <w:p w14:paraId="049CD591">
            <w:pPr>
              <w:pageBreakBefore w:val="0"/>
              <w:overflowPunct/>
              <w:bidi w:val="0"/>
              <w:spacing w:line="360" w:lineRule="auto"/>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响应</w:t>
            </w:r>
            <w:r>
              <w:rPr>
                <w:rFonts w:hint="eastAsia" w:ascii="宋体" w:hAnsi="宋体" w:eastAsia="宋体" w:cs="宋体"/>
                <w:kern w:val="2"/>
                <w:sz w:val="24"/>
                <w:szCs w:val="24"/>
                <w:highlight w:val="none"/>
                <w:lang w:val="en-US" w:eastAsia="zh-CN" w:bidi="ar-SA"/>
              </w:rPr>
              <w:t>报价都不得高于采购人公布的</w:t>
            </w:r>
            <w:r>
              <w:rPr>
                <w:rFonts w:hint="eastAsia" w:ascii="宋体" w:hAnsi="宋体" w:cs="宋体"/>
                <w:kern w:val="2"/>
                <w:sz w:val="24"/>
                <w:szCs w:val="24"/>
                <w:highlight w:val="none"/>
                <w:lang w:val="en-US" w:eastAsia="zh-CN" w:bidi="ar-SA"/>
              </w:rPr>
              <w:t>最高限价</w:t>
            </w:r>
            <w:r>
              <w:rPr>
                <w:rFonts w:hint="eastAsia" w:ascii="宋体" w:hAnsi="宋体" w:eastAsia="宋体" w:cs="宋体"/>
                <w:kern w:val="2"/>
                <w:sz w:val="24"/>
                <w:szCs w:val="24"/>
                <w:highlight w:val="none"/>
                <w:lang w:val="en-US" w:eastAsia="zh-CN" w:bidi="ar-SA"/>
              </w:rPr>
              <w:t>（</w:t>
            </w:r>
            <w:r>
              <w:rPr>
                <w:rFonts w:hint="eastAsia" w:ascii="宋体" w:hAnsi="宋体" w:cs="宋体"/>
                <w:kern w:val="2"/>
                <w:sz w:val="24"/>
                <w:szCs w:val="24"/>
                <w:highlight w:val="none"/>
                <w:lang w:val="en-US" w:eastAsia="zh-CN" w:bidi="ar-SA"/>
              </w:rPr>
              <w:t>采购</w:t>
            </w:r>
            <w:r>
              <w:rPr>
                <w:rFonts w:hint="eastAsia" w:ascii="宋体" w:hAnsi="宋体" w:eastAsia="宋体" w:cs="宋体"/>
                <w:kern w:val="2"/>
                <w:sz w:val="24"/>
                <w:szCs w:val="24"/>
                <w:highlight w:val="none"/>
                <w:lang w:val="en-US" w:eastAsia="zh-CN" w:bidi="ar-SA"/>
              </w:rPr>
              <w:t>控制价），否则其投标将被否决。</w:t>
            </w:r>
          </w:p>
        </w:tc>
      </w:tr>
      <w:tr w14:paraId="03B4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2211" w:type="dxa"/>
            <w:gridSpan w:val="2"/>
            <w:noWrap w:val="0"/>
            <w:tcMar>
              <w:left w:w="57" w:type="dxa"/>
              <w:right w:w="57" w:type="dxa"/>
            </w:tcMar>
            <w:vAlign w:val="center"/>
          </w:tcPr>
          <w:p w14:paraId="0CD98978">
            <w:pPr>
              <w:pageBreakBefore w:val="0"/>
              <w:tabs>
                <w:tab w:val="right" w:pos="2948"/>
              </w:tabs>
              <w:overflowPunct/>
              <w:bidi w:val="0"/>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条款号</w:t>
            </w:r>
          </w:p>
        </w:tc>
        <w:tc>
          <w:tcPr>
            <w:tcW w:w="1914" w:type="dxa"/>
            <w:noWrap w:val="0"/>
            <w:tcMar>
              <w:left w:w="57" w:type="dxa"/>
              <w:right w:w="57" w:type="dxa"/>
            </w:tcMar>
            <w:vAlign w:val="center"/>
          </w:tcPr>
          <w:p w14:paraId="14A49DC7">
            <w:pPr>
              <w:pageBreakBefore w:val="0"/>
              <w:overflowPunct/>
              <w:bidi w:val="0"/>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条款内容</w:t>
            </w:r>
          </w:p>
        </w:tc>
        <w:tc>
          <w:tcPr>
            <w:tcW w:w="5701" w:type="dxa"/>
            <w:noWrap w:val="0"/>
            <w:tcMar>
              <w:left w:w="57" w:type="dxa"/>
              <w:right w:w="57" w:type="dxa"/>
            </w:tcMar>
            <w:vAlign w:val="center"/>
          </w:tcPr>
          <w:p w14:paraId="7BCF969D">
            <w:pPr>
              <w:pageBreakBefore w:val="0"/>
              <w:overflowPunct/>
              <w:bidi w:val="0"/>
              <w:spacing w:line="360" w:lineRule="auto"/>
              <w:rPr>
                <w:rFonts w:hint="eastAsia" w:ascii="宋体" w:hAnsi="宋体" w:eastAsia="宋体" w:cs="宋体"/>
                <w:b/>
                <w:bCs/>
                <w:kern w:val="0"/>
                <w:sz w:val="24"/>
                <w:szCs w:val="24"/>
              </w:rPr>
            </w:pPr>
            <w:r>
              <w:rPr>
                <w:rFonts w:hint="eastAsia" w:ascii="宋体" w:hAnsi="宋体" w:eastAsia="宋体" w:cs="宋体"/>
                <w:b/>
                <w:bCs/>
                <w:kern w:val="0"/>
                <w:sz w:val="24"/>
                <w:szCs w:val="24"/>
              </w:rPr>
              <w:t>编列内容</w:t>
            </w:r>
          </w:p>
        </w:tc>
      </w:tr>
      <w:tr w14:paraId="5E2B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2211" w:type="dxa"/>
            <w:gridSpan w:val="2"/>
            <w:noWrap w:val="0"/>
            <w:tcMar>
              <w:left w:w="57" w:type="dxa"/>
              <w:right w:w="57" w:type="dxa"/>
            </w:tcMar>
            <w:vAlign w:val="center"/>
          </w:tcPr>
          <w:p w14:paraId="0DFCB6B1">
            <w:pPr>
              <w:keepNext w:val="0"/>
              <w:keepLines w:val="0"/>
              <w:pageBreakBefore w:val="0"/>
              <w:kinsoku/>
              <w:wordWrap/>
              <w:overflowPunct/>
              <w:topLinePunct w:val="0"/>
              <w:autoSpaceDE/>
              <w:autoSpaceDN/>
              <w:bidi w:val="0"/>
              <w:spacing w:beforeAutospacing="0" w:line="360" w:lineRule="auto"/>
              <w:ind w:firstLine="480" w:firstLineChars="200"/>
              <w:jc w:val="center"/>
              <w:textAlignment w:val="auto"/>
              <w:rPr>
                <w:rFonts w:hint="eastAsia" w:ascii="宋体" w:hAnsi="宋体" w:eastAsia="宋体" w:cs="宋体"/>
                <w:sz w:val="24"/>
                <w:szCs w:val="24"/>
              </w:rPr>
            </w:pPr>
            <w:r>
              <w:rPr>
                <w:rFonts w:hint="eastAsia" w:ascii="宋体" w:hAnsi="宋体" w:eastAsia="宋体" w:cs="宋体"/>
                <w:sz w:val="24"/>
                <w:szCs w:val="24"/>
              </w:rPr>
              <w:t>2.2.1</w:t>
            </w:r>
          </w:p>
        </w:tc>
        <w:tc>
          <w:tcPr>
            <w:tcW w:w="1914" w:type="dxa"/>
            <w:noWrap w:val="0"/>
            <w:tcMar>
              <w:left w:w="57" w:type="dxa"/>
              <w:right w:w="57" w:type="dxa"/>
            </w:tcMar>
            <w:vAlign w:val="center"/>
          </w:tcPr>
          <w:p w14:paraId="3DC5A8CF">
            <w:pPr>
              <w:keepNext w:val="0"/>
              <w:keepLines w:val="0"/>
              <w:pageBreakBefore w:val="0"/>
              <w:kinsoku/>
              <w:wordWrap/>
              <w:overflowPunct/>
              <w:topLinePunct w:val="0"/>
              <w:autoSpaceDE/>
              <w:autoSpaceDN/>
              <w:bidi w:val="0"/>
              <w:spacing w:beforeAutospacing="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分值构成</w:t>
            </w:r>
          </w:p>
          <w:p w14:paraId="3B6AD3CC">
            <w:pPr>
              <w:keepNext w:val="0"/>
              <w:keepLines w:val="0"/>
              <w:pageBreakBefore w:val="0"/>
              <w:kinsoku/>
              <w:wordWrap/>
              <w:overflowPunct/>
              <w:topLinePunct w:val="0"/>
              <w:autoSpaceDE/>
              <w:autoSpaceDN/>
              <w:bidi w:val="0"/>
              <w:spacing w:beforeAutospacing="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（总分100分）</w:t>
            </w:r>
          </w:p>
        </w:tc>
        <w:tc>
          <w:tcPr>
            <w:tcW w:w="5701" w:type="dxa"/>
            <w:noWrap w:val="0"/>
            <w:tcMar>
              <w:left w:w="57" w:type="dxa"/>
              <w:right w:w="57" w:type="dxa"/>
            </w:tcMar>
            <w:vAlign w:val="center"/>
          </w:tcPr>
          <w:p w14:paraId="52211784">
            <w:pPr>
              <w:keepNext w:val="0"/>
              <w:keepLines w:val="0"/>
              <w:pageBreakBefore w:val="0"/>
              <w:widowControl/>
              <w:kinsoku/>
              <w:wordWrap/>
              <w:overflowPunct/>
              <w:topLinePunct w:val="0"/>
              <w:autoSpaceDE/>
              <w:autoSpaceDN/>
              <w:bidi w:val="0"/>
              <w:spacing w:beforeAutospacing="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kern w:val="0"/>
                <w:sz w:val="24"/>
                <w:szCs w:val="24"/>
              </w:rPr>
              <w:t>磋商</w:t>
            </w:r>
            <w:r>
              <w:rPr>
                <w:rFonts w:hint="eastAsia" w:ascii="宋体" w:hAnsi="宋体" w:eastAsia="宋体" w:cs="宋体"/>
                <w:sz w:val="24"/>
                <w:szCs w:val="24"/>
              </w:rPr>
              <w:t>报价：</w:t>
            </w:r>
            <w:r>
              <w:rPr>
                <w:rFonts w:hint="eastAsia" w:ascii="宋体" w:hAnsi="宋体" w:eastAsia="宋体" w:cs="宋体"/>
                <w:sz w:val="24"/>
                <w:szCs w:val="24"/>
                <w:lang w:val="en-US" w:eastAsia="zh-CN"/>
              </w:rPr>
              <w:t>20</w:t>
            </w:r>
            <w:r>
              <w:rPr>
                <w:rFonts w:hint="eastAsia" w:ascii="宋体" w:hAnsi="宋体" w:eastAsia="宋体" w:cs="宋体"/>
                <w:sz w:val="24"/>
                <w:szCs w:val="24"/>
              </w:rPr>
              <w:t>分</w:t>
            </w:r>
          </w:p>
          <w:p w14:paraId="3E055807">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技术标：</w:t>
            </w:r>
            <w:r>
              <w:rPr>
                <w:rFonts w:hint="eastAsia" w:ascii="宋体" w:hAnsi="宋体" w:cs="宋体"/>
                <w:sz w:val="24"/>
                <w:szCs w:val="24"/>
                <w:lang w:val="en-US" w:eastAsia="zh-CN"/>
              </w:rPr>
              <w:t>55</w:t>
            </w:r>
            <w:r>
              <w:rPr>
                <w:rFonts w:hint="eastAsia" w:ascii="宋体" w:hAnsi="宋体" w:eastAsia="宋体" w:cs="宋体"/>
                <w:sz w:val="24"/>
                <w:szCs w:val="24"/>
              </w:rPr>
              <w:t>分</w:t>
            </w:r>
          </w:p>
          <w:p w14:paraId="61B0A5BD">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商务</w:t>
            </w:r>
            <w:r>
              <w:rPr>
                <w:rFonts w:hint="eastAsia" w:ascii="宋体" w:hAnsi="宋体" w:eastAsia="宋体" w:cs="宋体"/>
                <w:sz w:val="24"/>
                <w:szCs w:val="24"/>
              </w:rPr>
              <w:t>标：</w:t>
            </w:r>
            <w:r>
              <w:rPr>
                <w:rFonts w:hint="eastAsia" w:ascii="宋体" w:hAnsi="宋体" w:cs="宋体"/>
                <w:sz w:val="24"/>
                <w:szCs w:val="24"/>
                <w:lang w:val="en-US" w:eastAsia="zh-CN"/>
              </w:rPr>
              <w:t>25</w:t>
            </w:r>
            <w:r>
              <w:rPr>
                <w:rFonts w:hint="eastAsia" w:ascii="宋体" w:hAnsi="宋体" w:eastAsia="宋体" w:cs="宋体"/>
                <w:sz w:val="24"/>
                <w:szCs w:val="24"/>
              </w:rPr>
              <w:t>分</w:t>
            </w:r>
          </w:p>
        </w:tc>
      </w:tr>
      <w:tr w14:paraId="5A90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211" w:type="dxa"/>
            <w:gridSpan w:val="2"/>
            <w:noWrap w:val="0"/>
            <w:tcMar>
              <w:left w:w="57" w:type="dxa"/>
              <w:right w:w="57" w:type="dxa"/>
            </w:tcMar>
            <w:vAlign w:val="center"/>
          </w:tcPr>
          <w:p w14:paraId="4E8255C8">
            <w:pPr>
              <w:pageBreakBefore w:val="0"/>
              <w:tabs>
                <w:tab w:val="right" w:pos="2948"/>
              </w:tabs>
              <w:overflowPunct/>
              <w:bidi w:val="0"/>
              <w:spacing w:line="360" w:lineRule="auto"/>
              <w:jc w:val="center"/>
              <w:rPr>
                <w:rFonts w:hint="eastAsia" w:ascii="宋体" w:hAnsi="宋体" w:eastAsia="宋体" w:cs="宋体"/>
                <w:kern w:val="0"/>
                <w:sz w:val="24"/>
                <w:szCs w:val="24"/>
              </w:rPr>
            </w:pPr>
            <w:r>
              <w:rPr>
                <w:rFonts w:hint="eastAsia" w:ascii="宋体" w:hAnsi="宋体" w:eastAsia="宋体" w:cs="宋体"/>
                <w:b/>
                <w:bCs/>
                <w:kern w:val="0"/>
                <w:sz w:val="24"/>
                <w:szCs w:val="24"/>
              </w:rPr>
              <w:t>条款号</w:t>
            </w:r>
          </w:p>
        </w:tc>
        <w:tc>
          <w:tcPr>
            <w:tcW w:w="1914" w:type="dxa"/>
            <w:noWrap w:val="0"/>
            <w:tcMar>
              <w:left w:w="57" w:type="dxa"/>
              <w:right w:w="57" w:type="dxa"/>
            </w:tcMar>
            <w:vAlign w:val="center"/>
          </w:tcPr>
          <w:p w14:paraId="7FEE84E9">
            <w:pPr>
              <w:pageBreakBefore w:val="0"/>
              <w:overflowPunct/>
              <w:bidi w:val="0"/>
              <w:spacing w:line="360" w:lineRule="auto"/>
              <w:jc w:val="center"/>
              <w:rPr>
                <w:rFonts w:hint="eastAsia" w:ascii="宋体" w:hAnsi="宋体" w:eastAsia="宋体" w:cs="宋体"/>
                <w:kern w:val="0"/>
                <w:sz w:val="24"/>
                <w:szCs w:val="24"/>
              </w:rPr>
            </w:pPr>
            <w:r>
              <w:rPr>
                <w:rFonts w:hint="eastAsia" w:ascii="宋体" w:hAnsi="宋体" w:eastAsia="宋体" w:cs="宋体"/>
                <w:b/>
                <w:kern w:val="0"/>
                <w:sz w:val="24"/>
                <w:szCs w:val="24"/>
              </w:rPr>
              <w:t>评分因素</w:t>
            </w:r>
          </w:p>
        </w:tc>
        <w:tc>
          <w:tcPr>
            <w:tcW w:w="5701" w:type="dxa"/>
            <w:noWrap w:val="0"/>
            <w:tcMar>
              <w:left w:w="57" w:type="dxa"/>
              <w:right w:w="57" w:type="dxa"/>
            </w:tcMar>
            <w:vAlign w:val="center"/>
          </w:tcPr>
          <w:p w14:paraId="07F65A72">
            <w:pPr>
              <w:pageBreakBefore w:val="0"/>
              <w:overflowPunct/>
              <w:bidi w:val="0"/>
              <w:spacing w:line="360" w:lineRule="auto"/>
              <w:rPr>
                <w:rFonts w:hint="eastAsia" w:ascii="宋体" w:hAnsi="宋体" w:eastAsia="宋体" w:cs="宋体"/>
                <w:kern w:val="0"/>
                <w:sz w:val="24"/>
                <w:szCs w:val="24"/>
              </w:rPr>
            </w:pPr>
            <w:r>
              <w:rPr>
                <w:rFonts w:hint="eastAsia" w:ascii="宋体" w:hAnsi="宋体" w:eastAsia="宋体" w:cs="宋体"/>
                <w:b/>
                <w:bCs/>
                <w:kern w:val="0"/>
                <w:sz w:val="24"/>
                <w:szCs w:val="24"/>
              </w:rPr>
              <w:t>评分标准</w:t>
            </w:r>
          </w:p>
        </w:tc>
      </w:tr>
      <w:tr w14:paraId="42ED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49" w:type="dxa"/>
            <w:noWrap w:val="0"/>
            <w:tcMar>
              <w:left w:w="57" w:type="dxa"/>
              <w:right w:w="57" w:type="dxa"/>
            </w:tcMar>
            <w:vAlign w:val="center"/>
          </w:tcPr>
          <w:p w14:paraId="73275CBD">
            <w:pPr>
              <w:pageBreakBefore w:val="0"/>
              <w:overflowPunct/>
              <w:bidi w:val="0"/>
              <w:spacing w:line="360" w:lineRule="auto"/>
              <w:jc w:val="center"/>
              <w:textAlignment w:val="center"/>
              <w:rPr>
                <w:rFonts w:hint="eastAsia" w:ascii="宋体" w:hAnsi="宋体" w:eastAsia="宋体" w:cs="宋体"/>
                <w:kern w:val="0"/>
                <w:sz w:val="24"/>
                <w:szCs w:val="24"/>
              </w:rPr>
            </w:pPr>
            <w:r>
              <w:rPr>
                <w:rFonts w:hint="eastAsia" w:ascii="宋体" w:hAnsi="宋体" w:eastAsia="宋体" w:cs="宋体"/>
                <w:sz w:val="24"/>
                <w:szCs w:val="24"/>
              </w:rPr>
              <w:t>2.2.2（</w:t>
            </w:r>
            <w:r>
              <w:rPr>
                <w:rFonts w:hint="eastAsia" w:ascii="宋体" w:hAnsi="宋体" w:eastAsia="宋体" w:cs="宋体"/>
                <w:sz w:val="24"/>
                <w:szCs w:val="24"/>
                <w:lang w:val="en-US" w:eastAsia="zh-CN"/>
              </w:rPr>
              <w:t>1</w:t>
            </w:r>
            <w:r>
              <w:rPr>
                <w:rFonts w:hint="eastAsia" w:ascii="宋体" w:hAnsi="宋体" w:eastAsia="宋体" w:cs="宋体"/>
                <w:sz w:val="24"/>
                <w:szCs w:val="24"/>
              </w:rPr>
              <w:t>）</w:t>
            </w:r>
          </w:p>
        </w:tc>
        <w:tc>
          <w:tcPr>
            <w:tcW w:w="1362" w:type="dxa"/>
            <w:noWrap w:val="0"/>
            <w:tcMar>
              <w:left w:w="57" w:type="dxa"/>
              <w:right w:w="57" w:type="dxa"/>
            </w:tcMar>
            <w:vAlign w:val="center"/>
          </w:tcPr>
          <w:p w14:paraId="6C82E2CA">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磋商</w:t>
            </w:r>
          </w:p>
          <w:p w14:paraId="410D8A7C">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报价</w:t>
            </w:r>
          </w:p>
          <w:p w14:paraId="55F26D24">
            <w:pPr>
              <w:pageBreakBefore w:val="0"/>
              <w:overflowPunct/>
              <w:bidi w:val="0"/>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rPr>
              <w:t>（20分）</w:t>
            </w:r>
          </w:p>
        </w:tc>
        <w:tc>
          <w:tcPr>
            <w:tcW w:w="1914" w:type="dxa"/>
            <w:noWrap w:val="0"/>
            <w:tcMar>
              <w:left w:w="57" w:type="dxa"/>
              <w:right w:w="57" w:type="dxa"/>
            </w:tcMar>
            <w:vAlign w:val="center"/>
          </w:tcPr>
          <w:p w14:paraId="7807F81B">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磋商</w:t>
            </w:r>
          </w:p>
          <w:p w14:paraId="1B58141F">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报价</w:t>
            </w:r>
          </w:p>
          <w:p w14:paraId="54B5C455">
            <w:pPr>
              <w:pStyle w:val="24"/>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kern w:val="0"/>
                <w:sz w:val="24"/>
                <w:szCs w:val="24"/>
              </w:rPr>
              <w:t>（20分）</w:t>
            </w:r>
          </w:p>
        </w:tc>
        <w:tc>
          <w:tcPr>
            <w:tcW w:w="5701" w:type="dxa"/>
            <w:noWrap w:val="0"/>
            <w:tcMar>
              <w:left w:w="57" w:type="dxa"/>
              <w:right w:w="57" w:type="dxa"/>
            </w:tcMar>
            <w:vAlign w:val="center"/>
          </w:tcPr>
          <w:p w14:paraId="20650C27">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1、超出采购人最高限价的</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报价为无效报价、按废标处理。</w:t>
            </w:r>
          </w:p>
          <w:p w14:paraId="28F02B8A">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2、所有未进入详细评审的</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为无效</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，其报价不作为评分依据。</w:t>
            </w:r>
          </w:p>
          <w:p w14:paraId="04CC2945">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3、价格分统一采用低价优先法计算，既满足</w:t>
            </w:r>
            <w:r>
              <w:rPr>
                <w:rFonts w:hint="eastAsia" w:ascii="宋体" w:hAnsi="宋体" w:cs="宋体"/>
                <w:sz w:val="24"/>
                <w:szCs w:val="24"/>
                <w:lang w:val="en-US" w:eastAsia="zh-CN"/>
              </w:rPr>
              <w:t>采购</w:t>
            </w:r>
            <w:r>
              <w:rPr>
                <w:rFonts w:hint="eastAsia" w:ascii="宋体" w:hAnsi="宋体" w:eastAsia="宋体" w:cs="宋体"/>
                <w:sz w:val="24"/>
                <w:szCs w:val="24"/>
                <w:lang w:val="en-US" w:eastAsia="zh-CN"/>
              </w:rPr>
              <w:t>文件要求且</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价格最低的</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报价为评标基准价，其价格分为满分。其他供应商的价格分统一按照下列公式计算：</w:t>
            </w:r>
          </w:p>
          <w:p w14:paraId="7443F2EE">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项目磋商报价超出最高限价的，采购人不予接受，且磋商为无效标。磋商报价得分：价格分采用低价优先法计算，即满足竞争性磋商文件要求且磋商价格最低的磋商报价为评标基准价，得20分，其他磋商供应商的价格分按照下列公式计算：</w:t>
            </w:r>
          </w:p>
          <w:p w14:paraId="0D64A2D5">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报价得分=（评标基准价/磋商报价）×20×100%</w:t>
            </w:r>
          </w:p>
          <w:p w14:paraId="3F153578">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注：1.本项目对小微企业、监狱企业、残疾人福利性企业作为供应商所提供的本企业生产的产品的价格给予20%的扣除，同一供应商中小微企业产品、监狱企业产品、残疾人福利性单位产品的价格扣除优惠只享受一次，不得重复享受。</w:t>
            </w:r>
          </w:p>
          <w:p w14:paraId="2F939BFD">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sz w:val="24"/>
                <w:szCs w:val="24"/>
              </w:rPr>
              <w:t>2.如</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sz w:val="24"/>
                <w:szCs w:val="24"/>
              </w:rPr>
              <w:t>一致认为</w:t>
            </w:r>
            <w:r>
              <w:rPr>
                <w:rFonts w:hint="eastAsia" w:ascii="宋体" w:hAnsi="宋体" w:cs="宋体"/>
                <w:sz w:val="24"/>
                <w:szCs w:val="24"/>
                <w:lang w:eastAsia="zh-CN"/>
              </w:rPr>
              <w:t>响应</w:t>
            </w:r>
            <w:r>
              <w:rPr>
                <w:rFonts w:hint="eastAsia" w:ascii="宋体" w:hAnsi="宋体" w:eastAsia="宋体" w:cs="宋体"/>
                <w:sz w:val="24"/>
                <w:szCs w:val="24"/>
              </w:rPr>
              <w:t>报价明显低于其他通过符合性审查</w:t>
            </w:r>
            <w:r>
              <w:rPr>
                <w:rFonts w:hint="eastAsia" w:ascii="宋体" w:hAnsi="宋体" w:cs="宋体"/>
                <w:sz w:val="24"/>
                <w:szCs w:val="24"/>
                <w:lang w:eastAsia="zh-CN"/>
              </w:rPr>
              <w:t>响应</w:t>
            </w:r>
            <w:r>
              <w:rPr>
                <w:rFonts w:hint="eastAsia" w:ascii="宋体" w:hAnsi="宋体" w:eastAsia="宋体" w:cs="宋体"/>
                <w:sz w:val="24"/>
                <w:szCs w:val="24"/>
              </w:rPr>
              <w:t>供应商的报价，有可能影响产品质量或者不能诚信履约的，应当要求其在评标现场合理的时间内提供说明资料，必要时提交相关证明材料；</w:t>
            </w:r>
            <w:r>
              <w:rPr>
                <w:rFonts w:hint="eastAsia" w:ascii="宋体" w:hAnsi="宋体" w:cs="宋体"/>
                <w:sz w:val="24"/>
                <w:szCs w:val="24"/>
                <w:lang w:eastAsia="zh-CN"/>
              </w:rPr>
              <w:t>响应</w:t>
            </w:r>
            <w:r>
              <w:rPr>
                <w:rFonts w:hint="eastAsia" w:ascii="宋体" w:hAnsi="宋体" w:eastAsia="宋体" w:cs="宋体"/>
                <w:sz w:val="24"/>
                <w:szCs w:val="24"/>
              </w:rPr>
              <w:t>供应商不能证明其报价合理性的，经</w:t>
            </w:r>
            <w:r>
              <w:rPr>
                <w:rFonts w:hint="eastAsia" w:ascii="宋体" w:hAnsi="宋体" w:cs="宋体"/>
                <w:color w:val="000000" w:themeColor="text1"/>
                <w:spacing w:val="6"/>
                <w:sz w:val="24"/>
                <w:szCs w:val="24"/>
                <w:lang w:val="en-US" w:eastAsia="zh-CN"/>
                <w14:textFill>
                  <w14:solidFill>
                    <w14:schemeClr w14:val="tx1"/>
                  </w14:solidFill>
                </w14:textFill>
              </w:rPr>
              <w:t>磋商小组</w:t>
            </w:r>
            <w:r>
              <w:rPr>
                <w:rFonts w:hint="eastAsia" w:ascii="宋体" w:hAnsi="宋体" w:eastAsia="宋体" w:cs="宋体"/>
                <w:sz w:val="24"/>
                <w:szCs w:val="24"/>
              </w:rPr>
              <w:t>取得一致意见后，</w:t>
            </w:r>
            <w:r>
              <w:rPr>
                <w:rFonts w:hint="eastAsia" w:ascii="宋体" w:hAnsi="宋体" w:cs="宋体"/>
                <w:sz w:val="24"/>
                <w:szCs w:val="24"/>
                <w:lang w:eastAsia="zh-CN"/>
              </w:rPr>
              <w:t>磋商小组</w:t>
            </w:r>
            <w:r>
              <w:rPr>
                <w:rFonts w:hint="eastAsia" w:ascii="宋体" w:hAnsi="宋体" w:eastAsia="宋体" w:cs="宋体"/>
                <w:sz w:val="24"/>
                <w:szCs w:val="24"/>
              </w:rPr>
              <w:t>应当将其作为无效</w:t>
            </w:r>
            <w:r>
              <w:rPr>
                <w:rFonts w:hint="eastAsia" w:ascii="宋体" w:hAnsi="宋体" w:cs="宋体"/>
                <w:sz w:val="24"/>
                <w:szCs w:val="24"/>
                <w:lang w:eastAsia="zh-CN"/>
              </w:rPr>
              <w:t>响应</w:t>
            </w:r>
            <w:r>
              <w:rPr>
                <w:rFonts w:hint="eastAsia" w:ascii="宋体" w:hAnsi="宋体" w:eastAsia="宋体" w:cs="宋体"/>
                <w:sz w:val="24"/>
                <w:szCs w:val="24"/>
              </w:rPr>
              <w:t>处理。</w:t>
            </w:r>
          </w:p>
        </w:tc>
      </w:tr>
      <w:tr w14:paraId="7964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49" w:type="dxa"/>
            <w:vMerge w:val="restart"/>
            <w:noWrap w:val="0"/>
            <w:tcMar>
              <w:left w:w="57" w:type="dxa"/>
              <w:right w:w="57" w:type="dxa"/>
            </w:tcMar>
            <w:vAlign w:val="center"/>
          </w:tcPr>
          <w:p w14:paraId="6562E5F2">
            <w:pPr>
              <w:pageBreakBefore w:val="0"/>
              <w:overflowPunct/>
              <w:bidi w:val="0"/>
              <w:spacing w:line="360" w:lineRule="auto"/>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2.2.</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 xml:space="preserve"> (2)</w:t>
            </w:r>
          </w:p>
        </w:tc>
        <w:tc>
          <w:tcPr>
            <w:tcW w:w="1362" w:type="dxa"/>
            <w:vMerge w:val="restart"/>
            <w:noWrap w:val="0"/>
            <w:tcMar>
              <w:left w:w="57" w:type="dxa"/>
              <w:right w:w="57" w:type="dxa"/>
            </w:tcMar>
            <w:vAlign w:val="center"/>
          </w:tcPr>
          <w:p w14:paraId="60A1247C">
            <w:pPr>
              <w:pageBreakBefore w:val="0"/>
              <w:overflowPunct/>
              <w:bidi w:val="0"/>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技术标评分（</w:t>
            </w:r>
            <w:r>
              <w:rPr>
                <w:rFonts w:hint="eastAsia" w:ascii="宋体" w:hAnsi="宋体" w:cs="宋体"/>
                <w:sz w:val="24"/>
                <w:szCs w:val="24"/>
                <w:lang w:val="en-US" w:eastAsia="zh-CN"/>
              </w:rPr>
              <w:t>55</w:t>
            </w:r>
            <w:r>
              <w:rPr>
                <w:rFonts w:hint="eastAsia" w:ascii="宋体" w:hAnsi="宋体" w:eastAsia="宋体" w:cs="宋体"/>
                <w:sz w:val="24"/>
                <w:szCs w:val="24"/>
              </w:rPr>
              <w:t>分）</w:t>
            </w:r>
          </w:p>
        </w:tc>
        <w:tc>
          <w:tcPr>
            <w:tcW w:w="1914" w:type="dxa"/>
            <w:noWrap w:val="0"/>
            <w:tcMar>
              <w:left w:w="57" w:type="dxa"/>
              <w:right w:w="57" w:type="dxa"/>
            </w:tcMar>
            <w:vAlign w:val="center"/>
          </w:tcPr>
          <w:p w14:paraId="771DFA6A">
            <w:pPr>
              <w:keepNext w:val="0"/>
              <w:keepLines w:val="0"/>
              <w:pageBreakBefore w:val="0"/>
              <w:kinsoku/>
              <w:wordWrap/>
              <w:overflowPunct/>
              <w:topLinePunct w:val="0"/>
              <w:autoSpaceDE/>
              <w:autoSpaceDN/>
              <w:bidi w:val="0"/>
              <w:adjustRightInd w:val="0"/>
              <w:snapToGrid w:val="0"/>
              <w:spacing w:beforeAutospacing="0" w:line="360" w:lineRule="auto"/>
              <w:jc w:val="center"/>
              <w:textAlignment w:val="auto"/>
              <w:rPr>
                <w:rFonts w:hint="default" w:ascii="宋体" w:hAnsi="宋体" w:eastAsia="宋体" w:cs="宋体"/>
                <w:color w:val="000000"/>
                <w:sz w:val="24"/>
                <w:szCs w:val="24"/>
                <w:lang w:val="en-US" w:eastAsia="zh-CN"/>
              </w:rPr>
            </w:pPr>
            <w:r>
              <w:rPr>
                <w:rFonts w:hint="eastAsia" w:ascii="宋体" w:hAnsi="宋体" w:cs="宋体"/>
                <w:sz w:val="24"/>
                <w:szCs w:val="24"/>
                <w:lang w:eastAsia="zh-CN"/>
              </w:rPr>
              <w:t>项目整体实施方案（</w:t>
            </w:r>
            <w:r>
              <w:rPr>
                <w:rFonts w:hint="eastAsia" w:ascii="宋体" w:hAnsi="宋体" w:cs="宋体"/>
                <w:sz w:val="24"/>
                <w:szCs w:val="24"/>
                <w:lang w:val="en-US" w:eastAsia="zh-CN"/>
              </w:rPr>
              <w:t>25分）</w:t>
            </w:r>
          </w:p>
        </w:tc>
        <w:tc>
          <w:tcPr>
            <w:tcW w:w="5701" w:type="dxa"/>
            <w:noWrap w:val="0"/>
            <w:tcMar>
              <w:left w:w="57" w:type="dxa"/>
              <w:right w:w="57" w:type="dxa"/>
            </w:tcMar>
            <w:vAlign w:val="center"/>
          </w:tcPr>
          <w:p w14:paraId="17638E24">
            <w:pPr>
              <w:keepNext w:val="0"/>
              <w:keepLines w:val="0"/>
              <w:pageBreakBefore w:val="0"/>
              <w:numPr>
                <w:ilvl w:val="0"/>
                <w:numId w:val="1"/>
              </w:numPr>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项目理解与思路：精准把握湖滨区校园消防历史遗留问题特点，明确评定工作核心目标与重难点，思路清晰、定位准确得5分；理解基本到位但重难点分析不足得3分；理解浅显、思路模糊得1分；</w:t>
            </w:r>
          </w:p>
          <w:p w14:paraId="258ABC58">
            <w:pPr>
              <w:keepNext w:val="0"/>
              <w:keepLines w:val="0"/>
              <w:pageBreakBefore w:val="0"/>
              <w:numPr>
                <w:ilvl w:val="0"/>
                <w:numId w:val="1"/>
              </w:numPr>
              <w:kinsoku/>
              <w:wordWrap/>
              <w:overflowPunct/>
              <w:topLinePunct w:val="0"/>
              <w:autoSpaceDE/>
              <w:autoSpaceDN/>
              <w:bidi w:val="0"/>
              <w:spacing w:beforeAutospacing="0" w:line="360" w:lineRule="auto"/>
              <w:ind w:left="0" w:leftChars="0"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工作流程设计：流程涵盖现场勘查、数据采集、标准比对、问题判定、报告编制等全环节，且针对校园场景优化（如错峰勘查避免影响教学）得</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lang w:val="en-US" w:eastAsia="zh-CN"/>
              </w:rPr>
              <w:t>分；流程完整但无针对性优化得</w:t>
            </w: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分；流程简略、逻辑不连贯得1分；</w:t>
            </w:r>
          </w:p>
          <w:p w14:paraId="56CED94C">
            <w:pPr>
              <w:keepNext w:val="0"/>
              <w:keepLines w:val="0"/>
              <w:pageBreakBefore w:val="0"/>
              <w:numPr>
                <w:ilvl w:val="0"/>
                <w:numId w:val="1"/>
              </w:numPr>
              <w:kinsoku/>
              <w:wordWrap/>
              <w:overflowPunct/>
              <w:topLinePunct w:val="0"/>
              <w:autoSpaceDE/>
              <w:autoSpaceDN/>
              <w:bidi w:val="0"/>
              <w:spacing w:beforeAutospacing="0" w:line="360" w:lineRule="auto"/>
              <w:ind w:left="0" w:leftChars="0"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进度计划：结合服务期限制定细化到周的进度表，明确各阶段时间节点、人员分工及交付成果，得</w:t>
            </w: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分；有进度计划但未细化或分工不明确得2分；仅提及总工期未做分解得0分；</w:t>
            </w:r>
          </w:p>
          <w:p w14:paraId="3D7D26F2">
            <w:pPr>
              <w:keepNext w:val="0"/>
              <w:keepLines w:val="0"/>
              <w:pageBreakBefore w:val="0"/>
              <w:numPr>
                <w:ilvl w:val="0"/>
                <w:numId w:val="1"/>
              </w:numPr>
              <w:kinsoku/>
              <w:wordWrap/>
              <w:overflowPunct/>
              <w:topLinePunct w:val="0"/>
              <w:autoSpaceDE/>
              <w:autoSpaceDN/>
              <w:bidi w:val="0"/>
              <w:spacing w:beforeAutospacing="0" w:line="360" w:lineRule="auto"/>
              <w:ind w:left="0" w:leftChars="0"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沟通协调机制：建立与校方、教体局的双向沟</w:t>
            </w:r>
          </w:p>
          <w:p w14:paraId="56154A4F">
            <w:pPr>
              <w:keepNext w:val="0"/>
              <w:keepLines w:val="0"/>
              <w:pageBreakBefore w:val="0"/>
              <w:numPr>
                <w:ilvl w:val="0"/>
                <w:numId w:val="0"/>
              </w:numPr>
              <w:kinsoku/>
              <w:wordWrap/>
              <w:overflowPunct/>
              <w:topLinePunct w:val="0"/>
              <w:autoSpaceDE/>
              <w:autoSpaceDN/>
              <w:bidi w:val="0"/>
              <w:spacing w:beforeAutospacing="0" w:line="360" w:lineRule="auto"/>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通机制，明确沟通频率、方式及问题反馈流程，得5分；有基本沟通计划但机制不健全得2分；未提及沟通协调内容得0分。</w:t>
            </w:r>
          </w:p>
        </w:tc>
      </w:tr>
      <w:tr w14:paraId="2308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849" w:type="dxa"/>
            <w:vMerge w:val="continue"/>
            <w:noWrap w:val="0"/>
            <w:tcMar>
              <w:left w:w="57" w:type="dxa"/>
              <w:right w:w="57" w:type="dxa"/>
            </w:tcMar>
            <w:vAlign w:val="center"/>
          </w:tcPr>
          <w:p w14:paraId="657798F7">
            <w:pPr>
              <w:pageBreakBefore w:val="0"/>
              <w:overflowPunct/>
              <w:bidi w:val="0"/>
              <w:spacing w:line="360" w:lineRule="auto"/>
              <w:jc w:val="center"/>
              <w:rPr>
                <w:rFonts w:hint="eastAsia" w:ascii="宋体" w:hAnsi="宋体" w:eastAsia="宋体" w:cs="宋体"/>
                <w:kern w:val="0"/>
                <w:sz w:val="24"/>
                <w:szCs w:val="24"/>
              </w:rPr>
            </w:pPr>
          </w:p>
        </w:tc>
        <w:tc>
          <w:tcPr>
            <w:tcW w:w="1362" w:type="dxa"/>
            <w:vMerge w:val="continue"/>
            <w:noWrap w:val="0"/>
            <w:tcMar>
              <w:left w:w="57" w:type="dxa"/>
              <w:right w:w="57" w:type="dxa"/>
            </w:tcMar>
            <w:vAlign w:val="center"/>
          </w:tcPr>
          <w:p w14:paraId="21C4FAA7">
            <w:pPr>
              <w:pageBreakBefore w:val="0"/>
              <w:overflowPunct/>
              <w:bidi w:val="0"/>
              <w:spacing w:line="360" w:lineRule="auto"/>
              <w:jc w:val="center"/>
              <w:rPr>
                <w:rFonts w:hint="eastAsia" w:ascii="宋体" w:hAnsi="宋体" w:eastAsia="宋体" w:cs="宋体"/>
                <w:kern w:val="0"/>
                <w:sz w:val="24"/>
                <w:szCs w:val="24"/>
              </w:rPr>
            </w:pPr>
          </w:p>
        </w:tc>
        <w:tc>
          <w:tcPr>
            <w:tcW w:w="1914" w:type="dxa"/>
            <w:noWrap w:val="0"/>
            <w:tcMar>
              <w:left w:w="57" w:type="dxa"/>
              <w:right w:w="57" w:type="dxa"/>
            </w:tcMar>
            <w:vAlign w:val="center"/>
          </w:tcPr>
          <w:p w14:paraId="75F983DF">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color w:val="000000"/>
                <w:kern w:val="0"/>
                <w:sz w:val="24"/>
                <w:szCs w:val="24"/>
              </w:rPr>
            </w:pPr>
            <w:r>
              <w:rPr>
                <w:rFonts w:hint="eastAsia" w:ascii="宋体" w:hAnsi="宋体" w:cs="宋体"/>
                <w:sz w:val="24"/>
                <w:szCs w:val="24"/>
                <w:lang w:eastAsia="zh-CN"/>
              </w:rPr>
              <w:t>成果输出与质量保障（</w:t>
            </w:r>
            <w:r>
              <w:rPr>
                <w:rFonts w:hint="eastAsia" w:ascii="宋体" w:hAnsi="宋体" w:cs="宋体"/>
                <w:sz w:val="24"/>
                <w:szCs w:val="24"/>
                <w:lang w:val="en-US" w:eastAsia="zh-CN"/>
              </w:rPr>
              <w:t>20分）</w:t>
            </w:r>
          </w:p>
          <w:p w14:paraId="219D3D8F">
            <w:pPr>
              <w:keepNext w:val="0"/>
              <w:keepLines w:val="0"/>
              <w:pageBreakBefore w:val="0"/>
              <w:kinsoku/>
              <w:wordWrap/>
              <w:overflowPunct/>
              <w:topLinePunct w:val="0"/>
              <w:autoSpaceDE/>
              <w:autoSpaceDN/>
              <w:bidi w:val="0"/>
              <w:spacing w:beforeAutospacing="0" w:line="360" w:lineRule="auto"/>
              <w:jc w:val="center"/>
              <w:textAlignment w:val="auto"/>
              <w:rPr>
                <w:rFonts w:hint="eastAsia" w:ascii="宋体" w:hAnsi="宋体" w:eastAsia="宋体" w:cs="宋体"/>
                <w:color w:val="000000"/>
                <w:sz w:val="24"/>
                <w:szCs w:val="24"/>
              </w:rPr>
            </w:pPr>
          </w:p>
        </w:tc>
        <w:tc>
          <w:tcPr>
            <w:tcW w:w="5701" w:type="dxa"/>
            <w:noWrap w:val="0"/>
            <w:tcMar>
              <w:left w:w="57" w:type="dxa"/>
              <w:right w:w="57" w:type="dxa"/>
            </w:tcMar>
            <w:vAlign w:val="center"/>
          </w:tcPr>
          <w:p w14:paraId="32CB5C0E">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 成果形式：明确输出《现场评定总报告》《单校问题清单》《整改建议方案》等成果，报告内容涵盖数据汇总、问题分析、整改优先级排序得</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val="en-US" w:eastAsia="zh-CN"/>
              </w:rPr>
              <w:t>分；成果形式完整但内容说明简略得</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分；仅提及报告名称得0分；</w:t>
            </w:r>
          </w:p>
          <w:p w14:paraId="0DC376A6">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 质量控制：建立“现场人员自检-项目负责人复检-技术总监终审”三级质控流程，明确各环节审核要点与纠错机制得</w:t>
            </w:r>
            <w:r>
              <w:rPr>
                <w:rFonts w:hint="eastAsia" w:ascii="宋体" w:hAnsi="宋体" w:cs="宋体"/>
                <w:color w:val="000000"/>
                <w:sz w:val="24"/>
                <w:szCs w:val="24"/>
                <w:lang w:val="en-US" w:eastAsia="zh-CN"/>
              </w:rPr>
              <w:t>7</w:t>
            </w:r>
            <w:r>
              <w:rPr>
                <w:rFonts w:hint="eastAsia" w:ascii="宋体" w:hAnsi="宋体" w:eastAsia="宋体" w:cs="宋体"/>
                <w:color w:val="000000"/>
                <w:sz w:val="24"/>
                <w:szCs w:val="24"/>
                <w:lang w:val="en-US" w:eastAsia="zh-CN"/>
              </w:rPr>
              <w:t>分；有质控措施但流程不完整得</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分；无质控说明得0分；</w:t>
            </w:r>
          </w:p>
          <w:p w14:paraId="69ED4A62">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 后续服务：承诺为招标人提供报告解读、整改技术咨询（服务期不少于6个月），响应时间≤24小时得</w:t>
            </w: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分；有服务承诺但期限或响应时间不满足得</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分；无后续服务承诺得0分。</w:t>
            </w:r>
          </w:p>
        </w:tc>
      </w:tr>
      <w:tr w14:paraId="2546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49" w:type="dxa"/>
            <w:vMerge w:val="continue"/>
            <w:noWrap w:val="0"/>
            <w:tcMar>
              <w:left w:w="57" w:type="dxa"/>
              <w:right w:w="57" w:type="dxa"/>
            </w:tcMar>
            <w:vAlign w:val="center"/>
          </w:tcPr>
          <w:p w14:paraId="452AB370">
            <w:pPr>
              <w:pageBreakBefore w:val="0"/>
              <w:overflowPunct/>
              <w:bidi w:val="0"/>
              <w:spacing w:line="360" w:lineRule="auto"/>
              <w:jc w:val="center"/>
              <w:rPr>
                <w:rFonts w:hint="eastAsia" w:ascii="宋体" w:hAnsi="宋体" w:eastAsia="宋体" w:cs="宋体"/>
                <w:kern w:val="0"/>
                <w:sz w:val="24"/>
                <w:szCs w:val="24"/>
              </w:rPr>
            </w:pPr>
          </w:p>
        </w:tc>
        <w:tc>
          <w:tcPr>
            <w:tcW w:w="1362" w:type="dxa"/>
            <w:vMerge w:val="continue"/>
            <w:noWrap w:val="0"/>
            <w:tcMar>
              <w:left w:w="57" w:type="dxa"/>
              <w:right w:w="57" w:type="dxa"/>
            </w:tcMar>
            <w:vAlign w:val="center"/>
          </w:tcPr>
          <w:p w14:paraId="79E292FA">
            <w:pPr>
              <w:pageBreakBefore w:val="0"/>
              <w:overflowPunct/>
              <w:bidi w:val="0"/>
              <w:spacing w:line="360" w:lineRule="auto"/>
              <w:jc w:val="center"/>
              <w:rPr>
                <w:rFonts w:hint="eastAsia" w:ascii="宋体" w:hAnsi="宋体" w:eastAsia="宋体" w:cs="宋体"/>
                <w:kern w:val="0"/>
                <w:sz w:val="24"/>
                <w:szCs w:val="24"/>
              </w:rPr>
            </w:pPr>
          </w:p>
        </w:tc>
        <w:tc>
          <w:tcPr>
            <w:tcW w:w="1914" w:type="dxa"/>
            <w:noWrap w:val="0"/>
            <w:tcMar>
              <w:left w:w="57" w:type="dxa"/>
              <w:right w:w="57" w:type="dxa"/>
            </w:tcMar>
            <w:vAlign w:val="center"/>
          </w:tcPr>
          <w:p w14:paraId="041C696D">
            <w:pPr>
              <w:keepNext w:val="0"/>
              <w:keepLines w:val="0"/>
              <w:widowControl/>
              <w:suppressLineNumbers w:val="0"/>
              <w:jc w:val="left"/>
              <w:rPr>
                <w:rFonts w:hint="eastAsia" w:ascii="宋体" w:hAnsi="宋体" w:eastAsia="宋体" w:cs="宋体"/>
                <w:color w:val="000000"/>
                <w:kern w:val="0"/>
                <w:sz w:val="24"/>
                <w:szCs w:val="24"/>
                <w:lang w:val="en-US" w:eastAsia="zh-CN" w:bidi="ar-SA"/>
              </w:rPr>
            </w:pPr>
            <w:r>
              <w:rPr>
                <w:rFonts w:ascii="宋体" w:hAnsi="宋体" w:eastAsia="宋体" w:cs="宋体"/>
                <w:kern w:val="0"/>
                <w:sz w:val="24"/>
                <w:szCs w:val="24"/>
                <w:lang w:val="en-US" w:eastAsia="zh-CN" w:bidi="ar"/>
              </w:rPr>
              <w:t>应急保障方案</w:t>
            </w:r>
            <w:r>
              <w:rPr>
                <w:rFonts w:hint="eastAsia" w:ascii="宋体" w:hAnsi="宋体" w:cs="宋体"/>
                <w:sz w:val="24"/>
                <w:szCs w:val="24"/>
                <w:lang w:eastAsia="zh-CN"/>
              </w:rPr>
              <w:t>（</w:t>
            </w:r>
            <w:r>
              <w:rPr>
                <w:rFonts w:hint="eastAsia" w:ascii="宋体" w:hAnsi="宋体" w:cs="宋体"/>
                <w:sz w:val="24"/>
                <w:szCs w:val="24"/>
                <w:lang w:val="en-US" w:eastAsia="zh-CN"/>
              </w:rPr>
              <w:t>10分）</w:t>
            </w:r>
          </w:p>
        </w:tc>
        <w:tc>
          <w:tcPr>
            <w:tcW w:w="5701" w:type="dxa"/>
            <w:noWrap w:val="0"/>
            <w:tcMar>
              <w:left w:w="57" w:type="dxa"/>
              <w:right w:w="57" w:type="dxa"/>
            </w:tcMar>
            <w:vAlign w:val="center"/>
          </w:tcPr>
          <w:p w14:paraId="240B13C1">
            <w:pPr>
              <w:keepNext w:val="0"/>
              <w:keepLines w:val="0"/>
              <w:pageBreakBefore w:val="0"/>
              <w:numPr>
                <w:ilvl w:val="0"/>
                <w:numId w:val="2"/>
              </w:numPr>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针对现场勘查中可能出现的突发情况（如设备故障、校园临时活动）制定应急处置方案，措施具体可行得</w:t>
            </w: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分；方案基本完整但针对性不足得</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分；无应急方案得0分；</w:t>
            </w:r>
          </w:p>
          <w:p w14:paraId="5A768ECD">
            <w:pPr>
              <w:keepNext w:val="0"/>
              <w:keepLines w:val="0"/>
              <w:pageBreakBefore w:val="0"/>
              <w:numPr>
                <w:ilvl w:val="0"/>
                <w:numId w:val="0"/>
              </w:numPr>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 明确应急联络人及备用技术人员，确保突发情况下工作连续开展得</w:t>
            </w: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分；未明确联络机制或备用人员得0分。</w:t>
            </w:r>
          </w:p>
        </w:tc>
      </w:tr>
      <w:tr w14:paraId="0003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9" w:type="dxa"/>
            <w:vMerge w:val="continue"/>
            <w:noWrap w:val="0"/>
            <w:tcMar>
              <w:left w:w="57" w:type="dxa"/>
              <w:right w:w="57" w:type="dxa"/>
            </w:tcMar>
            <w:vAlign w:val="center"/>
          </w:tcPr>
          <w:p w14:paraId="3A3F1F63">
            <w:pPr>
              <w:pageBreakBefore w:val="0"/>
              <w:overflowPunct/>
              <w:bidi w:val="0"/>
              <w:spacing w:line="360" w:lineRule="auto"/>
              <w:jc w:val="center"/>
              <w:rPr>
                <w:rFonts w:hint="eastAsia" w:ascii="宋体" w:hAnsi="宋体" w:eastAsia="宋体" w:cs="宋体"/>
                <w:kern w:val="0"/>
                <w:sz w:val="24"/>
                <w:szCs w:val="24"/>
              </w:rPr>
            </w:pPr>
          </w:p>
        </w:tc>
        <w:tc>
          <w:tcPr>
            <w:tcW w:w="1362" w:type="dxa"/>
            <w:vMerge w:val="continue"/>
            <w:noWrap w:val="0"/>
            <w:tcMar>
              <w:left w:w="57" w:type="dxa"/>
              <w:right w:w="57" w:type="dxa"/>
            </w:tcMar>
            <w:vAlign w:val="center"/>
          </w:tcPr>
          <w:p w14:paraId="0A2B4506">
            <w:pPr>
              <w:pageBreakBefore w:val="0"/>
              <w:overflowPunct/>
              <w:bidi w:val="0"/>
              <w:spacing w:line="360" w:lineRule="auto"/>
              <w:jc w:val="center"/>
              <w:rPr>
                <w:rFonts w:hint="eastAsia" w:ascii="宋体" w:hAnsi="宋体" w:eastAsia="宋体" w:cs="宋体"/>
                <w:kern w:val="0"/>
                <w:sz w:val="24"/>
                <w:szCs w:val="24"/>
              </w:rPr>
            </w:pPr>
          </w:p>
        </w:tc>
        <w:tc>
          <w:tcPr>
            <w:tcW w:w="7615" w:type="dxa"/>
            <w:gridSpan w:val="2"/>
            <w:noWrap w:val="0"/>
            <w:tcMar>
              <w:left w:w="57" w:type="dxa"/>
              <w:right w:w="57" w:type="dxa"/>
            </w:tcMar>
            <w:vAlign w:val="center"/>
          </w:tcPr>
          <w:p w14:paraId="614404F9">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4"/>
                <w:szCs w:val="24"/>
                <w:lang w:val="en-US" w:eastAsia="zh-CN"/>
              </w:rPr>
            </w:pPr>
            <w:r>
              <w:rPr>
                <w:rFonts w:hint="eastAsia" w:ascii="宋体" w:hAnsi="宋体" w:cs="宋体"/>
                <w:color w:val="000000"/>
                <w:sz w:val="24"/>
                <w:szCs w:val="24"/>
                <w:lang w:val="en-US" w:eastAsia="zh-CN"/>
              </w:rPr>
              <w:t>磋商小组</w:t>
            </w:r>
            <w:r>
              <w:rPr>
                <w:rFonts w:hint="eastAsia" w:ascii="宋体" w:hAnsi="宋体" w:eastAsia="宋体" w:cs="宋体"/>
                <w:color w:val="000000"/>
                <w:sz w:val="24"/>
                <w:szCs w:val="24"/>
                <w:lang w:val="en-US" w:eastAsia="zh-CN"/>
              </w:rPr>
              <w:t>将根据</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人技术部分编制水平，酌情给予打分。如有缺项，则该项按零分处理。</w:t>
            </w:r>
          </w:p>
        </w:tc>
      </w:tr>
      <w:tr w14:paraId="24FD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49" w:type="dxa"/>
            <w:vMerge w:val="restart"/>
            <w:noWrap w:val="0"/>
            <w:tcMar>
              <w:left w:w="57" w:type="dxa"/>
              <w:right w:w="57" w:type="dxa"/>
            </w:tcMar>
            <w:vAlign w:val="center"/>
          </w:tcPr>
          <w:p w14:paraId="1392361D">
            <w:pPr>
              <w:pageBreakBefore w:val="0"/>
              <w:overflowPunct/>
              <w:bidi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2.2.</w:t>
            </w:r>
            <w:r>
              <w:rPr>
                <w:rFonts w:hint="eastAsia" w:ascii="宋体" w:hAnsi="宋体" w:eastAsia="宋体" w:cs="宋体"/>
                <w:kern w:val="0"/>
                <w:sz w:val="24"/>
                <w:szCs w:val="24"/>
                <w:lang w:val="en-US" w:eastAsia="zh-CN"/>
              </w:rPr>
              <w:t>2</w:t>
            </w:r>
          </w:p>
          <w:p w14:paraId="685D01F3">
            <w:pPr>
              <w:pageBreakBefore w:val="0"/>
              <w:overflowPunct/>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362" w:type="dxa"/>
            <w:vMerge w:val="restart"/>
            <w:noWrap w:val="0"/>
            <w:tcMar>
              <w:left w:w="57" w:type="dxa"/>
              <w:right w:w="57" w:type="dxa"/>
            </w:tcMar>
            <w:vAlign w:val="center"/>
          </w:tcPr>
          <w:p w14:paraId="69CB509E">
            <w:pPr>
              <w:keepNext w:val="0"/>
              <w:keepLines w:val="0"/>
              <w:pageBreakBefore w:val="0"/>
              <w:kinsoku/>
              <w:wordWrap/>
              <w:overflowPunct/>
              <w:topLinePunct w:val="0"/>
              <w:autoSpaceDE/>
              <w:autoSpaceDN/>
              <w:bidi w:val="0"/>
              <w:adjustRightInd w:val="0"/>
              <w:snapToGrid w:val="0"/>
              <w:spacing w:beforeAutospacing="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商务</w:t>
            </w:r>
            <w:r>
              <w:rPr>
                <w:rFonts w:hint="eastAsia" w:ascii="宋体" w:hAnsi="宋体" w:eastAsia="宋体" w:cs="宋体"/>
                <w:sz w:val="24"/>
                <w:szCs w:val="24"/>
              </w:rPr>
              <w:t>标评分</w:t>
            </w:r>
          </w:p>
          <w:p w14:paraId="4956E851">
            <w:pPr>
              <w:keepNext w:val="0"/>
              <w:keepLines w:val="0"/>
              <w:pageBreakBefore w:val="0"/>
              <w:kinsoku/>
              <w:wordWrap/>
              <w:overflowPunct/>
              <w:topLinePunct w:val="0"/>
              <w:autoSpaceDE/>
              <w:autoSpaceDN/>
              <w:bidi w:val="0"/>
              <w:adjustRightInd w:val="0"/>
              <w:snapToGrid w:val="0"/>
              <w:spacing w:beforeAutospacing="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25</w:t>
            </w:r>
            <w:r>
              <w:rPr>
                <w:rFonts w:hint="eastAsia" w:ascii="宋体" w:hAnsi="宋体" w:eastAsia="宋体" w:cs="宋体"/>
                <w:sz w:val="24"/>
                <w:szCs w:val="24"/>
              </w:rPr>
              <w:t>分）</w:t>
            </w:r>
          </w:p>
        </w:tc>
        <w:tc>
          <w:tcPr>
            <w:tcW w:w="1914" w:type="dxa"/>
            <w:noWrap w:val="0"/>
            <w:tcMar>
              <w:left w:w="57" w:type="dxa"/>
              <w:right w:w="57" w:type="dxa"/>
            </w:tcMar>
            <w:vAlign w:val="center"/>
          </w:tcPr>
          <w:p w14:paraId="7364D321">
            <w:pPr>
              <w:keepNext w:val="0"/>
              <w:keepLines w:val="0"/>
              <w:pageBreakBefore w:val="0"/>
              <w:kinsoku/>
              <w:wordWrap/>
              <w:overflowPunct/>
              <w:topLinePunct w:val="0"/>
              <w:autoSpaceDE/>
              <w:autoSpaceDN/>
              <w:bidi w:val="0"/>
              <w:adjustRightInd w:val="0"/>
              <w:snapToGrid w:val="0"/>
              <w:spacing w:beforeAutospacing="0" w:line="360" w:lineRule="auto"/>
              <w:jc w:val="center"/>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sz w:val="24"/>
                <w:szCs w:val="24"/>
              </w:rPr>
              <w:t>业绩</w:t>
            </w:r>
            <w:r>
              <w:rPr>
                <w:rFonts w:hint="eastAsia" w:ascii="宋体" w:hAnsi="宋体" w:cs="宋体"/>
                <w:sz w:val="24"/>
                <w:szCs w:val="24"/>
                <w:lang w:eastAsia="zh-CN"/>
              </w:rPr>
              <w:t>（</w:t>
            </w:r>
            <w:r>
              <w:rPr>
                <w:rFonts w:hint="eastAsia" w:ascii="宋体" w:hAnsi="宋体" w:cs="宋体"/>
                <w:sz w:val="24"/>
                <w:szCs w:val="24"/>
                <w:lang w:val="en-US" w:eastAsia="zh-CN"/>
              </w:rPr>
              <w:t>10分）</w:t>
            </w:r>
          </w:p>
        </w:tc>
        <w:tc>
          <w:tcPr>
            <w:tcW w:w="5701" w:type="dxa"/>
            <w:noWrap w:val="0"/>
            <w:tcMar>
              <w:left w:w="57" w:type="dxa"/>
              <w:right w:w="57" w:type="dxa"/>
            </w:tcMar>
            <w:vAlign w:val="top"/>
          </w:tcPr>
          <w:p w14:paraId="7B0BBCC9">
            <w:pPr>
              <w:keepNext w:val="0"/>
              <w:keepLines w:val="0"/>
              <w:pageBreakBefore w:val="0"/>
              <w:kinsoku/>
              <w:wordWrap/>
              <w:overflowPunct/>
              <w:topLinePunct w:val="0"/>
              <w:autoSpaceDE/>
              <w:autoSpaceDN/>
              <w:bidi w:val="0"/>
              <w:spacing w:beforeAutospacing="0" w:line="360" w:lineRule="auto"/>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highlight w:val="none"/>
              </w:rPr>
              <w:t>供应商自202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1月1日</w:t>
            </w:r>
            <w:r>
              <w:rPr>
                <w:rFonts w:hint="eastAsia" w:ascii="宋体" w:hAnsi="宋体" w:eastAsia="宋体" w:cs="宋体"/>
                <w:sz w:val="24"/>
                <w:szCs w:val="24"/>
                <w:highlight w:val="none"/>
              </w:rPr>
              <w:t>以来（以合同签订时间为准）具有</w:t>
            </w:r>
            <w:r>
              <w:rPr>
                <w:rFonts w:hint="eastAsia" w:ascii="宋体" w:hAnsi="宋体" w:cs="宋体"/>
                <w:sz w:val="24"/>
                <w:szCs w:val="24"/>
                <w:highlight w:val="none"/>
                <w:lang w:val="en-US" w:eastAsia="zh-CN"/>
              </w:rPr>
              <w:t>类似项目业绩</w:t>
            </w:r>
            <w:r>
              <w:rPr>
                <w:rFonts w:hint="eastAsia" w:ascii="宋体" w:hAnsi="宋体" w:eastAsia="宋体" w:cs="宋体"/>
                <w:sz w:val="24"/>
                <w:szCs w:val="24"/>
                <w:highlight w:val="none"/>
              </w:rPr>
              <w:t>，每个项目得</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分，最多得</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rPr>
              <w:t>分。（</w:t>
            </w:r>
            <w:r>
              <w:rPr>
                <w:rFonts w:hint="eastAsia" w:ascii="宋体" w:hAnsi="宋体" w:cs="宋体"/>
                <w:sz w:val="24"/>
                <w:szCs w:val="24"/>
                <w:highlight w:val="none"/>
                <w:lang w:eastAsia="zh-CN"/>
              </w:rPr>
              <w:t>响应</w:t>
            </w:r>
            <w:r>
              <w:rPr>
                <w:rFonts w:hint="eastAsia" w:ascii="宋体" w:hAnsi="宋体" w:eastAsia="宋体" w:cs="宋体"/>
                <w:sz w:val="24"/>
                <w:szCs w:val="24"/>
                <w:highlight w:val="none"/>
              </w:rPr>
              <w:t>文件提供合同</w:t>
            </w:r>
            <w:r>
              <w:rPr>
                <w:rFonts w:hint="eastAsia" w:ascii="宋体" w:hAnsi="宋体" w:eastAsia="宋体" w:cs="宋体"/>
                <w:sz w:val="24"/>
                <w:szCs w:val="24"/>
                <w:highlight w:val="none"/>
                <w:lang w:val="en-US" w:eastAsia="zh-CN"/>
              </w:rPr>
              <w:t>首页及盖章页</w:t>
            </w:r>
            <w:r>
              <w:rPr>
                <w:rFonts w:hint="eastAsia" w:ascii="宋体" w:hAnsi="宋体" w:eastAsia="宋体" w:cs="宋体"/>
                <w:sz w:val="24"/>
                <w:szCs w:val="24"/>
                <w:highlight w:val="none"/>
              </w:rPr>
              <w:t>复印件加盖供应商公章，否则不予计分。）</w:t>
            </w:r>
          </w:p>
        </w:tc>
      </w:tr>
      <w:tr w14:paraId="36DA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49" w:type="dxa"/>
            <w:vMerge w:val="continue"/>
            <w:noWrap w:val="0"/>
            <w:tcMar>
              <w:left w:w="57" w:type="dxa"/>
              <w:right w:w="57" w:type="dxa"/>
            </w:tcMar>
            <w:vAlign w:val="center"/>
          </w:tcPr>
          <w:p w14:paraId="524BEE61">
            <w:pPr>
              <w:pageBreakBefore w:val="0"/>
              <w:overflowPunct/>
              <w:bidi w:val="0"/>
              <w:spacing w:line="360" w:lineRule="auto"/>
              <w:jc w:val="center"/>
              <w:rPr>
                <w:rFonts w:hint="eastAsia" w:ascii="宋体" w:hAnsi="宋体" w:eastAsia="宋体" w:cs="宋体"/>
                <w:kern w:val="0"/>
                <w:sz w:val="24"/>
                <w:szCs w:val="24"/>
              </w:rPr>
            </w:pPr>
          </w:p>
        </w:tc>
        <w:tc>
          <w:tcPr>
            <w:tcW w:w="1362" w:type="dxa"/>
            <w:vMerge w:val="continue"/>
            <w:noWrap w:val="0"/>
            <w:tcMar>
              <w:left w:w="57" w:type="dxa"/>
              <w:right w:w="57" w:type="dxa"/>
            </w:tcMar>
            <w:vAlign w:val="center"/>
          </w:tcPr>
          <w:p w14:paraId="2788A9FE">
            <w:pPr>
              <w:pageBreakBefore w:val="0"/>
              <w:overflowPunct/>
              <w:bidi w:val="0"/>
              <w:spacing w:line="360" w:lineRule="auto"/>
              <w:jc w:val="center"/>
              <w:rPr>
                <w:rFonts w:hint="eastAsia" w:ascii="宋体" w:hAnsi="宋体" w:eastAsia="宋体" w:cs="宋体"/>
                <w:sz w:val="24"/>
                <w:szCs w:val="24"/>
              </w:rPr>
            </w:pPr>
          </w:p>
        </w:tc>
        <w:tc>
          <w:tcPr>
            <w:tcW w:w="1914" w:type="dxa"/>
            <w:noWrap w:val="0"/>
            <w:tcMar>
              <w:left w:w="57" w:type="dxa"/>
              <w:right w:w="57" w:type="dxa"/>
            </w:tcMar>
            <w:vAlign w:val="center"/>
          </w:tcPr>
          <w:p w14:paraId="203E57FA">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rPr>
              <w:t>服务承诺</w:t>
            </w:r>
            <w:r>
              <w:rPr>
                <w:rFonts w:hint="eastAsia" w:ascii="宋体" w:hAnsi="宋体" w:cs="宋体"/>
                <w:sz w:val="24"/>
                <w:szCs w:val="24"/>
                <w:lang w:eastAsia="zh-CN"/>
              </w:rPr>
              <w:t>（</w:t>
            </w:r>
            <w:r>
              <w:rPr>
                <w:rFonts w:hint="eastAsia" w:ascii="宋体" w:hAnsi="宋体" w:cs="宋体"/>
                <w:sz w:val="24"/>
                <w:szCs w:val="24"/>
                <w:lang w:val="en-US" w:eastAsia="zh-CN"/>
              </w:rPr>
              <w:t>8分）</w:t>
            </w:r>
          </w:p>
        </w:tc>
        <w:tc>
          <w:tcPr>
            <w:tcW w:w="5701" w:type="dxa"/>
            <w:noWrap w:val="0"/>
            <w:tcMar>
              <w:left w:w="57" w:type="dxa"/>
              <w:right w:w="57" w:type="dxa"/>
            </w:tcMar>
            <w:vAlign w:val="top"/>
          </w:tcPr>
          <w:p w14:paraId="2400AA12">
            <w:pPr>
              <w:keepNext w:val="0"/>
              <w:keepLines w:val="0"/>
              <w:pageBreakBefore w:val="0"/>
              <w:kinsoku/>
              <w:wordWrap/>
              <w:overflowPunct/>
              <w:topLinePunct w:val="0"/>
              <w:autoSpaceDE/>
              <w:autoSpaceDN/>
              <w:bidi w:val="0"/>
              <w:spacing w:beforeAutospacing="0" w:line="360" w:lineRule="auto"/>
              <w:ind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rPr>
              <w:t>根据供应商针对本项目提供的服务承诺进行综合评审，服务承诺完善，能充分贴合本项目采购需求，针对性强，可行性高的，得</w:t>
            </w:r>
            <w:r>
              <w:rPr>
                <w:rFonts w:hint="eastAsia" w:ascii="宋体" w:hAnsi="宋体" w:cs="宋体"/>
                <w:sz w:val="24"/>
                <w:szCs w:val="24"/>
                <w:lang w:val="en-US" w:eastAsia="zh-CN"/>
              </w:rPr>
              <w:t>18</w:t>
            </w:r>
            <w:r>
              <w:rPr>
                <w:rFonts w:hint="eastAsia" w:ascii="宋体" w:hAnsi="宋体" w:eastAsia="宋体" w:cs="宋体"/>
                <w:sz w:val="24"/>
                <w:szCs w:val="24"/>
              </w:rPr>
              <w:t>分；服务承诺较完善，基本贴合本项目采购需求的，得</w:t>
            </w:r>
            <w:r>
              <w:rPr>
                <w:rFonts w:hint="eastAsia" w:ascii="宋体" w:hAnsi="宋体" w:cs="宋体"/>
                <w:sz w:val="24"/>
                <w:szCs w:val="24"/>
                <w:lang w:val="en-US" w:eastAsia="zh-CN"/>
              </w:rPr>
              <w:t>4</w:t>
            </w:r>
            <w:r>
              <w:rPr>
                <w:rFonts w:hint="eastAsia" w:ascii="宋体" w:hAnsi="宋体" w:eastAsia="宋体" w:cs="宋体"/>
                <w:sz w:val="24"/>
                <w:szCs w:val="24"/>
              </w:rPr>
              <w:t>分；服务承诺跟本项目实际需求不贴合，有较大缺陷的，得</w:t>
            </w:r>
            <w:r>
              <w:rPr>
                <w:rFonts w:hint="eastAsia" w:ascii="宋体" w:hAnsi="宋体" w:eastAsia="宋体" w:cs="宋体"/>
                <w:sz w:val="24"/>
                <w:szCs w:val="24"/>
                <w:lang w:val="en-US" w:eastAsia="zh-CN"/>
              </w:rPr>
              <w:t>1</w:t>
            </w:r>
            <w:r>
              <w:rPr>
                <w:rFonts w:hint="eastAsia" w:ascii="宋体" w:hAnsi="宋体" w:eastAsia="宋体" w:cs="宋体"/>
                <w:sz w:val="24"/>
                <w:szCs w:val="24"/>
              </w:rPr>
              <w:t>分；未提供的不计分。</w:t>
            </w:r>
          </w:p>
        </w:tc>
      </w:tr>
      <w:tr w14:paraId="022D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49" w:type="dxa"/>
            <w:vMerge w:val="continue"/>
            <w:noWrap w:val="0"/>
            <w:tcMar>
              <w:left w:w="57" w:type="dxa"/>
              <w:right w:w="57" w:type="dxa"/>
            </w:tcMar>
            <w:vAlign w:val="center"/>
          </w:tcPr>
          <w:p w14:paraId="7E5C19DB">
            <w:pPr>
              <w:pageBreakBefore w:val="0"/>
              <w:overflowPunct/>
              <w:bidi w:val="0"/>
              <w:spacing w:line="360" w:lineRule="auto"/>
              <w:jc w:val="center"/>
              <w:rPr>
                <w:rFonts w:hint="eastAsia" w:ascii="宋体" w:hAnsi="宋体" w:eastAsia="宋体" w:cs="宋体"/>
                <w:kern w:val="0"/>
                <w:sz w:val="24"/>
                <w:szCs w:val="24"/>
              </w:rPr>
            </w:pPr>
          </w:p>
        </w:tc>
        <w:tc>
          <w:tcPr>
            <w:tcW w:w="1362" w:type="dxa"/>
            <w:vMerge w:val="continue"/>
            <w:noWrap w:val="0"/>
            <w:tcMar>
              <w:left w:w="57" w:type="dxa"/>
              <w:right w:w="57" w:type="dxa"/>
            </w:tcMar>
            <w:vAlign w:val="center"/>
          </w:tcPr>
          <w:p w14:paraId="35FE3EDF">
            <w:pPr>
              <w:pageBreakBefore w:val="0"/>
              <w:overflowPunct/>
              <w:bidi w:val="0"/>
              <w:spacing w:line="360" w:lineRule="auto"/>
              <w:jc w:val="center"/>
              <w:rPr>
                <w:rFonts w:hint="eastAsia" w:ascii="宋体" w:hAnsi="宋体" w:eastAsia="宋体" w:cs="宋体"/>
                <w:sz w:val="24"/>
                <w:szCs w:val="24"/>
              </w:rPr>
            </w:pPr>
          </w:p>
        </w:tc>
        <w:tc>
          <w:tcPr>
            <w:tcW w:w="1914" w:type="dxa"/>
            <w:noWrap w:val="0"/>
            <w:tcMar>
              <w:left w:w="57" w:type="dxa"/>
              <w:right w:w="57" w:type="dxa"/>
            </w:tcMar>
            <w:vAlign w:val="center"/>
          </w:tcPr>
          <w:p w14:paraId="7FD94F8D">
            <w:pPr>
              <w:keepNext w:val="0"/>
              <w:keepLines w:val="0"/>
              <w:pageBreakBefore w:val="0"/>
              <w:kinsoku/>
              <w:wordWrap/>
              <w:overflowPunct/>
              <w:topLinePunct w:val="0"/>
              <w:autoSpaceDE/>
              <w:autoSpaceDN/>
              <w:bidi w:val="0"/>
              <w:adjustRightInd w:val="0"/>
              <w:snapToGrid w:val="0"/>
              <w:spacing w:beforeAutospacing="0" w:line="360" w:lineRule="auto"/>
              <w:jc w:val="center"/>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sz w:val="24"/>
                <w:szCs w:val="24"/>
                <w:highlight w:val="none"/>
              </w:rPr>
              <w:t>项目团队</w:t>
            </w:r>
            <w:r>
              <w:rPr>
                <w:rFonts w:hint="eastAsia" w:ascii="宋体" w:hAnsi="宋体" w:cs="宋体"/>
                <w:sz w:val="24"/>
                <w:szCs w:val="24"/>
                <w:lang w:eastAsia="zh-CN"/>
              </w:rPr>
              <w:t>（</w:t>
            </w:r>
            <w:r>
              <w:rPr>
                <w:rFonts w:hint="eastAsia" w:ascii="宋体" w:hAnsi="宋体" w:cs="宋体"/>
                <w:sz w:val="24"/>
                <w:szCs w:val="24"/>
                <w:lang w:val="en-US" w:eastAsia="zh-CN"/>
              </w:rPr>
              <w:t>7分）</w:t>
            </w:r>
          </w:p>
        </w:tc>
        <w:tc>
          <w:tcPr>
            <w:tcW w:w="5701" w:type="dxa"/>
            <w:noWrap w:val="0"/>
            <w:tcMar>
              <w:left w:w="57" w:type="dxa"/>
              <w:right w:w="57" w:type="dxa"/>
            </w:tcMar>
            <w:vAlign w:val="top"/>
          </w:tcPr>
          <w:p w14:paraId="26FDC5E0">
            <w:pPr>
              <w:pStyle w:val="6"/>
              <w:keepNext w:val="0"/>
              <w:keepLines w:val="0"/>
              <w:pageBreakBefore w:val="0"/>
              <w:kinsoku/>
              <w:wordWrap/>
              <w:overflowPunct/>
              <w:topLinePunct w:val="0"/>
              <w:autoSpaceDE/>
              <w:autoSpaceDN/>
              <w:bidi w:val="0"/>
              <w:spacing w:beforeAutospacing="0" w:after="0" w:line="360" w:lineRule="auto"/>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针对供应商拟派项目成员进行评审：</w:t>
            </w:r>
          </w:p>
          <w:p w14:paraId="20A07033">
            <w:pPr>
              <w:pageBreakBefore w:val="0"/>
              <w:numPr>
                <w:numId w:val="0"/>
              </w:numPr>
              <w:overflowPunct/>
              <w:bidi w:val="0"/>
              <w:spacing w:line="360" w:lineRule="auto"/>
              <w:ind w:firstLine="240" w:firstLineChars="100"/>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项目</w:t>
            </w:r>
            <w:r>
              <w:rPr>
                <w:rFonts w:hint="eastAsia" w:ascii="宋体" w:hAnsi="宋体" w:eastAsia="宋体" w:cs="宋体"/>
                <w:kern w:val="2"/>
                <w:sz w:val="24"/>
                <w:szCs w:val="24"/>
                <w:highlight w:val="none"/>
                <w:lang w:val="en-US" w:eastAsia="zh-CN" w:bidi="ar-SA"/>
              </w:rPr>
              <w:t>成员：团队中</w:t>
            </w:r>
            <w:r>
              <w:rPr>
                <w:rFonts w:hint="eastAsia" w:ascii="宋体" w:hAnsi="宋体" w:cs="宋体"/>
                <w:kern w:val="2"/>
                <w:sz w:val="24"/>
                <w:szCs w:val="24"/>
                <w:highlight w:val="none"/>
                <w:lang w:val="en-US" w:eastAsia="zh-CN" w:bidi="ar-SA"/>
              </w:rPr>
              <w:t>除</w:t>
            </w:r>
            <w:r>
              <w:rPr>
                <w:rFonts w:hint="eastAsia" w:ascii="宋体" w:hAnsi="宋体" w:eastAsia="宋体" w:cs="宋体"/>
                <w:kern w:val="2"/>
                <w:sz w:val="24"/>
                <w:szCs w:val="24"/>
                <w:highlight w:val="none"/>
                <w:lang w:val="en-US" w:eastAsia="zh-CN" w:bidi="ar-SA"/>
              </w:rPr>
              <w:t>项目负责人外</w:t>
            </w:r>
            <w:r>
              <w:rPr>
                <w:rFonts w:hint="eastAsia" w:ascii="宋体" w:hAnsi="宋体" w:eastAsia="宋体" w:cs="宋体"/>
                <w:kern w:val="2"/>
                <w:sz w:val="24"/>
                <w:szCs w:val="24"/>
                <w:highlight w:val="none"/>
                <w:lang w:val="en-US" w:eastAsia="zh-CN" w:bidi="ar-SA"/>
              </w:rPr>
              <w:t>，每有1名一级注册消防工程师加2分，最多加</w:t>
            </w:r>
            <w:r>
              <w:rPr>
                <w:rFonts w:hint="eastAsia" w:ascii="宋体" w:hAnsi="宋体" w:cs="宋体"/>
                <w:kern w:val="2"/>
                <w:sz w:val="24"/>
                <w:szCs w:val="24"/>
                <w:highlight w:val="none"/>
                <w:lang w:val="en-US" w:eastAsia="zh-CN" w:bidi="ar-SA"/>
              </w:rPr>
              <w:t>2</w:t>
            </w:r>
            <w:r>
              <w:rPr>
                <w:rFonts w:hint="eastAsia" w:ascii="宋体" w:hAnsi="宋体" w:eastAsia="宋体" w:cs="宋体"/>
                <w:kern w:val="2"/>
                <w:sz w:val="24"/>
                <w:szCs w:val="24"/>
                <w:highlight w:val="none"/>
                <w:lang w:val="en-US" w:eastAsia="zh-CN" w:bidi="ar-SA"/>
              </w:rPr>
              <w:t>分；每有1名持有中级及以上消防设施操作员证书人员加1分，最多加</w:t>
            </w:r>
            <w:r>
              <w:rPr>
                <w:rFonts w:hint="eastAsia" w:ascii="宋体" w:hAnsi="宋体" w:cs="宋体"/>
                <w:kern w:val="2"/>
                <w:sz w:val="24"/>
                <w:szCs w:val="24"/>
                <w:highlight w:val="none"/>
                <w:lang w:val="en-US" w:eastAsia="zh-CN" w:bidi="ar-SA"/>
              </w:rPr>
              <w:t>5</w:t>
            </w:r>
            <w:r>
              <w:rPr>
                <w:rFonts w:hint="eastAsia" w:ascii="宋体" w:hAnsi="宋体" w:eastAsia="宋体" w:cs="宋体"/>
                <w:kern w:val="2"/>
                <w:sz w:val="24"/>
                <w:szCs w:val="24"/>
                <w:highlight w:val="none"/>
                <w:lang w:val="en-US" w:eastAsia="zh-CN" w:bidi="ar-SA"/>
              </w:rPr>
              <w:t>分；</w:t>
            </w:r>
          </w:p>
          <w:p w14:paraId="7F2C270F">
            <w:pPr>
              <w:pageBreakBefore w:val="0"/>
              <w:overflowPunct/>
              <w:bidi w:val="0"/>
              <w:spacing w:line="360" w:lineRule="auto"/>
              <w:ind w:firstLine="480" w:firstLineChars="200"/>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en-US" w:eastAsia="zh-CN" w:bidi="ar-SA"/>
              </w:rPr>
              <w:t>需提供团队成员资格证书</w:t>
            </w:r>
            <w:r>
              <w:rPr>
                <w:rFonts w:hint="eastAsia" w:ascii="宋体" w:hAnsi="宋体" w:cs="宋体"/>
                <w:kern w:val="2"/>
                <w:sz w:val="24"/>
                <w:szCs w:val="24"/>
                <w:highlight w:val="none"/>
                <w:lang w:val="en-US" w:eastAsia="zh-CN" w:bidi="ar-SA"/>
              </w:rPr>
              <w:t>，</w:t>
            </w:r>
            <w:bookmarkStart w:id="45" w:name="_GoBack"/>
            <w:bookmarkEnd w:id="45"/>
            <w:r>
              <w:rPr>
                <w:rFonts w:hint="eastAsia" w:ascii="宋体" w:hAnsi="宋体" w:cs="宋体"/>
                <w:kern w:val="2"/>
                <w:sz w:val="24"/>
                <w:szCs w:val="24"/>
                <w:highlight w:val="none"/>
                <w:lang w:val="en-US" w:eastAsia="zh-CN" w:bidi="ar-SA"/>
              </w:rPr>
              <w:t>不提供</w:t>
            </w:r>
            <w:r>
              <w:rPr>
                <w:rFonts w:hint="eastAsia" w:ascii="宋体" w:hAnsi="宋体" w:eastAsia="宋体" w:cs="宋体"/>
                <w:kern w:val="2"/>
                <w:sz w:val="24"/>
                <w:szCs w:val="24"/>
                <w:highlight w:val="none"/>
                <w:lang w:val="en-US" w:eastAsia="zh-CN" w:bidi="ar-SA"/>
              </w:rPr>
              <w:t>不计分。</w:t>
            </w:r>
          </w:p>
        </w:tc>
      </w:tr>
    </w:tbl>
    <w:p w14:paraId="21051A1D">
      <w:pPr>
        <w:widowControl/>
        <w:kinsoku w:val="0"/>
        <w:autoSpaceDE w:val="0"/>
        <w:autoSpaceDN w:val="0"/>
        <w:adjustRightInd w:val="0"/>
        <w:snapToGrid w:val="0"/>
        <w:spacing w:line="500" w:lineRule="exact"/>
        <w:ind w:right="79"/>
        <w:jc w:val="left"/>
        <w:textAlignment w:val="baseline"/>
        <w:rPr>
          <w:rFonts w:hint="eastAsia" w:ascii="宋体" w:hAnsi="宋体" w:eastAsia="宋体" w:cs="宋体"/>
          <w:color w:val="auto"/>
          <w:spacing w:val="-1"/>
          <w:sz w:val="24"/>
          <w:szCs w:val="24"/>
        </w:rPr>
      </w:pPr>
    </w:p>
    <w:p w14:paraId="45CE7626">
      <w:pPr>
        <w:keepNext w:val="0"/>
        <w:keepLines w:val="0"/>
        <w:pageBreakBefore w:val="0"/>
        <w:widowControl/>
        <w:kinsoku/>
        <w:wordWrap/>
        <w:overflowPunct/>
        <w:topLinePunct w:val="0"/>
        <w:autoSpaceDE/>
        <w:autoSpaceDN/>
        <w:bidi w:val="0"/>
        <w:adjustRightInd/>
        <w:spacing w:line="400" w:lineRule="exact"/>
        <w:ind w:firstLine="482" w:firstLineChars="200"/>
        <w:jc w:val="left"/>
        <w:textAlignment w:val="baseline"/>
        <w:rPr>
          <w:rStyle w:val="34"/>
          <w:rFonts w:hint="eastAsia" w:ascii="宋体" w:hAnsi="宋体" w:eastAsia="宋体" w:cs="宋体"/>
          <w:b/>
          <w:bCs w:val="0"/>
          <w:color w:val="auto"/>
          <w:kern w:val="0"/>
          <w:sz w:val="24"/>
          <w:szCs w:val="24"/>
          <w:lang w:val="en-US" w:eastAsia="zh-CN" w:bidi="ar-SA"/>
        </w:rPr>
      </w:pPr>
      <w:bookmarkStart w:id="8" w:name="_Toc29118"/>
      <w:r>
        <w:rPr>
          <w:rStyle w:val="34"/>
          <w:rFonts w:hint="eastAsia" w:ascii="宋体" w:hAnsi="宋体" w:eastAsia="宋体" w:cs="宋体"/>
          <w:b/>
          <w:bCs w:val="0"/>
          <w:color w:val="auto"/>
          <w:kern w:val="0"/>
          <w:sz w:val="24"/>
          <w:szCs w:val="24"/>
          <w:lang w:val="en-US" w:eastAsia="zh-CN" w:bidi="ar-SA"/>
        </w:rPr>
        <w:t>备注：</w:t>
      </w:r>
    </w:p>
    <w:p w14:paraId="7DF9C197">
      <w:pPr>
        <w:keepNext w:val="0"/>
        <w:keepLines w:val="0"/>
        <w:pageBreakBefore w:val="0"/>
        <w:widowControl/>
        <w:kinsoku/>
        <w:wordWrap/>
        <w:overflowPunct/>
        <w:topLinePunct w:val="0"/>
        <w:autoSpaceDE/>
        <w:autoSpaceDN/>
        <w:bidi w:val="0"/>
        <w:adjustRightInd/>
        <w:spacing w:line="440" w:lineRule="exact"/>
        <w:ind w:firstLine="482" w:firstLineChars="200"/>
        <w:jc w:val="left"/>
        <w:textAlignment w:val="baseline"/>
        <w:rPr>
          <w:rStyle w:val="34"/>
          <w:rFonts w:hint="eastAsia" w:ascii="宋体" w:hAnsi="宋体" w:eastAsia="宋体" w:cs="宋体"/>
          <w:b/>
          <w:bCs w:val="0"/>
          <w:color w:val="auto"/>
          <w:kern w:val="0"/>
          <w:sz w:val="24"/>
          <w:szCs w:val="24"/>
          <w:highlight w:val="cyan"/>
          <w:lang w:val="en-US" w:eastAsia="zh-CN" w:bidi="ar-SA"/>
        </w:rPr>
      </w:pPr>
      <w:r>
        <w:rPr>
          <w:rStyle w:val="34"/>
          <w:rFonts w:hint="eastAsia" w:ascii="宋体" w:hAnsi="宋体" w:eastAsia="宋体" w:cs="宋体"/>
          <w:b/>
          <w:bCs w:val="0"/>
          <w:color w:val="auto"/>
          <w:kern w:val="0"/>
          <w:sz w:val="24"/>
          <w:szCs w:val="24"/>
          <w:lang w:val="en-US" w:eastAsia="zh-CN" w:bidi="ar-SA"/>
        </w:rPr>
        <w:t>1、评委可以根据各磋商响应文件编制的内容在各分项区间进行打分；以上</w:t>
      </w:r>
      <w:r>
        <w:rPr>
          <w:rStyle w:val="34"/>
          <w:rFonts w:hint="eastAsia" w:ascii="宋体" w:hAnsi="宋体" w:eastAsia="宋体" w:cs="宋体"/>
          <w:b/>
          <w:bCs w:val="0"/>
          <w:color w:val="auto"/>
          <w:kern w:val="0"/>
          <w:sz w:val="24"/>
          <w:szCs w:val="24"/>
          <w:highlight w:val="none"/>
          <w:lang w:val="en-US" w:eastAsia="zh-CN" w:bidi="ar-SA"/>
        </w:rPr>
        <w:t>项目若有缺项，该项为0分。供应商得分＝报价部分得分+</w:t>
      </w:r>
      <w:r>
        <w:rPr>
          <w:rStyle w:val="34"/>
          <w:rFonts w:hint="eastAsia" w:ascii="宋体" w:hAnsi="宋体" w:cs="宋体"/>
          <w:b/>
          <w:bCs w:val="0"/>
          <w:color w:val="auto"/>
          <w:kern w:val="0"/>
          <w:sz w:val="24"/>
          <w:szCs w:val="24"/>
          <w:highlight w:val="none"/>
          <w:lang w:val="en-US" w:eastAsia="zh-CN" w:bidi="ar-SA"/>
        </w:rPr>
        <w:t>商务部分</w:t>
      </w:r>
      <w:r>
        <w:rPr>
          <w:rStyle w:val="34"/>
          <w:rFonts w:hint="eastAsia" w:ascii="宋体" w:hAnsi="宋体" w:eastAsia="宋体" w:cs="宋体"/>
          <w:b/>
          <w:bCs w:val="0"/>
          <w:color w:val="auto"/>
          <w:kern w:val="0"/>
          <w:sz w:val="24"/>
          <w:szCs w:val="24"/>
          <w:highlight w:val="none"/>
          <w:lang w:val="en-US" w:eastAsia="zh-CN" w:bidi="ar-SA"/>
        </w:rPr>
        <w:t>得分+技术部分得分。</w:t>
      </w:r>
    </w:p>
    <w:p w14:paraId="5BE48289">
      <w:pPr>
        <w:keepNext w:val="0"/>
        <w:keepLines w:val="0"/>
        <w:pageBreakBefore w:val="0"/>
        <w:widowControl/>
        <w:kinsoku/>
        <w:wordWrap/>
        <w:overflowPunct/>
        <w:topLinePunct w:val="0"/>
        <w:autoSpaceDE/>
        <w:autoSpaceDN/>
        <w:bidi w:val="0"/>
        <w:adjustRightInd/>
        <w:spacing w:line="440" w:lineRule="exact"/>
        <w:ind w:firstLine="482" w:firstLineChars="200"/>
        <w:jc w:val="left"/>
        <w:textAlignment w:val="baseline"/>
        <w:rPr>
          <w:rStyle w:val="34"/>
          <w:rFonts w:hint="eastAsia" w:ascii="宋体" w:hAnsi="宋体" w:eastAsia="宋体" w:cs="宋体"/>
          <w:b/>
          <w:bCs w:val="0"/>
          <w:color w:val="auto"/>
          <w:kern w:val="0"/>
          <w:sz w:val="24"/>
          <w:szCs w:val="24"/>
          <w:lang w:val="en-US" w:eastAsia="zh-CN" w:bidi="ar-SA"/>
        </w:rPr>
      </w:pPr>
      <w:r>
        <w:rPr>
          <w:rStyle w:val="34"/>
          <w:rFonts w:hint="eastAsia" w:ascii="宋体" w:hAnsi="宋体" w:eastAsia="宋体" w:cs="宋体"/>
          <w:b/>
          <w:bCs w:val="0"/>
          <w:color w:val="auto"/>
          <w:kern w:val="0"/>
          <w:sz w:val="24"/>
          <w:szCs w:val="24"/>
          <w:lang w:val="en-US" w:eastAsia="zh-CN" w:bidi="ar-SA"/>
        </w:rPr>
        <w:t>2、潜在供应商提供资料必须真实、有效，一经发现有造假的，取消其</w:t>
      </w:r>
      <w:r>
        <w:rPr>
          <w:rStyle w:val="34"/>
          <w:rFonts w:hint="eastAsia" w:ascii="宋体" w:hAnsi="宋体" w:cs="宋体"/>
          <w:b/>
          <w:bCs w:val="0"/>
          <w:color w:val="auto"/>
          <w:kern w:val="0"/>
          <w:sz w:val="24"/>
          <w:szCs w:val="24"/>
          <w:lang w:val="en-US" w:eastAsia="zh-CN" w:bidi="ar-SA"/>
        </w:rPr>
        <w:t>成交</w:t>
      </w:r>
      <w:r>
        <w:rPr>
          <w:rStyle w:val="34"/>
          <w:rFonts w:hint="eastAsia" w:ascii="宋体" w:hAnsi="宋体" w:eastAsia="宋体" w:cs="宋体"/>
          <w:b/>
          <w:bCs w:val="0"/>
          <w:color w:val="auto"/>
          <w:kern w:val="0"/>
          <w:sz w:val="24"/>
          <w:szCs w:val="24"/>
          <w:lang w:val="en-US" w:eastAsia="zh-CN" w:bidi="ar-SA"/>
        </w:rPr>
        <w:t>资格。</w:t>
      </w:r>
    </w:p>
    <w:p w14:paraId="10B02B47">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1.评</w:t>
      </w:r>
      <w:r>
        <w:rPr>
          <w:rFonts w:hint="eastAsia" w:ascii="宋体" w:hAnsi="宋体" w:eastAsia="宋体" w:cs="宋体"/>
          <w:b/>
          <w:sz w:val="24"/>
          <w:lang w:val="en-US" w:eastAsia="zh-CN"/>
        </w:rPr>
        <w:t>审</w:t>
      </w:r>
      <w:r>
        <w:rPr>
          <w:rFonts w:hint="eastAsia" w:ascii="宋体" w:hAnsi="宋体" w:eastAsia="宋体" w:cs="宋体"/>
          <w:b/>
          <w:sz w:val="24"/>
        </w:rPr>
        <w:t>方法</w:t>
      </w:r>
    </w:p>
    <w:p w14:paraId="584CF79F">
      <w:pPr>
        <w:spacing w:line="360" w:lineRule="auto"/>
        <w:ind w:firstLine="480" w:firstLineChars="200"/>
        <w:rPr>
          <w:rFonts w:hint="eastAsia" w:ascii="宋体" w:hAnsi="宋体" w:eastAsia="宋体" w:cs="宋体"/>
          <w:sz w:val="24"/>
        </w:rPr>
      </w:pPr>
      <w:bookmarkStart w:id="9" w:name="_Toc449367501"/>
      <w:r>
        <w:rPr>
          <w:rFonts w:hint="eastAsia" w:ascii="宋体" w:hAnsi="宋体" w:eastAsia="宋体" w:cs="宋体"/>
          <w:sz w:val="24"/>
        </w:rPr>
        <w:t>本项目采用综合评分法进行评审，即在最大限度地满足竞争性磋商文件全部实质性要求且按评审因素的量化指标评审得分最高的供应商为成交候选供应商的评审方法。</w:t>
      </w:r>
    </w:p>
    <w:p w14:paraId="5C503534">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2.评审标准</w:t>
      </w:r>
      <w:bookmarkEnd w:id="9"/>
    </w:p>
    <w:p w14:paraId="4E126EB3">
      <w:pPr>
        <w:keepNext w:val="0"/>
        <w:keepLines w:val="0"/>
        <w:pageBreakBefore w:val="0"/>
        <w:widowControl/>
        <w:kinsoku/>
        <w:wordWrap/>
        <w:overflowPunct/>
        <w:topLinePunct w:val="0"/>
        <w:autoSpaceDE/>
        <w:autoSpaceDN/>
        <w:bidi w:val="0"/>
        <w:adjustRightInd/>
        <w:spacing w:line="480" w:lineRule="exact"/>
        <w:ind w:firstLine="482" w:firstLineChars="200"/>
        <w:jc w:val="left"/>
        <w:textAlignment w:val="baseline"/>
        <w:rPr>
          <w:rFonts w:hint="eastAsia" w:ascii="宋体" w:hAnsi="宋体" w:eastAsia="宋体" w:cs="宋体"/>
        </w:rPr>
      </w:pPr>
      <w:r>
        <w:rPr>
          <w:rFonts w:hint="eastAsia" w:ascii="宋体" w:hAnsi="宋体" w:eastAsia="宋体" w:cs="宋体"/>
          <w:b/>
          <w:sz w:val="24"/>
        </w:rPr>
        <w:t>2.1初步评审标准</w:t>
      </w:r>
    </w:p>
    <w:p w14:paraId="6B5B2841">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2.1.1</w:t>
      </w:r>
      <w:r>
        <w:rPr>
          <w:rFonts w:hint="eastAsia" w:ascii="宋体" w:hAnsi="宋体" w:eastAsia="宋体" w:cs="宋体"/>
          <w:sz w:val="24"/>
          <w:lang w:eastAsia="zh-CN"/>
        </w:rPr>
        <w:t>符合性</w:t>
      </w:r>
      <w:r>
        <w:rPr>
          <w:rFonts w:hint="eastAsia" w:ascii="宋体" w:hAnsi="宋体" w:eastAsia="宋体" w:cs="宋体"/>
          <w:sz w:val="24"/>
        </w:rPr>
        <w:t>评审标准：见</w:t>
      </w:r>
      <w:r>
        <w:rPr>
          <w:rFonts w:hint="eastAsia" w:ascii="宋体" w:hAnsi="宋体" w:cs="宋体"/>
          <w:sz w:val="24"/>
          <w:lang w:eastAsia="zh-CN"/>
        </w:rPr>
        <w:t>评审办法</w:t>
      </w:r>
      <w:r>
        <w:rPr>
          <w:rFonts w:hint="eastAsia" w:ascii="宋体" w:hAnsi="宋体" w:eastAsia="宋体" w:cs="宋体"/>
          <w:sz w:val="24"/>
        </w:rPr>
        <w:t>前附表。</w:t>
      </w:r>
    </w:p>
    <w:p w14:paraId="0B066256">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2.1.2资格评审标准：见</w:t>
      </w:r>
      <w:r>
        <w:rPr>
          <w:rFonts w:hint="eastAsia" w:ascii="宋体" w:hAnsi="宋体" w:cs="宋体"/>
          <w:sz w:val="24"/>
          <w:lang w:eastAsia="zh-CN"/>
        </w:rPr>
        <w:t>评审办法</w:t>
      </w:r>
      <w:r>
        <w:rPr>
          <w:rFonts w:hint="eastAsia" w:ascii="宋体" w:hAnsi="宋体" w:eastAsia="宋体" w:cs="宋体"/>
          <w:sz w:val="24"/>
        </w:rPr>
        <w:t>前附表。</w:t>
      </w:r>
    </w:p>
    <w:p w14:paraId="34C22509">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2.1.3响应性评审标准：见</w:t>
      </w:r>
      <w:r>
        <w:rPr>
          <w:rFonts w:hint="eastAsia" w:ascii="宋体" w:hAnsi="宋体" w:cs="宋体"/>
          <w:sz w:val="24"/>
          <w:lang w:eastAsia="zh-CN"/>
        </w:rPr>
        <w:t>评审办法</w:t>
      </w:r>
      <w:r>
        <w:rPr>
          <w:rFonts w:hint="eastAsia" w:ascii="宋体" w:hAnsi="宋体" w:eastAsia="宋体" w:cs="宋体"/>
          <w:sz w:val="24"/>
        </w:rPr>
        <w:t>前附表。</w:t>
      </w:r>
    </w:p>
    <w:p w14:paraId="23B01256">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2.2分值构成与评分标准</w:t>
      </w:r>
    </w:p>
    <w:p w14:paraId="733C9B93">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2.2.1分值构成</w:t>
      </w:r>
    </w:p>
    <w:p w14:paraId="1F0C0994">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报价得分：</w:t>
      </w:r>
      <w:r>
        <w:rPr>
          <w:rFonts w:hint="eastAsia" w:ascii="宋体" w:hAnsi="宋体" w:cs="宋体"/>
          <w:sz w:val="24"/>
          <w:lang w:val="en-US" w:eastAsia="zh-CN"/>
        </w:rPr>
        <w:t>20</w:t>
      </w:r>
      <w:r>
        <w:rPr>
          <w:rFonts w:hint="eastAsia" w:ascii="宋体" w:hAnsi="宋体" w:eastAsia="宋体" w:cs="宋体"/>
          <w:sz w:val="24"/>
          <w:lang w:val="en-US" w:eastAsia="zh-CN"/>
        </w:rPr>
        <w:t>分</w:t>
      </w:r>
    </w:p>
    <w:p w14:paraId="7327C482">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lang w:val="en-US"/>
        </w:rPr>
      </w:pPr>
      <w:r>
        <w:rPr>
          <w:rFonts w:hint="eastAsia" w:ascii="宋体" w:hAnsi="宋体" w:eastAsia="宋体" w:cs="宋体"/>
          <w:sz w:val="24"/>
        </w:rPr>
        <w:t>（2）技术</w:t>
      </w:r>
      <w:r>
        <w:rPr>
          <w:rFonts w:hint="eastAsia" w:ascii="宋体" w:hAnsi="宋体" w:eastAsia="宋体" w:cs="宋体"/>
          <w:sz w:val="24"/>
          <w:lang w:val="en-US" w:eastAsia="zh-CN"/>
        </w:rPr>
        <w:t>得分：</w:t>
      </w:r>
      <w:r>
        <w:rPr>
          <w:rFonts w:hint="eastAsia" w:ascii="宋体" w:hAnsi="宋体" w:cs="宋体"/>
          <w:sz w:val="24"/>
          <w:lang w:val="en-US" w:eastAsia="zh-CN"/>
        </w:rPr>
        <w:t>55</w:t>
      </w:r>
      <w:r>
        <w:rPr>
          <w:rFonts w:hint="eastAsia" w:ascii="宋体" w:hAnsi="宋体" w:eastAsia="宋体" w:cs="宋体"/>
          <w:sz w:val="24"/>
          <w:lang w:val="en-US" w:eastAsia="zh-CN"/>
        </w:rPr>
        <w:t>分</w:t>
      </w:r>
    </w:p>
    <w:p w14:paraId="5B1040BB">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highlight w:val="none"/>
          <w:lang w:val="en-US" w:eastAsia="zh-CN"/>
        </w:rPr>
      </w:pPr>
      <w:r>
        <w:rPr>
          <w:rFonts w:hint="eastAsia" w:ascii="宋体" w:hAnsi="宋体" w:eastAsia="宋体" w:cs="宋体"/>
          <w:sz w:val="24"/>
        </w:rPr>
        <w:t>（3）</w:t>
      </w:r>
      <w:r>
        <w:rPr>
          <w:rFonts w:hint="eastAsia" w:ascii="宋体" w:hAnsi="宋体" w:eastAsia="宋体" w:cs="宋体"/>
          <w:sz w:val="24"/>
          <w:highlight w:val="none"/>
        </w:rPr>
        <w:t>综合</w:t>
      </w:r>
      <w:r>
        <w:rPr>
          <w:rFonts w:hint="eastAsia" w:ascii="宋体" w:hAnsi="宋体" w:eastAsia="宋体" w:cs="宋体"/>
          <w:sz w:val="24"/>
          <w:highlight w:val="none"/>
          <w:lang w:val="en-US" w:eastAsia="zh-CN"/>
        </w:rPr>
        <w:t>得分：</w:t>
      </w:r>
      <w:r>
        <w:rPr>
          <w:rFonts w:hint="eastAsia" w:ascii="宋体" w:hAnsi="宋体" w:cs="宋体"/>
          <w:sz w:val="24"/>
          <w:highlight w:val="none"/>
          <w:lang w:val="en-US" w:eastAsia="zh-CN"/>
        </w:rPr>
        <w:t>25</w:t>
      </w:r>
      <w:r>
        <w:rPr>
          <w:rFonts w:hint="eastAsia" w:ascii="宋体" w:hAnsi="宋体" w:eastAsia="宋体" w:cs="宋体"/>
          <w:sz w:val="24"/>
          <w:highlight w:val="none"/>
          <w:lang w:val="en-US" w:eastAsia="zh-CN"/>
        </w:rPr>
        <w:t>分</w:t>
      </w:r>
    </w:p>
    <w:p w14:paraId="213A5E4B">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highlight w:val="none"/>
        </w:rPr>
      </w:pPr>
      <w:r>
        <w:rPr>
          <w:rFonts w:hint="eastAsia" w:ascii="宋体" w:hAnsi="宋体" w:eastAsia="宋体" w:cs="宋体"/>
          <w:b/>
          <w:sz w:val="24"/>
          <w:highlight w:val="none"/>
        </w:rPr>
        <w:t>2.2.</w:t>
      </w:r>
      <w:r>
        <w:rPr>
          <w:rFonts w:hint="eastAsia" w:ascii="宋体" w:hAnsi="宋体" w:eastAsia="宋体" w:cs="宋体"/>
          <w:b/>
          <w:sz w:val="24"/>
          <w:highlight w:val="none"/>
          <w:lang w:val="en-US" w:eastAsia="zh-CN"/>
        </w:rPr>
        <w:t>2</w:t>
      </w:r>
      <w:r>
        <w:rPr>
          <w:rFonts w:hint="eastAsia" w:ascii="宋体" w:hAnsi="宋体" w:eastAsia="宋体" w:cs="宋体"/>
          <w:b/>
          <w:sz w:val="24"/>
          <w:highlight w:val="none"/>
        </w:rPr>
        <w:t>评分标准</w:t>
      </w:r>
    </w:p>
    <w:p w14:paraId="0C2201F2">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highlight w:val="none"/>
        </w:rPr>
      </w:pPr>
      <w:r>
        <w:rPr>
          <w:rFonts w:hint="eastAsia" w:ascii="宋体" w:hAnsi="宋体" w:eastAsia="宋体" w:cs="宋体"/>
          <w:sz w:val="24"/>
          <w:highlight w:val="none"/>
        </w:rPr>
        <w:t>（1）报价部分：见</w:t>
      </w:r>
      <w:r>
        <w:rPr>
          <w:rFonts w:hint="eastAsia" w:ascii="宋体" w:hAnsi="宋体" w:cs="宋体"/>
          <w:sz w:val="24"/>
          <w:highlight w:val="none"/>
          <w:lang w:eastAsia="zh-CN"/>
        </w:rPr>
        <w:t>评审办法</w:t>
      </w:r>
      <w:r>
        <w:rPr>
          <w:rFonts w:hint="eastAsia" w:ascii="宋体" w:hAnsi="宋体" w:eastAsia="宋体" w:cs="宋体"/>
          <w:sz w:val="24"/>
          <w:highlight w:val="none"/>
        </w:rPr>
        <w:t>前附表；</w:t>
      </w:r>
    </w:p>
    <w:p w14:paraId="374BC4B5">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highlight w:val="none"/>
        </w:rPr>
      </w:pPr>
      <w:r>
        <w:rPr>
          <w:rFonts w:hint="eastAsia" w:ascii="宋体" w:hAnsi="宋体" w:eastAsia="宋体" w:cs="宋体"/>
          <w:sz w:val="24"/>
          <w:highlight w:val="none"/>
        </w:rPr>
        <w:t>（2）技术部分：见</w:t>
      </w:r>
      <w:r>
        <w:rPr>
          <w:rFonts w:hint="eastAsia" w:ascii="宋体" w:hAnsi="宋体" w:cs="宋体"/>
          <w:sz w:val="24"/>
          <w:highlight w:val="none"/>
          <w:lang w:eastAsia="zh-CN"/>
        </w:rPr>
        <w:t>评审办法</w:t>
      </w:r>
      <w:r>
        <w:rPr>
          <w:rFonts w:hint="eastAsia" w:ascii="宋体" w:hAnsi="宋体" w:eastAsia="宋体" w:cs="宋体"/>
          <w:sz w:val="24"/>
          <w:highlight w:val="none"/>
        </w:rPr>
        <w:t>前附表；</w:t>
      </w:r>
    </w:p>
    <w:p w14:paraId="6710CCF4">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highlight w:val="none"/>
        </w:rPr>
        <w:t>（3）</w:t>
      </w:r>
      <w:r>
        <w:rPr>
          <w:rFonts w:hint="eastAsia" w:ascii="宋体" w:hAnsi="宋体" w:cs="宋体"/>
          <w:sz w:val="24"/>
          <w:highlight w:val="none"/>
          <w:lang w:val="en-US" w:eastAsia="zh-CN"/>
        </w:rPr>
        <w:t>商务部分</w:t>
      </w:r>
      <w:r>
        <w:rPr>
          <w:rFonts w:hint="eastAsia" w:ascii="宋体" w:hAnsi="宋体" w:eastAsia="宋体" w:cs="宋体"/>
          <w:sz w:val="24"/>
          <w:highlight w:val="none"/>
        </w:rPr>
        <w:t>：见</w:t>
      </w:r>
      <w:r>
        <w:rPr>
          <w:rFonts w:hint="eastAsia" w:ascii="宋体" w:hAnsi="宋体" w:cs="宋体"/>
          <w:sz w:val="24"/>
          <w:highlight w:val="none"/>
          <w:lang w:eastAsia="zh-CN"/>
        </w:rPr>
        <w:t>评</w:t>
      </w:r>
      <w:r>
        <w:rPr>
          <w:rFonts w:hint="eastAsia" w:ascii="宋体" w:hAnsi="宋体" w:cs="宋体"/>
          <w:sz w:val="24"/>
          <w:lang w:eastAsia="zh-CN"/>
        </w:rPr>
        <w:t>审办法</w:t>
      </w:r>
      <w:r>
        <w:rPr>
          <w:rFonts w:hint="eastAsia" w:ascii="宋体" w:hAnsi="宋体" w:eastAsia="宋体" w:cs="宋体"/>
          <w:sz w:val="24"/>
        </w:rPr>
        <w:t>前附表；</w:t>
      </w:r>
    </w:p>
    <w:p w14:paraId="1B5C69F3">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bookmarkStart w:id="10" w:name="_Toc449367502"/>
      <w:r>
        <w:rPr>
          <w:rFonts w:hint="eastAsia" w:ascii="宋体" w:hAnsi="宋体" w:eastAsia="宋体" w:cs="宋体"/>
          <w:b/>
          <w:sz w:val="24"/>
        </w:rPr>
        <w:t>3.评标程序</w:t>
      </w:r>
      <w:bookmarkEnd w:id="10"/>
    </w:p>
    <w:p w14:paraId="344A840B">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3.1初步评审</w:t>
      </w:r>
    </w:p>
    <w:p w14:paraId="43858442">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3.1.1磋商小组依据本章第2.1项规定的评审标准对磋商响应文件进行初步评审。有一项不符合评审标准的，作废标处理。</w:t>
      </w:r>
    </w:p>
    <w:p w14:paraId="059054F1">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rPr>
      </w:pPr>
      <w:r>
        <w:rPr>
          <w:rFonts w:hint="eastAsia" w:ascii="宋体" w:hAnsi="宋体" w:eastAsia="宋体" w:cs="宋体"/>
          <w:sz w:val="24"/>
        </w:rPr>
        <w:t>3.1.2供应商有以下情形之一的，磋商小组应当否决其磋商响应文件：</w:t>
      </w:r>
    </w:p>
    <w:p w14:paraId="56F56CD0">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（1）未按磋商文件规定要求签署、盖章的；</w:t>
      </w:r>
    </w:p>
    <w:p w14:paraId="7ABE061B">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（2）供应商不按要求参加磋商的；</w:t>
      </w:r>
    </w:p>
    <w:p w14:paraId="747DC48A">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（3）有弄虚作假、串通、行贿等违法行为的；</w:t>
      </w:r>
    </w:p>
    <w:p w14:paraId="1526E6EE">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（4）响应内容与采购需求及采购项目要求有实质性偏离的；</w:t>
      </w:r>
    </w:p>
    <w:p w14:paraId="1ECF5FC1">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（5）同一供应商提交两个以上不同报价的；</w:t>
      </w:r>
    </w:p>
    <w:p w14:paraId="79E9BFDB">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（6）恶意提高（压低）报价或报价超过预算控制金额的；</w:t>
      </w:r>
    </w:p>
    <w:p w14:paraId="3F5BB958">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（7）</w:t>
      </w:r>
      <w:r>
        <w:rPr>
          <w:rFonts w:hint="eastAsia" w:ascii="宋体" w:hAnsi="宋体" w:eastAsia="宋体" w:cs="宋体"/>
          <w:kern w:val="0"/>
          <w:sz w:val="24"/>
          <w:szCs w:val="24"/>
          <w:highlight w:val="none"/>
        </w:rPr>
        <w:t>服务周期</w:t>
      </w:r>
      <w:r>
        <w:rPr>
          <w:rFonts w:hint="eastAsia" w:ascii="宋体" w:hAnsi="宋体" w:eastAsia="宋体" w:cs="宋体"/>
          <w:kern w:val="0"/>
          <w:sz w:val="24"/>
          <w:szCs w:val="24"/>
          <w:highlight w:val="none"/>
          <w:lang w:val="en-US" w:eastAsia="zh-CN"/>
        </w:rPr>
        <w:t>、质量要求</w:t>
      </w:r>
      <w:r>
        <w:rPr>
          <w:rFonts w:hint="eastAsia" w:ascii="宋体" w:hAnsi="宋体" w:eastAsia="宋体" w:cs="宋体"/>
          <w:sz w:val="24"/>
        </w:rPr>
        <w:t>不满足磋商文件要求的；</w:t>
      </w:r>
    </w:p>
    <w:p w14:paraId="16C39550">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（8）资格证明不全或者不具备磋商文件中规定的供应商资格要求的；</w:t>
      </w:r>
    </w:p>
    <w:p w14:paraId="1C371426">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（9）不符合法律、法规和磋商文件中规定的其他实质性要求的。</w:t>
      </w:r>
    </w:p>
    <w:p w14:paraId="1154B204">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3.1.3</w:t>
      </w:r>
      <w:r>
        <w:rPr>
          <w:rFonts w:hint="eastAsia" w:ascii="宋体" w:hAnsi="宋体" w:cs="宋体"/>
          <w:sz w:val="24"/>
          <w:lang w:eastAsia="zh-CN"/>
        </w:rPr>
        <w:t>磋商报价</w:t>
      </w:r>
      <w:r>
        <w:rPr>
          <w:rFonts w:hint="eastAsia" w:ascii="宋体" w:hAnsi="宋体" w:eastAsia="宋体" w:cs="宋体"/>
          <w:sz w:val="24"/>
        </w:rPr>
        <w:t>有算术错误的，磋商小组按以下原则对报价进行修正，修正的价格经供应商书面确认后具有约束力。供应商不接受修正价格的，其</w:t>
      </w:r>
      <w:r>
        <w:rPr>
          <w:rFonts w:hint="eastAsia" w:ascii="宋体" w:hAnsi="宋体" w:cs="宋体"/>
          <w:sz w:val="24"/>
          <w:lang w:eastAsia="zh-CN"/>
        </w:rPr>
        <w:t>响应</w:t>
      </w:r>
      <w:r>
        <w:rPr>
          <w:rFonts w:hint="eastAsia" w:ascii="宋体" w:hAnsi="宋体" w:eastAsia="宋体" w:cs="宋体"/>
          <w:sz w:val="24"/>
        </w:rPr>
        <w:t>作废标处理。</w:t>
      </w:r>
    </w:p>
    <w:p w14:paraId="21F67A99">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（2）大写金额和小写金额不一致的，以大写金额为准；</w:t>
      </w:r>
    </w:p>
    <w:p w14:paraId="29F257BB">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lang w:eastAsia="zh-CN"/>
        </w:rPr>
      </w:pPr>
      <w:r>
        <w:rPr>
          <w:rFonts w:hint="eastAsia" w:ascii="宋体" w:hAnsi="宋体" w:eastAsia="宋体" w:cs="宋体"/>
          <w:sz w:val="24"/>
        </w:rPr>
        <w:t>（3）单价金额小数点或者百分比有明显错位的，以报价一览表的总价为准，并修改单价；</w:t>
      </w:r>
    </w:p>
    <w:p w14:paraId="5AF39CCF">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lang w:eastAsia="zh-CN"/>
        </w:rPr>
      </w:pPr>
      <w:r>
        <w:rPr>
          <w:rFonts w:hint="eastAsia" w:ascii="宋体" w:hAnsi="宋体" w:eastAsia="宋体" w:cs="宋体"/>
          <w:sz w:val="24"/>
        </w:rPr>
        <w:t>（4）总价金额与按单价汇总金额不一致的，以单价金额计算结果为准。</w:t>
      </w:r>
    </w:p>
    <w:p w14:paraId="31FBFD0D">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同时出现两种以上不一致的，按照前款规定的顺序修正。</w:t>
      </w:r>
    </w:p>
    <w:p w14:paraId="7CF77B00">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lang w:eastAsia="zh-CN"/>
        </w:rPr>
      </w:pPr>
      <w:r>
        <w:rPr>
          <w:rFonts w:hint="eastAsia" w:ascii="宋体" w:hAnsi="宋体" w:eastAsia="宋体" w:cs="宋体"/>
          <w:b/>
          <w:sz w:val="24"/>
        </w:rPr>
        <w:t>3.2详细评审</w:t>
      </w:r>
    </w:p>
    <w:p w14:paraId="671164A2">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3.2.1磋商小组按本章第2.2款规定的量化因素和分值进行打分，并计算出综合评估得分。</w:t>
      </w:r>
      <w:r>
        <w:rPr>
          <w:rFonts w:hint="eastAsia" w:ascii="宋体" w:hAnsi="宋体" w:eastAsia="宋体" w:cs="宋体"/>
          <w:b/>
          <w:sz w:val="24"/>
        </w:rPr>
        <w:t>每个供应商最终得分为各评委打分的算术平均值。</w:t>
      </w:r>
    </w:p>
    <w:p w14:paraId="25B19B5E">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3.2.2评分分值计算保留小数点后两位，小数点后第三位“四舍五入”。</w:t>
      </w:r>
    </w:p>
    <w:p w14:paraId="57F3D334">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3.2.3磋商小组汇总供应商的各项得分，相加后为供应商最终得分。</w:t>
      </w:r>
    </w:p>
    <w:p w14:paraId="21A6CDA9">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lang w:val="en-US" w:eastAsia="zh-CN"/>
        </w:rPr>
        <w:t>3.2.4本项目有</w:t>
      </w:r>
      <w:r>
        <w:rPr>
          <w:rFonts w:hint="eastAsia" w:ascii="宋体" w:hAnsi="宋体" w:eastAsia="宋体" w:cs="宋体"/>
          <w:sz w:val="24"/>
        </w:rPr>
        <w:t>最后报价（</w:t>
      </w:r>
      <w:r>
        <w:rPr>
          <w:rFonts w:hint="eastAsia" w:ascii="宋体" w:hAnsi="宋体" w:eastAsia="宋体" w:cs="宋体"/>
          <w:sz w:val="24"/>
          <w:lang w:val="en-US" w:eastAsia="zh-CN"/>
        </w:rPr>
        <w:t>第</w:t>
      </w:r>
      <w:r>
        <w:rPr>
          <w:rFonts w:hint="eastAsia" w:ascii="宋体" w:hAnsi="宋体" w:eastAsia="宋体" w:cs="宋体"/>
          <w:sz w:val="24"/>
        </w:rPr>
        <w:t>二轮报价）</w:t>
      </w:r>
      <w:r>
        <w:rPr>
          <w:rFonts w:hint="eastAsia" w:ascii="宋体" w:hAnsi="宋体" w:eastAsia="宋体" w:cs="宋体"/>
          <w:sz w:val="24"/>
          <w:lang w:eastAsia="zh-CN"/>
        </w:rPr>
        <w:t>，</w:t>
      </w:r>
      <w:r>
        <w:rPr>
          <w:rFonts w:hint="eastAsia" w:ascii="宋体" w:hAnsi="宋体" w:eastAsia="宋体" w:cs="宋体"/>
          <w:sz w:val="24"/>
        </w:rPr>
        <w:t>最后报价（</w:t>
      </w:r>
      <w:r>
        <w:rPr>
          <w:rFonts w:hint="eastAsia" w:ascii="宋体" w:hAnsi="宋体" w:eastAsia="宋体" w:cs="宋体"/>
          <w:sz w:val="24"/>
          <w:lang w:val="en-US" w:eastAsia="zh-CN"/>
        </w:rPr>
        <w:t>第</w:t>
      </w:r>
      <w:r>
        <w:rPr>
          <w:rFonts w:hint="eastAsia" w:ascii="宋体" w:hAnsi="宋体" w:eastAsia="宋体" w:cs="宋体"/>
          <w:sz w:val="24"/>
        </w:rPr>
        <w:t>二轮报价）是供应商响应文件的有效组成部分。</w:t>
      </w:r>
    </w:p>
    <w:p w14:paraId="69834E56">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rPr>
      </w:pPr>
      <w:r>
        <w:rPr>
          <w:rFonts w:hint="eastAsia" w:ascii="宋体" w:hAnsi="宋体" w:eastAsia="宋体" w:cs="宋体"/>
          <w:sz w:val="24"/>
        </w:rPr>
        <w:t>3.2.</w:t>
      </w:r>
      <w:r>
        <w:rPr>
          <w:rFonts w:hint="eastAsia" w:ascii="宋体" w:hAnsi="宋体" w:cs="宋体"/>
          <w:sz w:val="24"/>
          <w:lang w:val="en-US" w:eastAsia="zh-CN"/>
        </w:rPr>
        <w:t>5</w:t>
      </w:r>
      <w:r>
        <w:rPr>
          <w:rFonts w:hint="eastAsia" w:ascii="宋体" w:hAnsi="宋体" w:eastAsia="宋体" w:cs="宋体"/>
          <w:sz w:val="24"/>
        </w:rPr>
        <w:t>若磋商小组认为供应商的报价明显低于其他通过符合性审查供应商的报价，有可能影响产品质量或者不能诚信履约的，应当要求其在合理的时间内提供书面说明，必要时提交相关证明材料；供应商不能证明其报价合理性的，磋商小组应当将其作为无效磋商响应文件处理。</w:t>
      </w:r>
    </w:p>
    <w:p w14:paraId="255EC738">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3.3磋商响应文件的澄清和补正</w:t>
      </w:r>
    </w:p>
    <w:p w14:paraId="542A618D">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3.3.1在评标过程中，磋商小组可以书面形式要求供应商对所提交磋商响应文件中不明确的内容进行书面澄清或说明，或者对细微偏差进行补正。磋商小组不接受供应商主动提出的澄清、说明或补正。</w:t>
      </w:r>
    </w:p>
    <w:p w14:paraId="7ED801F8">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3.3.2澄清、说明和补正不得改变磋商响应文件的实质性内容（算术性错误修正的除外）。供应商的书面澄清、说明和补正属于磋商响应文件的组成部分。</w:t>
      </w:r>
    </w:p>
    <w:p w14:paraId="307036C8">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3.3.3磋商小组对供应商提交的澄清、说明或补正有疑问的，可以要求供应商进一步澄清、说明或补正，直至满足磋商小组的要求。</w:t>
      </w:r>
    </w:p>
    <w:p w14:paraId="0D25BA6F">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b/>
          <w:sz w:val="24"/>
        </w:rPr>
      </w:pPr>
      <w:r>
        <w:rPr>
          <w:rFonts w:hint="eastAsia" w:ascii="宋体" w:hAnsi="宋体" w:eastAsia="宋体" w:cs="宋体"/>
          <w:b/>
          <w:sz w:val="24"/>
        </w:rPr>
        <w:t>3.4定标办法</w:t>
      </w:r>
    </w:p>
    <w:p w14:paraId="183EF1C5">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3.4.1磋商小组按照上述办法打分，最后按照各供应商最终得分从高到低排序。</w:t>
      </w:r>
    </w:p>
    <w:p w14:paraId="35D6AA8E">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3.4.2磋商小组完成评标后，应当向采购人提交书面评</w:t>
      </w:r>
      <w:r>
        <w:rPr>
          <w:rFonts w:hint="eastAsia" w:ascii="宋体" w:hAnsi="宋体" w:eastAsia="宋体" w:cs="宋体"/>
          <w:sz w:val="24"/>
          <w:lang w:val="en-US" w:eastAsia="zh-CN"/>
        </w:rPr>
        <w:t>审</w:t>
      </w:r>
      <w:r>
        <w:rPr>
          <w:rFonts w:hint="eastAsia" w:ascii="宋体" w:hAnsi="宋体" w:eastAsia="宋体" w:cs="宋体"/>
          <w:sz w:val="24"/>
        </w:rPr>
        <w:t>报告。向采购人推荐</w:t>
      </w:r>
      <w:r>
        <w:rPr>
          <w:rFonts w:hint="eastAsia" w:ascii="宋体" w:hAnsi="宋体" w:eastAsia="宋体" w:cs="宋体"/>
          <w:sz w:val="24"/>
          <w:lang w:val="en-US" w:eastAsia="zh-CN"/>
        </w:rPr>
        <w:t>1</w:t>
      </w:r>
      <w:r>
        <w:rPr>
          <w:rFonts w:hint="eastAsia" w:ascii="宋体" w:hAnsi="宋体" w:cs="宋体"/>
          <w:sz w:val="24"/>
          <w:lang w:val="en-US" w:eastAsia="zh-CN"/>
        </w:rPr>
        <w:t>-</w:t>
      </w:r>
      <w:r>
        <w:rPr>
          <w:rFonts w:hint="eastAsia" w:ascii="宋体" w:hAnsi="宋体" w:eastAsia="宋体" w:cs="宋体"/>
          <w:sz w:val="24"/>
        </w:rPr>
        <w:t>3家成交候选人，得分最高的供应商为第一成交候选人，得分第二的供应商为第二成交候选人。</w:t>
      </w:r>
    </w:p>
    <w:p w14:paraId="105CE058">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3.4.3按供应商得分由高到低排序，采购人应当确定排名第一的成交候选人为成交人。排名第一的成交候选人放弃</w:t>
      </w:r>
      <w:r>
        <w:rPr>
          <w:rFonts w:hint="eastAsia" w:ascii="宋体" w:hAnsi="宋体" w:cs="宋体"/>
          <w:sz w:val="24"/>
          <w:lang w:eastAsia="zh-CN"/>
        </w:rPr>
        <w:t>成交</w:t>
      </w:r>
      <w:r>
        <w:rPr>
          <w:rFonts w:hint="eastAsia" w:ascii="宋体" w:hAnsi="宋体" w:eastAsia="宋体" w:cs="宋体"/>
          <w:sz w:val="24"/>
        </w:rPr>
        <w:t>、因不可抗力不能履行合同，或者被查实存在影响成交结果的违法行为等情形，不符合成交条件的，采购人可以按照磋商小组提出的成交候选人名单排序依次确定其他成交候选人为成交供应商，也可以重新</w:t>
      </w:r>
      <w:r>
        <w:rPr>
          <w:rFonts w:hint="eastAsia" w:ascii="宋体" w:hAnsi="宋体" w:cs="宋体"/>
          <w:sz w:val="24"/>
          <w:lang w:eastAsia="zh-CN"/>
        </w:rPr>
        <w:t>磋商</w:t>
      </w:r>
      <w:r>
        <w:rPr>
          <w:rFonts w:hint="eastAsia" w:ascii="宋体" w:hAnsi="宋体" w:eastAsia="宋体" w:cs="宋体"/>
          <w:sz w:val="24"/>
        </w:rPr>
        <w:t>。</w:t>
      </w:r>
    </w:p>
    <w:p w14:paraId="305F7A84">
      <w:pPr>
        <w:keepNext w:val="0"/>
        <w:keepLines w:val="0"/>
        <w:pageBreakBefore w:val="0"/>
        <w:widowControl/>
        <w:kinsoku/>
        <w:wordWrap/>
        <w:overflowPunct/>
        <w:topLinePunct w:val="0"/>
        <w:autoSpaceDE/>
        <w:autoSpaceDN/>
        <w:bidi w:val="0"/>
        <w:adjustRightInd/>
        <w:snapToGrid w:val="0"/>
        <w:spacing w:line="480" w:lineRule="exact"/>
        <w:ind w:right="31" w:rightChars="15" w:firstLine="482" w:firstLineChars="200"/>
        <w:textAlignment w:val="baseline"/>
        <w:rPr>
          <w:rFonts w:hint="eastAsia" w:ascii="宋体" w:hAnsi="宋体" w:eastAsia="宋体" w:cs="宋体"/>
          <w:sz w:val="24"/>
        </w:rPr>
      </w:pPr>
      <w:bookmarkStart w:id="11" w:name="_Toc449367503"/>
      <w:r>
        <w:rPr>
          <w:rFonts w:hint="eastAsia" w:ascii="宋体" w:hAnsi="宋体" w:eastAsia="宋体" w:cs="宋体"/>
          <w:b/>
          <w:sz w:val="24"/>
        </w:rPr>
        <w:t>4.评标报告</w:t>
      </w:r>
      <w:bookmarkEnd w:id="11"/>
    </w:p>
    <w:p w14:paraId="44E0229F">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rPr>
      </w:pPr>
      <w:r>
        <w:rPr>
          <w:rFonts w:hint="eastAsia" w:ascii="宋体" w:hAnsi="宋体" w:eastAsia="宋体" w:cs="宋体"/>
          <w:sz w:val="24"/>
        </w:rPr>
        <w:t>磋商小组根据供应商须知前附表的规定向采购人提交评标报告。评标报告应当由磋商小组</w:t>
      </w:r>
      <w:r>
        <w:rPr>
          <w:rFonts w:hint="eastAsia" w:ascii="宋体" w:hAnsi="宋体" w:eastAsia="宋体" w:cs="宋体"/>
          <w:sz w:val="24"/>
          <w:lang w:val="en-US" w:eastAsia="zh-CN"/>
        </w:rPr>
        <w:t>全体</w:t>
      </w:r>
      <w:r>
        <w:rPr>
          <w:rFonts w:hint="eastAsia" w:ascii="宋体" w:hAnsi="宋体" w:eastAsia="宋体" w:cs="宋体"/>
          <w:sz w:val="24"/>
        </w:rPr>
        <w:t>成员签字，并于</w:t>
      </w:r>
      <w:r>
        <w:rPr>
          <w:rFonts w:hint="eastAsia" w:ascii="宋体" w:hAnsi="宋体" w:eastAsia="宋体" w:cs="宋体"/>
          <w:sz w:val="24"/>
          <w:lang w:val="en-US" w:eastAsia="zh-CN"/>
        </w:rPr>
        <w:t>评审</w:t>
      </w:r>
      <w:r>
        <w:rPr>
          <w:rFonts w:hint="eastAsia" w:ascii="宋体" w:hAnsi="宋体" w:eastAsia="宋体" w:cs="宋体"/>
          <w:sz w:val="24"/>
        </w:rPr>
        <w:t>结束后抄送有关行政监督部门。</w:t>
      </w:r>
    </w:p>
    <w:p w14:paraId="1E0E7933">
      <w:pPr>
        <w:keepNext w:val="0"/>
        <w:keepLines w:val="0"/>
        <w:pageBreakBefore w:val="0"/>
        <w:widowControl/>
        <w:kinsoku/>
        <w:wordWrap/>
        <w:overflowPunct/>
        <w:topLinePunct w:val="0"/>
        <w:autoSpaceDE/>
        <w:autoSpaceDN/>
        <w:bidi w:val="0"/>
        <w:adjustRightInd/>
        <w:snapToGrid w:val="0"/>
        <w:spacing w:line="480" w:lineRule="exact"/>
        <w:ind w:right="31" w:rightChars="15" w:firstLine="480" w:firstLineChars="200"/>
        <w:textAlignment w:val="baseline"/>
        <w:rPr>
          <w:rFonts w:hint="eastAsia" w:ascii="宋体" w:hAnsi="宋体" w:eastAsia="宋体" w:cs="宋体"/>
          <w:sz w:val="24"/>
          <w:lang w:eastAsia="zh-CN"/>
        </w:rPr>
      </w:pPr>
      <w:r>
        <w:rPr>
          <w:rFonts w:hint="eastAsia" w:ascii="宋体" w:hAnsi="宋体" w:eastAsia="宋体" w:cs="宋体"/>
          <w:sz w:val="24"/>
        </w:rPr>
        <w:t>对评标结论具有异议的，磋商小组成员可以书面方式阐述其不同意见和理由。磋商小组成员拒绝在评标报告上签字且不陈述其不同意见和理由的，视为同意评标结论。磋商小组应当对此作出书面说明并记录在案。</w:t>
      </w:r>
    </w:p>
    <w:p w14:paraId="1F0EF89E">
      <w:pPr>
        <w:rPr>
          <w:rFonts w:hint="eastAsia" w:ascii="宋体" w:hAnsi="宋体" w:eastAsia="宋体" w:cs="宋体"/>
          <w:color w:val="auto"/>
          <w:sz w:val="40"/>
          <w:szCs w:val="40"/>
        </w:rPr>
      </w:pPr>
      <w:bookmarkStart w:id="12" w:name="_Toc31439"/>
      <w:r>
        <w:rPr>
          <w:rFonts w:hint="eastAsia" w:ascii="宋体" w:hAnsi="宋体" w:eastAsia="宋体" w:cs="宋体"/>
          <w:color w:val="auto"/>
          <w:sz w:val="40"/>
          <w:szCs w:val="40"/>
        </w:rPr>
        <w:br w:type="page"/>
      </w:r>
    </w:p>
    <w:p w14:paraId="658B8AE9">
      <w:pPr>
        <w:pStyle w:val="3"/>
        <w:keepNext w:val="0"/>
        <w:keepLines w:val="0"/>
        <w:spacing w:before="0" w:after="0" w:line="500" w:lineRule="exact"/>
        <w:jc w:val="center"/>
        <w:rPr>
          <w:rFonts w:hint="eastAsia" w:ascii="宋体" w:hAnsi="宋体" w:eastAsia="宋体" w:cs="宋体"/>
          <w:color w:val="auto"/>
          <w:sz w:val="40"/>
          <w:szCs w:val="40"/>
        </w:rPr>
      </w:pPr>
      <w:r>
        <w:rPr>
          <w:rFonts w:hint="eastAsia" w:ascii="宋体" w:hAnsi="宋体" w:eastAsia="宋体" w:cs="宋体"/>
          <w:color w:val="auto"/>
          <w:sz w:val="40"/>
          <w:szCs w:val="40"/>
        </w:rPr>
        <w:t>第五章</w:t>
      </w:r>
      <w:bookmarkStart w:id="13" w:name="_Toc269828236"/>
      <w:r>
        <w:rPr>
          <w:rFonts w:hint="eastAsia" w:ascii="宋体" w:hAnsi="宋体" w:eastAsia="宋体" w:cs="宋体"/>
          <w:color w:val="auto"/>
          <w:sz w:val="40"/>
          <w:szCs w:val="40"/>
        </w:rPr>
        <w:t xml:space="preserve"> 合同主要条款</w:t>
      </w:r>
      <w:bookmarkEnd w:id="13"/>
      <w:r>
        <w:rPr>
          <w:rFonts w:hint="eastAsia" w:ascii="宋体" w:hAnsi="宋体" w:eastAsia="宋体" w:cs="宋体"/>
          <w:color w:val="auto"/>
          <w:sz w:val="40"/>
          <w:szCs w:val="40"/>
        </w:rPr>
        <w:t>及格式</w:t>
      </w:r>
      <w:bookmarkEnd w:id="8"/>
      <w:bookmarkEnd w:id="12"/>
    </w:p>
    <w:p w14:paraId="43164426">
      <w:pPr>
        <w:spacing w:line="360" w:lineRule="auto"/>
        <w:jc w:val="center"/>
        <w:textAlignment w:val="baseline"/>
        <w:rPr>
          <w:rFonts w:hint="eastAsia" w:ascii="宋体" w:hAnsi="宋体" w:eastAsia="宋体" w:cs="宋体"/>
          <w:b/>
          <w:bCs/>
          <w:kern w:val="0"/>
          <w:sz w:val="24"/>
          <w:szCs w:val="24"/>
        </w:rPr>
      </w:pPr>
    </w:p>
    <w:p w14:paraId="7463EBEC">
      <w:pPr>
        <w:spacing w:line="360" w:lineRule="auto"/>
        <w:jc w:val="center"/>
        <w:textAlignment w:val="baseline"/>
        <w:rPr>
          <w:rFonts w:hint="eastAsia" w:ascii="宋体" w:hAnsi="宋体" w:eastAsia="宋体" w:cs="宋体"/>
          <w:b/>
          <w:bCs/>
          <w:kern w:val="0"/>
          <w:sz w:val="24"/>
          <w:szCs w:val="24"/>
        </w:rPr>
      </w:pPr>
    </w:p>
    <w:p w14:paraId="121C15C4">
      <w:pPr>
        <w:pStyle w:val="11"/>
        <w:numPr>
          <w:ilvl w:val="0"/>
          <w:numId w:val="0"/>
        </w:numPr>
        <w:ind w:leftChars="0"/>
        <w:jc w:val="center"/>
        <w:rPr>
          <w:rFonts w:hint="eastAsia" w:ascii="宋体" w:hAnsi="宋体" w:eastAsia="宋体" w:cs="宋体"/>
          <w:lang w:eastAsia="zh-CN"/>
        </w:rPr>
      </w:pPr>
      <w:r>
        <w:rPr>
          <w:rFonts w:hint="eastAsia" w:ascii="宋体" w:hAnsi="宋体" w:eastAsia="宋体" w:cs="宋体"/>
          <w:lang w:val="en-US" w:eastAsia="zh-CN"/>
        </w:rPr>
        <w:t>以实际签订合同为准</w:t>
      </w:r>
    </w:p>
    <w:p w14:paraId="38F94A67">
      <w:pPr>
        <w:rPr>
          <w:rFonts w:hint="eastAsia" w:ascii="宋体" w:hAnsi="宋体" w:eastAsia="宋体" w:cs="宋体"/>
          <w:b/>
          <w:bCs/>
          <w:color w:val="auto"/>
          <w:sz w:val="40"/>
          <w:szCs w:val="40"/>
        </w:rPr>
      </w:pPr>
      <w:r>
        <w:rPr>
          <w:rFonts w:hint="eastAsia" w:ascii="宋体" w:hAnsi="宋体" w:eastAsia="宋体" w:cs="宋体"/>
          <w:b/>
          <w:bCs/>
          <w:color w:val="auto"/>
          <w:sz w:val="40"/>
          <w:szCs w:val="40"/>
        </w:rPr>
        <w:br w:type="page"/>
      </w:r>
    </w:p>
    <w:p w14:paraId="1D44F845">
      <w:pPr>
        <w:spacing w:line="360" w:lineRule="auto"/>
        <w:jc w:val="center"/>
        <w:textAlignment w:val="baseline"/>
        <w:outlineLvl w:val="0"/>
        <w:rPr>
          <w:rFonts w:hint="eastAsia" w:ascii="宋体" w:hAnsi="宋体" w:eastAsia="宋体" w:cs="宋体"/>
          <w:b/>
          <w:bCs/>
          <w:color w:val="auto"/>
          <w:sz w:val="40"/>
          <w:szCs w:val="40"/>
        </w:rPr>
      </w:pPr>
      <w:bookmarkStart w:id="14" w:name="_Toc21640"/>
      <w:r>
        <w:rPr>
          <w:rFonts w:hint="eastAsia" w:ascii="宋体" w:hAnsi="宋体" w:eastAsia="宋体" w:cs="宋体"/>
          <w:b/>
          <w:bCs/>
          <w:color w:val="auto"/>
          <w:sz w:val="40"/>
          <w:szCs w:val="40"/>
        </w:rPr>
        <w:t xml:space="preserve">第六章 </w:t>
      </w:r>
      <w:r>
        <w:rPr>
          <w:rFonts w:hint="eastAsia" w:ascii="宋体" w:hAnsi="宋体" w:eastAsia="宋体" w:cs="宋体"/>
          <w:b/>
          <w:bCs/>
          <w:color w:val="auto"/>
          <w:sz w:val="40"/>
          <w:szCs w:val="40"/>
          <w:lang w:val="en-US" w:eastAsia="zh-CN"/>
        </w:rPr>
        <w:t>响应</w:t>
      </w:r>
      <w:r>
        <w:rPr>
          <w:rFonts w:hint="eastAsia" w:ascii="宋体" w:hAnsi="宋体" w:eastAsia="宋体" w:cs="宋体"/>
          <w:b/>
          <w:bCs/>
          <w:color w:val="auto"/>
          <w:sz w:val="40"/>
          <w:szCs w:val="40"/>
        </w:rPr>
        <w:t>文件格式</w:t>
      </w:r>
      <w:bookmarkEnd w:id="14"/>
    </w:p>
    <w:p w14:paraId="5D115FDB">
      <w:pPr>
        <w:pStyle w:val="4"/>
        <w:ind w:left="0" w:leftChars="0" w:firstLine="0" w:firstLineChars="0"/>
        <w:outlineLvl w:val="9"/>
        <w:rPr>
          <w:rFonts w:hint="eastAsia" w:ascii="宋体" w:hAnsi="宋体" w:eastAsia="宋体" w:cs="宋体"/>
        </w:rPr>
      </w:pPr>
    </w:p>
    <w:p w14:paraId="6C19F528">
      <w:pPr>
        <w:widowControl/>
        <w:spacing w:line="360" w:lineRule="auto"/>
        <w:jc w:val="center"/>
        <w:rPr>
          <w:rFonts w:hint="eastAsia" w:ascii="宋体" w:hAnsi="宋体" w:eastAsia="宋体" w:cs="宋体"/>
          <w:b/>
          <w:bCs/>
          <w:color w:val="auto"/>
          <w:sz w:val="36"/>
          <w:szCs w:val="36"/>
          <w:u w:val="none"/>
          <w:lang w:val="en-US"/>
        </w:rPr>
      </w:pPr>
      <w:r>
        <w:rPr>
          <w:rFonts w:hint="eastAsia" w:ascii="宋体" w:hAnsi="宋体" w:eastAsia="宋体" w:cs="宋体"/>
          <w:b/>
          <w:bCs/>
          <w:color w:val="auto"/>
          <w:spacing w:val="0"/>
          <w:w w:val="100"/>
          <w:kern w:val="2"/>
          <w:sz w:val="36"/>
          <w:szCs w:val="36"/>
          <w:u w:val="single"/>
          <w:lang w:val="en-US" w:eastAsia="zh-CN"/>
        </w:rPr>
        <w:t xml:space="preserve">                    </w:t>
      </w:r>
      <w:r>
        <w:rPr>
          <w:rFonts w:hint="eastAsia" w:ascii="宋体" w:hAnsi="宋体" w:eastAsia="宋体" w:cs="宋体"/>
          <w:b/>
          <w:bCs/>
          <w:color w:val="auto"/>
          <w:spacing w:val="0"/>
          <w:w w:val="100"/>
          <w:kern w:val="2"/>
          <w:sz w:val="36"/>
          <w:szCs w:val="36"/>
          <w:u w:val="none"/>
          <w:lang w:val="en-US" w:eastAsia="zh-CN"/>
        </w:rPr>
        <w:t>（项目名称）</w:t>
      </w:r>
    </w:p>
    <w:p w14:paraId="52AC8A0C">
      <w:pPr>
        <w:pStyle w:val="18"/>
        <w:ind w:firstLine="210"/>
        <w:rPr>
          <w:rFonts w:hint="eastAsia" w:ascii="宋体" w:hAnsi="宋体" w:eastAsia="宋体" w:cs="宋体"/>
          <w:color w:val="auto"/>
        </w:rPr>
      </w:pPr>
    </w:p>
    <w:p w14:paraId="71CFFC85">
      <w:pPr>
        <w:widowControl/>
        <w:spacing w:line="360" w:lineRule="auto"/>
        <w:jc w:val="center"/>
        <w:rPr>
          <w:rFonts w:hint="eastAsia" w:ascii="宋体" w:hAnsi="宋体" w:eastAsia="宋体" w:cs="宋体"/>
          <w:b/>
          <w:bCs/>
          <w:color w:val="auto"/>
          <w:kern w:val="0"/>
          <w:sz w:val="84"/>
          <w:szCs w:val="84"/>
          <w:lang w:val="en-US" w:eastAsia="zh-CN"/>
        </w:rPr>
      </w:pPr>
    </w:p>
    <w:p w14:paraId="4991F3B0">
      <w:pPr>
        <w:widowControl/>
        <w:spacing w:line="360" w:lineRule="auto"/>
        <w:jc w:val="center"/>
        <w:rPr>
          <w:rFonts w:hint="eastAsia" w:ascii="宋体" w:hAnsi="宋体" w:eastAsia="宋体" w:cs="宋体"/>
          <w:b/>
          <w:bCs/>
          <w:color w:val="auto"/>
          <w:kern w:val="0"/>
          <w:sz w:val="84"/>
          <w:szCs w:val="84"/>
        </w:rPr>
      </w:pPr>
      <w:r>
        <w:rPr>
          <w:rFonts w:hint="eastAsia" w:ascii="宋体" w:hAnsi="宋体" w:eastAsia="宋体" w:cs="宋体"/>
          <w:b/>
          <w:bCs/>
          <w:color w:val="auto"/>
          <w:kern w:val="0"/>
          <w:sz w:val="84"/>
          <w:szCs w:val="84"/>
          <w:lang w:val="en-US" w:eastAsia="zh-CN"/>
        </w:rPr>
        <w:t>响 应</w:t>
      </w:r>
      <w:r>
        <w:rPr>
          <w:rFonts w:hint="eastAsia" w:ascii="宋体" w:hAnsi="宋体" w:eastAsia="宋体" w:cs="宋体"/>
          <w:b/>
          <w:bCs/>
          <w:color w:val="auto"/>
          <w:kern w:val="0"/>
          <w:sz w:val="84"/>
          <w:szCs w:val="84"/>
        </w:rPr>
        <w:t xml:space="preserve"> 文 件</w:t>
      </w:r>
    </w:p>
    <w:p w14:paraId="38E7148E">
      <w:pPr>
        <w:spacing w:line="360" w:lineRule="auto"/>
        <w:rPr>
          <w:rFonts w:hint="eastAsia" w:ascii="宋体" w:hAnsi="宋体" w:eastAsia="宋体" w:cs="宋体"/>
          <w:b/>
          <w:bCs/>
          <w:color w:val="auto"/>
          <w:sz w:val="32"/>
          <w:szCs w:val="32"/>
        </w:rPr>
      </w:pPr>
    </w:p>
    <w:p w14:paraId="71909D2E">
      <w:pPr>
        <w:ind w:firstLine="2891" w:firstLineChars="900"/>
        <w:rPr>
          <w:rFonts w:hint="default" w:ascii="宋体" w:hAnsi="宋体" w:eastAsia="宋体" w:cs="宋体"/>
          <w:bCs/>
          <w:color w:val="auto"/>
          <w:sz w:val="30"/>
          <w:szCs w:val="30"/>
          <w:u w:val="single"/>
          <w:lang w:val="en-US" w:eastAsia="zh-CN"/>
        </w:rPr>
      </w:pPr>
      <w:r>
        <w:rPr>
          <w:rFonts w:hint="eastAsia" w:ascii="宋体" w:hAnsi="宋体" w:eastAsia="宋体" w:cs="宋体"/>
          <w:b/>
          <w:bCs/>
          <w:color w:val="auto"/>
          <w:sz w:val="32"/>
          <w:szCs w:val="32"/>
        </w:rPr>
        <w:t>项目编号:</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u w:val="single"/>
          <w:lang w:val="en-US" w:eastAsia="zh-CN"/>
        </w:rPr>
        <w:t xml:space="preserve">            </w:t>
      </w:r>
    </w:p>
    <w:p w14:paraId="54CE6B7B">
      <w:pPr>
        <w:ind w:firstLine="1807" w:firstLineChars="600"/>
        <w:rPr>
          <w:rFonts w:hint="eastAsia" w:ascii="宋体" w:hAnsi="宋体" w:eastAsia="宋体" w:cs="宋体"/>
          <w:b/>
          <w:bCs/>
          <w:color w:val="auto"/>
          <w:sz w:val="32"/>
          <w:szCs w:val="32"/>
        </w:rPr>
      </w:pPr>
      <w:r>
        <w:rPr>
          <w:rFonts w:hint="eastAsia" w:ascii="宋体" w:hAnsi="宋体" w:eastAsia="宋体" w:cs="宋体"/>
          <w:b/>
          <w:bCs/>
          <w:color w:val="auto"/>
          <w:sz w:val="30"/>
          <w:szCs w:val="30"/>
          <w:lang w:eastAsia="zh-CN"/>
        </w:rPr>
        <w:t xml:space="preserve">    </w:t>
      </w:r>
    </w:p>
    <w:p w14:paraId="2DDE17F2">
      <w:pPr>
        <w:spacing w:line="480" w:lineRule="auto"/>
        <w:rPr>
          <w:rFonts w:hint="eastAsia" w:ascii="宋体" w:hAnsi="宋体" w:eastAsia="宋体" w:cs="宋体"/>
          <w:b/>
          <w:bCs/>
          <w:color w:val="auto"/>
          <w:sz w:val="28"/>
          <w:szCs w:val="28"/>
        </w:rPr>
      </w:pPr>
    </w:p>
    <w:p w14:paraId="162AA538">
      <w:pPr>
        <w:pStyle w:val="18"/>
        <w:ind w:firstLine="210"/>
        <w:rPr>
          <w:rFonts w:hint="eastAsia" w:ascii="宋体" w:hAnsi="宋体" w:eastAsia="宋体" w:cs="宋体"/>
          <w:color w:val="auto"/>
        </w:rPr>
      </w:pPr>
    </w:p>
    <w:p w14:paraId="6CD87999">
      <w:pPr>
        <w:pStyle w:val="18"/>
        <w:ind w:firstLine="0" w:firstLineChars="0"/>
        <w:rPr>
          <w:rFonts w:hint="eastAsia" w:ascii="宋体" w:hAnsi="宋体" w:eastAsia="宋体" w:cs="宋体"/>
          <w:color w:val="auto"/>
        </w:rPr>
      </w:pPr>
    </w:p>
    <w:p w14:paraId="032E273D">
      <w:pPr>
        <w:spacing w:line="480" w:lineRule="auto"/>
        <w:rPr>
          <w:rFonts w:hint="eastAsia" w:ascii="宋体" w:hAnsi="宋体" w:eastAsia="宋体" w:cs="宋体"/>
          <w:color w:val="auto"/>
          <w:sz w:val="28"/>
          <w:szCs w:val="28"/>
        </w:rPr>
      </w:pPr>
    </w:p>
    <w:p w14:paraId="249746E9">
      <w:pPr>
        <w:pStyle w:val="18"/>
        <w:ind w:firstLine="210"/>
        <w:rPr>
          <w:rFonts w:hint="eastAsia" w:ascii="宋体" w:hAnsi="宋体" w:eastAsia="宋体" w:cs="宋体"/>
          <w:color w:val="auto"/>
        </w:rPr>
      </w:pPr>
    </w:p>
    <w:p w14:paraId="56B43B47">
      <w:pPr>
        <w:pStyle w:val="4"/>
        <w:ind w:left="0" w:leftChars="0" w:firstLine="0" w:firstLineChars="0"/>
        <w:outlineLvl w:val="9"/>
        <w:rPr>
          <w:rFonts w:hint="eastAsia" w:ascii="宋体" w:hAnsi="宋体" w:eastAsia="宋体" w:cs="宋体"/>
          <w:color w:val="auto"/>
        </w:rPr>
      </w:pPr>
    </w:p>
    <w:p w14:paraId="1F9C0CC3">
      <w:pPr>
        <w:spacing w:line="360" w:lineRule="auto"/>
        <w:ind w:firstLine="1280" w:firstLineChars="400"/>
        <w:jc w:val="both"/>
        <w:rPr>
          <w:rFonts w:hint="eastAsia" w:ascii="宋体" w:hAnsi="宋体" w:eastAsia="宋体" w:cs="宋体"/>
          <w:sz w:val="32"/>
          <w:szCs w:val="32"/>
        </w:rPr>
      </w:pPr>
      <w:r>
        <w:rPr>
          <w:rFonts w:hint="eastAsia" w:ascii="宋体" w:hAnsi="宋体" w:eastAsia="宋体" w:cs="宋体"/>
          <w:sz w:val="32"/>
          <w:szCs w:val="32"/>
        </w:rPr>
        <w:t>供应商名称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rPr>
        <w:t>（盖章）</w:t>
      </w:r>
    </w:p>
    <w:p w14:paraId="5FF90D94">
      <w:pPr>
        <w:spacing w:line="360" w:lineRule="auto"/>
        <w:jc w:val="center"/>
        <w:rPr>
          <w:rFonts w:hint="eastAsia" w:ascii="宋体" w:hAnsi="宋体" w:eastAsia="宋体" w:cs="宋体"/>
          <w:sz w:val="32"/>
          <w:szCs w:val="32"/>
        </w:rPr>
      </w:pP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法定代表人：</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none"/>
        </w:rPr>
        <w:t>（</w:t>
      </w:r>
      <w:r>
        <w:rPr>
          <w:rFonts w:hint="eastAsia" w:ascii="宋体" w:hAnsi="宋体" w:eastAsia="宋体" w:cs="宋体"/>
          <w:sz w:val="32"/>
          <w:szCs w:val="32"/>
        </w:rPr>
        <w:t>签字或盖章）</w:t>
      </w:r>
    </w:p>
    <w:p w14:paraId="7EF3ED21">
      <w:pPr>
        <w:jc w:val="center"/>
        <w:rPr>
          <w:rFonts w:hint="eastAsia" w:ascii="宋体" w:hAnsi="宋体" w:eastAsia="宋体" w:cs="宋体"/>
          <w:sz w:val="32"/>
          <w:szCs w:val="32"/>
        </w:rPr>
      </w:pPr>
      <w:r>
        <w:rPr>
          <w:rFonts w:hint="eastAsia" w:ascii="宋体" w:hAnsi="宋体" w:eastAsia="宋体" w:cs="宋体"/>
          <w:sz w:val="32"/>
          <w:szCs w:val="32"/>
        </w:rPr>
        <w:t>年  月  日</w:t>
      </w:r>
    </w:p>
    <w:p w14:paraId="6F72F1F6">
      <w:pPr>
        <w:rPr>
          <w:rFonts w:hint="eastAsia" w:ascii="宋体" w:hAnsi="宋体" w:eastAsia="宋体" w:cs="宋体"/>
          <w:color w:val="auto"/>
        </w:rPr>
      </w:pPr>
    </w:p>
    <w:p w14:paraId="547F319D">
      <w:pPr>
        <w:spacing w:line="360" w:lineRule="auto"/>
        <w:ind w:firstLine="1066" w:firstLineChars="295"/>
        <w:jc w:val="center"/>
        <w:rPr>
          <w:rFonts w:hint="eastAsia" w:ascii="宋体" w:hAnsi="宋体" w:eastAsia="宋体" w:cs="宋体"/>
          <w:b/>
          <w:bCs/>
          <w:color w:val="auto"/>
          <w:sz w:val="36"/>
          <w:szCs w:val="36"/>
        </w:rPr>
      </w:pPr>
    </w:p>
    <w:p w14:paraId="457ABEBA">
      <w:pPr>
        <w:spacing w:line="360" w:lineRule="auto"/>
        <w:jc w:val="center"/>
        <w:rPr>
          <w:rFonts w:hint="eastAsia" w:ascii="宋体" w:hAnsi="宋体" w:eastAsia="宋体" w:cs="宋体"/>
          <w:b/>
          <w:bCs/>
          <w:color w:val="auto"/>
          <w:sz w:val="36"/>
          <w:szCs w:val="36"/>
        </w:rPr>
      </w:pPr>
    </w:p>
    <w:p w14:paraId="0E8A05A1">
      <w:pPr>
        <w:rPr>
          <w:rFonts w:hint="eastAsia" w:ascii="宋体" w:hAnsi="宋体" w:eastAsia="宋体" w:cs="宋体"/>
          <w:b/>
          <w:bCs/>
          <w:color w:val="auto"/>
          <w:sz w:val="36"/>
          <w:szCs w:val="36"/>
        </w:rPr>
      </w:pPr>
      <w:r>
        <w:rPr>
          <w:rFonts w:hint="eastAsia" w:ascii="宋体" w:hAnsi="宋体" w:eastAsia="宋体" w:cs="宋体"/>
          <w:b/>
          <w:bCs/>
          <w:color w:val="auto"/>
          <w:sz w:val="36"/>
          <w:szCs w:val="36"/>
        </w:rPr>
        <w:br w:type="page"/>
      </w:r>
    </w:p>
    <w:p w14:paraId="6FE1B650">
      <w:pPr>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目录</w:t>
      </w:r>
    </w:p>
    <w:p w14:paraId="1AC995E3">
      <w:pPr>
        <w:spacing w:line="360" w:lineRule="auto"/>
        <w:rPr>
          <w:rFonts w:hint="eastAsia" w:ascii="宋体" w:hAnsi="宋体" w:eastAsia="宋体" w:cs="宋体"/>
          <w:bCs/>
          <w:color w:val="auto"/>
          <w:sz w:val="24"/>
          <w:szCs w:val="24"/>
        </w:rPr>
      </w:pPr>
    </w:p>
    <w:p w14:paraId="456165DE">
      <w:pPr>
        <w:spacing w:beforeLines="100" w:line="510" w:lineRule="exact"/>
        <w:ind w:left="1260" w:leftChars="600"/>
        <w:rPr>
          <w:rFonts w:hint="eastAsia" w:ascii="宋体" w:hAnsi="宋体" w:eastAsia="宋体" w:cs="宋体"/>
          <w:sz w:val="24"/>
          <w:lang w:val="zh-CN"/>
        </w:rPr>
      </w:pPr>
      <w:r>
        <w:rPr>
          <w:rFonts w:hint="eastAsia" w:ascii="宋体" w:hAnsi="宋体" w:eastAsia="宋体" w:cs="宋体"/>
          <w:sz w:val="24"/>
          <w:lang w:val="zh-CN"/>
        </w:rPr>
        <w:t>一、响应函及响应函附录</w:t>
      </w:r>
    </w:p>
    <w:p w14:paraId="636CD175">
      <w:pPr>
        <w:spacing w:beforeLines="100" w:line="510" w:lineRule="exact"/>
        <w:ind w:left="1260" w:leftChars="600"/>
        <w:rPr>
          <w:rFonts w:hint="eastAsia" w:ascii="宋体" w:hAnsi="宋体" w:eastAsia="宋体" w:cs="宋体"/>
          <w:sz w:val="24"/>
          <w:lang w:val="zh-CN"/>
        </w:rPr>
      </w:pPr>
      <w:r>
        <w:rPr>
          <w:rFonts w:hint="eastAsia" w:ascii="宋体" w:hAnsi="宋体" w:eastAsia="宋体" w:cs="宋体"/>
          <w:sz w:val="24"/>
          <w:lang w:val="zh-CN"/>
        </w:rPr>
        <w:t>二、法定代表人身份证明</w:t>
      </w:r>
    </w:p>
    <w:p w14:paraId="01CD80E3">
      <w:pPr>
        <w:spacing w:beforeLines="100" w:line="510" w:lineRule="exact"/>
        <w:ind w:left="1260" w:leftChars="600"/>
        <w:rPr>
          <w:rFonts w:hint="eastAsia" w:ascii="宋体" w:hAnsi="宋体" w:eastAsia="宋体" w:cs="宋体"/>
          <w:sz w:val="24"/>
          <w:lang w:val="zh-CN"/>
        </w:rPr>
      </w:pPr>
      <w:r>
        <w:rPr>
          <w:rFonts w:hint="eastAsia" w:ascii="宋体" w:hAnsi="宋体" w:eastAsia="宋体" w:cs="宋体"/>
          <w:sz w:val="24"/>
          <w:lang w:val="zh-CN"/>
        </w:rPr>
        <w:t>三、授权委托书</w:t>
      </w:r>
    </w:p>
    <w:p w14:paraId="1C488BC6">
      <w:pPr>
        <w:spacing w:beforeLines="100" w:line="510" w:lineRule="exact"/>
        <w:ind w:left="1260" w:leftChars="600"/>
        <w:rPr>
          <w:rFonts w:hint="eastAsia" w:ascii="宋体" w:hAnsi="宋体" w:eastAsia="宋体" w:cs="宋体"/>
          <w:sz w:val="24"/>
        </w:rPr>
      </w:pPr>
      <w:r>
        <w:rPr>
          <w:rFonts w:hint="eastAsia" w:ascii="宋体" w:hAnsi="宋体" w:eastAsia="宋体" w:cs="宋体"/>
          <w:sz w:val="24"/>
          <w:lang w:val="zh-CN"/>
        </w:rPr>
        <w:t>四、</w:t>
      </w:r>
      <w:r>
        <w:rPr>
          <w:rFonts w:hint="eastAsia" w:ascii="宋体" w:hAnsi="宋体" w:eastAsia="宋体" w:cs="宋体"/>
          <w:sz w:val="24"/>
        </w:rPr>
        <w:t>资格审查</w:t>
      </w:r>
    </w:p>
    <w:p w14:paraId="64EA0422">
      <w:pPr>
        <w:spacing w:beforeLines="100" w:line="510" w:lineRule="exact"/>
        <w:ind w:left="1260" w:leftChars="600"/>
        <w:rPr>
          <w:rFonts w:hint="eastAsia" w:ascii="宋体" w:hAnsi="宋体" w:eastAsia="宋体" w:cs="宋体"/>
          <w:sz w:val="24"/>
          <w:lang w:val="zh-CN"/>
        </w:rPr>
      </w:pPr>
      <w:r>
        <w:rPr>
          <w:rFonts w:hint="eastAsia" w:ascii="宋体" w:hAnsi="宋体" w:eastAsia="宋体" w:cs="宋体"/>
          <w:sz w:val="24"/>
          <w:lang w:val="zh-CN"/>
        </w:rPr>
        <w:t>五、供应商基本情况表</w:t>
      </w:r>
    </w:p>
    <w:p w14:paraId="31228A66">
      <w:pPr>
        <w:spacing w:beforeLines="100" w:line="510" w:lineRule="exact"/>
        <w:ind w:left="1260" w:leftChars="600"/>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zh-CN"/>
        </w:rPr>
        <w:t>、</w:t>
      </w:r>
      <w:r>
        <w:rPr>
          <w:rFonts w:hint="eastAsia" w:ascii="宋体" w:hAnsi="宋体" w:eastAsia="宋体" w:cs="宋体"/>
          <w:sz w:val="24"/>
        </w:rPr>
        <w:t>技术部分</w:t>
      </w:r>
    </w:p>
    <w:p w14:paraId="25058B38">
      <w:pPr>
        <w:spacing w:beforeLines="100" w:line="510" w:lineRule="exact"/>
        <w:ind w:left="1260" w:leftChars="600"/>
        <w:rPr>
          <w:rFonts w:hint="eastAsia" w:ascii="宋体" w:hAnsi="宋体" w:eastAsia="宋体" w:cs="宋体"/>
          <w:sz w:val="24"/>
          <w:lang w:val="zh-CN"/>
        </w:rPr>
      </w:pPr>
      <w:r>
        <w:rPr>
          <w:rFonts w:hint="eastAsia" w:ascii="宋体" w:hAnsi="宋体" w:eastAsia="宋体" w:cs="宋体"/>
          <w:sz w:val="24"/>
        </w:rPr>
        <w:t>七</w:t>
      </w:r>
      <w:r>
        <w:rPr>
          <w:rFonts w:hint="eastAsia" w:ascii="宋体" w:hAnsi="宋体" w:eastAsia="宋体" w:cs="宋体"/>
          <w:sz w:val="24"/>
          <w:lang w:val="zh-CN"/>
        </w:rPr>
        <w:t>、</w:t>
      </w:r>
      <w:r>
        <w:rPr>
          <w:rFonts w:hint="eastAsia" w:ascii="宋体" w:hAnsi="宋体" w:eastAsia="宋体" w:cs="宋体"/>
          <w:sz w:val="24"/>
        </w:rPr>
        <w:t>商务部分</w:t>
      </w:r>
    </w:p>
    <w:p w14:paraId="4EEF6407">
      <w:pPr>
        <w:spacing w:beforeLines="100" w:line="510" w:lineRule="exact"/>
        <w:ind w:left="1260" w:leftChars="600"/>
        <w:rPr>
          <w:rFonts w:hint="eastAsia" w:ascii="宋体" w:hAnsi="宋体" w:eastAsia="宋体" w:cs="宋体"/>
          <w:sz w:val="24"/>
        </w:rPr>
      </w:pPr>
      <w:r>
        <w:rPr>
          <w:rFonts w:hint="eastAsia" w:ascii="宋体" w:hAnsi="宋体" w:eastAsia="宋体" w:cs="宋体"/>
          <w:sz w:val="24"/>
        </w:rPr>
        <w:t>八</w:t>
      </w:r>
      <w:r>
        <w:rPr>
          <w:rFonts w:hint="eastAsia" w:ascii="宋体" w:hAnsi="宋体" w:eastAsia="宋体" w:cs="宋体"/>
          <w:sz w:val="24"/>
          <w:lang w:val="zh-CN"/>
        </w:rPr>
        <w:t>、其他内容</w:t>
      </w:r>
    </w:p>
    <w:p w14:paraId="6D891448">
      <w:pPr>
        <w:spacing w:beforeLines="100" w:line="510" w:lineRule="exact"/>
        <w:rPr>
          <w:rFonts w:hint="eastAsia" w:ascii="宋体" w:hAnsi="宋体" w:eastAsia="宋体" w:cs="宋体"/>
          <w:sz w:val="24"/>
        </w:rPr>
      </w:pPr>
    </w:p>
    <w:p w14:paraId="7C2EA436">
      <w:pPr>
        <w:spacing w:beforeLines="100" w:line="510" w:lineRule="exact"/>
        <w:rPr>
          <w:rFonts w:hint="eastAsia" w:ascii="宋体" w:hAnsi="宋体" w:eastAsia="宋体" w:cs="宋体"/>
          <w:sz w:val="24"/>
        </w:rPr>
      </w:pPr>
    </w:p>
    <w:p w14:paraId="6E01BF64">
      <w:pPr>
        <w:spacing w:beforeLines="100" w:line="510" w:lineRule="exact"/>
        <w:rPr>
          <w:rFonts w:hint="eastAsia" w:ascii="宋体" w:hAnsi="宋体" w:eastAsia="宋体" w:cs="宋体"/>
          <w:sz w:val="24"/>
        </w:rPr>
      </w:pPr>
    </w:p>
    <w:p w14:paraId="18FDACF3">
      <w:pPr>
        <w:spacing w:beforeLines="100" w:line="510" w:lineRule="exact"/>
        <w:rPr>
          <w:rFonts w:hint="eastAsia" w:ascii="宋体" w:hAnsi="宋体" w:eastAsia="宋体" w:cs="宋体"/>
          <w:sz w:val="24"/>
        </w:rPr>
      </w:pPr>
    </w:p>
    <w:p w14:paraId="11247053">
      <w:pPr>
        <w:spacing w:beforeLines="100" w:line="510" w:lineRule="exact"/>
        <w:rPr>
          <w:rFonts w:hint="eastAsia" w:ascii="宋体" w:hAnsi="宋体" w:eastAsia="宋体" w:cs="宋体"/>
          <w:sz w:val="24"/>
        </w:rPr>
      </w:pPr>
      <w:r>
        <w:rPr>
          <w:rFonts w:hint="eastAsia" w:ascii="宋体" w:hAnsi="宋体" w:eastAsia="宋体" w:cs="宋体"/>
          <w:sz w:val="24"/>
        </w:rPr>
        <w:br w:type="page"/>
      </w:r>
    </w:p>
    <w:p w14:paraId="00399DD9">
      <w:pPr>
        <w:pStyle w:val="4"/>
        <w:pageBreakBefore w:val="0"/>
        <w:widowControl w:val="0"/>
        <w:kinsoku/>
        <w:overflowPunct/>
        <w:autoSpaceDE/>
        <w:autoSpaceDN/>
        <w:bidi w:val="0"/>
        <w:adjustRightInd/>
        <w:spacing w:before="0" w:beforeAutospacing="0" w:after="0" w:afterAutospacing="0" w:line="480" w:lineRule="auto"/>
        <w:rPr>
          <w:rFonts w:hint="eastAsia"/>
          <w:lang w:val="en-US" w:eastAsia="zh-CN"/>
        </w:rPr>
      </w:pPr>
      <w:bookmarkStart w:id="15" w:name="_Toc384309419"/>
      <w:bookmarkStart w:id="16" w:name="_Toc374947247"/>
      <w:bookmarkStart w:id="17" w:name="_Toc375041569"/>
      <w:bookmarkStart w:id="18" w:name="_Toc375040623"/>
      <w:bookmarkStart w:id="19" w:name="_Toc375040687"/>
      <w:bookmarkStart w:id="20" w:name="_Toc375041763"/>
      <w:bookmarkStart w:id="21" w:name="_Toc375041320"/>
      <w:r>
        <w:rPr>
          <w:rFonts w:hint="eastAsia"/>
          <w:lang w:val="en-US" w:eastAsia="zh-CN"/>
        </w:rPr>
        <w:t>一、响应函及</w:t>
      </w:r>
      <w:bookmarkEnd w:id="15"/>
      <w:bookmarkEnd w:id="16"/>
      <w:bookmarkEnd w:id="17"/>
      <w:bookmarkEnd w:id="18"/>
      <w:bookmarkEnd w:id="19"/>
      <w:bookmarkEnd w:id="20"/>
      <w:bookmarkEnd w:id="21"/>
      <w:r>
        <w:rPr>
          <w:rFonts w:hint="eastAsia"/>
          <w:lang w:val="en-US" w:eastAsia="zh-CN"/>
        </w:rPr>
        <w:t>响应函附录</w:t>
      </w:r>
    </w:p>
    <w:p w14:paraId="53633F02">
      <w:pPr>
        <w:pageBreakBefore w:val="0"/>
        <w:widowControl w:val="0"/>
        <w:kinsoku/>
        <w:overflowPunct/>
        <w:autoSpaceDE/>
        <w:autoSpaceDN/>
        <w:bidi w:val="0"/>
        <w:adjustRightInd/>
        <w:spacing w:beforeAutospacing="0" w:afterAutospacing="0" w:line="480" w:lineRule="auto"/>
        <w:jc w:val="center"/>
        <w:rPr>
          <w:rFonts w:hint="eastAsia" w:ascii="宋体" w:hAnsi="宋体" w:eastAsia="宋体" w:cs="宋体"/>
          <w:b/>
          <w:sz w:val="24"/>
        </w:rPr>
      </w:pPr>
      <w:bookmarkStart w:id="22" w:name="_Toc375041321"/>
      <w:bookmarkStart w:id="23" w:name="_Toc375041570"/>
      <w:r>
        <w:rPr>
          <w:rFonts w:hint="eastAsia" w:ascii="宋体" w:hAnsi="宋体" w:eastAsia="宋体" w:cs="宋体"/>
          <w:b/>
          <w:sz w:val="24"/>
        </w:rPr>
        <w:t>（一）响应函</w:t>
      </w:r>
      <w:bookmarkEnd w:id="22"/>
      <w:bookmarkEnd w:id="23"/>
    </w:p>
    <w:p w14:paraId="20139CF7">
      <w:pPr>
        <w:pageBreakBefore w:val="0"/>
        <w:widowControl w:val="0"/>
        <w:kinsoku/>
        <w:overflowPunct/>
        <w:autoSpaceDE/>
        <w:autoSpaceDN/>
        <w:bidi w:val="0"/>
        <w:adjustRightInd/>
        <w:spacing w:beforeAutospacing="0" w:afterAutospacing="0" w:line="480" w:lineRule="auto"/>
        <w:rPr>
          <w:rFonts w:hint="eastAsia" w:ascii="宋体" w:hAnsi="宋体" w:eastAsia="宋体" w:cs="宋体"/>
          <w:sz w:val="24"/>
          <w:szCs w:val="24"/>
          <w:u w:val="single"/>
          <w:lang w:bidi="zh-CN"/>
        </w:rPr>
      </w:pPr>
      <w:r>
        <w:rPr>
          <w:rFonts w:hint="eastAsia" w:ascii="宋体" w:hAnsi="宋体" w:eastAsia="宋体" w:cs="宋体"/>
          <w:sz w:val="24"/>
          <w:szCs w:val="24"/>
          <w:u w:val="single"/>
          <w:lang w:bidi="zh-CN"/>
        </w:rPr>
        <w:t>致：</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u w:val="single"/>
          <w:lang w:bidi="zh-CN"/>
        </w:rPr>
        <w:t>（采购人名称）：</w:t>
      </w:r>
    </w:p>
    <w:p w14:paraId="678AE868">
      <w:pPr>
        <w:pageBreakBefore w:val="0"/>
        <w:widowControl w:val="0"/>
        <w:numPr>
          <w:ilvl w:val="0"/>
          <w:numId w:val="3"/>
        </w:numPr>
        <w:kinsoku/>
        <w:wordWrap w:val="0"/>
        <w:overflowPunct/>
        <w:topLinePunct/>
        <w:autoSpaceDE/>
        <w:autoSpaceDN/>
        <w:bidi w:val="0"/>
        <w:adjustRightInd/>
        <w:snapToGrid w:val="0"/>
        <w:spacing w:beforeAutospacing="0" w:afterAutospacing="0" w:line="48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bidi="zh-CN"/>
        </w:rPr>
        <w:t>我方已仔细研究了</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u w:val="single"/>
          <w:lang w:bidi="zh-CN"/>
        </w:rPr>
        <w:t>（项目名称）</w:t>
      </w:r>
      <w:r>
        <w:rPr>
          <w:rFonts w:hint="eastAsia" w:ascii="宋体" w:hAnsi="宋体" w:eastAsia="宋体" w:cs="宋体"/>
          <w:sz w:val="24"/>
          <w:szCs w:val="24"/>
          <w:lang w:bidi="zh-CN"/>
        </w:rPr>
        <w:t>磋商文件的全部内容，愿以报价</w:t>
      </w:r>
      <w:r>
        <w:rPr>
          <w:rFonts w:hint="eastAsia" w:ascii="宋体" w:hAnsi="宋体" w:eastAsia="宋体" w:cs="宋体"/>
          <w:sz w:val="24"/>
          <w:szCs w:val="24"/>
          <w:lang w:val="en-US" w:bidi="zh-CN"/>
        </w:rPr>
        <w:t xml:space="preserve"> </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val="en-US" w:bidi="zh-CN"/>
        </w:rPr>
        <w:t xml:space="preserve"> </w:t>
      </w:r>
      <w:r>
        <w:rPr>
          <w:rFonts w:hint="eastAsia" w:ascii="宋体" w:hAnsi="宋体" w:eastAsia="宋体" w:cs="宋体"/>
          <w:sz w:val="24"/>
          <w:szCs w:val="24"/>
          <w:lang w:bidi="zh-CN"/>
        </w:rPr>
        <w:t>（大写）</w:t>
      </w:r>
      <w:r>
        <w:rPr>
          <w:rFonts w:hint="eastAsia" w:ascii="宋体" w:hAnsi="宋体" w:eastAsia="宋体" w:cs="宋体"/>
          <w:sz w:val="24"/>
          <w:szCs w:val="24"/>
          <w:lang w:val="en-US" w:bidi="zh-CN"/>
        </w:rPr>
        <w:t xml:space="preserve"> </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bidi="zh-CN"/>
        </w:rPr>
        <w:t>（小写），对本项目进行第一轮报价；服务</w:t>
      </w:r>
      <w:r>
        <w:rPr>
          <w:rFonts w:hint="eastAsia" w:ascii="宋体" w:hAnsi="宋体" w:cs="宋体"/>
          <w:sz w:val="24"/>
          <w:szCs w:val="24"/>
          <w:lang w:val="en-US" w:bidi="zh-CN"/>
        </w:rPr>
        <w:t>周期</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bidi="zh-CN"/>
        </w:rPr>
        <w:t>，质量要求</w:t>
      </w:r>
      <w:r>
        <w:rPr>
          <w:rFonts w:hint="eastAsia" w:ascii="宋体" w:hAnsi="宋体" w:eastAsia="宋体" w:cs="宋体"/>
          <w:sz w:val="24"/>
          <w:szCs w:val="24"/>
          <w:lang w:val="en-US" w:bidi="zh-CN"/>
        </w:rPr>
        <w:t xml:space="preserve"> </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bidi="zh-CN"/>
        </w:rPr>
        <w:t>。</w:t>
      </w:r>
    </w:p>
    <w:p w14:paraId="6742A730">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u w:val="single"/>
          <w:lang w:bidi="zh-CN"/>
        </w:rPr>
      </w:pPr>
      <w:r>
        <w:rPr>
          <w:rFonts w:hint="eastAsia" w:ascii="宋体" w:hAnsi="宋体" w:eastAsia="宋体" w:cs="宋体"/>
          <w:sz w:val="24"/>
          <w:szCs w:val="24"/>
          <w:lang w:bidi="zh-CN"/>
        </w:rPr>
        <w:t>2．我方承诺在响应文件递交截止之日起</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bidi="zh-CN"/>
        </w:rPr>
        <w:t>日历天内不修改、撤销响应文件。</w:t>
      </w:r>
    </w:p>
    <w:p w14:paraId="4E0A4F0A">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3．我方已详细审阅全部竞争性磋商文件，包括修改文件（如果有的话），及有关附件，我方完全知道必须放弃提出含糊不清或误解的权力。</w:t>
      </w:r>
    </w:p>
    <w:p w14:paraId="3ABD7AC6">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4. 我方承认</w:t>
      </w:r>
      <w:r>
        <w:rPr>
          <w:rFonts w:hint="eastAsia" w:ascii="宋体" w:hAnsi="宋体" w:cs="宋体"/>
          <w:sz w:val="24"/>
          <w:szCs w:val="24"/>
          <w:highlight w:val="none"/>
          <w:lang w:val="en-US" w:bidi="zh-CN"/>
        </w:rPr>
        <w:t>响应</w:t>
      </w:r>
      <w:r>
        <w:rPr>
          <w:rFonts w:hint="eastAsia" w:ascii="宋体" w:hAnsi="宋体" w:eastAsia="宋体" w:cs="宋体"/>
          <w:sz w:val="24"/>
          <w:szCs w:val="24"/>
          <w:highlight w:val="none"/>
          <w:u w:val="none"/>
          <w:lang w:bidi="zh-CN"/>
        </w:rPr>
        <w:t>函附表</w:t>
      </w:r>
      <w:r>
        <w:rPr>
          <w:rFonts w:hint="eastAsia" w:ascii="宋体" w:hAnsi="宋体" w:eastAsia="宋体" w:cs="宋体"/>
          <w:sz w:val="24"/>
          <w:szCs w:val="24"/>
          <w:highlight w:val="none"/>
          <w:lang w:bidi="zh-CN"/>
        </w:rPr>
        <w:t>是我方</w:t>
      </w:r>
      <w:r>
        <w:rPr>
          <w:rFonts w:hint="eastAsia" w:ascii="宋体" w:hAnsi="宋体" w:cs="宋体"/>
          <w:sz w:val="24"/>
          <w:szCs w:val="24"/>
          <w:highlight w:val="none"/>
          <w:lang w:val="en-US" w:bidi="zh-CN"/>
        </w:rPr>
        <w:t>响应</w:t>
      </w:r>
      <w:r>
        <w:rPr>
          <w:rFonts w:hint="eastAsia" w:ascii="宋体" w:hAnsi="宋体" w:eastAsia="宋体" w:cs="宋体"/>
          <w:sz w:val="24"/>
          <w:szCs w:val="24"/>
          <w:highlight w:val="none"/>
          <w:lang w:bidi="zh-CN"/>
        </w:rPr>
        <w:t>函的组</w:t>
      </w:r>
      <w:r>
        <w:rPr>
          <w:rFonts w:hint="eastAsia" w:ascii="宋体" w:hAnsi="宋体" w:eastAsia="宋体" w:cs="宋体"/>
          <w:sz w:val="24"/>
          <w:szCs w:val="24"/>
          <w:lang w:bidi="zh-CN"/>
        </w:rPr>
        <w:t>成部分。</w:t>
      </w:r>
    </w:p>
    <w:p w14:paraId="245BE9B2">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5. 一旦我方</w:t>
      </w:r>
      <w:r>
        <w:rPr>
          <w:rFonts w:hint="eastAsia" w:ascii="宋体" w:hAnsi="宋体" w:cs="宋体"/>
          <w:sz w:val="24"/>
          <w:szCs w:val="24"/>
          <w:lang w:bidi="zh-CN"/>
        </w:rPr>
        <w:t>成交</w:t>
      </w:r>
      <w:r>
        <w:rPr>
          <w:rFonts w:hint="eastAsia" w:ascii="宋体" w:hAnsi="宋体" w:eastAsia="宋体" w:cs="宋体"/>
          <w:sz w:val="24"/>
          <w:szCs w:val="24"/>
          <w:lang w:bidi="zh-CN"/>
        </w:rPr>
        <w:t>，我们将按照竞争性磋商文件中规定的各项要求和我们的响应文件中的表述和承诺，按期、按质、按量完成工作内容及义务。</w:t>
      </w:r>
    </w:p>
    <w:p w14:paraId="02C76E28">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6.我方在此声明，所递交的响应文件及有关资料内容完整、真实和准确。</w:t>
      </w:r>
    </w:p>
    <w:p w14:paraId="59081CC3">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7．若我方</w:t>
      </w:r>
      <w:r>
        <w:rPr>
          <w:rFonts w:hint="eastAsia" w:ascii="宋体" w:hAnsi="宋体" w:cs="宋体"/>
          <w:sz w:val="24"/>
          <w:szCs w:val="24"/>
          <w:lang w:bidi="zh-CN"/>
        </w:rPr>
        <w:t>成交</w:t>
      </w:r>
      <w:r>
        <w:rPr>
          <w:rFonts w:hint="eastAsia" w:ascii="宋体" w:hAnsi="宋体" w:eastAsia="宋体" w:cs="宋体"/>
          <w:sz w:val="24"/>
          <w:szCs w:val="24"/>
          <w:lang w:bidi="zh-CN"/>
        </w:rPr>
        <w:t>，我方承诺按照国家相关规定向代理机构缴纳</w:t>
      </w:r>
      <w:r>
        <w:rPr>
          <w:rFonts w:hint="eastAsia" w:ascii="宋体" w:hAnsi="宋体" w:cs="宋体"/>
          <w:sz w:val="24"/>
          <w:szCs w:val="24"/>
          <w:lang w:bidi="zh-CN"/>
        </w:rPr>
        <w:t>磋商</w:t>
      </w:r>
      <w:r>
        <w:rPr>
          <w:rFonts w:hint="eastAsia" w:ascii="宋体" w:hAnsi="宋体" w:eastAsia="宋体" w:cs="宋体"/>
          <w:sz w:val="24"/>
          <w:szCs w:val="24"/>
          <w:lang w:bidi="zh-CN"/>
        </w:rPr>
        <w:t>代理服务费。</w:t>
      </w:r>
    </w:p>
    <w:p w14:paraId="0B4C85A3">
      <w:pPr>
        <w:pageBreakBefore w:val="0"/>
        <w:widowControl w:val="0"/>
        <w:kinsoku/>
        <w:overflowPunct/>
        <w:autoSpaceDE/>
        <w:autoSpaceDN/>
        <w:bidi w:val="0"/>
        <w:adjustRightInd/>
        <w:spacing w:beforeAutospacing="0" w:afterAutospacing="0" w:line="480" w:lineRule="auto"/>
        <w:ind w:firstLine="480" w:firstLineChars="200"/>
        <w:rPr>
          <w:rFonts w:hint="eastAsia" w:ascii="宋体" w:hAnsi="宋体" w:eastAsia="宋体" w:cs="宋体"/>
          <w:sz w:val="24"/>
          <w:szCs w:val="24"/>
          <w:lang w:bidi="zh-CN"/>
        </w:rPr>
      </w:pPr>
      <w:r>
        <w:rPr>
          <w:rFonts w:hint="eastAsia" w:ascii="宋体" w:hAnsi="宋体" w:eastAsia="宋体" w:cs="宋体"/>
          <w:sz w:val="24"/>
          <w:szCs w:val="24"/>
          <w:lang w:bidi="zh-CN"/>
        </w:rPr>
        <w:t>8.</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lang w:bidi="zh-CN"/>
        </w:rPr>
        <w:t>（其他补充说明）。</w:t>
      </w:r>
    </w:p>
    <w:p w14:paraId="7BE5706F">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p>
    <w:p w14:paraId="6CD924E4">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（盖章）</w:t>
      </w:r>
    </w:p>
    <w:p w14:paraId="3B93E99E">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none"/>
        </w:rPr>
        <w:t>：</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w:t>
      </w:r>
      <w:r>
        <w:rPr>
          <w:rFonts w:hint="eastAsia" w:ascii="宋体" w:hAnsi="宋体" w:cs="宋体"/>
          <w:sz w:val="24"/>
          <w:szCs w:val="24"/>
          <w:lang w:val="en-US" w:eastAsia="zh-CN"/>
        </w:rPr>
        <w:t>签字或盖章</w:t>
      </w:r>
      <w:r>
        <w:rPr>
          <w:rFonts w:hint="eastAsia" w:ascii="宋体" w:hAnsi="宋体" w:eastAsia="宋体" w:cs="宋体"/>
          <w:sz w:val="24"/>
          <w:szCs w:val="24"/>
        </w:rPr>
        <w:t>）</w:t>
      </w:r>
    </w:p>
    <w:p w14:paraId="18A414C1">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1575E0D9">
      <w:pPr>
        <w:rPr>
          <w:rFonts w:hint="eastAsia" w:ascii="宋体" w:hAnsi="宋体" w:eastAsia="宋体" w:cs="宋体"/>
          <w:b/>
          <w:bCs/>
          <w:szCs w:val="28"/>
        </w:rPr>
      </w:pPr>
      <w:r>
        <w:rPr>
          <w:rFonts w:hint="eastAsia" w:ascii="宋体" w:hAnsi="宋体" w:eastAsia="宋体" w:cs="宋体"/>
          <w:b/>
          <w:bCs/>
          <w:szCs w:val="28"/>
        </w:rPr>
        <w:br w:type="page"/>
      </w:r>
    </w:p>
    <w:p w14:paraId="6E9A2219">
      <w:pPr>
        <w:pStyle w:val="4"/>
        <w:numPr>
          <w:ilvl w:val="1"/>
          <w:numId w:val="0"/>
        </w:numPr>
        <w:ind w:left="419" w:leftChars="0"/>
        <w:jc w:val="center"/>
        <w:rPr>
          <w:rFonts w:hint="eastAsia" w:ascii="宋体" w:hAnsi="宋体" w:eastAsia="宋体" w:cs="宋体"/>
          <w:bCs/>
          <w:szCs w:val="28"/>
        </w:rPr>
      </w:pPr>
      <w:r>
        <w:rPr>
          <w:rFonts w:hint="eastAsia" w:ascii="宋体" w:hAnsi="宋体" w:eastAsia="宋体" w:cs="宋体"/>
          <w:bCs/>
          <w:szCs w:val="28"/>
        </w:rPr>
        <w:t>（二）响应函附录</w:t>
      </w:r>
    </w:p>
    <w:tbl>
      <w:tblPr>
        <w:tblStyle w:val="20"/>
        <w:tblW w:w="9299" w:type="dxa"/>
        <w:tblInd w:w="-45" w:type="dxa"/>
        <w:tblLayout w:type="fixed"/>
        <w:tblCellMar>
          <w:top w:w="0" w:type="dxa"/>
          <w:left w:w="108" w:type="dxa"/>
          <w:bottom w:w="0" w:type="dxa"/>
          <w:right w:w="108" w:type="dxa"/>
        </w:tblCellMar>
      </w:tblPr>
      <w:tblGrid>
        <w:gridCol w:w="1973"/>
        <w:gridCol w:w="3264"/>
        <w:gridCol w:w="1265"/>
        <w:gridCol w:w="2797"/>
      </w:tblGrid>
      <w:tr w14:paraId="000B529B">
        <w:tblPrEx>
          <w:tblCellMar>
            <w:top w:w="0" w:type="dxa"/>
            <w:left w:w="108" w:type="dxa"/>
            <w:bottom w:w="0" w:type="dxa"/>
            <w:right w:w="108" w:type="dxa"/>
          </w:tblCellMar>
        </w:tblPrEx>
        <w:trPr>
          <w:cantSplit/>
          <w:trHeight w:val="867" w:hRule="exact"/>
        </w:trPr>
        <w:tc>
          <w:tcPr>
            <w:tcW w:w="1973" w:type="dxa"/>
            <w:tcBorders>
              <w:top w:val="single" w:color="000000" w:sz="4" w:space="0"/>
              <w:left w:val="single" w:color="000000" w:sz="4" w:space="0"/>
              <w:bottom w:val="single" w:color="000000" w:sz="4" w:space="0"/>
              <w:right w:val="nil"/>
            </w:tcBorders>
            <w:vAlign w:val="center"/>
          </w:tcPr>
          <w:p w14:paraId="54B999C7">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5935FC03">
            <w:pPr>
              <w:suppressAutoHyphens/>
              <w:snapToGrid w:val="0"/>
              <w:spacing w:line="400" w:lineRule="exact"/>
              <w:jc w:val="center"/>
              <w:rPr>
                <w:rFonts w:hint="eastAsia" w:ascii="宋体" w:hAnsi="宋体" w:eastAsia="宋体" w:cs="宋体"/>
                <w:sz w:val="24"/>
                <w:szCs w:val="24"/>
              </w:rPr>
            </w:pPr>
          </w:p>
        </w:tc>
      </w:tr>
      <w:tr w14:paraId="190A0628">
        <w:tblPrEx>
          <w:tblCellMar>
            <w:top w:w="0" w:type="dxa"/>
            <w:left w:w="108" w:type="dxa"/>
            <w:bottom w:w="0" w:type="dxa"/>
            <w:right w:w="108" w:type="dxa"/>
          </w:tblCellMar>
        </w:tblPrEx>
        <w:trPr>
          <w:cantSplit/>
          <w:trHeight w:val="884" w:hRule="exact"/>
        </w:trPr>
        <w:tc>
          <w:tcPr>
            <w:tcW w:w="1973" w:type="dxa"/>
            <w:tcBorders>
              <w:top w:val="single" w:color="000000" w:sz="4" w:space="0"/>
              <w:left w:val="single" w:color="000000" w:sz="4" w:space="0"/>
              <w:bottom w:val="single" w:color="000000" w:sz="4" w:space="0"/>
              <w:right w:val="nil"/>
            </w:tcBorders>
            <w:vAlign w:val="center"/>
          </w:tcPr>
          <w:p w14:paraId="5AE3940B">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供应商</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62503E3D">
            <w:pPr>
              <w:suppressAutoHyphens/>
              <w:snapToGrid w:val="0"/>
              <w:spacing w:line="400" w:lineRule="exact"/>
              <w:jc w:val="center"/>
              <w:rPr>
                <w:rFonts w:hint="eastAsia" w:ascii="宋体" w:hAnsi="宋体" w:eastAsia="宋体" w:cs="宋体"/>
                <w:sz w:val="24"/>
                <w:szCs w:val="24"/>
              </w:rPr>
            </w:pPr>
          </w:p>
        </w:tc>
      </w:tr>
      <w:tr w14:paraId="04D3F548">
        <w:tblPrEx>
          <w:tblCellMar>
            <w:top w:w="0" w:type="dxa"/>
            <w:left w:w="108" w:type="dxa"/>
            <w:bottom w:w="0" w:type="dxa"/>
            <w:right w:w="108" w:type="dxa"/>
          </w:tblCellMar>
        </w:tblPrEx>
        <w:trPr>
          <w:cantSplit/>
          <w:trHeight w:val="1256" w:hRule="exact"/>
        </w:trPr>
        <w:tc>
          <w:tcPr>
            <w:tcW w:w="1973" w:type="dxa"/>
            <w:tcBorders>
              <w:top w:val="single" w:color="000000" w:sz="4" w:space="0"/>
              <w:left w:val="single" w:color="000000" w:sz="4" w:space="0"/>
              <w:bottom w:val="single" w:color="000000" w:sz="4" w:space="0"/>
              <w:right w:val="nil"/>
            </w:tcBorders>
            <w:vAlign w:val="center"/>
          </w:tcPr>
          <w:p w14:paraId="4A1A048F">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项目负责人</w:t>
            </w:r>
          </w:p>
        </w:tc>
        <w:tc>
          <w:tcPr>
            <w:tcW w:w="3264" w:type="dxa"/>
            <w:tcBorders>
              <w:top w:val="single" w:color="000000" w:sz="4" w:space="0"/>
              <w:left w:val="single" w:color="000000" w:sz="4" w:space="0"/>
              <w:bottom w:val="single" w:color="000000" w:sz="4" w:space="0"/>
              <w:right w:val="nil"/>
            </w:tcBorders>
            <w:vAlign w:val="center"/>
          </w:tcPr>
          <w:p w14:paraId="4DB50041">
            <w:pPr>
              <w:suppressAutoHyphens/>
              <w:snapToGrid w:val="0"/>
              <w:spacing w:line="400" w:lineRule="exact"/>
              <w:ind w:firstLine="210"/>
              <w:jc w:val="center"/>
              <w:rPr>
                <w:rFonts w:hint="eastAsia" w:ascii="宋体" w:hAnsi="宋体" w:eastAsia="宋体" w:cs="宋体"/>
                <w:sz w:val="24"/>
                <w:szCs w:val="24"/>
              </w:rPr>
            </w:pPr>
          </w:p>
        </w:tc>
        <w:tc>
          <w:tcPr>
            <w:tcW w:w="1265" w:type="dxa"/>
            <w:tcBorders>
              <w:top w:val="single" w:color="000000" w:sz="4" w:space="0"/>
              <w:left w:val="single" w:color="000000" w:sz="4" w:space="0"/>
              <w:bottom w:val="single" w:color="000000" w:sz="4" w:space="0"/>
              <w:right w:val="nil"/>
            </w:tcBorders>
            <w:vAlign w:val="center"/>
          </w:tcPr>
          <w:p w14:paraId="53D69C26">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797" w:type="dxa"/>
            <w:tcBorders>
              <w:top w:val="single" w:color="000000" w:sz="4" w:space="0"/>
              <w:left w:val="single" w:color="000000" w:sz="4" w:space="0"/>
              <w:bottom w:val="single" w:color="000000" w:sz="4" w:space="0"/>
              <w:right w:val="single" w:color="000000" w:sz="4" w:space="0"/>
            </w:tcBorders>
            <w:vAlign w:val="center"/>
          </w:tcPr>
          <w:p w14:paraId="5B99B569">
            <w:pPr>
              <w:suppressAutoHyphens/>
              <w:snapToGrid w:val="0"/>
              <w:spacing w:line="400" w:lineRule="exact"/>
              <w:rPr>
                <w:rFonts w:hint="eastAsia" w:ascii="宋体" w:hAnsi="宋体" w:eastAsia="宋体" w:cs="宋体"/>
                <w:sz w:val="24"/>
                <w:szCs w:val="24"/>
              </w:rPr>
            </w:pPr>
          </w:p>
        </w:tc>
      </w:tr>
      <w:tr w14:paraId="6FB36D03">
        <w:tblPrEx>
          <w:tblCellMar>
            <w:top w:w="0" w:type="dxa"/>
            <w:left w:w="108" w:type="dxa"/>
            <w:bottom w:w="0" w:type="dxa"/>
            <w:right w:w="108" w:type="dxa"/>
          </w:tblCellMar>
        </w:tblPrEx>
        <w:trPr>
          <w:cantSplit/>
          <w:trHeight w:val="1225" w:hRule="exact"/>
        </w:trPr>
        <w:tc>
          <w:tcPr>
            <w:tcW w:w="1973" w:type="dxa"/>
            <w:tcBorders>
              <w:top w:val="single" w:color="000000" w:sz="4" w:space="0"/>
              <w:left w:val="single" w:color="000000" w:sz="4" w:space="0"/>
              <w:bottom w:val="single" w:color="000000" w:sz="4" w:space="0"/>
              <w:right w:val="nil"/>
            </w:tcBorders>
            <w:vAlign w:val="center"/>
          </w:tcPr>
          <w:p w14:paraId="459368DB">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第一轮报价</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631034B8">
            <w:pPr>
              <w:suppressAutoHyphens/>
              <w:autoSpaceDE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p w14:paraId="1BC0908E">
            <w:pPr>
              <w:suppressAutoHyphens/>
              <w:autoSpaceDE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小写：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w:t>
            </w:r>
          </w:p>
        </w:tc>
      </w:tr>
      <w:tr w14:paraId="582D3A0A">
        <w:tblPrEx>
          <w:tblCellMar>
            <w:top w:w="0" w:type="dxa"/>
            <w:left w:w="108" w:type="dxa"/>
            <w:bottom w:w="0" w:type="dxa"/>
            <w:right w:w="108" w:type="dxa"/>
          </w:tblCellMar>
        </w:tblPrEx>
        <w:trPr>
          <w:cantSplit/>
          <w:trHeight w:val="940" w:hRule="exact"/>
        </w:trPr>
        <w:tc>
          <w:tcPr>
            <w:tcW w:w="1973" w:type="dxa"/>
            <w:tcBorders>
              <w:top w:val="single" w:color="000000" w:sz="4" w:space="0"/>
              <w:left w:val="single" w:color="000000" w:sz="4" w:space="0"/>
              <w:bottom w:val="single" w:color="000000" w:sz="4" w:space="0"/>
              <w:right w:val="nil"/>
            </w:tcBorders>
            <w:vAlign w:val="center"/>
          </w:tcPr>
          <w:p w14:paraId="051EAB5D">
            <w:pPr>
              <w:suppressAutoHyphens/>
              <w:snapToGrid w:val="0"/>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rPr>
              <w:t>服务</w:t>
            </w:r>
            <w:r>
              <w:rPr>
                <w:rFonts w:hint="eastAsia" w:ascii="宋体" w:hAnsi="宋体" w:cs="宋体"/>
                <w:sz w:val="24"/>
                <w:szCs w:val="24"/>
                <w:lang w:val="en-US" w:eastAsia="zh-CN"/>
              </w:rPr>
              <w:t>周期</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6CA87C57">
            <w:pPr>
              <w:suppressAutoHyphens/>
              <w:autoSpaceDE w:val="0"/>
              <w:snapToGrid w:val="0"/>
              <w:spacing w:line="400" w:lineRule="exact"/>
              <w:rPr>
                <w:rFonts w:hint="eastAsia" w:ascii="宋体" w:hAnsi="宋体" w:eastAsia="宋体" w:cs="宋体"/>
                <w:sz w:val="24"/>
                <w:szCs w:val="24"/>
              </w:rPr>
            </w:pPr>
          </w:p>
        </w:tc>
      </w:tr>
      <w:tr w14:paraId="643E811C">
        <w:tblPrEx>
          <w:tblCellMar>
            <w:top w:w="0" w:type="dxa"/>
            <w:left w:w="108" w:type="dxa"/>
            <w:bottom w:w="0" w:type="dxa"/>
            <w:right w:w="108" w:type="dxa"/>
          </w:tblCellMar>
        </w:tblPrEx>
        <w:trPr>
          <w:cantSplit/>
          <w:trHeight w:val="798" w:hRule="atLeast"/>
        </w:trPr>
        <w:tc>
          <w:tcPr>
            <w:tcW w:w="1973" w:type="dxa"/>
            <w:tcBorders>
              <w:top w:val="single" w:color="000000" w:sz="4" w:space="0"/>
              <w:left w:val="single" w:color="000000" w:sz="4" w:space="0"/>
              <w:bottom w:val="single" w:color="000000" w:sz="4" w:space="0"/>
              <w:right w:val="nil"/>
            </w:tcBorders>
            <w:vAlign w:val="center"/>
          </w:tcPr>
          <w:p w14:paraId="596A2C9E">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质量要求</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475EC19C">
            <w:pPr>
              <w:suppressAutoHyphens/>
              <w:snapToGrid w:val="0"/>
              <w:spacing w:line="400" w:lineRule="exact"/>
              <w:jc w:val="center"/>
              <w:rPr>
                <w:rFonts w:hint="eastAsia" w:ascii="宋体" w:hAnsi="宋体" w:eastAsia="宋体" w:cs="宋体"/>
                <w:sz w:val="24"/>
                <w:szCs w:val="24"/>
              </w:rPr>
            </w:pPr>
          </w:p>
        </w:tc>
      </w:tr>
      <w:tr w14:paraId="2FDE3CB3">
        <w:tblPrEx>
          <w:tblCellMar>
            <w:top w:w="0" w:type="dxa"/>
            <w:left w:w="108" w:type="dxa"/>
            <w:bottom w:w="0" w:type="dxa"/>
            <w:right w:w="108" w:type="dxa"/>
          </w:tblCellMar>
        </w:tblPrEx>
        <w:trPr>
          <w:cantSplit/>
          <w:trHeight w:val="1004" w:hRule="atLeast"/>
        </w:trPr>
        <w:tc>
          <w:tcPr>
            <w:tcW w:w="1973" w:type="dxa"/>
            <w:tcBorders>
              <w:top w:val="single" w:color="000000" w:sz="4" w:space="0"/>
              <w:left w:val="single" w:color="000000" w:sz="4" w:space="0"/>
              <w:bottom w:val="single" w:color="000000" w:sz="4" w:space="0"/>
              <w:right w:val="nil"/>
            </w:tcBorders>
            <w:vAlign w:val="center"/>
          </w:tcPr>
          <w:p w14:paraId="13D76672">
            <w:pPr>
              <w:suppressAutoHyphens/>
              <w:snapToGrid w:val="0"/>
              <w:spacing w:line="400" w:lineRule="exact"/>
              <w:jc w:val="center"/>
              <w:rPr>
                <w:rFonts w:hint="eastAsia" w:ascii="宋体" w:hAnsi="宋体" w:eastAsia="宋体" w:cs="宋体"/>
                <w:sz w:val="24"/>
                <w:szCs w:val="24"/>
              </w:rPr>
            </w:pPr>
            <w:r>
              <w:rPr>
                <w:rFonts w:hint="eastAsia" w:ascii="宋体" w:hAnsi="宋体" w:eastAsia="宋体" w:cs="宋体"/>
                <w:sz w:val="24"/>
                <w:szCs w:val="24"/>
              </w:rPr>
              <w:t>磋商有效期</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53252277">
            <w:pPr>
              <w:suppressAutoHyphens/>
              <w:snapToGrid w:val="0"/>
              <w:spacing w:line="400" w:lineRule="exact"/>
              <w:jc w:val="center"/>
              <w:rPr>
                <w:rFonts w:hint="eastAsia" w:ascii="宋体" w:hAnsi="宋体" w:eastAsia="宋体" w:cs="宋体"/>
                <w:sz w:val="24"/>
                <w:szCs w:val="24"/>
              </w:rPr>
            </w:pPr>
          </w:p>
        </w:tc>
      </w:tr>
      <w:tr w14:paraId="4B1946B6">
        <w:tblPrEx>
          <w:tblCellMar>
            <w:top w:w="0" w:type="dxa"/>
            <w:left w:w="108" w:type="dxa"/>
            <w:bottom w:w="0" w:type="dxa"/>
            <w:right w:w="108" w:type="dxa"/>
          </w:tblCellMar>
        </w:tblPrEx>
        <w:trPr>
          <w:cantSplit/>
          <w:trHeight w:val="1138" w:hRule="exact"/>
        </w:trPr>
        <w:tc>
          <w:tcPr>
            <w:tcW w:w="1973" w:type="dxa"/>
            <w:tcBorders>
              <w:top w:val="single" w:color="000000" w:sz="4" w:space="0"/>
              <w:left w:val="single" w:color="000000" w:sz="4" w:space="0"/>
              <w:bottom w:val="single" w:color="000000" w:sz="4" w:space="0"/>
              <w:right w:val="nil"/>
            </w:tcBorders>
            <w:vAlign w:val="center"/>
          </w:tcPr>
          <w:p w14:paraId="6ABB3441">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其他</w:t>
            </w:r>
          </w:p>
        </w:tc>
        <w:tc>
          <w:tcPr>
            <w:tcW w:w="7326" w:type="dxa"/>
            <w:gridSpan w:val="3"/>
            <w:tcBorders>
              <w:top w:val="single" w:color="000000" w:sz="4" w:space="0"/>
              <w:left w:val="single" w:color="000000" w:sz="4" w:space="0"/>
              <w:bottom w:val="single" w:color="000000" w:sz="4" w:space="0"/>
              <w:right w:val="single" w:color="000000" w:sz="4" w:space="0"/>
            </w:tcBorders>
            <w:vAlign w:val="center"/>
          </w:tcPr>
          <w:p w14:paraId="775CD36F">
            <w:pPr>
              <w:suppressAutoHyphens/>
              <w:snapToGrid w:val="0"/>
              <w:spacing w:line="400" w:lineRule="exact"/>
              <w:jc w:val="center"/>
              <w:rPr>
                <w:rFonts w:hint="eastAsia" w:ascii="宋体" w:hAnsi="宋体" w:eastAsia="宋体" w:cs="宋体"/>
                <w:sz w:val="24"/>
                <w:szCs w:val="24"/>
              </w:rPr>
            </w:pPr>
          </w:p>
        </w:tc>
      </w:tr>
    </w:tbl>
    <w:p w14:paraId="0D9DE110">
      <w:pPr>
        <w:spacing w:line="360" w:lineRule="auto"/>
        <w:ind w:right="720"/>
        <w:jc w:val="center"/>
        <w:rPr>
          <w:rFonts w:hint="eastAsia" w:ascii="宋体" w:hAnsi="宋体" w:eastAsia="宋体" w:cs="宋体"/>
          <w:sz w:val="24"/>
        </w:rPr>
      </w:pPr>
    </w:p>
    <w:p w14:paraId="761A27D4">
      <w:pPr>
        <w:spacing w:line="360" w:lineRule="auto"/>
        <w:ind w:right="720"/>
        <w:jc w:val="center"/>
        <w:rPr>
          <w:rFonts w:hint="eastAsia" w:ascii="宋体" w:hAnsi="宋体" w:eastAsia="宋体" w:cs="宋体"/>
          <w:sz w:val="24"/>
        </w:rPr>
      </w:pPr>
    </w:p>
    <w:p w14:paraId="45C49813">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（盖章）</w:t>
      </w:r>
    </w:p>
    <w:p w14:paraId="2725B70F">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none"/>
        </w:rPr>
        <w:t>：</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w:t>
      </w:r>
      <w:r>
        <w:rPr>
          <w:rFonts w:hint="eastAsia" w:ascii="宋体" w:hAnsi="宋体" w:cs="宋体"/>
          <w:sz w:val="24"/>
          <w:szCs w:val="24"/>
          <w:lang w:val="en-US" w:eastAsia="zh-CN"/>
        </w:rPr>
        <w:t>签字或盖章</w:t>
      </w:r>
      <w:r>
        <w:rPr>
          <w:rFonts w:hint="eastAsia" w:ascii="宋体" w:hAnsi="宋体" w:eastAsia="宋体" w:cs="宋体"/>
          <w:sz w:val="24"/>
          <w:szCs w:val="24"/>
        </w:rPr>
        <w:t>）</w:t>
      </w:r>
    </w:p>
    <w:p w14:paraId="5513E004">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4C406469">
      <w:pPr>
        <w:rPr>
          <w:rFonts w:hint="eastAsia" w:ascii="宋体" w:hAnsi="宋体" w:eastAsia="宋体" w:cs="宋体"/>
          <w:sz w:val="30"/>
          <w:szCs w:val="30"/>
        </w:rPr>
      </w:pPr>
      <w:r>
        <w:rPr>
          <w:rFonts w:hint="eastAsia" w:ascii="宋体" w:hAnsi="宋体" w:eastAsia="宋体" w:cs="宋体"/>
          <w:sz w:val="30"/>
          <w:szCs w:val="30"/>
        </w:rPr>
        <w:br w:type="page"/>
      </w:r>
    </w:p>
    <w:p w14:paraId="7AAD225E">
      <w:pPr>
        <w:pStyle w:val="4"/>
        <w:numPr>
          <w:ilvl w:val="1"/>
          <w:numId w:val="0"/>
        </w:numPr>
        <w:ind w:left="419" w:leftChars="0"/>
        <w:jc w:val="center"/>
        <w:rPr>
          <w:rFonts w:hint="eastAsia" w:ascii="宋体" w:hAnsi="宋体" w:eastAsia="宋体" w:cs="宋体"/>
          <w:sz w:val="30"/>
          <w:szCs w:val="30"/>
        </w:rPr>
      </w:pPr>
      <w:r>
        <w:rPr>
          <w:rFonts w:hint="eastAsia" w:ascii="宋体" w:hAnsi="宋体" w:eastAsia="宋体" w:cs="宋体"/>
          <w:sz w:val="30"/>
          <w:szCs w:val="30"/>
        </w:rPr>
        <w:t>二、法定代表人身份证明</w:t>
      </w:r>
    </w:p>
    <w:p w14:paraId="52F64008">
      <w:pPr>
        <w:spacing w:line="480" w:lineRule="auto"/>
        <w:rPr>
          <w:rFonts w:hint="eastAsia" w:ascii="宋体" w:hAnsi="宋体" w:eastAsia="宋体" w:cs="宋体"/>
          <w:sz w:val="24"/>
          <w:szCs w:val="24"/>
        </w:rPr>
      </w:pPr>
      <w:r>
        <w:rPr>
          <w:rFonts w:hint="eastAsia" w:ascii="宋体" w:hAnsi="宋体" w:eastAsia="宋体" w:cs="宋体"/>
          <w:sz w:val="24"/>
          <w:szCs w:val="24"/>
        </w:rPr>
        <w:t>供应商名称：</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 xml:space="preserve">         </w:t>
      </w:r>
    </w:p>
    <w:p w14:paraId="5FC5DAB1">
      <w:pPr>
        <w:spacing w:line="480" w:lineRule="auto"/>
        <w:rPr>
          <w:rFonts w:hint="eastAsia" w:ascii="宋体" w:hAnsi="宋体" w:eastAsia="宋体" w:cs="宋体"/>
          <w:sz w:val="24"/>
          <w:szCs w:val="24"/>
        </w:rPr>
      </w:pPr>
      <w:r>
        <w:rPr>
          <w:rFonts w:hint="eastAsia" w:ascii="宋体" w:hAnsi="宋体" w:eastAsia="宋体" w:cs="宋体"/>
          <w:sz w:val="24"/>
          <w:szCs w:val="24"/>
        </w:rPr>
        <w:t>单位性质：</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rPr>
        <w:t xml:space="preserve">         </w:t>
      </w:r>
    </w:p>
    <w:p w14:paraId="2A066D93">
      <w:pPr>
        <w:spacing w:line="480" w:lineRule="auto"/>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rPr>
        <w:t xml:space="preserve">          </w:t>
      </w:r>
    </w:p>
    <w:p w14:paraId="48A7CE14">
      <w:pPr>
        <w:spacing w:line="480" w:lineRule="auto"/>
        <w:rPr>
          <w:rFonts w:hint="eastAsia" w:ascii="宋体" w:hAnsi="宋体" w:eastAsia="宋体" w:cs="宋体"/>
          <w:sz w:val="24"/>
          <w:szCs w:val="24"/>
        </w:rPr>
      </w:pPr>
      <w:r>
        <w:rPr>
          <w:rFonts w:hint="eastAsia" w:ascii="宋体" w:hAnsi="宋体" w:eastAsia="宋体" w:cs="宋体"/>
          <w:sz w:val="24"/>
          <w:szCs w:val="24"/>
        </w:rPr>
        <w:t>成立时间：   年   月   日</w:t>
      </w:r>
    </w:p>
    <w:p w14:paraId="71E12DE8">
      <w:pPr>
        <w:spacing w:line="480" w:lineRule="auto"/>
        <w:rPr>
          <w:rFonts w:hint="eastAsia" w:ascii="宋体" w:hAnsi="宋体" w:eastAsia="宋体" w:cs="宋体"/>
          <w:sz w:val="24"/>
          <w:szCs w:val="24"/>
        </w:rPr>
      </w:pPr>
      <w:r>
        <w:rPr>
          <w:rFonts w:hint="eastAsia" w:ascii="宋体" w:hAnsi="宋体" w:eastAsia="宋体" w:cs="宋体"/>
          <w:sz w:val="24"/>
          <w:szCs w:val="24"/>
        </w:rPr>
        <w:t>经营期限：</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rPr>
        <w:t xml:space="preserve">          </w:t>
      </w:r>
    </w:p>
    <w:p w14:paraId="41EB9C5B">
      <w:pPr>
        <w:spacing w:line="480" w:lineRule="auto"/>
        <w:rPr>
          <w:rFonts w:hint="eastAsia" w:ascii="宋体" w:hAnsi="宋体" w:eastAsia="宋体" w:cs="宋体"/>
          <w:sz w:val="24"/>
          <w:szCs w:val="24"/>
        </w:rPr>
      </w:pPr>
      <w:r>
        <w:rPr>
          <w:rFonts w:hint="eastAsia" w:ascii="宋体" w:hAnsi="宋体" w:eastAsia="宋体" w:cs="宋体"/>
          <w:sz w:val="24"/>
          <w:szCs w:val="24"/>
        </w:rPr>
        <w:t>姓    名：</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 xml:space="preserve"> 性    别：</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rPr>
        <w:t xml:space="preserve">        </w:t>
      </w:r>
    </w:p>
    <w:p w14:paraId="6689352D">
      <w:pPr>
        <w:spacing w:line="480" w:lineRule="auto"/>
        <w:rPr>
          <w:rFonts w:hint="eastAsia" w:ascii="宋体" w:hAnsi="宋体" w:eastAsia="宋体" w:cs="宋体"/>
          <w:sz w:val="24"/>
          <w:szCs w:val="24"/>
        </w:rPr>
      </w:pPr>
      <w:r>
        <w:rPr>
          <w:rFonts w:hint="eastAsia" w:ascii="宋体" w:hAnsi="宋体" w:eastAsia="宋体" w:cs="宋体"/>
          <w:sz w:val="24"/>
          <w:szCs w:val="24"/>
        </w:rPr>
        <w:t>年    龄：</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 xml:space="preserve"> 职    务：</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rPr>
        <w:t xml:space="preserve">          </w:t>
      </w:r>
    </w:p>
    <w:p w14:paraId="5C5BC53E">
      <w:pPr>
        <w:spacing w:line="480" w:lineRule="auto"/>
        <w:rPr>
          <w:rFonts w:hint="eastAsia" w:ascii="宋体" w:hAnsi="宋体" w:eastAsia="宋体" w:cs="宋体"/>
          <w:sz w:val="24"/>
          <w:szCs w:val="24"/>
        </w:rPr>
      </w:pPr>
      <w:r>
        <w:rPr>
          <w:rFonts w:hint="eastAsia" w:ascii="宋体" w:hAnsi="宋体" w:eastAsia="宋体" w:cs="宋体"/>
          <w:sz w:val="24"/>
          <w:szCs w:val="24"/>
        </w:rPr>
        <w:t>系</w:t>
      </w:r>
      <w:r>
        <w:rPr>
          <w:rFonts w:hint="eastAsia" w:ascii="宋体" w:hAnsi="宋体" w:eastAsia="宋体" w:cs="宋体"/>
          <w:sz w:val="24"/>
          <w:szCs w:val="24"/>
          <w:u w:val="single"/>
          <w:lang w:val="en-US" w:bidi="zh-CN"/>
        </w:rPr>
        <w:t xml:space="preserve">                    </w:t>
      </w:r>
      <w:r>
        <w:rPr>
          <w:rFonts w:hint="eastAsia" w:ascii="宋体" w:hAnsi="宋体" w:cs="宋体"/>
          <w:sz w:val="24"/>
          <w:szCs w:val="24"/>
          <w:u w:val="single"/>
          <w:lang w:val="en-US" w:bidi="zh-CN"/>
        </w:rPr>
        <w:t xml:space="preserve">  </w:t>
      </w:r>
      <w:r>
        <w:rPr>
          <w:rFonts w:hint="eastAsia" w:ascii="宋体" w:hAnsi="宋体" w:eastAsia="宋体" w:cs="宋体"/>
          <w:sz w:val="24"/>
          <w:szCs w:val="24"/>
          <w:u w:val="single"/>
        </w:rPr>
        <w:t>（供应商名称）</w:t>
      </w:r>
      <w:r>
        <w:rPr>
          <w:rFonts w:hint="eastAsia" w:ascii="宋体" w:hAnsi="宋体" w:eastAsia="宋体" w:cs="宋体"/>
          <w:sz w:val="24"/>
          <w:szCs w:val="24"/>
        </w:rPr>
        <w:t>的法定代表人。</w:t>
      </w:r>
    </w:p>
    <w:p w14:paraId="4887354B">
      <w:pPr>
        <w:spacing w:line="480" w:lineRule="auto"/>
        <w:rPr>
          <w:rFonts w:hint="eastAsia" w:ascii="宋体" w:hAnsi="宋体" w:eastAsia="宋体" w:cs="宋体"/>
          <w:sz w:val="24"/>
          <w:szCs w:val="24"/>
        </w:rPr>
      </w:pPr>
      <w:r>
        <w:rPr>
          <w:rFonts w:hint="eastAsia" w:ascii="宋体" w:hAnsi="宋体" w:eastAsia="宋体" w:cs="宋体"/>
          <w:sz w:val="24"/>
          <w:szCs w:val="24"/>
        </w:rPr>
        <w:t>特此证明。</w:t>
      </w:r>
    </w:p>
    <w:p w14:paraId="2182A1F7">
      <w:pPr>
        <w:spacing w:line="480" w:lineRule="auto"/>
        <w:ind w:right="480"/>
        <w:rPr>
          <w:rFonts w:hint="eastAsia" w:ascii="宋体" w:hAnsi="宋体" w:eastAsia="宋体" w:cs="宋体"/>
          <w:sz w:val="24"/>
          <w:szCs w:val="24"/>
        </w:rPr>
      </w:pPr>
    </w:p>
    <w:p w14:paraId="7BA2F625">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（盖章）</w:t>
      </w:r>
    </w:p>
    <w:p w14:paraId="0504271C">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none"/>
        </w:rPr>
        <w:t>：</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w:t>
      </w:r>
      <w:r>
        <w:rPr>
          <w:rFonts w:hint="eastAsia" w:ascii="宋体" w:hAnsi="宋体" w:cs="宋体"/>
          <w:sz w:val="24"/>
          <w:szCs w:val="24"/>
          <w:lang w:val="en-US" w:eastAsia="zh-CN"/>
        </w:rPr>
        <w:t>签字或盖章</w:t>
      </w:r>
      <w:r>
        <w:rPr>
          <w:rFonts w:hint="eastAsia" w:ascii="宋体" w:hAnsi="宋体" w:eastAsia="宋体" w:cs="宋体"/>
          <w:sz w:val="24"/>
          <w:szCs w:val="24"/>
        </w:rPr>
        <w:t>）</w:t>
      </w:r>
    </w:p>
    <w:p w14:paraId="70C541CD">
      <w:pPr>
        <w:pageBreakBefore w:val="0"/>
        <w:widowControl w:val="0"/>
        <w:kinsoku/>
        <w:overflowPunct/>
        <w:autoSpaceDE/>
        <w:autoSpaceDN/>
        <w:bidi w:val="0"/>
        <w:adjustRightInd/>
        <w:spacing w:beforeAutospacing="0" w:afterAutospacing="0" w:line="480" w:lineRule="auto"/>
        <w:ind w:left="2940" w:leftChars="1400" w:firstLine="360" w:firstLineChars="150"/>
        <w:rPr>
          <w:rFonts w:hint="eastAsia" w:ascii="宋体" w:hAnsi="宋体" w:eastAsia="宋体" w:cs="宋体"/>
          <w:b/>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7EB85C9A">
      <w:pPr>
        <w:spacing w:line="480" w:lineRule="auto"/>
        <w:rPr>
          <w:rFonts w:hint="eastAsia" w:ascii="宋体" w:hAnsi="宋体" w:eastAsia="宋体" w:cs="宋体"/>
          <w:b/>
          <w:sz w:val="24"/>
          <w:szCs w:val="24"/>
        </w:rPr>
      </w:pPr>
      <w:r>
        <w:rPr>
          <w:rFonts w:hint="eastAsia" w:ascii="宋体" w:hAnsi="宋体" w:eastAsia="宋体" w:cs="宋体"/>
          <w:b/>
          <w:sz w:val="24"/>
          <w:szCs w:val="24"/>
        </w:rPr>
        <w:t>（后附法定代表人身份证扫描件）</w:t>
      </w:r>
    </w:p>
    <w:p w14:paraId="6F0C8190">
      <w:pPr>
        <w:rPr>
          <w:rFonts w:hint="eastAsia" w:ascii="宋体" w:hAnsi="宋体" w:eastAsia="宋体" w:cs="宋体"/>
        </w:rPr>
      </w:pPr>
    </w:p>
    <w:p w14:paraId="7AE7367B">
      <w:pPr>
        <w:rPr>
          <w:rFonts w:hint="eastAsia" w:ascii="宋体" w:hAnsi="宋体" w:eastAsia="宋体" w:cs="宋体"/>
        </w:rPr>
      </w:pPr>
    </w:p>
    <w:p w14:paraId="041579F1">
      <w:pPr>
        <w:rPr>
          <w:rFonts w:hint="eastAsia" w:ascii="宋体" w:hAnsi="宋体" w:eastAsia="宋体" w:cs="宋体"/>
        </w:rPr>
      </w:pPr>
    </w:p>
    <w:p w14:paraId="0EC91463">
      <w:pPr>
        <w:rPr>
          <w:rFonts w:hint="eastAsia" w:ascii="宋体" w:hAnsi="宋体" w:eastAsia="宋体" w:cs="宋体"/>
        </w:rPr>
      </w:pPr>
    </w:p>
    <w:p w14:paraId="41287465">
      <w:pPr>
        <w:pStyle w:val="4"/>
        <w:keepNext/>
        <w:keepLines/>
        <w:pageBreakBefore w:val="0"/>
        <w:widowControl w:val="0"/>
        <w:numPr>
          <w:ilvl w:val="1"/>
          <w:numId w:val="0"/>
        </w:numPr>
        <w:kinsoku/>
        <w:wordWrap/>
        <w:overflowPunct/>
        <w:topLinePunct w:val="0"/>
        <w:autoSpaceDE/>
        <w:autoSpaceDN/>
        <w:bidi w:val="0"/>
        <w:adjustRightInd/>
        <w:snapToGrid/>
        <w:spacing w:before="0" w:beforeAutospacing="0" w:after="0" w:afterAutospacing="0" w:line="360" w:lineRule="auto"/>
        <w:ind w:left="0" w:leftChars="0"/>
        <w:jc w:val="center"/>
        <w:textAlignment w:val="baseline"/>
        <w:rPr>
          <w:rFonts w:hint="eastAsia" w:ascii="宋体" w:hAnsi="宋体" w:eastAsia="宋体" w:cs="宋体"/>
          <w:sz w:val="24"/>
        </w:rPr>
      </w:pPr>
      <w:r>
        <w:rPr>
          <w:rFonts w:hint="eastAsia" w:ascii="宋体" w:hAnsi="宋体" w:eastAsia="宋体" w:cs="宋体"/>
          <w:sz w:val="30"/>
          <w:szCs w:val="30"/>
        </w:rPr>
        <w:br w:type="page"/>
      </w:r>
      <w:r>
        <w:rPr>
          <w:rFonts w:hint="eastAsia" w:ascii="宋体" w:hAnsi="宋体" w:eastAsia="宋体" w:cs="宋体"/>
          <w:sz w:val="30"/>
          <w:szCs w:val="30"/>
        </w:rPr>
        <w:t>三、授权委托书</w:t>
      </w:r>
    </w:p>
    <w:p w14:paraId="5F3975E7">
      <w:pPr>
        <w:spacing w:line="480" w:lineRule="auto"/>
        <w:ind w:firstLine="480" w:firstLineChars="200"/>
        <w:rPr>
          <w:rFonts w:hint="eastAsia" w:ascii="宋体" w:hAnsi="宋体" w:eastAsia="宋体" w:cs="宋体"/>
          <w:sz w:val="24"/>
        </w:rPr>
      </w:pPr>
      <w:r>
        <w:rPr>
          <w:rFonts w:hint="eastAsia" w:ascii="宋体" w:hAnsi="宋体" w:eastAsia="宋体" w:cs="宋体"/>
          <w:sz w:val="24"/>
        </w:rPr>
        <w:t>本人</w:t>
      </w:r>
      <w:r>
        <w:rPr>
          <w:rFonts w:hint="eastAsia" w:ascii="宋体" w:hAnsi="宋体" w:eastAsia="宋体" w:cs="宋体"/>
          <w:sz w:val="24"/>
          <w:szCs w:val="24"/>
          <w:u w:val="single"/>
          <w:lang w:val="en-US" w:bidi="zh-CN"/>
        </w:rPr>
        <w:t xml:space="preserve">      </w:t>
      </w:r>
      <w:r>
        <w:rPr>
          <w:rFonts w:hint="eastAsia" w:ascii="宋体" w:hAnsi="宋体" w:eastAsia="宋体" w:cs="宋体"/>
          <w:sz w:val="24"/>
          <w:u w:val="single"/>
        </w:rPr>
        <w:t>（姓名）</w:t>
      </w:r>
      <w:r>
        <w:rPr>
          <w:rFonts w:hint="eastAsia" w:ascii="宋体" w:hAnsi="宋体" w:eastAsia="宋体" w:cs="宋体"/>
          <w:sz w:val="24"/>
        </w:rPr>
        <w:t>系</w:t>
      </w:r>
      <w:r>
        <w:rPr>
          <w:rFonts w:hint="eastAsia" w:ascii="宋体" w:hAnsi="宋体" w:eastAsia="宋体" w:cs="宋体"/>
          <w:sz w:val="24"/>
          <w:szCs w:val="24"/>
          <w:u w:val="single"/>
          <w:lang w:val="en-US" w:bidi="zh-CN"/>
        </w:rPr>
        <w:t xml:space="preserve">               </w:t>
      </w:r>
      <w:r>
        <w:rPr>
          <w:rFonts w:hint="eastAsia" w:ascii="宋体" w:hAnsi="宋体" w:eastAsia="宋体" w:cs="宋体"/>
          <w:sz w:val="24"/>
          <w:u w:val="single"/>
        </w:rPr>
        <w:t>（供应商名称）</w:t>
      </w:r>
      <w:r>
        <w:rPr>
          <w:rFonts w:hint="eastAsia" w:ascii="宋体" w:hAnsi="宋体" w:eastAsia="宋体" w:cs="宋体"/>
          <w:sz w:val="24"/>
        </w:rPr>
        <w:t>的法定代表人，现委托</w:t>
      </w:r>
    </w:p>
    <w:p w14:paraId="7BF0774F">
      <w:pPr>
        <w:spacing w:line="480" w:lineRule="auto"/>
        <w:rPr>
          <w:rFonts w:hint="eastAsia" w:ascii="宋体" w:hAnsi="宋体" w:eastAsia="宋体" w:cs="宋体"/>
          <w:sz w:val="24"/>
        </w:rPr>
      </w:pPr>
      <w:r>
        <w:rPr>
          <w:rFonts w:hint="eastAsia" w:ascii="宋体" w:hAnsi="宋体" w:eastAsia="宋体" w:cs="宋体"/>
          <w:sz w:val="24"/>
          <w:szCs w:val="24"/>
          <w:u w:val="single"/>
          <w:lang w:val="en-US" w:bidi="zh-CN"/>
        </w:rPr>
        <w:t xml:space="preserve">               </w:t>
      </w:r>
      <w:r>
        <w:rPr>
          <w:rFonts w:hint="eastAsia" w:ascii="宋体" w:hAnsi="宋体" w:eastAsia="宋体" w:cs="宋体"/>
          <w:sz w:val="24"/>
          <w:u w:val="single"/>
        </w:rPr>
        <w:t>（姓名）</w:t>
      </w:r>
      <w:r>
        <w:rPr>
          <w:rFonts w:hint="eastAsia" w:ascii="宋体" w:hAnsi="宋体" w:eastAsia="宋体" w:cs="宋体"/>
          <w:sz w:val="24"/>
        </w:rPr>
        <w:t>为我方代理人。代理人根据授权，以我方名义签署、澄清、说明、补正、递交、撤回、修改</w:t>
      </w:r>
      <w:r>
        <w:rPr>
          <w:rFonts w:hint="eastAsia" w:ascii="宋体" w:hAnsi="宋体" w:eastAsia="宋体" w:cs="宋体"/>
          <w:sz w:val="24"/>
          <w:szCs w:val="24"/>
          <w:u w:val="single"/>
          <w:lang w:val="en-US" w:bidi="zh-CN"/>
        </w:rPr>
        <w:t xml:space="preserve">               </w:t>
      </w:r>
      <w:r>
        <w:rPr>
          <w:rFonts w:hint="eastAsia" w:ascii="宋体" w:hAnsi="宋体" w:eastAsia="宋体" w:cs="宋体"/>
          <w:sz w:val="24"/>
          <w:u w:val="single"/>
        </w:rPr>
        <w:t>（项目名称）</w:t>
      </w:r>
      <w:r>
        <w:rPr>
          <w:rFonts w:hint="eastAsia" w:ascii="宋体" w:hAnsi="宋体" w:eastAsia="宋体" w:cs="宋体"/>
          <w:sz w:val="24"/>
        </w:rPr>
        <w:t>竞争性磋商文件、签订合同和处理有关事宜，其法律后果由我方承担。</w:t>
      </w:r>
    </w:p>
    <w:p w14:paraId="67EE731D">
      <w:pPr>
        <w:spacing w:beforeLines="50" w:line="480" w:lineRule="auto"/>
        <w:ind w:firstLine="480" w:firstLineChars="200"/>
        <w:rPr>
          <w:rFonts w:hint="eastAsia" w:ascii="宋体" w:hAnsi="宋体" w:eastAsia="宋体" w:cs="宋体"/>
          <w:sz w:val="24"/>
        </w:rPr>
      </w:pPr>
      <w:r>
        <w:rPr>
          <w:rFonts w:hint="eastAsia" w:ascii="宋体" w:hAnsi="宋体" w:eastAsia="宋体" w:cs="宋体"/>
          <w:sz w:val="24"/>
        </w:rPr>
        <w:t>委托期限：</w:t>
      </w:r>
      <w:r>
        <w:rPr>
          <w:rFonts w:hint="eastAsia" w:ascii="宋体" w:hAnsi="宋体" w:eastAsia="宋体" w:cs="宋体"/>
          <w:sz w:val="24"/>
          <w:szCs w:val="24"/>
          <w:u w:val="single"/>
          <w:lang w:val="en-US" w:bidi="zh-CN"/>
        </w:rPr>
        <w:t xml:space="preserve">               </w:t>
      </w:r>
      <w:r>
        <w:rPr>
          <w:rFonts w:hint="eastAsia" w:ascii="宋体" w:hAnsi="宋体" w:eastAsia="宋体" w:cs="宋体"/>
          <w:sz w:val="24"/>
        </w:rPr>
        <w:t>。</w:t>
      </w:r>
    </w:p>
    <w:p w14:paraId="4602D3FD">
      <w:pPr>
        <w:spacing w:beforeLines="100" w:afterLines="100" w:line="480" w:lineRule="auto"/>
        <w:ind w:firstLine="480" w:firstLineChars="200"/>
        <w:rPr>
          <w:rFonts w:hint="eastAsia" w:ascii="宋体" w:hAnsi="宋体" w:eastAsia="宋体" w:cs="宋体"/>
          <w:sz w:val="24"/>
        </w:rPr>
      </w:pPr>
      <w:r>
        <w:rPr>
          <w:rFonts w:hint="eastAsia" w:ascii="宋体" w:hAnsi="宋体" w:eastAsia="宋体" w:cs="宋体"/>
          <w:sz w:val="24"/>
        </w:rPr>
        <w:t>代理人无转委托权。</w:t>
      </w:r>
    </w:p>
    <w:p w14:paraId="555BE789">
      <w:pPr>
        <w:spacing w:line="36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（盖章）</w:t>
      </w:r>
    </w:p>
    <w:p w14:paraId="162D5430">
      <w:pPr>
        <w:spacing w:line="36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none"/>
        </w:rPr>
        <w:t>：</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w:t>
      </w:r>
      <w:r>
        <w:rPr>
          <w:rFonts w:hint="eastAsia" w:ascii="宋体" w:hAnsi="宋体" w:cs="宋体"/>
          <w:sz w:val="24"/>
          <w:szCs w:val="24"/>
          <w:lang w:val="en-US" w:eastAsia="zh-CN"/>
        </w:rPr>
        <w:t>签字或盖章</w:t>
      </w:r>
      <w:r>
        <w:rPr>
          <w:rFonts w:hint="eastAsia" w:ascii="宋体" w:hAnsi="宋体" w:eastAsia="宋体" w:cs="宋体"/>
          <w:sz w:val="24"/>
          <w:szCs w:val="24"/>
        </w:rPr>
        <w:t>）</w:t>
      </w:r>
    </w:p>
    <w:p w14:paraId="258B43DE">
      <w:pPr>
        <w:spacing w:line="480" w:lineRule="auto"/>
        <w:ind w:firstLine="3360" w:firstLineChars="1400"/>
        <w:rPr>
          <w:rFonts w:hint="eastAsia" w:ascii="宋体" w:hAnsi="宋体" w:eastAsia="宋体" w:cs="宋体"/>
          <w:sz w:val="24"/>
        </w:rPr>
      </w:pPr>
      <w:r>
        <w:rPr>
          <w:rFonts w:hint="eastAsia" w:ascii="宋体" w:hAnsi="宋体" w:eastAsia="宋体" w:cs="宋体"/>
          <w:sz w:val="24"/>
        </w:rPr>
        <w:t>委托代理人：</w:t>
      </w:r>
      <w:r>
        <w:rPr>
          <w:rFonts w:hint="eastAsia" w:ascii="宋体" w:hAnsi="宋体" w:eastAsia="宋体" w:cs="宋体"/>
          <w:sz w:val="24"/>
          <w:szCs w:val="24"/>
          <w:u w:val="single"/>
          <w:lang w:val="en-US" w:bidi="zh-CN"/>
        </w:rPr>
        <w:t xml:space="preserve">               </w:t>
      </w:r>
      <w:r>
        <w:rPr>
          <w:rFonts w:hint="eastAsia" w:ascii="宋体" w:hAnsi="宋体" w:eastAsia="宋体" w:cs="宋体"/>
          <w:sz w:val="24"/>
        </w:rPr>
        <w:t>（签字）</w:t>
      </w:r>
    </w:p>
    <w:p w14:paraId="606A72F3">
      <w:pPr>
        <w:spacing w:line="360" w:lineRule="auto"/>
        <w:ind w:left="2940" w:leftChars="1400" w:firstLine="360" w:firstLineChars="150"/>
        <w:rPr>
          <w:rFonts w:hint="eastAsia" w:ascii="宋体" w:hAnsi="宋体" w:eastAsia="宋体" w:cs="宋体"/>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2EC517CF">
      <w:pPr>
        <w:rPr>
          <w:rFonts w:hint="eastAsia" w:ascii="宋体" w:hAnsi="宋体" w:eastAsia="宋体" w:cs="宋体"/>
        </w:rPr>
      </w:pPr>
    </w:p>
    <w:p w14:paraId="726F018A">
      <w:pPr>
        <w:spacing w:line="480" w:lineRule="auto"/>
        <w:ind w:firstLine="2409" w:firstLineChars="1000"/>
        <w:rPr>
          <w:rFonts w:hint="eastAsia" w:ascii="宋体" w:hAnsi="宋体" w:eastAsia="宋体" w:cs="宋体"/>
          <w:b/>
          <w:sz w:val="24"/>
          <w:szCs w:val="24"/>
        </w:rPr>
      </w:pPr>
      <w:r>
        <w:rPr>
          <w:rFonts w:hint="eastAsia" w:ascii="宋体" w:hAnsi="宋体" w:eastAsia="宋体" w:cs="宋体"/>
          <w:b/>
          <w:sz w:val="24"/>
          <w:szCs w:val="24"/>
        </w:rPr>
        <w:t>（后附法定代表人、委托代理人身份证扫描件）</w:t>
      </w:r>
      <w:bookmarkStart w:id="24" w:name="OLE_LINK5"/>
      <w:bookmarkStart w:id="25" w:name="OLE_LINK6"/>
    </w:p>
    <w:p w14:paraId="222C174B">
      <w:pPr>
        <w:widowControl/>
        <w:suppressAutoHyphens/>
        <w:spacing w:line="480" w:lineRule="exact"/>
        <w:ind w:firstLine="482" w:firstLineChars="200"/>
        <w:jc w:val="left"/>
        <w:rPr>
          <w:rFonts w:hint="eastAsia" w:ascii="宋体" w:hAnsi="宋体" w:cs="宋体"/>
          <w:b/>
          <w:bCs/>
          <w:color w:val="auto"/>
          <w:kern w:val="0"/>
          <w:sz w:val="24"/>
          <w:szCs w:val="24"/>
          <w:highlight w:val="none"/>
        </w:rPr>
      </w:pPr>
    </w:p>
    <w:p w14:paraId="4245B83A">
      <w:pPr>
        <w:widowControl/>
        <w:suppressAutoHyphens/>
        <w:spacing w:line="480" w:lineRule="exact"/>
        <w:jc w:val="left"/>
        <w:rPr>
          <w:rFonts w:ascii="宋体" w:hAnsi="宋体" w:cs="宋体"/>
          <w:b/>
          <w:bCs/>
          <w:color w:val="auto"/>
          <w:kern w:val="1"/>
          <w:sz w:val="24"/>
          <w:szCs w:val="24"/>
          <w:highlight w:val="none"/>
        </w:rPr>
      </w:pPr>
      <w:r>
        <w:rPr>
          <w:rFonts w:hint="eastAsia" w:ascii="宋体" w:hAnsi="宋体" w:cs="宋体"/>
          <w:b/>
          <w:bCs/>
          <w:color w:val="auto"/>
          <w:kern w:val="0"/>
          <w:sz w:val="24"/>
          <w:szCs w:val="24"/>
          <w:highlight w:val="none"/>
        </w:rPr>
        <w:t>注：因</w:t>
      </w:r>
      <w:r>
        <w:rPr>
          <w:rFonts w:hint="eastAsia" w:ascii="宋体" w:hAnsi="宋体" w:cs="宋体"/>
          <w:b/>
          <w:bCs/>
          <w:color w:val="auto"/>
          <w:kern w:val="0"/>
          <w:sz w:val="24"/>
          <w:szCs w:val="24"/>
          <w:highlight w:val="none"/>
          <w:lang w:eastAsia="zh-CN"/>
        </w:rPr>
        <w:t>响应</w:t>
      </w:r>
      <w:r>
        <w:rPr>
          <w:rFonts w:hint="eastAsia" w:ascii="宋体" w:hAnsi="宋体" w:cs="宋体"/>
          <w:b/>
          <w:bCs/>
          <w:color w:val="auto"/>
          <w:kern w:val="0"/>
          <w:sz w:val="24"/>
          <w:szCs w:val="24"/>
          <w:highlight w:val="none"/>
        </w:rPr>
        <w:t>文件中授权委托书授权代理人无法手写签字，可以以印刷体代替（印刷体为电脑打出的字体）。</w:t>
      </w:r>
    </w:p>
    <w:p w14:paraId="76614B09">
      <w:pPr>
        <w:rPr>
          <w:rFonts w:hint="eastAsia" w:ascii="宋体" w:hAnsi="宋体" w:eastAsia="宋体" w:cs="宋体"/>
        </w:rPr>
      </w:pPr>
    </w:p>
    <w:p w14:paraId="66C73474">
      <w:pPr>
        <w:rPr>
          <w:rFonts w:hint="eastAsia" w:ascii="宋体" w:hAnsi="宋体" w:eastAsia="宋体" w:cs="宋体"/>
        </w:rPr>
      </w:pPr>
    </w:p>
    <w:p w14:paraId="1495F356">
      <w:pPr>
        <w:rPr>
          <w:rFonts w:hint="eastAsia" w:ascii="宋体" w:hAnsi="宋体" w:eastAsia="宋体" w:cs="宋体"/>
        </w:rPr>
      </w:pPr>
    </w:p>
    <w:bookmarkEnd w:id="24"/>
    <w:bookmarkEnd w:id="25"/>
    <w:p w14:paraId="0189A58F">
      <w:pPr>
        <w:rPr>
          <w:rFonts w:hint="eastAsia" w:ascii="宋体" w:hAnsi="宋体" w:eastAsia="宋体" w:cs="宋体"/>
        </w:rPr>
      </w:pPr>
      <w:r>
        <w:rPr>
          <w:rFonts w:hint="eastAsia" w:ascii="宋体" w:hAnsi="宋体" w:eastAsia="宋体" w:cs="宋体"/>
        </w:rPr>
        <w:br w:type="page"/>
      </w:r>
    </w:p>
    <w:p w14:paraId="6B5A5B17">
      <w:pPr>
        <w:pStyle w:val="4"/>
        <w:numPr>
          <w:ilvl w:val="1"/>
          <w:numId w:val="0"/>
        </w:numPr>
        <w:ind w:left="419" w:leftChars="0"/>
        <w:jc w:val="center"/>
        <w:rPr>
          <w:rFonts w:hint="eastAsia" w:ascii="宋体" w:hAnsi="宋体" w:eastAsia="宋体" w:cs="宋体"/>
          <w:sz w:val="30"/>
          <w:szCs w:val="30"/>
          <w:lang w:val="en-US" w:eastAsia="zh-CN"/>
        </w:rPr>
      </w:pPr>
      <w:r>
        <w:rPr>
          <w:rFonts w:hint="eastAsia" w:ascii="宋体" w:hAnsi="宋体" w:eastAsia="宋体" w:cs="宋体"/>
          <w:sz w:val="30"/>
          <w:szCs w:val="30"/>
        </w:rPr>
        <w:t>四、资格审查</w:t>
      </w:r>
      <w:r>
        <w:rPr>
          <w:rFonts w:hint="eastAsia" w:ascii="宋体" w:hAnsi="宋体" w:eastAsia="宋体" w:cs="宋体"/>
          <w:sz w:val="30"/>
          <w:szCs w:val="30"/>
          <w:lang w:val="en-US" w:eastAsia="zh-CN"/>
        </w:rPr>
        <w:t>资料</w:t>
      </w:r>
    </w:p>
    <w:p w14:paraId="6C20363D">
      <w:pPr>
        <w:rPr>
          <w:rFonts w:hint="eastAsia" w:ascii="宋体" w:hAnsi="宋体" w:eastAsia="宋体" w:cs="宋体"/>
          <w:sz w:val="24"/>
          <w:szCs w:val="24"/>
        </w:rPr>
      </w:pPr>
    </w:p>
    <w:p w14:paraId="7B529F8D">
      <w:pPr>
        <w:jc w:val="left"/>
        <w:rPr>
          <w:rFonts w:hint="eastAsia" w:ascii="宋体" w:hAnsi="宋体" w:eastAsia="宋体" w:cs="宋体"/>
          <w:sz w:val="30"/>
          <w:szCs w:val="30"/>
        </w:rPr>
      </w:pPr>
      <w:r>
        <w:rPr>
          <w:rFonts w:hint="eastAsia" w:ascii="宋体" w:hAnsi="宋体" w:eastAsia="宋体" w:cs="宋体"/>
          <w:sz w:val="30"/>
          <w:szCs w:val="30"/>
        </w:rPr>
        <w:br w:type="page"/>
      </w:r>
    </w:p>
    <w:p w14:paraId="559726E9">
      <w:pPr>
        <w:pStyle w:val="4"/>
        <w:numPr>
          <w:ilvl w:val="1"/>
          <w:numId w:val="0"/>
        </w:numPr>
        <w:ind w:left="419" w:leftChars="0"/>
        <w:jc w:val="center"/>
        <w:rPr>
          <w:rFonts w:hint="eastAsia" w:ascii="宋体" w:hAnsi="宋体" w:eastAsia="宋体" w:cs="宋体"/>
          <w:sz w:val="30"/>
          <w:szCs w:val="30"/>
        </w:rPr>
      </w:pPr>
      <w:r>
        <w:rPr>
          <w:rFonts w:hint="eastAsia" w:ascii="宋体" w:hAnsi="宋体" w:eastAsia="宋体" w:cs="宋体"/>
          <w:sz w:val="30"/>
          <w:szCs w:val="30"/>
        </w:rPr>
        <w:t>五、供应商基本情况表</w:t>
      </w:r>
    </w:p>
    <w:p w14:paraId="6A4638EB">
      <w:pPr>
        <w:spacing w:beforeLines="50" w:afterLines="100" w:line="440" w:lineRule="exact"/>
        <w:rPr>
          <w:rFonts w:hint="eastAsia" w:ascii="宋体" w:hAnsi="宋体" w:eastAsia="宋体" w:cs="宋体"/>
          <w:sz w:val="24"/>
          <w:szCs w:val="24"/>
        </w:rPr>
      </w:pPr>
      <w:r>
        <w:rPr>
          <w:rFonts w:hint="eastAsia" w:ascii="宋体" w:hAnsi="宋体" w:eastAsia="宋体" w:cs="宋体"/>
          <w:sz w:val="24"/>
          <w:szCs w:val="24"/>
        </w:rPr>
        <w:t>1、供应商基本情况表</w:t>
      </w:r>
    </w:p>
    <w:tbl>
      <w:tblPr>
        <w:tblStyle w:val="20"/>
        <w:tblW w:w="9219" w:type="dxa"/>
        <w:jc w:val="center"/>
        <w:tblLayout w:type="fixed"/>
        <w:tblCellMar>
          <w:top w:w="0" w:type="dxa"/>
          <w:left w:w="84" w:type="dxa"/>
          <w:bottom w:w="0" w:type="dxa"/>
          <w:right w:w="0" w:type="dxa"/>
        </w:tblCellMar>
      </w:tblPr>
      <w:tblGrid>
        <w:gridCol w:w="2096"/>
        <w:gridCol w:w="1163"/>
        <w:gridCol w:w="2152"/>
        <w:gridCol w:w="1433"/>
        <w:gridCol w:w="2375"/>
      </w:tblGrid>
      <w:tr w14:paraId="402187DB">
        <w:tblPrEx>
          <w:tblCellMar>
            <w:top w:w="0" w:type="dxa"/>
            <w:left w:w="84" w:type="dxa"/>
            <w:bottom w:w="0" w:type="dxa"/>
            <w:right w:w="0" w:type="dxa"/>
          </w:tblCellMar>
        </w:tblPrEx>
        <w:trPr>
          <w:trHeight w:val="713"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47926563">
            <w:pPr>
              <w:widowControl/>
              <w:spacing w:line="360" w:lineRule="auto"/>
              <w:jc w:val="center"/>
              <w:rPr>
                <w:rFonts w:ascii="宋体" w:hAnsi="宋体" w:cs="宋体"/>
                <w:color w:val="auto"/>
                <w:sz w:val="24"/>
                <w:szCs w:val="24"/>
                <w:highlight w:val="none"/>
              </w:rPr>
            </w:pP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Fonts w:hint="eastAsia" w:ascii="宋体" w:hAnsi="宋体" w:cs="宋体"/>
                <w:color w:val="auto"/>
                <w:sz w:val="24"/>
                <w:szCs w:val="24"/>
                <w:highlight w:val="none"/>
              </w:rPr>
              <w:t>名称</w:t>
            </w:r>
          </w:p>
        </w:tc>
        <w:tc>
          <w:tcPr>
            <w:tcW w:w="7123" w:type="dxa"/>
            <w:gridSpan w:val="4"/>
            <w:tcBorders>
              <w:top w:val="single" w:color="auto" w:sz="4" w:space="0"/>
              <w:left w:val="single" w:color="auto" w:sz="4" w:space="0"/>
              <w:bottom w:val="single" w:color="auto" w:sz="4" w:space="0"/>
              <w:right w:val="single" w:color="auto" w:sz="4" w:space="0"/>
            </w:tcBorders>
            <w:vAlign w:val="center"/>
          </w:tcPr>
          <w:p w14:paraId="6C288EE0">
            <w:pPr>
              <w:widowControl/>
              <w:spacing w:line="360" w:lineRule="auto"/>
              <w:jc w:val="center"/>
              <w:rPr>
                <w:rFonts w:ascii="宋体" w:hAnsi="宋体" w:cs="宋体"/>
                <w:color w:val="auto"/>
                <w:sz w:val="24"/>
                <w:szCs w:val="24"/>
                <w:highlight w:val="none"/>
              </w:rPr>
            </w:pPr>
          </w:p>
        </w:tc>
      </w:tr>
      <w:tr w14:paraId="17124CBE">
        <w:tblPrEx>
          <w:tblCellMar>
            <w:top w:w="0" w:type="dxa"/>
            <w:left w:w="84" w:type="dxa"/>
            <w:bottom w:w="0" w:type="dxa"/>
            <w:right w:w="0" w:type="dxa"/>
          </w:tblCellMar>
        </w:tblPrEx>
        <w:trPr>
          <w:trHeight w:val="713"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2A999759">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注册地址</w:t>
            </w:r>
          </w:p>
        </w:tc>
        <w:tc>
          <w:tcPr>
            <w:tcW w:w="3315" w:type="dxa"/>
            <w:gridSpan w:val="2"/>
            <w:tcBorders>
              <w:top w:val="single" w:color="auto" w:sz="4" w:space="0"/>
              <w:left w:val="single" w:color="auto" w:sz="4" w:space="0"/>
              <w:bottom w:val="single" w:color="auto" w:sz="4" w:space="0"/>
              <w:right w:val="single" w:color="auto" w:sz="4" w:space="0"/>
            </w:tcBorders>
            <w:vAlign w:val="center"/>
          </w:tcPr>
          <w:p w14:paraId="18D9AAD0">
            <w:pPr>
              <w:widowControl/>
              <w:spacing w:line="360" w:lineRule="auto"/>
              <w:jc w:val="center"/>
              <w:rPr>
                <w:rFonts w:ascii="宋体" w:hAnsi="宋体" w:cs="宋体"/>
                <w:color w:val="auto"/>
                <w:sz w:val="24"/>
                <w:szCs w:val="24"/>
                <w:highlight w:val="none"/>
              </w:rPr>
            </w:pPr>
          </w:p>
        </w:tc>
        <w:tc>
          <w:tcPr>
            <w:tcW w:w="1433" w:type="dxa"/>
            <w:tcBorders>
              <w:top w:val="single" w:color="auto" w:sz="4" w:space="0"/>
              <w:left w:val="single" w:color="auto" w:sz="4" w:space="0"/>
              <w:bottom w:val="single" w:color="auto" w:sz="4" w:space="0"/>
              <w:right w:val="single" w:color="auto" w:sz="4" w:space="0"/>
            </w:tcBorders>
            <w:vAlign w:val="center"/>
          </w:tcPr>
          <w:p w14:paraId="7FFB8C54">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邮政编码</w:t>
            </w:r>
          </w:p>
        </w:tc>
        <w:tc>
          <w:tcPr>
            <w:tcW w:w="2375" w:type="dxa"/>
            <w:tcBorders>
              <w:top w:val="single" w:color="auto" w:sz="4" w:space="0"/>
              <w:left w:val="single" w:color="auto" w:sz="4" w:space="0"/>
              <w:bottom w:val="single" w:color="auto" w:sz="4" w:space="0"/>
              <w:right w:val="single" w:color="auto" w:sz="4" w:space="0"/>
            </w:tcBorders>
            <w:vAlign w:val="center"/>
          </w:tcPr>
          <w:p w14:paraId="4CD32866">
            <w:pPr>
              <w:widowControl/>
              <w:spacing w:line="360" w:lineRule="auto"/>
              <w:jc w:val="center"/>
              <w:rPr>
                <w:rFonts w:ascii="宋体" w:hAnsi="宋体" w:cs="宋体"/>
                <w:color w:val="auto"/>
                <w:sz w:val="24"/>
                <w:szCs w:val="24"/>
                <w:highlight w:val="none"/>
              </w:rPr>
            </w:pPr>
          </w:p>
        </w:tc>
      </w:tr>
      <w:tr w14:paraId="154387CF">
        <w:tblPrEx>
          <w:tblCellMar>
            <w:top w:w="0" w:type="dxa"/>
            <w:left w:w="84" w:type="dxa"/>
            <w:bottom w:w="0" w:type="dxa"/>
            <w:right w:w="0" w:type="dxa"/>
          </w:tblCellMar>
        </w:tblPrEx>
        <w:trPr>
          <w:trHeight w:val="713" w:hRule="atLeast"/>
          <w:jc w:val="center"/>
        </w:trPr>
        <w:tc>
          <w:tcPr>
            <w:tcW w:w="2096" w:type="dxa"/>
            <w:vMerge w:val="restart"/>
            <w:tcBorders>
              <w:top w:val="single" w:color="auto" w:sz="4" w:space="0"/>
              <w:left w:val="single" w:color="auto" w:sz="4" w:space="0"/>
              <w:right w:val="single" w:color="auto" w:sz="4" w:space="0"/>
            </w:tcBorders>
            <w:vAlign w:val="center"/>
          </w:tcPr>
          <w:p w14:paraId="36A6D5E5">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联系方式</w:t>
            </w:r>
          </w:p>
        </w:tc>
        <w:tc>
          <w:tcPr>
            <w:tcW w:w="1163" w:type="dxa"/>
            <w:tcBorders>
              <w:top w:val="single" w:color="auto" w:sz="4" w:space="0"/>
              <w:left w:val="single" w:color="auto" w:sz="4" w:space="0"/>
              <w:bottom w:val="single" w:color="auto" w:sz="4" w:space="0"/>
              <w:right w:val="single" w:color="auto" w:sz="4" w:space="0"/>
            </w:tcBorders>
            <w:vAlign w:val="center"/>
          </w:tcPr>
          <w:p w14:paraId="54F1CE6C">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联系人</w:t>
            </w:r>
          </w:p>
        </w:tc>
        <w:tc>
          <w:tcPr>
            <w:tcW w:w="2152" w:type="dxa"/>
            <w:tcBorders>
              <w:top w:val="single" w:color="auto" w:sz="4" w:space="0"/>
              <w:left w:val="single" w:color="auto" w:sz="4" w:space="0"/>
              <w:bottom w:val="single" w:color="auto" w:sz="4" w:space="0"/>
              <w:right w:val="single" w:color="auto" w:sz="4" w:space="0"/>
            </w:tcBorders>
            <w:vAlign w:val="center"/>
          </w:tcPr>
          <w:p w14:paraId="34134137">
            <w:pPr>
              <w:widowControl/>
              <w:spacing w:line="360" w:lineRule="auto"/>
              <w:jc w:val="center"/>
              <w:rPr>
                <w:rFonts w:ascii="宋体" w:hAnsi="宋体" w:cs="宋体"/>
                <w:color w:val="auto"/>
                <w:sz w:val="24"/>
                <w:szCs w:val="24"/>
                <w:highlight w:val="none"/>
              </w:rPr>
            </w:pPr>
          </w:p>
        </w:tc>
        <w:tc>
          <w:tcPr>
            <w:tcW w:w="1433" w:type="dxa"/>
            <w:tcBorders>
              <w:top w:val="single" w:color="auto" w:sz="4" w:space="0"/>
              <w:left w:val="single" w:color="auto" w:sz="4" w:space="0"/>
              <w:bottom w:val="single" w:color="auto" w:sz="4" w:space="0"/>
              <w:right w:val="single" w:color="auto" w:sz="4" w:space="0"/>
            </w:tcBorders>
            <w:vAlign w:val="center"/>
          </w:tcPr>
          <w:p w14:paraId="0C1F6360">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电话</w:t>
            </w:r>
          </w:p>
        </w:tc>
        <w:tc>
          <w:tcPr>
            <w:tcW w:w="2375" w:type="dxa"/>
            <w:tcBorders>
              <w:top w:val="single" w:color="auto" w:sz="4" w:space="0"/>
              <w:left w:val="single" w:color="auto" w:sz="4" w:space="0"/>
              <w:bottom w:val="single" w:color="auto" w:sz="4" w:space="0"/>
              <w:right w:val="single" w:color="auto" w:sz="4" w:space="0"/>
            </w:tcBorders>
            <w:vAlign w:val="center"/>
          </w:tcPr>
          <w:p w14:paraId="55F643A0">
            <w:pPr>
              <w:widowControl/>
              <w:spacing w:line="360" w:lineRule="auto"/>
              <w:jc w:val="center"/>
              <w:rPr>
                <w:rFonts w:ascii="宋体" w:hAnsi="宋体" w:cs="宋体"/>
                <w:color w:val="auto"/>
                <w:sz w:val="24"/>
                <w:szCs w:val="24"/>
                <w:highlight w:val="none"/>
              </w:rPr>
            </w:pPr>
          </w:p>
        </w:tc>
      </w:tr>
      <w:tr w14:paraId="2C4709CE">
        <w:tblPrEx>
          <w:tblCellMar>
            <w:top w:w="0" w:type="dxa"/>
            <w:left w:w="84" w:type="dxa"/>
            <w:bottom w:w="0" w:type="dxa"/>
            <w:right w:w="0" w:type="dxa"/>
          </w:tblCellMar>
        </w:tblPrEx>
        <w:trPr>
          <w:trHeight w:val="713" w:hRule="atLeast"/>
          <w:jc w:val="center"/>
        </w:trPr>
        <w:tc>
          <w:tcPr>
            <w:tcW w:w="2096" w:type="dxa"/>
            <w:vMerge w:val="continue"/>
            <w:tcBorders>
              <w:left w:val="single" w:color="auto" w:sz="4" w:space="0"/>
              <w:bottom w:val="single" w:color="auto" w:sz="4" w:space="0"/>
              <w:right w:val="single" w:color="auto" w:sz="4" w:space="0"/>
            </w:tcBorders>
            <w:vAlign w:val="center"/>
          </w:tcPr>
          <w:p w14:paraId="4421D917">
            <w:pPr>
              <w:widowControl/>
              <w:spacing w:line="360" w:lineRule="auto"/>
              <w:jc w:val="center"/>
              <w:rPr>
                <w:rFonts w:ascii="宋体" w:hAnsi="宋体" w:cs="宋体"/>
                <w:color w:val="auto"/>
                <w:sz w:val="24"/>
                <w:szCs w:val="24"/>
                <w:highlight w:val="none"/>
              </w:rPr>
            </w:pPr>
          </w:p>
        </w:tc>
        <w:tc>
          <w:tcPr>
            <w:tcW w:w="1163" w:type="dxa"/>
            <w:tcBorders>
              <w:top w:val="single" w:color="auto" w:sz="4" w:space="0"/>
              <w:left w:val="single" w:color="auto" w:sz="4" w:space="0"/>
              <w:bottom w:val="single" w:color="auto" w:sz="4" w:space="0"/>
              <w:right w:val="single" w:color="auto" w:sz="4" w:space="0"/>
            </w:tcBorders>
            <w:vAlign w:val="center"/>
          </w:tcPr>
          <w:p w14:paraId="5EC677AB">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传真</w:t>
            </w:r>
          </w:p>
        </w:tc>
        <w:tc>
          <w:tcPr>
            <w:tcW w:w="2152" w:type="dxa"/>
            <w:tcBorders>
              <w:top w:val="single" w:color="auto" w:sz="4" w:space="0"/>
              <w:left w:val="single" w:color="auto" w:sz="4" w:space="0"/>
              <w:bottom w:val="single" w:color="auto" w:sz="4" w:space="0"/>
              <w:right w:val="single" w:color="auto" w:sz="4" w:space="0"/>
            </w:tcBorders>
            <w:vAlign w:val="center"/>
          </w:tcPr>
          <w:p w14:paraId="539DBE57">
            <w:pPr>
              <w:widowControl/>
              <w:spacing w:line="360" w:lineRule="auto"/>
              <w:jc w:val="center"/>
              <w:rPr>
                <w:rFonts w:ascii="宋体" w:hAnsi="宋体" w:cs="宋体"/>
                <w:color w:val="auto"/>
                <w:sz w:val="24"/>
                <w:szCs w:val="24"/>
                <w:highlight w:val="none"/>
              </w:rPr>
            </w:pPr>
          </w:p>
        </w:tc>
        <w:tc>
          <w:tcPr>
            <w:tcW w:w="1433" w:type="dxa"/>
            <w:tcBorders>
              <w:top w:val="single" w:color="auto" w:sz="4" w:space="0"/>
              <w:left w:val="single" w:color="auto" w:sz="4" w:space="0"/>
              <w:bottom w:val="single" w:color="auto" w:sz="4" w:space="0"/>
              <w:right w:val="single" w:color="auto" w:sz="4" w:space="0"/>
            </w:tcBorders>
            <w:vAlign w:val="center"/>
          </w:tcPr>
          <w:p w14:paraId="5BACE07E">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网址</w:t>
            </w:r>
          </w:p>
        </w:tc>
        <w:tc>
          <w:tcPr>
            <w:tcW w:w="2375" w:type="dxa"/>
            <w:tcBorders>
              <w:top w:val="single" w:color="auto" w:sz="4" w:space="0"/>
              <w:left w:val="single" w:color="auto" w:sz="4" w:space="0"/>
              <w:bottom w:val="single" w:color="auto" w:sz="4" w:space="0"/>
              <w:right w:val="single" w:color="auto" w:sz="4" w:space="0"/>
            </w:tcBorders>
            <w:vAlign w:val="center"/>
          </w:tcPr>
          <w:p w14:paraId="171BD861">
            <w:pPr>
              <w:widowControl/>
              <w:spacing w:line="360" w:lineRule="auto"/>
              <w:jc w:val="center"/>
              <w:rPr>
                <w:rFonts w:ascii="宋体" w:hAnsi="宋体" w:cs="宋体"/>
                <w:color w:val="auto"/>
                <w:sz w:val="24"/>
                <w:szCs w:val="24"/>
                <w:highlight w:val="none"/>
              </w:rPr>
            </w:pPr>
          </w:p>
        </w:tc>
      </w:tr>
      <w:tr w14:paraId="05C931C7">
        <w:tblPrEx>
          <w:tblCellMar>
            <w:top w:w="0" w:type="dxa"/>
            <w:left w:w="84" w:type="dxa"/>
            <w:bottom w:w="0" w:type="dxa"/>
            <w:right w:w="0" w:type="dxa"/>
          </w:tblCellMar>
        </w:tblPrEx>
        <w:trPr>
          <w:trHeight w:val="713"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479FEA28">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法定代表人</w:t>
            </w:r>
          </w:p>
        </w:tc>
        <w:tc>
          <w:tcPr>
            <w:tcW w:w="1163" w:type="dxa"/>
            <w:tcBorders>
              <w:top w:val="single" w:color="auto" w:sz="4" w:space="0"/>
              <w:left w:val="single" w:color="auto" w:sz="4" w:space="0"/>
              <w:bottom w:val="single" w:color="auto" w:sz="4" w:space="0"/>
              <w:right w:val="single" w:color="auto" w:sz="4" w:space="0"/>
            </w:tcBorders>
            <w:vAlign w:val="center"/>
          </w:tcPr>
          <w:p w14:paraId="31ACFFB3">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姓名</w:t>
            </w:r>
          </w:p>
        </w:tc>
        <w:tc>
          <w:tcPr>
            <w:tcW w:w="2152" w:type="dxa"/>
            <w:tcBorders>
              <w:top w:val="single" w:color="auto" w:sz="4" w:space="0"/>
              <w:left w:val="single" w:color="auto" w:sz="4" w:space="0"/>
              <w:bottom w:val="single" w:color="auto" w:sz="4" w:space="0"/>
              <w:right w:val="single" w:color="auto" w:sz="4" w:space="0"/>
            </w:tcBorders>
            <w:vAlign w:val="center"/>
          </w:tcPr>
          <w:p w14:paraId="53899CA2">
            <w:pPr>
              <w:widowControl/>
              <w:spacing w:line="360" w:lineRule="auto"/>
              <w:jc w:val="center"/>
              <w:rPr>
                <w:rFonts w:ascii="宋体" w:hAnsi="宋体" w:cs="宋体"/>
                <w:color w:val="auto"/>
                <w:sz w:val="24"/>
                <w:szCs w:val="24"/>
                <w:highlight w:val="none"/>
              </w:rPr>
            </w:pPr>
          </w:p>
        </w:tc>
        <w:tc>
          <w:tcPr>
            <w:tcW w:w="1433" w:type="dxa"/>
            <w:tcBorders>
              <w:top w:val="single" w:color="auto" w:sz="4" w:space="0"/>
              <w:left w:val="single" w:color="auto" w:sz="4" w:space="0"/>
              <w:bottom w:val="single" w:color="auto" w:sz="4" w:space="0"/>
              <w:right w:val="single" w:color="auto" w:sz="4" w:space="0"/>
            </w:tcBorders>
            <w:vAlign w:val="center"/>
          </w:tcPr>
          <w:p w14:paraId="3B0612F0">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电话</w:t>
            </w:r>
          </w:p>
        </w:tc>
        <w:tc>
          <w:tcPr>
            <w:tcW w:w="2375" w:type="dxa"/>
            <w:tcBorders>
              <w:top w:val="single" w:color="auto" w:sz="4" w:space="0"/>
              <w:left w:val="single" w:color="auto" w:sz="4" w:space="0"/>
              <w:bottom w:val="single" w:color="auto" w:sz="4" w:space="0"/>
              <w:right w:val="single" w:color="auto" w:sz="4" w:space="0"/>
            </w:tcBorders>
            <w:vAlign w:val="center"/>
          </w:tcPr>
          <w:p w14:paraId="7DEE74E7">
            <w:pPr>
              <w:widowControl/>
              <w:spacing w:line="360" w:lineRule="auto"/>
              <w:jc w:val="center"/>
              <w:rPr>
                <w:rFonts w:ascii="宋体" w:hAnsi="宋体" w:cs="宋体"/>
                <w:color w:val="auto"/>
                <w:sz w:val="24"/>
                <w:szCs w:val="24"/>
                <w:highlight w:val="none"/>
              </w:rPr>
            </w:pPr>
          </w:p>
        </w:tc>
      </w:tr>
      <w:tr w14:paraId="05D57FD1">
        <w:tblPrEx>
          <w:tblCellMar>
            <w:top w:w="0" w:type="dxa"/>
            <w:left w:w="84" w:type="dxa"/>
            <w:bottom w:w="0" w:type="dxa"/>
            <w:right w:w="0" w:type="dxa"/>
          </w:tblCellMar>
        </w:tblPrEx>
        <w:trPr>
          <w:trHeight w:val="713"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2CECACDC">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成立时间</w:t>
            </w:r>
          </w:p>
        </w:tc>
        <w:tc>
          <w:tcPr>
            <w:tcW w:w="7123" w:type="dxa"/>
            <w:gridSpan w:val="4"/>
            <w:tcBorders>
              <w:top w:val="single" w:color="auto" w:sz="4" w:space="0"/>
              <w:left w:val="single" w:color="auto" w:sz="4" w:space="0"/>
              <w:bottom w:val="single" w:color="auto" w:sz="4" w:space="0"/>
              <w:right w:val="single" w:color="auto" w:sz="4" w:space="0"/>
            </w:tcBorders>
            <w:vAlign w:val="center"/>
          </w:tcPr>
          <w:p w14:paraId="60B51B74">
            <w:pPr>
              <w:widowControl/>
              <w:spacing w:line="360" w:lineRule="auto"/>
              <w:jc w:val="center"/>
              <w:rPr>
                <w:rFonts w:ascii="宋体" w:hAnsi="宋体" w:cs="宋体"/>
                <w:color w:val="auto"/>
                <w:sz w:val="24"/>
                <w:szCs w:val="24"/>
                <w:highlight w:val="none"/>
              </w:rPr>
            </w:pPr>
          </w:p>
        </w:tc>
      </w:tr>
      <w:tr w14:paraId="275F21C6">
        <w:tblPrEx>
          <w:tblCellMar>
            <w:top w:w="0" w:type="dxa"/>
            <w:left w:w="84" w:type="dxa"/>
            <w:bottom w:w="0" w:type="dxa"/>
            <w:right w:w="0" w:type="dxa"/>
          </w:tblCellMar>
        </w:tblPrEx>
        <w:trPr>
          <w:trHeight w:val="713"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040927C4">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营业执照号</w:t>
            </w:r>
          </w:p>
        </w:tc>
        <w:tc>
          <w:tcPr>
            <w:tcW w:w="7123" w:type="dxa"/>
            <w:gridSpan w:val="4"/>
            <w:tcBorders>
              <w:top w:val="single" w:color="auto" w:sz="4" w:space="0"/>
              <w:left w:val="single" w:color="auto" w:sz="4" w:space="0"/>
              <w:bottom w:val="single" w:color="auto" w:sz="4" w:space="0"/>
              <w:right w:val="single" w:color="auto" w:sz="4" w:space="0"/>
            </w:tcBorders>
            <w:vAlign w:val="center"/>
          </w:tcPr>
          <w:p w14:paraId="0FED06D5">
            <w:pPr>
              <w:widowControl/>
              <w:spacing w:line="360" w:lineRule="auto"/>
              <w:jc w:val="center"/>
              <w:rPr>
                <w:rFonts w:ascii="宋体" w:hAnsi="宋体" w:cs="宋体"/>
                <w:color w:val="auto"/>
                <w:sz w:val="24"/>
                <w:szCs w:val="24"/>
                <w:highlight w:val="none"/>
              </w:rPr>
            </w:pPr>
          </w:p>
        </w:tc>
      </w:tr>
      <w:tr w14:paraId="23D95606">
        <w:tblPrEx>
          <w:tblCellMar>
            <w:top w:w="0" w:type="dxa"/>
            <w:left w:w="84" w:type="dxa"/>
            <w:bottom w:w="0" w:type="dxa"/>
            <w:right w:w="0" w:type="dxa"/>
          </w:tblCellMar>
        </w:tblPrEx>
        <w:trPr>
          <w:trHeight w:val="3569"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0AFB53B4">
            <w:pPr>
              <w:widowControl/>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经营范围</w:t>
            </w:r>
          </w:p>
        </w:tc>
        <w:tc>
          <w:tcPr>
            <w:tcW w:w="7123" w:type="dxa"/>
            <w:gridSpan w:val="4"/>
            <w:tcBorders>
              <w:top w:val="single" w:color="auto" w:sz="4" w:space="0"/>
              <w:left w:val="single" w:color="auto" w:sz="4" w:space="0"/>
              <w:bottom w:val="single" w:color="auto" w:sz="4" w:space="0"/>
              <w:right w:val="single" w:color="auto" w:sz="4" w:space="0"/>
            </w:tcBorders>
            <w:vAlign w:val="center"/>
          </w:tcPr>
          <w:p w14:paraId="365569E3">
            <w:pPr>
              <w:widowControl/>
              <w:spacing w:line="360" w:lineRule="auto"/>
              <w:jc w:val="center"/>
              <w:rPr>
                <w:rFonts w:ascii="宋体" w:hAnsi="宋体" w:cs="宋体"/>
                <w:color w:val="auto"/>
                <w:sz w:val="24"/>
                <w:szCs w:val="24"/>
                <w:highlight w:val="none"/>
              </w:rPr>
            </w:pPr>
          </w:p>
        </w:tc>
      </w:tr>
      <w:tr w14:paraId="0DF4BEA8">
        <w:tblPrEx>
          <w:tblCellMar>
            <w:top w:w="0" w:type="dxa"/>
            <w:left w:w="84" w:type="dxa"/>
            <w:bottom w:w="0" w:type="dxa"/>
            <w:right w:w="0" w:type="dxa"/>
          </w:tblCellMar>
        </w:tblPrEx>
        <w:trPr>
          <w:trHeight w:val="847" w:hRule="atLeast"/>
          <w:jc w:val="center"/>
        </w:trPr>
        <w:tc>
          <w:tcPr>
            <w:tcW w:w="2096" w:type="dxa"/>
            <w:tcBorders>
              <w:top w:val="single" w:color="auto" w:sz="4" w:space="0"/>
              <w:left w:val="single" w:color="auto" w:sz="4" w:space="0"/>
              <w:bottom w:val="single" w:color="auto" w:sz="4" w:space="0"/>
              <w:right w:val="single" w:color="auto" w:sz="4" w:space="0"/>
            </w:tcBorders>
            <w:vAlign w:val="center"/>
          </w:tcPr>
          <w:p w14:paraId="1E9DAEA7">
            <w:pPr>
              <w:widowControl/>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c>
          <w:tcPr>
            <w:tcW w:w="7123" w:type="dxa"/>
            <w:gridSpan w:val="4"/>
            <w:tcBorders>
              <w:top w:val="single" w:color="auto" w:sz="4" w:space="0"/>
              <w:left w:val="single" w:color="auto" w:sz="4" w:space="0"/>
              <w:bottom w:val="single" w:color="auto" w:sz="4" w:space="0"/>
              <w:right w:val="single" w:color="auto" w:sz="4" w:space="0"/>
            </w:tcBorders>
            <w:vAlign w:val="center"/>
          </w:tcPr>
          <w:p w14:paraId="29A8BAB1">
            <w:pPr>
              <w:widowControl/>
              <w:spacing w:line="360" w:lineRule="auto"/>
              <w:jc w:val="center"/>
              <w:rPr>
                <w:rFonts w:ascii="宋体" w:hAnsi="宋体" w:cs="宋体"/>
                <w:color w:val="auto"/>
                <w:sz w:val="24"/>
                <w:szCs w:val="24"/>
                <w:highlight w:val="none"/>
              </w:rPr>
            </w:pPr>
          </w:p>
        </w:tc>
      </w:tr>
    </w:tbl>
    <w:p w14:paraId="67A58249">
      <w:pPr>
        <w:tabs>
          <w:tab w:val="left" w:pos="1135"/>
        </w:tabs>
        <w:spacing w:line="360" w:lineRule="auto"/>
        <w:ind w:left="360" w:hanging="360"/>
        <w:rPr>
          <w:rFonts w:hint="eastAsia" w:ascii="宋体" w:hAnsi="宋体" w:eastAsia="宋体" w:cs="宋体"/>
          <w:sz w:val="24"/>
          <w:szCs w:val="24"/>
          <w:u w:val="single"/>
        </w:rPr>
      </w:pPr>
      <w:r>
        <w:rPr>
          <w:rFonts w:hint="eastAsia" w:ascii="宋体" w:hAnsi="宋体" w:eastAsia="宋体" w:cs="宋体"/>
          <w:sz w:val="24"/>
          <w:szCs w:val="24"/>
        </w:rPr>
        <w:t>注：本表不够时可自制和扩</w:t>
      </w:r>
      <w:r>
        <w:rPr>
          <w:rFonts w:hint="eastAsia" w:ascii="宋体" w:hAnsi="宋体" w:eastAsia="宋体" w:cs="宋体"/>
          <w:sz w:val="24"/>
          <w:szCs w:val="24"/>
          <w:u w:val="none"/>
        </w:rPr>
        <w:t>展。</w:t>
      </w:r>
    </w:p>
    <w:p w14:paraId="7662CFCE">
      <w:pPr>
        <w:spacing w:line="360" w:lineRule="auto"/>
        <w:ind w:left="2940" w:leftChars="1400" w:firstLine="360" w:firstLineChars="150"/>
        <w:rPr>
          <w:rFonts w:hint="eastAsia" w:ascii="宋体" w:hAnsi="宋体" w:eastAsia="宋体" w:cs="宋体"/>
          <w:sz w:val="24"/>
          <w:szCs w:val="24"/>
        </w:rPr>
      </w:pPr>
    </w:p>
    <w:p w14:paraId="78D99743">
      <w:pPr>
        <w:spacing w:line="36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（盖章）</w:t>
      </w:r>
    </w:p>
    <w:p w14:paraId="46568947">
      <w:pPr>
        <w:spacing w:line="36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none"/>
        </w:rPr>
        <w:t>：</w:t>
      </w:r>
      <w:r>
        <w:rPr>
          <w:rFonts w:hint="eastAsia" w:ascii="宋体" w:hAnsi="宋体" w:eastAsia="宋体" w:cs="宋体"/>
          <w:sz w:val="24"/>
          <w:szCs w:val="24"/>
          <w:u w:val="single"/>
          <w:lang w:val="en-US" w:bidi="zh-CN"/>
        </w:rPr>
        <w:t xml:space="preserve">          </w:t>
      </w:r>
      <w:r>
        <w:rPr>
          <w:rFonts w:hint="eastAsia" w:ascii="宋体" w:hAnsi="宋体" w:eastAsia="宋体" w:cs="宋体"/>
          <w:sz w:val="24"/>
          <w:szCs w:val="24"/>
        </w:rPr>
        <w:t>（</w:t>
      </w:r>
      <w:r>
        <w:rPr>
          <w:rFonts w:hint="eastAsia" w:ascii="宋体" w:hAnsi="宋体" w:cs="宋体"/>
          <w:sz w:val="24"/>
          <w:szCs w:val="24"/>
          <w:lang w:val="en-US" w:eastAsia="zh-CN"/>
        </w:rPr>
        <w:t>签字或盖章</w:t>
      </w:r>
      <w:r>
        <w:rPr>
          <w:rFonts w:hint="eastAsia" w:ascii="宋体" w:hAnsi="宋体" w:eastAsia="宋体" w:cs="宋体"/>
          <w:sz w:val="24"/>
          <w:szCs w:val="24"/>
        </w:rPr>
        <w:t>）</w:t>
      </w:r>
    </w:p>
    <w:p w14:paraId="3918838B">
      <w:pPr>
        <w:spacing w:line="360" w:lineRule="auto"/>
        <w:ind w:left="2940" w:leftChars="1400" w:firstLine="360" w:firstLineChars="15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3C198EE7">
      <w:pPr>
        <w:rPr>
          <w:rFonts w:hint="eastAsia" w:ascii="宋体" w:hAnsi="宋体" w:eastAsia="宋体" w:cs="宋体"/>
          <w:sz w:val="24"/>
          <w:szCs w:val="24"/>
        </w:rPr>
      </w:pPr>
    </w:p>
    <w:p w14:paraId="23DB83C5">
      <w:pPr>
        <w:rPr>
          <w:rFonts w:hint="eastAsia" w:ascii="宋体" w:hAnsi="宋体" w:eastAsia="宋体" w:cs="宋体"/>
          <w:sz w:val="24"/>
          <w:szCs w:val="24"/>
        </w:rPr>
      </w:pPr>
    </w:p>
    <w:p w14:paraId="4266E988">
      <w:pPr>
        <w:spacing w:beforeLines="50" w:afterLines="50" w:line="440" w:lineRule="exact"/>
        <w:ind w:left="720" w:hanging="720" w:hangingChars="300"/>
        <w:rPr>
          <w:rFonts w:hint="eastAsia" w:ascii="宋体" w:hAnsi="宋体" w:eastAsia="宋体" w:cs="宋体"/>
          <w:sz w:val="24"/>
          <w:szCs w:val="24"/>
        </w:rPr>
      </w:pPr>
      <w:r>
        <w:rPr>
          <w:rFonts w:hint="eastAsia" w:ascii="宋体" w:hAnsi="宋体" w:eastAsia="宋体" w:cs="宋体"/>
          <w:sz w:val="24"/>
          <w:szCs w:val="24"/>
        </w:rPr>
        <w:t>2、近年来完成的类似项目情况表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0"/>
        <w:gridCol w:w="5889"/>
      </w:tblGrid>
      <w:tr w14:paraId="1409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47C17D6F">
            <w:pPr>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5889" w:type="dxa"/>
            <w:vAlign w:val="center"/>
          </w:tcPr>
          <w:p w14:paraId="09FEB497">
            <w:pPr>
              <w:jc w:val="center"/>
              <w:rPr>
                <w:rFonts w:hint="eastAsia" w:ascii="宋体" w:hAnsi="宋体" w:eastAsia="宋体" w:cs="宋体"/>
                <w:sz w:val="24"/>
                <w:szCs w:val="24"/>
              </w:rPr>
            </w:pPr>
          </w:p>
        </w:tc>
      </w:tr>
      <w:tr w14:paraId="0612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00C8FD5E">
            <w:pPr>
              <w:jc w:val="center"/>
              <w:rPr>
                <w:rFonts w:hint="eastAsia" w:ascii="宋体" w:hAnsi="宋体" w:eastAsia="宋体" w:cs="宋体"/>
                <w:sz w:val="24"/>
                <w:szCs w:val="24"/>
              </w:rPr>
            </w:pPr>
            <w:r>
              <w:rPr>
                <w:rFonts w:hint="eastAsia" w:ascii="宋体" w:hAnsi="宋体" w:eastAsia="宋体" w:cs="宋体"/>
                <w:sz w:val="24"/>
                <w:szCs w:val="24"/>
              </w:rPr>
              <w:t>项目所在地</w:t>
            </w:r>
          </w:p>
        </w:tc>
        <w:tc>
          <w:tcPr>
            <w:tcW w:w="5889" w:type="dxa"/>
            <w:vAlign w:val="center"/>
          </w:tcPr>
          <w:p w14:paraId="1F6EE0E5">
            <w:pPr>
              <w:jc w:val="center"/>
              <w:rPr>
                <w:rFonts w:hint="eastAsia" w:ascii="宋体" w:hAnsi="宋体" w:eastAsia="宋体" w:cs="宋体"/>
                <w:sz w:val="24"/>
                <w:szCs w:val="24"/>
              </w:rPr>
            </w:pPr>
          </w:p>
        </w:tc>
      </w:tr>
      <w:tr w14:paraId="46EE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370BE7F3">
            <w:pPr>
              <w:jc w:val="center"/>
              <w:rPr>
                <w:rFonts w:hint="eastAsia" w:ascii="宋体" w:hAnsi="宋体" w:eastAsia="宋体" w:cs="宋体"/>
                <w:sz w:val="24"/>
                <w:szCs w:val="24"/>
              </w:rPr>
            </w:pPr>
            <w:r>
              <w:rPr>
                <w:rFonts w:hint="eastAsia" w:ascii="宋体" w:hAnsi="宋体" w:eastAsia="宋体" w:cs="宋体"/>
                <w:sz w:val="24"/>
                <w:szCs w:val="24"/>
              </w:rPr>
              <w:t>合同价格</w:t>
            </w:r>
          </w:p>
        </w:tc>
        <w:tc>
          <w:tcPr>
            <w:tcW w:w="5889" w:type="dxa"/>
            <w:vAlign w:val="center"/>
          </w:tcPr>
          <w:p w14:paraId="0150BF70">
            <w:pPr>
              <w:jc w:val="center"/>
              <w:rPr>
                <w:rFonts w:hint="eastAsia" w:ascii="宋体" w:hAnsi="宋体" w:eastAsia="宋体" w:cs="宋体"/>
                <w:sz w:val="24"/>
                <w:szCs w:val="24"/>
              </w:rPr>
            </w:pPr>
          </w:p>
        </w:tc>
      </w:tr>
      <w:tr w14:paraId="2A30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1F56D4BE">
            <w:pPr>
              <w:jc w:val="center"/>
              <w:rPr>
                <w:rFonts w:hint="eastAsia" w:ascii="宋体" w:hAnsi="宋体" w:eastAsia="宋体" w:cs="宋体"/>
                <w:sz w:val="24"/>
                <w:szCs w:val="24"/>
                <w:lang w:val="en-US" w:eastAsia="zh-CN"/>
              </w:rPr>
            </w:pPr>
            <w:r>
              <w:rPr>
                <w:rFonts w:hint="eastAsia" w:ascii="宋体" w:hAnsi="宋体" w:eastAsia="宋体" w:cs="宋体"/>
                <w:sz w:val="24"/>
                <w:szCs w:val="24"/>
              </w:rPr>
              <w:t>服务</w:t>
            </w:r>
            <w:r>
              <w:rPr>
                <w:rFonts w:hint="eastAsia" w:ascii="宋体" w:hAnsi="宋体" w:cs="宋体"/>
                <w:sz w:val="24"/>
                <w:szCs w:val="24"/>
                <w:lang w:val="en-US" w:eastAsia="zh-CN"/>
              </w:rPr>
              <w:t>周期</w:t>
            </w:r>
          </w:p>
        </w:tc>
        <w:tc>
          <w:tcPr>
            <w:tcW w:w="5889" w:type="dxa"/>
            <w:vAlign w:val="center"/>
          </w:tcPr>
          <w:p w14:paraId="49074D25">
            <w:pPr>
              <w:jc w:val="center"/>
              <w:rPr>
                <w:rFonts w:hint="eastAsia" w:ascii="宋体" w:hAnsi="宋体" w:eastAsia="宋体" w:cs="宋体"/>
                <w:sz w:val="24"/>
                <w:szCs w:val="24"/>
              </w:rPr>
            </w:pPr>
          </w:p>
        </w:tc>
      </w:tr>
      <w:tr w14:paraId="1444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081FBF0D">
            <w:pPr>
              <w:jc w:val="center"/>
              <w:rPr>
                <w:rFonts w:hint="eastAsia" w:ascii="宋体" w:hAnsi="宋体" w:eastAsia="宋体" w:cs="宋体"/>
                <w:sz w:val="24"/>
                <w:szCs w:val="24"/>
              </w:rPr>
            </w:pPr>
            <w:r>
              <w:rPr>
                <w:rFonts w:hint="eastAsia" w:ascii="宋体" w:hAnsi="宋体" w:eastAsia="宋体" w:cs="宋体"/>
                <w:sz w:val="24"/>
                <w:szCs w:val="24"/>
              </w:rPr>
              <w:t>承担的工作</w:t>
            </w:r>
          </w:p>
        </w:tc>
        <w:tc>
          <w:tcPr>
            <w:tcW w:w="5889" w:type="dxa"/>
            <w:vAlign w:val="center"/>
          </w:tcPr>
          <w:p w14:paraId="55EBE9FF">
            <w:pPr>
              <w:jc w:val="center"/>
              <w:rPr>
                <w:rFonts w:hint="eastAsia" w:ascii="宋体" w:hAnsi="宋体" w:eastAsia="宋体" w:cs="宋体"/>
                <w:sz w:val="24"/>
                <w:szCs w:val="24"/>
              </w:rPr>
            </w:pPr>
          </w:p>
        </w:tc>
      </w:tr>
      <w:tr w14:paraId="7A15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90" w:type="dxa"/>
            <w:vAlign w:val="center"/>
          </w:tcPr>
          <w:p w14:paraId="3AC29579">
            <w:pPr>
              <w:jc w:val="center"/>
              <w:rPr>
                <w:rFonts w:hint="eastAsia" w:ascii="宋体" w:hAnsi="宋体" w:eastAsia="宋体" w:cs="宋体"/>
                <w:sz w:val="24"/>
                <w:szCs w:val="24"/>
              </w:rPr>
            </w:pPr>
            <w:r>
              <w:rPr>
                <w:rFonts w:hint="eastAsia" w:ascii="宋体" w:hAnsi="宋体" w:eastAsia="宋体" w:cs="宋体"/>
                <w:sz w:val="24"/>
                <w:szCs w:val="24"/>
              </w:rPr>
              <w:t>项目负责人</w:t>
            </w:r>
          </w:p>
        </w:tc>
        <w:tc>
          <w:tcPr>
            <w:tcW w:w="5889" w:type="dxa"/>
            <w:vAlign w:val="center"/>
          </w:tcPr>
          <w:p w14:paraId="47D26844">
            <w:pPr>
              <w:jc w:val="center"/>
              <w:rPr>
                <w:rFonts w:hint="eastAsia" w:ascii="宋体" w:hAnsi="宋体" w:eastAsia="宋体" w:cs="宋体"/>
                <w:sz w:val="24"/>
                <w:szCs w:val="24"/>
              </w:rPr>
            </w:pPr>
          </w:p>
        </w:tc>
      </w:tr>
      <w:tr w14:paraId="35FA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990" w:type="dxa"/>
            <w:vAlign w:val="center"/>
          </w:tcPr>
          <w:p w14:paraId="59A13186">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5889" w:type="dxa"/>
            <w:vAlign w:val="center"/>
          </w:tcPr>
          <w:p w14:paraId="51AAE28A">
            <w:pPr>
              <w:jc w:val="center"/>
              <w:rPr>
                <w:rFonts w:hint="eastAsia" w:ascii="宋体" w:hAnsi="宋体" w:eastAsia="宋体" w:cs="宋体"/>
                <w:sz w:val="24"/>
                <w:szCs w:val="24"/>
              </w:rPr>
            </w:pPr>
          </w:p>
        </w:tc>
      </w:tr>
    </w:tbl>
    <w:p w14:paraId="48DE43E5">
      <w:pPr>
        <w:spacing w:line="440" w:lineRule="exact"/>
        <w:ind w:left="660" w:leftChars="200" w:hanging="240" w:hangingChars="100"/>
        <w:rPr>
          <w:rFonts w:hint="eastAsia" w:ascii="宋体" w:hAnsi="宋体" w:eastAsia="宋体" w:cs="宋体"/>
          <w:sz w:val="24"/>
          <w:szCs w:val="24"/>
        </w:rPr>
      </w:pPr>
      <w:r>
        <w:rPr>
          <w:rFonts w:hint="eastAsia" w:ascii="宋体" w:hAnsi="宋体" w:eastAsia="宋体" w:cs="宋体"/>
          <w:sz w:val="24"/>
          <w:szCs w:val="24"/>
        </w:rPr>
        <w:t>备注：本表后附合同协议书的扫描件，具体年份要求2022年1月1日以来。每张表格只填写一个项目，并标明序号。</w:t>
      </w:r>
    </w:p>
    <w:p w14:paraId="35C6D836">
      <w:pPr>
        <w:spacing w:beforeLines="50" w:afterLines="50" w:line="440" w:lineRule="exact"/>
        <w:rPr>
          <w:rFonts w:hint="eastAsia" w:ascii="宋体" w:hAnsi="宋体" w:eastAsia="宋体" w:cs="宋体"/>
          <w:sz w:val="24"/>
          <w:szCs w:val="24"/>
        </w:rPr>
      </w:pPr>
    </w:p>
    <w:p w14:paraId="2E24825A">
      <w:pPr>
        <w:spacing w:line="440" w:lineRule="exact"/>
        <w:ind w:firstLine="600" w:firstLineChars="250"/>
        <w:rPr>
          <w:rFonts w:hint="eastAsia" w:ascii="宋体" w:hAnsi="宋体" w:eastAsia="宋体" w:cs="宋体"/>
          <w:sz w:val="24"/>
          <w:szCs w:val="24"/>
        </w:rPr>
      </w:pPr>
      <w:r>
        <w:rPr>
          <w:rFonts w:hint="eastAsia" w:ascii="宋体" w:hAnsi="宋体" w:eastAsia="宋体" w:cs="宋体"/>
          <w:sz w:val="24"/>
          <w:szCs w:val="24"/>
        </w:rPr>
        <w:br w:type="page"/>
      </w:r>
    </w:p>
    <w:p w14:paraId="1D764A8B">
      <w:pPr>
        <w:pStyle w:val="4"/>
        <w:numPr>
          <w:ilvl w:val="1"/>
          <w:numId w:val="0"/>
        </w:numPr>
        <w:ind w:left="419" w:leftChars="0"/>
        <w:jc w:val="center"/>
        <w:rPr>
          <w:rFonts w:hint="eastAsia" w:ascii="宋体" w:hAnsi="宋体" w:eastAsia="宋体" w:cs="宋体"/>
          <w:sz w:val="30"/>
          <w:szCs w:val="30"/>
        </w:rPr>
      </w:pPr>
      <w:r>
        <w:rPr>
          <w:rFonts w:hint="eastAsia" w:ascii="宋体" w:hAnsi="宋体" w:eastAsia="宋体" w:cs="宋体"/>
          <w:sz w:val="30"/>
          <w:szCs w:val="30"/>
        </w:rPr>
        <w:t>六</w:t>
      </w:r>
      <w:r>
        <w:rPr>
          <w:rFonts w:hint="eastAsia" w:ascii="宋体" w:hAnsi="宋体" w:eastAsia="宋体" w:cs="宋体"/>
          <w:sz w:val="30"/>
          <w:szCs w:val="30"/>
          <w:lang w:val="zh-CN"/>
        </w:rPr>
        <w:t>、</w:t>
      </w:r>
      <w:r>
        <w:rPr>
          <w:rFonts w:hint="eastAsia" w:ascii="宋体" w:hAnsi="宋体" w:eastAsia="宋体" w:cs="宋体"/>
          <w:sz w:val="30"/>
          <w:szCs w:val="30"/>
        </w:rPr>
        <w:t>技术部分</w:t>
      </w:r>
    </w:p>
    <w:p w14:paraId="7E8FDB05">
      <w:pPr>
        <w:pStyle w:val="18"/>
        <w:ind w:firstLine="301"/>
        <w:rPr>
          <w:rFonts w:hint="eastAsia" w:ascii="宋体" w:hAnsi="宋体" w:eastAsia="宋体" w:cs="宋体"/>
          <w:b/>
          <w:sz w:val="30"/>
          <w:szCs w:val="30"/>
        </w:rPr>
      </w:pPr>
    </w:p>
    <w:p w14:paraId="6684FB89">
      <w:pPr>
        <w:pStyle w:val="19"/>
        <w:ind w:firstLine="440"/>
        <w:rPr>
          <w:rFonts w:hint="eastAsia" w:ascii="宋体" w:hAnsi="宋体" w:eastAsia="宋体" w:cs="宋体"/>
          <w:lang w:eastAsia="zh-CN"/>
        </w:rPr>
      </w:pPr>
    </w:p>
    <w:p w14:paraId="50B38283">
      <w:pPr>
        <w:pStyle w:val="18"/>
        <w:ind w:firstLine="240"/>
        <w:rPr>
          <w:rFonts w:hint="eastAsia" w:ascii="宋体" w:hAnsi="宋体" w:eastAsia="宋体" w:cs="宋体"/>
        </w:rPr>
      </w:pPr>
    </w:p>
    <w:p w14:paraId="693644B7">
      <w:pPr>
        <w:pStyle w:val="19"/>
        <w:ind w:firstLine="440"/>
        <w:rPr>
          <w:rFonts w:hint="eastAsia" w:ascii="宋体" w:hAnsi="宋体" w:eastAsia="宋体" w:cs="宋体"/>
          <w:lang w:eastAsia="zh-CN"/>
        </w:rPr>
      </w:pPr>
    </w:p>
    <w:p w14:paraId="11AD1BAD">
      <w:pPr>
        <w:pStyle w:val="18"/>
        <w:ind w:firstLine="240"/>
        <w:rPr>
          <w:rFonts w:hint="eastAsia" w:ascii="宋体" w:hAnsi="宋体" w:eastAsia="宋体" w:cs="宋体"/>
        </w:rPr>
      </w:pPr>
    </w:p>
    <w:p w14:paraId="601DC5FC">
      <w:pPr>
        <w:pStyle w:val="19"/>
        <w:ind w:firstLine="440"/>
        <w:rPr>
          <w:rFonts w:hint="eastAsia" w:ascii="宋体" w:hAnsi="宋体" w:eastAsia="宋体" w:cs="宋体"/>
          <w:lang w:eastAsia="zh-CN"/>
        </w:rPr>
      </w:pPr>
    </w:p>
    <w:p w14:paraId="1FF48DAF">
      <w:pPr>
        <w:pStyle w:val="18"/>
        <w:ind w:firstLine="240"/>
        <w:rPr>
          <w:rFonts w:hint="eastAsia" w:ascii="宋体" w:hAnsi="宋体" w:eastAsia="宋体" w:cs="宋体"/>
        </w:rPr>
      </w:pPr>
    </w:p>
    <w:p w14:paraId="381D41AC">
      <w:pPr>
        <w:pStyle w:val="19"/>
        <w:ind w:firstLine="440"/>
        <w:rPr>
          <w:rFonts w:hint="eastAsia" w:ascii="宋体" w:hAnsi="宋体" w:eastAsia="宋体" w:cs="宋体"/>
          <w:lang w:eastAsia="zh-CN"/>
        </w:rPr>
      </w:pPr>
    </w:p>
    <w:p w14:paraId="0393D697">
      <w:pPr>
        <w:pStyle w:val="18"/>
        <w:ind w:firstLine="240"/>
        <w:rPr>
          <w:rFonts w:hint="eastAsia" w:ascii="宋体" w:hAnsi="宋体" w:eastAsia="宋体" w:cs="宋体"/>
        </w:rPr>
      </w:pPr>
    </w:p>
    <w:p w14:paraId="5B98C9CF">
      <w:pPr>
        <w:pStyle w:val="19"/>
        <w:ind w:firstLine="440"/>
        <w:rPr>
          <w:rFonts w:hint="eastAsia" w:ascii="宋体" w:hAnsi="宋体" w:eastAsia="宋体" w:cs="宋体"/>
          <w:lang w:eastAsia="zh-CN"/>
        </w:rPr>
      </w:pPr>
    </w:p>
    <w:p w14:paraId="0EC0B109">
      <w:pPr>
        <w:pStyle w:val="18"/>
        <w:ind w:firstLine="240"/>
        <w:rPr>
          <w:rFonts w:hint="eastAsia" w:ascii="宋体" w:hAnsi="宋体" w:eastAsia="宋体" w:cs="宋体"/>
        </w:rPr>
      </w:pPr>
    </w:p>
    <w:p w14:paraId="384E23C9">
      <w:pPr>
        <w:pStyle w:val="19"/>
        <w:ind w:firstLine="440"/>
        <w:rPr>
          <w:rFonts w:hint="eastAsia" w:ascii="宋体" w:hAnsi="宋体" w:eastAsia="宋体" w:cs="宋体"/>
          <w:lang w:eastAsia="zh-CN"/>
        </w:rPr>
      </w:pPr>
    </w:p>
    <w:p w14:paraId="21160114">
      <w:pPr>
        <w:pStyle w:val="18"/>
        <w:ind w:firstLine="240"/>
        <w:rPr>
          <w:rFonts w:hint="eastAsia" w:ascii="宋体" w:hAnsi="宋体" w:eastAsia="宋体" w:cs="宋体"/>
        </w:rPr>
      </w:pPr>
    </w:p>
    <w:p w14:paraId="3B71B49B">
      <w:pPr>
        <w:pStyle w:val="19"/>
        <w:ind w:firstLine="440"/>
        <w:rPr>
          <w:rFonts w:hint="eastAsia" w:ascii="宋体" w:hAnsi="宋体" w:eastAsia="宋体" w:cs="宋体"/>
          <w:lang w:eastAsia="zh-CN"/>
        </w:rPr>
      </w:pPr>
    </w:p>
    <w:p w14:paraId="676CE024">
      <w:pPr>
        <w:pStyle w:val="18"/>
        <w:ind w:firstLine="240"/>
        <w:rPr>
          <w:rFonts w:hint="eastAsia" w:ascii="宋体" w:hAnsi="宋体" w:eastAsia="宋体" w:cs="宋体"/>
        </w:rPr>
      </w:pPr>
    </w:p>
    <w:p w14:paraId="6D82A9A4">
      <w:pPr>
        <w:pStyle w:val="19"/>
        <w:ind w:firstLine="440"/>
        <w:rPr>
          <w:rFonts w:hint="eastAsia" w:ascii="宋体" w:hAnsi="宋体" w:eastAsia="宋体" w:cs="宋体"/>
          <w:lang w:eastAsia="zh-CN"/>
        </w:rPr>
      </w:pPr>
    </w:p>
    <w:p w14:paraId="5798173E">
      <w:pPr>
        <w:pStyle w:val="18"/>
        <w:ind w:firstLine="240"/>
        <w:rPr>
          <w:rFonts w:hint="eastAsia" w:ascii="宋体" w:hAnsi="宋体" w:eastAsia="宋体" w:cs="宋体"/>
        </w:rPr>
      </w:pPr>
    </w:p>
    <w:p w14:paraId="3EEA2C7C">
      <w:pPr>
        <w:pStyle w:val="19"/>
        <w:ind w:firstLine="440"/>
        <w:rPr>
          <w:rFonts w:hint="eastAsia" w:ascii="宋体" w:hAnsi="宋体" w:eastAsia="宋体" w:cs="宋体"/>
          <w:lang w:eastAsia="zh-CN"/>
        </w:rPr>
      </w:pPr>
    </w:p>
    <w:p w14:paraId="5AE41B87">
      <w:pPr>
        <w:pStyle w:val="18"/>
        <w:ind w:firstLine="240"/>
        <w:rPr>
          <w:rFonts w:hint="eastAsia" w:ascii="宋体" w:hAnsi="宋体" w:eastAsia="宋体" w:cs="宋体"/>
        </w:rPr>
      </w:pPr>
    </w:p>
    <w:p w14:paraId="573AF968">
      <w:pPr>
        <w:jc w:val="left"/>
        <w:rPr>
          <w:rFonts w:hint="eastAsia" w:ascii="宋体" w:hAnsi="宋体" w:eastAsia="宋体" w:cs="宋体"/>
          <w:sz w:val="30"/>
          <w:szCs w:val="30"/>
        </w:rPr>
      </w:pPr>
      <w:r>
        <w:rPr>
          <w:rFonts w:hint="eastAsia" w:ascii="宋体" w:hAnsi="宋体" w:eastAsia="宋体" w:cs="宋体"/>
          <w:sz w:val="30"/>
          <w:szCs w:val="30"/>
        </w:rPr>
        <w:br w:type="page"/>
      </w:r>
    </w:p>
    <w:p w14:paraId="535795BF">
      <w:pPr>
        <w:pStyle w:val="4"/>
        <w:numPr>
          <w:ilvl w:val="1"/>
          <w:numId w:val="0"/>
        </w:numPr>
        <w:ind w:left="419" w:leftChars="0"/>
        <w:jc w:val="center"/>
        <w:rPr>
          <w:rFonts w:hint="eastAsia" w:ascii="宋体" w:hAnsi="宋体" w:eastAsia="宋体" w:cs="宋体"/>
          <w:sz w:val="30"/>
          <w:szCs w:val="30"/>
        </w:rPr>
      </w:pPr>
      <w:r>
        <w:rPr>
          <w:rFonts w:hint="eastAsia" w:ascii="宋体" w:hAnsi="宋体" w:eastAsia="宋体" w:cs="宋体"/>
          <w:sz w:val="30"/>
          <w:szCs w:val="30"/>
        </w:rPr>
        <w:t>七、商务部分</w:t>
      </w:r>
    </w:p>
    <w:p w14:paraId="2B0F19BF">
      <w:pPr>
        <w:wordWrap w:val="0"/>
        <w:spacing w:line="360" w:lineRule="auto"/>
        <w:ind w:right="600"/>
        <w:rPr>
          <w:rFonts w:hint="eastAsia" w:ascii="宋体" w:hAnsi="宋体" w:eastAsia="宋体" w:cs="宋体"/>
          <w:sz w:val="24"/>
        </w:rPr>
      </w:pPr>
    </w:p>
    <w:p w14:paraId="363E8CCB">
      <w:pPr>
        <w:spacing w:beforeLines="100" w:afterLines="50"/>
        <w:jc w:val="center"/>
        <w:rPr>
          <w:rFonts w:hint="eastAsia" w:ascii="宋体" w:hAnsi="宋体" w:eastAsia="宋体" w:cs="宋体"/>
          <w:sz w:val="24"/>
          <w:u w:val="single"/>
        </w:rPr>
      </w:pPr>
    </w:p>
    <w:p w14:paraId="32A88CB8">
      <w:pPr>
        <w:spacing w:beforeLines="50" w:afterLines="50" w:line="440" w:lineRule="exact"/>
        <w:ind w:left="630" w:hanging="630" w:hangingChars="300"/>
        <w:rPr>
          <w:rFonts w:hint="eastAsia" w:ascii="宋体" w:hAnsi="宋体" w:eastAsia="宋体" w:cs="宋体"/>
          <w:szCs w:val="21"/>
        </w:rPr>
      </w:pPr>
    </w:p>
    <w:p w14:paraId="2DEDF93A">
      <w:pPr>
        <w:spacing w:beforeLines="100" w:line="440" w:lineRule="exact"/>
        <w:rPr>
          <w:rFonts w:hint="eastAsia" w:ascii="宋体" w:hAnsi="宋体" w:eastAsia="宋体" w:cs="宋体"/>
          <w:szCs w:val="21"/>
        </w:rPr>
      </w:pPr>
    </w:p>
    <w:p w14:paraId="5743CAD3">
      <w:pPr>
        <w:spacing w:beforeLines="100" w:line="440" w:lineRule="exact"/>
        <w:rPr>
          <w:rFonts w:hint="eastAsia" w:ascii="宋体" w:hAnsi="宋体" w:eastAsia="宋体" w:cs="宋体"/>
          <w:szCs w:val="21"/>
        </w:rPr>
      </w:pPr>
    </w:p>
    <w:p w14:paraId="2D2EC6D8">
      <w:pPr>
        <w:spacing w:beforeLines="100" w:line="440" w:lineRule="exact"/>
        <w:rPr>
          <w:rFonts w:hint="eastAsia" w:ascii="宋体" w:hAnsi="宋体" w:eastAsia="宋体" w:cs="宋体"/>
          <w:szCs w:val="21"/>
        </w:rPr>
      </w:pPr>
    </w:p>
    <w:p w14:paraId="70B8990A">
      <w:pPr>
        <w:spacing w:line="480" w:lineRule="auto"/>
        <w:rPr>
          <w:rFonts w:hint="eastAsia" w:ascii="宋体" w:hAnsi="宋体" w:eastAsia="宋体" w:cs="宋体"/>
          <w:sz w:val="24"/>
        </w:rPr>
      </w:pPr>
    </w:p>
    <w:p w14:paraId="2759A1D6">
      <w:pPr>
        <w:bidi w:val="0"/>
        <w:rPr>
          <w:rFonts w:hint="eastAsia" w:ascii="宋体" w:hAnsi="宋体" w:eastAsia="宋体" w:cs="宋体"/>
        </w:rPr>
      </w:pPr>
      <w:bookmarkStart w:id="26" w:name="_Toc468276954"/>
      <w:r>
        <w:rPr>
          <w:rFonts w:hint="eastAsia" w:ascii="宋体" w:hAnsi="宋体" w:eastAsia="宋体" w:cs="宋体"/>
        </w:rPr>
        <w:br w:type="page"/>
      </w:r>
    </w:p>
    <w:p w14:paraId="6365B8C4">
      <w:pPr>
        <w:pStyle w:val="4"/>
        <w:numPr>
          <w:ilvl w:val="1"/>
          <w:numId w:val="0"/>
        </w:numPr>
        <w:ind w:left="419" w:leftChars="0"/>
        <w:jc w:val="center"/>
        <w:rPr>
          <w:rFonts w:hint="eastAsia" w:ascii="宋体" w:hAnsi="宋体" w:eastAsia="宋体" w:cs="宋体"/>
          <w:sz w:val="30"/>
          <w:szCs w:val="30"/>
        </w:rPr>
      </w:pPr>
      <w:r>
        <w:rPr>
          <w:rFonts w:hint="eastAsia" w:ascii="宋体" w:hAnsi="宋体" w:eastAsia="宋体" w:cs="宋体"/>
          <w:sz w:val="30"/>
          <w:szCs w:val="30"/>
        </w:rPr>
        <w:t>八、其他</w:t>
      </w:r>
      <w:bookmarkEnd w:id="26"/>
      <w:bookmarkStart w:id="27" w:name="_Toc16414"/>
      <w:bookmarkStart w:id="28" w:name="_Hlk89422773"/>
      <w:r>
        <w:rPr>
          <w:rFonts w:hint="eastAsia" w:ascii="宋体" w:hAnsi="宋体" w:eastAsia="宋体" w:cs="宋体"/>
          <w:sz w:val="30"/>
          <w:szCs w:val="30"/>
        </w:rPr>
        <w:t>资料</w:t>
      </w:r>
    </w:p>
    <w:p w14:paraId="08FEABC8">
      <w:pPr>
        <w:spacing w:line="600" w:lineRule="exact"/>
        <w:jc w:val="center"/>
        <w:rPr>
          <w:rFonts w:hint="eastAsia" w:ascii="宋体" w:hAnsi="宋体" w:eastAsia="宋体" w:cs="宋体"/>
          <w:sz w:val="30"/>
          <w:szCs w:val="30"/>
        </w:rPr>
      </w:pPr>
    </w:p>
    <w:p w14:paraId="32D57C2E">
      <w:pPr>
        <w:rPr>
          <w:rFonts w:hint="eastAsia" w:ascii="宋体" w:hAnsi="宋体" w:eastAsia="宋体" w:cs="宋体"/>
          <w:b/>
          <w:bCs/>
          <w:sz w:val="32"/>
          <w:szCs w:val="32"/>
        </w:rPr>
      </w:pPr>
      <w:r>
        <w:rPr>
          <w:rFonts w:hint="eastAsia" w:ascii="宋体" w:hAnsi="宋体" w:eastAsia="宋体" w:cs="宋体"/>
          <w:b/>
          <w:bCs/>
          <w:sz w:val="32"/>
          <w:szCs w:val="32"/>
        </w:rPr>
        <w:br w:type="page"/>
      </w:r>
    </w:p>
    <w:p w14:paraId="0FBAF87E">
      <w:p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附表一：</w:t>
      </w:r>
    </w:p>
    <w:bookmarkEnd w:id="27"/>
    <w:bookmarkEnd w:id="28"/>
    <w:p w14:paraId="7234E384">
      <w:pPr>
        <w:pStyle w:val="4"/>
        <w:bidi w:val="0"/>
        <w:ind w:left="0" w:leftChars="0" w:firstLine="0" w:firstLineChars="0"/>
        <w:jc w:val="center"/>
        <w:rPr>
          <w:rFonts w:hint="eastAsia" w:ascii="宋体" w:hAnsi="宋体" w:eastAsia="宋体" w:cs="宋体"/>
          <w:b/>
          <w:sz w:val="24"/>
        </w:rPr>
      </w:pPr>
      <w:bookmarkStart w:id="29" w:name="_Toc7902"/>
      <w:bookmarkStart w:id="30" w:name="_Toc22412"/>
      <w:r>
        <w:rPr>
          <w:rFonts w:hint="eastAsia" w:ascii="宋体" w:hAnsi="宋体" w:eastAsia="宋体" w:cs="宋体"/>
        </w:rPr>
        <w:t>磋商</w:t>
      </w:r>
      <w:r>
        <w:rPr>
          <w:rFonts w:hint="eastAsia" w:ascii="宋体" w:hAnsi="宋体" w:eastAsia="宋体" w:cs="宋体"/>
          <w:lang w:val="en-US" w:eastAsia="zh-CN"/>
        </w:rPr>
        <w:t>承诺函</w:t>
      </w:r>
    </w:p>
    <w:p w14:paraId="3FE3AECC">
      <w:pPr>
        <w:spacing w:line="360" w:lineRule="auto"/>
        <w:ind w:right="-340" w:rightChars="-162"/>
        <w:jc w:val="center"/>
        <w:rPr>
          <w:rFonts w:hint="eastAsia" w:ascii="宋体" w:hAnsi="宋体" w:eastAsia="宋体" w:cs="宋体"/>
          <w:sz w:val="24"/>
        </w:rPr>
      </w:pPr>
      <w:r>
        <w:rPr>
          <w:rFonts w:hint="eastAsia" w:ascii="宋体" w:hAnsi="宋体" w:eastAsia="宋体" w:cs="宋体"/>
          <w:sz w:val="24"/>
        </w:rPr>
        <w:t>（自行承诺）</w:t>
      </w:r>
    </w:p>
    <w:p w14:paraId="6980B7DB">
      <w:pPr>
        <w:keepNext w:val="0"/>
        <w:pageBreakBefore w:val="0"/>
        <w:widowControl/>
        <w:kinsoku/>
        <w:wordWrap/>
        <w:overflowPunct/>
        <w:topLinePunct w:val="0"/>
        <w:autoSpaceDE/>
        <w:autoSpaceDN/>
        <w:bidi w:val="0"/>
        <w:adjustRightInd/>
        <w:snapToGrid/>
        <w:spacing w:line="480" w:lineRule="exact"/>
        <w:textAlignment w:val="baseline"/>
        <w:rPr>
          <w:rStyle w:val="34"/>
          <w:rFonts w:hint="eastAsia" w:ascii="宋体" w:hAnsi="宋体" w:eastAsia="宋体" w:cs="宋体"/>
          <w:sz w:val="24"/>
          <w:u w:val="single"/>
          <w:lang w:val="en-US" w:eastAsia="zh-CN"/>
        </w:rPr>
      </w:pPr>
      <w:r>
        <w:rPr>
          <w:rStyle w:val="34"/>
          <w:rFonts w:hint="eastAsia" w:ascii="宋体" w:hAnsi="宋体" w:eastAsia="宋体" w:cs="宋体"/>
          <w:sz w:val="24"/>
        </w:rPr>
        <w:t>致（采购人及采购代理机构）：</w:t>
      </w:r>
      <w:r>
        <w:rPr>
          <w:rStyle w:val="34"/>
          <w:rFonts w:hint="eastAsia" w:ascii="宋体" w:hAnsi="宋体" w:eastAsia="宋体" w:cs="宋体"/>
          <w:sz w:val="24"/>
          <w:u w:val="single"/>
          <w:lang w:val="en-US" w:eastAsia="zh-CN"/>
        </w:rPr>
        <w:t xml:space="preserve">                 </w:t>
      </w:r>
    </w:p>
    <w:p w14:paraId="3246DDCB">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我公司作为本次采购项目的</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Style w:val="34"/>
          <w:rFonts w:hint="eastAsia" w:ascii="宋体" w:hAnsi="宋体" w:eastAsia="宋体" w:cs="宋体"/>
          <w:sz w:val="24"/>
        </w:rPr>
        <w:t>，根据</w:t>
      </w:r>
      <w:r>
        <w:rPr>
          <w:rStyle w:val="34"/>
          <w:rFonts w:hint="eastAsia" w:ascii="宋体" w:hAnsi="宋体" w:cs="宋体"/>
          <w:sz w:val="24"/>
          <w:lang w:eastAsia="zh-CN"/>
        </w:rPr>
        <w:t>磋商</w:t>
      </w:r>
      <w:r>
        <w:rPr>
          <w:rStyle w:val="34"/>
          <w:rFonts w:hint="eastAsia" w:ascii="宋体" w:hAnsi="宋体" w:eastAsia="宋体" w:cs="宋体"/>
          <w:sz w:val="24"/>
        </w:rPr>
        <w:t>文件要求，现郑重承诺如下：</w:t>
      </w:r>
    </w:p>
    <w:p w14:paraId="5FEEE8DC">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一、具备《中华人民共和国政府采购法》第二十二条第一款和本项目规定的条件：</w:t>
      </w:r>
    </w:p>
    <w:p w14:paraId="1E02A34E">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（一）具有独立承担民事责任的能力； 　　</w:t>
      </w:r>
    </w:p>
    <w:p w14:paraId="3D77584B">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（二）具有良好的商业信誉和健全的财务会计制度； 　</w:t>
      </w:r>
    </w:p>
    <w:p w14:paraId="481EC037">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（三）具有履行合同所必需的设备和专业技术能力； 　　</w:t>
      </w:r>
    </w:p>
    <w:p w14:paraId="41EC0AB6">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（四）有依法缴纳税收和社会保障资金的良好记录； 　　</w:t>
      </w:r>
    </w:p>
    <w:p w14:paraId="275F8C3E">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（五）参加政府采购活动前三年内，在经营活动中没有重大违法记录；</w:t>
      </w:r>
    </w:p>
    <w:p w14:paraId="0461A4A6">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（六）法律、行政法规规定的其他条件；</w:t>
      </w:r>
    </w:p>
    <w:p w14:paraId="73BA776D">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（七）根据采购项目提出的特殊条件。</w:t>
      </w:r>
    </w:p>
    <w:p w14:paraId="481FCDFF">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二、完全接受和满足本项目</w:t>
      </w:r>
      <w:r>
        <w:rPr>
          <w:rStyle w:val="34"/>
          <w:rFonts w:hint="eastAsia" w:ascii="宋体" w:hAnsi="宋体" w:cs="宋体"/>
          <w:sz w:val="24"/>
          <w:lang w:eastAsia="zh-CN"/>
        </w:rPr>
        <w:t>磋商</w:t>
      </w:r>
      <w:r>
        <w:rPr>
          <w:rStyle w:val="34"/>
          <w:rFonts w:hint="eastAsia" w:ascii="宋体" w:hAnsi="宋体" w:eastAsia="宋体" w:cs="宋体"/>
          <w:sz w:val="24"/>
        </w:rPr>
        <w:t>文件中规定的实质性要求，如对</w:t>
      </w:r>
      <w:r>
        <w:rPr>
          <w:rStyle w:val="34"/>
          <w:rFonts w:hint="eastAsia" w:ascii="宋体" w:hAnsi="宋体" w:cs="宋体"/>
          <w:sz w:val="24"/>
          <w:lang w:eastAsia="zh-CN"/>
        </w:rPr>
        <w:t>磋商</w:t>
      </w:r>
      <w:r>
        <w:rPr>
          <w:rStyle w:val="34"/>
          <w:rFonts w:hint="eastAsia" w:ascii="宋体" w:hAnsi="宋体" w:eastAsia="宋体" w:cs="宋体"/>
          <w:sz w:val="24"/>
        </w:rPr>
        <w:t>文件有异议，已经在</w:t>
      </w:r>
      <w:r>
        <w:rPr>
          <w:rStyle w:val="34"/>
          <w:rFonts w:hint="eastAsia" w:ascii="宋体" w:hAnsi="宋体" w:cs="宋体"/>
          <w:sz w:val="24"/>
          <w:lang w:eastAsia="zh-CN"/>
        </w:rPr>
        <w:t>响应</w:t>
      </w:r>
      <w:r>
        <w:rPr>
          <w:rStyle w:val="34"/>
          <w:rFonts w:hint="eastAsia" w:ascii="宋体" w:hAnsi="宋体" w:eastAsia="宋体" w:cs="宋体"/>
          <w:sz w:val="24"/>
        </w:rPr>
        <w:t>截止时间届满前依法进行维权救济，不存在对</w:t>
      </w:r>
      <w:r>
        <w:rPr>
          <w:rStyle w:val="34"/>
          <w:rFonts w:hint="eastAsia" w:ascii="宋体" w:hAnsi="宋体" w:cs="宋体"/>
          <w:sz w:val="24"/>
          <w:lang w:eastAsia="zh-CN"/>
        </w:rPr>
        <w:t>磋商</w:t>
      </w:r>
      <w:r>
        <w:rPr>
          <w:rStyle w:val="34"/>
          <w:rFonts w:hint="eastAsia" w:ascii="宋体" w:hAnsi="宋体" w:eastAsia="宋体" w:cs="宋体"/>
          <w:sz w:val="24"/>
        </w:rPr>
        <w:t>文件有异议的同时又参加</w:t>
      </w:r>
      <w:r>
        <w:rPr>
          <w:rStyle w:val="34"/>
          <w:rFonts w:hint="eastAsia" w:ascii="宋体" w:hAnsi="宋体" w:cs="宋体"/>
          <w:sz w:val="24"/>
          <w:lang w:eastAsia="zh-CN"/>
        </w:rPr>
        <w:t>响应</w:t>
      </w:r>
      <w:r>
        <w:rPr>
          <w:rStyle w:val="34"/>
          <w:rFonts w:hint="eastAsia" w:ascii="宋体" w:hAnsi="宋体" w:eastAsia="宋体" w:cs="宋体"/>
          <w:sz w:val="24"/>
        </w:rPr>
        <w:t>以求侥幸</w:t>
      </w:r>
      <w:r>
        <w:rPr>
          <w:rStyle w:val="34"/>
          <w:rFonts w:hint="eastAsia" w:ascii="宋体" w:hAnsi="宋体" w:cs="宋体"/>
          <w:sz w:val="24"/>
          <w:lang w:eastAsia="zh-CN"/>
        </w:rPr>
        <w:t>成交</w:t>
      </w:r>
      <w:r>
        <w:rPr>
          <w:rStyle w:val="34"/>
          <w:rFonts w:hint="eastAsia" w:ascii="宋体" w:hAnsi="宋体" w:eastAsia="宋体" w:cs="宋体"/>
          <w:sz w:val="24"/>
        </w:rPr>
        <w:t>或者为实现其他非法目的的行为。</w:t>
      </w:r>
    </w:p>
    <w:p w14:paraId="56931AC8">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三、参加本次</w:t>
      </w:r>
      <w:r>
        <w:rPr>
          <w:rStyle w:val="34"/>
          <w:rFonts w:hint="eastAsia" w:ascii="宋体" w:hAnsi="宋体" w:cs="宋体"/>
          <w:sz w:val="24"/>
          <w:lang w:eastAsia="zh-CN"/>
        </w:rPr>
        <w:t>磋商</w:t>
      </w:r>
      <w:r>
        <w:rPr>
          <w:rStyle w:val="34"/>
          <w:rFonts w:hint="eastAsia" w:ascii="宋体" w:hAnsi="宋体" w:eastAsia="宋体" w:cs="宋体"/>
          <w:sz w:val="24"/>
        </w:rPr>
        <w:t>采购活动，不存在与单位负责人为同一人或者存在直接控股、管理关系的其他供应商参与同一合同项下的政府采购活动的行为。    </w:t>
      </w:r>
    </w:p>
    <w:p w14:paraId="5183F15A">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四、参加本次</w:t>
      </w:r>
      <w:r>
        <w:rPr>
          <w:rStyle w:val="34"/>
          <w:rFonts w:hint="eastAsia" w:ascii="宋体" w:hAnsi="宋体" w:cs="宋体"/>
          <w:sz w:val="24"/>
          <w:lang w:eastAsia="zh-CN"/>
        </w:rPr>
        <w:t>磋商</w:t>
      </w:r>
      <w:r>
        <w:rPr>
          <w:rStyle w:val="34"/>
          <w:rFonts w:hint="eastAsia" w:ascii="宋体" w:hAnsi="宋体" w:eastAsia="宋体" w:cs="宋体"/>
          <w:sz w:val="24"/>
        </w:rPr>
        <w:t>采购活动，不存在为采购项目提供整体设计、规范编制或者项目管理、监理、检测等服务的行为。</w:t>
      </w:r>
    </w:p>
    <w:p w14:paraId="19D5EDE1">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五、参加本次</w:t>
      </w:r>
      <w:r>
        <w:rPr>
          <w:rStyle w:val="34"/>
          <w:rFonts w:hint="eastAsia" w:ascii="宋体" w:hAnsi="宋体" w:cs="宋体"/>
          <w:sz w:val="24"/>
          <w:lang w:eastAsia="zh-CN"/>
        </w:rPr>
        <w:t>磋商</w:t>
      </w:r>
      <w:r>
        <w:rPr>
          <w:rStyle w:val="34"/>
          <w:rFonts w:hint="eastAsia" w:ascii="宋体" w:hAnsi="宋体" w:eastAsia="宋体" w:cs="宋体"/>
          <w:sz w:val="24"/>
        </w:rPr>
        <w:t>采购活动，不存在和其他供应商在同一合同项下的采购项目中，同时委托同一个自然人、同一家庭的人员、同一单位的人员作为代理人的行为。</w:t>
      </w:r>
    </w:p>
    <w:p w14:paraId="797DC1AF">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六、</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Style w:val="34"/>
          <w:rFonts w:hint="eastAsia" w:ascii="宋体" w:hAnsi="宋体" w:eastAsia="宋体" w:cs="宋体"/>
          <w:sz w:val="24"/>
        </w:rPr>
        <w:t>参加本次政府采购活动要求在近三年内</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Style w:val="34"/>
          <w:rFonts w:hint="eastAsia" w:ascii="宋体" w:hAnsi="宋体" w:eastAsia="宋体" w:cs="宋体"/>
          <w:sz w:val="24"/>
        </w:rPr>
        <w:t>和其法定代表人没有行贿犯罪行为。</w:t>
      </w:r>
    </w:p>
    <w:p w14:paraId="3BB961A6">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七、参加本次</w:t>
      </w:r>
      <w:r>
        <w:rPr>
          <w:rStyle w:val="34"/>
          <w:rFonts w:hint="eastAsia" w:ascii="宋体" w:hAnsi="宋体" w:cs="宋体"/>
          <w:sz w:val="24"/>
          <w:lang w:eastAsia="zh-CN"/>
        </w:rPr>
        <w:t>磋商</w:t>
      </w:r>
      <w:r>
        <w:rPr>
          <w:rStyle w:val="34"/>
          <w:rFonts w:hint="eastAsia" w:ascii="宋体" w:hAnsi="宋体" w:eastAsia="宋体" w:cs="宋体"/>
          <w:sz w:val="24"/>
        </w:rPr>
        <w:t>采购活动，不存在联合体投标。</w:t>
      </w:r>
    </w:p>
    <w:p w14:paraId="450CFBD0">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八、</w:t>
      </w:r>
      <w:r>
        <w:rPr>
          <w:rStyle w:val="34"/>
          <w:rFonts w:hint="eastAsia" w:ascii="宋体" w:hAnsi="宋体" w:cs="宋体"/>
          <w:sz w:val="24"/>
          <w:lang w:eastAsia="zh-CN"/>
        </w:rPr>
        <w:t>响应</w:t>
      </w:r>
      <w:r>
        <w:rPr>
          <w:rStyle w:val="34"/>
          <w:rFonts w:hint="eastAsia" w:ascii="宋体" w:hAnsi="宋体" w:eastAsia="宋体" w:cs="宋体"/>
          <w:sz w:val="24"/>
        </w:rPr>
        <w:t>文件中提供的能够给予我公司带来优惠、好处的任何材料资料和技术、服务、商务等响应承诺情况都是真实的、有效的、合法的。</w:t>
      </w:r>
    </w:p>
    <w:p w14:paraId="06CAA7C7">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 九、如本项目评标过程中需要提供样品，则我公司提供的样品即为</w:t>
      </w:r>
      <w:r>
        <w:rPr>
          <w:rStyle w:val="34"/>
          <w:rFonts w:hint="eastAsia" w:ascii="宋体" w:hAnsi="宋体" w:cs="宋体"/>
          <w:sz w:val="24"/>
          <w:lang w:eastAsia="zh-CN"/>
        </w:rPr>
        <w:t>成交</w:t>
      </w:r>
      <w:r>
        <w:rPr>
          <w:rStyle w:val="34"/>
          <w:rFonts w:hint="eastAsia" w:ascii="宋体" w:hAnsi="宋体" w:eastAsia="宋体" w:cs="宋体"/>
          <w:sz w:val="24"/>
        </w:rPr>
        <w:t>后将要提供的</w:t>
      </w:r>
      <w:r>
        <w:rPr>
          <w:rStyle w:val="34"/>
          <w:rFonts w:hint="eastAsia" w:ascii="宋体" w:hAnsi="宋体" w:cs="宋体"/>
          <w:sz w:val="24"/>
          <w:lang w:eastAsia="zh-CN"/>
        </w:rPr>
        <w:t>成交</w:t>
      </w:r>
      <w:r>
        <w:rPr>
          <w:rStyle w:val="34"/>
          <w:rFonts w:hint="eastAsia" w:ascii="宋体" w:hAnsi="宋体" w:eastAsia="宋体" w:cs="宋体"/>
          <w:sz w:val="24"/>
        </w:rPr>
        <w:t>产品，我公司对提供样品的性能和质量负责，因样品存在缺陷或者不符合</w:t>
      </w:r>
      <w:r>
        <w:rPr>
          <w:rStyle w:val="34"/>
          <w:rFonts w:hint="eastAsia" w:ascii="宋体" w:hAnsi="宋体" w:cs="宋体"/>
          <w:sz w:val="24"/>
          <w:lang w:eastAsia="zh-CN"/>
        </w:rPr>
        <w:t>磋商</w:t>
      </w:r>
      <w:r>
        <w:rPr>
          <w:rStyle w:val="34"/>
          <w:rFonts w:hint="eastAsia" w:ascii="宋体" w:hAnsi="宋体" w:eastAsia="宋体" w:cs="宋体"/>
          <w:sz w:val="24"/>
        </w:rPr>
        <w:t>文件要求导致未能</w:t>
      </w:r>
      <w:r>
        <w:rPr>
          <w:rStyle w:val="34"/>
          <w:rFonts w:hint="eastAsia" w:ascii="宋体" w:hAnsi="宋体" w:cs="宋体"/>
          <w:sz w:val="24"/>
          <w:lang w:eastAsia="zh-CN"/>
        </w:rPr>
        <w:t>成交</w:t>
      </w:r>
      <w:r>
        <w:rPr>
          <w:rStyle w:val="34"/>
          <w:rFonts w:hint="eastAsia" w:ascii="宋体" w:hAnsi="宋体" w:eastAsia="宋体" w:cs="宋体"/>
          <w:sz w:val="24"/>
        </w:rPr>
        <w:t>的，我公司愿意承担相应不利后果。（如提供样品）    </w:t>
      </w:r>
    </w:p>
    <w:p w14:paraId="08804F37">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 十、存在以下行为之一的愿意接受相关部门的处理：</w:t>
      </w:r>
    </w:p>
    <w:p w14:paraId="4BE30B40">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  （一）</w:t>
      </w:r>
      <w:r>
        <w:rPr>
          <w:rStyle w:val="34"/>
          <w:rFonts w:hint="eastAsia" w:ascii="宋体" w:hAnsi="宋体" w:cs="宋体"/>
          <w:sz w:val="24"/>
          <w:lang w:eastAsia="zh-CN"/>
        </w:rPr>
        <w:t>响应</w:t>
      </w:r>
      <w:r>
        <w:rPr>
          <w:rStyle w:val="34"/>
          <w:rFonts w:hint="eastAsia" w:ascii="宋体" w:hAnsi="宋体" w:eastAsia="宋体" w:cs="宋体"/>
          <w:sz w:val="24"/>
        </w:rPr>
        <w:t>有效期内撤销</w:t>
      </w:r>
      <w:r>
        <w:rPr>
          <w:rStyle w:val="34"/>
          <w:rFonts w:hint="eastAsia" w:ascii="宋体" w:hAnsi="宋体" w:cs="宋体"/>
          <w:sz w:val="24"/>
          <w:lang w:eastAsia="zh-CN"/>
        </w:rPr>
        <w:t>响应</w:t>
      </w:r>
      <w:r>
        <w:rPr>
          <w:rStyle w:val="34"/>
          <w:rFonts w:hint="eastAsia" w:ascii="宋体" w:hAnsi="宋体" w:eastAsia="宋体" w:cs="宋体"/>
          <w:sz w:val="24"/>
        </w:rPr>
        <w:t>文件的；</w:t>
      </w:r>
    </w:p>
    <w:p w14:paraId="18761172">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  （二）在采购人确定</w:t>
      </w:r>
      <w:r>
        <w:rPr>
          <w:rStyle w:val="34"/>
          <w:rFonts w:hint="eastAsia" w:ascii="宋体" w:hAnsi="宋体" w:cs="宋体"/>
          <w:sz w:val="24"/>
          <w:lang w:eastAsia="zh-CN"/>
        </w:rPr>
        <w:t>成交</w:t>
      </w:r>
      <w:r>
        <w:rPr>
          <w:rStyle w:val="34"/>
          <w:rFonts w:hint="eastAsia" w:ascii="宋体" w:hAnsi="宋体" w:eastAsia="宋体" w:cs="宋体"/>
          <w:sz w:val="24"/>
        </w:rPr>
        <w:t>人以前放弃</w:t>
      </w:r>
      <w:r>
        <w:rPr>
          <w:rStyle w:val="34"/>
          <w:rFonts w:hint="eastAsia" w:ascii="宋体" w:hAnsi="宋体" w:cs="宋体"/>
          <w:sz w:val="24"/>
          <w:lang w:eastAsia="zh-CN"/>
        </w:rPr>
        <w:t>成交</w:t>
      </w:r>
      <w:r>
        <w:rPr>
          <w:rStyle w:val="34"/>
          <w:rFonts w:hint="eastAsia" w:ascii="宋体" w:hAnsi="宋体" w:eastAsia="宋体" w:cs="宋体"/>
          <w:sz w:val="24"/>
        </w:rPr>
        <w:t>候选资格的；</w:t>
      </w:r>
    </w:p>
    <w:p w14:paraId="09914304">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  （三）由于</w:t>
      </w:r>
      <w:r>
        <w:rPr>
          <w:rStyle w:val="34"/>
          <w:rFonts w:hint="eastAsia" w:ascii="宋体" w:hAnsi="宋体" w:cs="宋体"/>
          <w:sz w:val="24"/>
          <w:lang w:eastAsia="zh-CN"/>
        </w:rPr>
        <w:t>成交</w:t>
      </w:r>
      <w:r>
        <w:rPr>
          <w:rStyle w:val="34"/>
          <w:rFonts w:hint="eastAsia" w:ascii="宋体" w:hAnsi="宋体" w:eastAsia="宋体" w:cs="宋体"/>
          <w:sz w:val="24"/>
        </w:rPr>
        <w:t>人的原因未能按照</w:t>
      </w:r>
      <w:r>
        <w:rPr>
          <w:rStyle w:val="34"/>
          <w:rFonts w:hint="eastAsia" w:ascii="宋体" w:hAnsi="宋体" w:cs="宋体"/>
          <w:sz w:val="24"/>
          <w:lang w:eastAsia="zh-CN"/>
        </w:rPr>
        <w:t>磋商</w:t>
      </w:r>
      <w:r>
        <w:rPr>
          <w:rStyle w:val="34"/>
          <w:rFonts w:hint="eastAsia" w:ascii="宋体" w:hAnsi="宋体" w:eastAsia="宋体" w:cs="宋体"/>
          <w:sz w:val="24"/>
        </w:rPr>
        <w:t>文件的规定与采购人签订合同；</w:t>
      </w:r>
    </w:p>
    <w:p w14:paraId="2282BDA7">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  （四）由于</w:t>
      </w:r>
      <w:r>
        <w:rPr>
          <w:rStyle w:val="34"/>
          <w:rFonts w:hint="eastAsia" w:ascii="宋体" w:hAnsi="宋体" w:cs="宋体"/>
          <w:sz w:val="24"/>
          <w:lang w:eastAsia="zh-CN"/>
        </w:rPr>
        <w:t>成交</w:t>
      </w:r>
      <w:r>
        <w:rPr>
          <w:rStyle w:val="34"/>
          <w:rFonts w:hint="eastAsia" w:ascii="宋体" w:hAnsi="宋体" w:eastAsia="宋体" w:cs="宋体"/>
          <w:sz w:val="24"/>
        </w:rPr>
        <w:t>人的原因未能按照</w:t>
      </w:r>
      <w:r>
        <w:rPr>
          <w:rStyle w:val="34"/>
          <w:rFonts w:hint="eastAsia" w:ascii="宋体" w:hAnsi="宋体" w:cs="宋体"/>
          <w:sz w:val="24"/>
          <w:lang w:eastAsia="zh-CN"/>
        </w:rPr>
        <w:t>磋商</w:t>
      </w:r>
      <w:r>
        <w:rPr>
          <w:rStyle w:val="34"/>
          <w:rFonts w:hint="eastAsia" w:ascii="宋体" w:hAnsi="宋体" w:eastAsia="宋体" w:cs="宋体"/>
          <w:sz w:val="24"/>
        </w:rPr>
        <w:t>文件的规定交纳履约保证金；</w:t>
      </w:r>
    </w:p>
    <w:p w14:paraId="6F18F93E">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  （五）在</w:t>
      </w:r>
      <w:r>
        <w:rPr>
          <w:rStyle w:val="34"/>
          <w:rFonts w:hint="eastAsia" w:ascii="宋体" w:hAnsi="宋体" w:cs="宋体"/>
          <w:sz w:val="24"/>
          <w:lang w:eastAsia="zh-CN"/>
        </w:rPr>
        <w:t>响应</w:t>
      </w:r>
      <w:r>
        <w:rPr>
          <w:rStyle w:val="34"/>
          <w:rFonts w:hint="eastAsia" w:ascii="宋体" w:hAnsi="宋体" w:eastAsia="宋体" w:cs="宋体"/>
          <w:sz w:val="24"/>
        </w:rPr>
        <w:t>文件中提供虚假材料谋取</w:t>
      </w:r>
      <w:r>
        <w:rPr>
          <w:rStyle w:val="34"/>
          <w:rFonts w:hint="eastAsia" w:ascii="宋体" w:hAnsi="宋体" w:cs="宋体"/>
          <w:sz w:val="24"/>
          <w:lang w:eastAsia="zh-CN"/>
        </w:rPr>
        <w:t>成交</w:t>
      </w:r>
      <w:r>
        <w:rPr>
          <w:rStyle w:val="34"/>
          <w:rFonts w:hint="eastAsia" w:ascii="宋体" w:hAnsi="宋体" w:eastAsia="宋体" w:cs="宋体"/>
          <w:sz w:val="24"/>
        </w:rPr>
        <w:t>；</w:t>
      </w:r>
    </w:p>
    <w:p w14:paraId="08D4FBC1">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  （六）与采购人、其他供应商或者采购代理机构恶意串通的；</w:t>
      </w:r>
    </w:p>
    <w:p w14:paraId="6E443C20">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  （七）</w:t>
      </w:r>
      <w:r>
        <w:rPr>
          <w:rStyle w:val="34"/>
          <w:rFonts w:hint="eastAsia" w:ascii="宋体" w:hAnsi="宋体" w:cs="宋体"/>
          <w:sz w:val="24"/>
          <w:lang w:eastAsia="zh-CN"/>
        </w:rPr>
        <w:t>响应</w:t>
      </w:r>
      <w:r>
        <w:rPr>
          <w:rStyle w:val="34"/>
          <w:rFonts w:hint="eastAsia" w:ascii="宋体" w:hAnsi="宋体" w:eastAsia="宋体" w:cs="宋体"/>
          <w:sz w:val="24"/>
        </w:rPr>
        <w:t>有效期内，</w:t>
      </w:r>
      <w:r>
        <w:rPr>
          <w:rFonts w:hint="eastAsia" w:ascii="宋体" w:hAnsi="宋体" w:cs="宋体"/>
          <w:color w:val="000000"/>
          <w:sz w:val="24"/>
          <w:szCs w:val="24"/>
          <w:lang w:val="en-US" w:eastAsia="zh-CN"/>
        </w:rPr>
        <w:t>响应</w:t>
      </w:r>
      <w:r>
        <w:rPr>
          <w:rFonts w:hint="eastAsia" w:ascii="宋体" w:hAnsi="宋体" w:eastAsia="宋体" w:cs="宋体"/>
          <w:color w:val="000000"/>
          <w:sz w:val="24"/>
          <w:szCs w:val="24"/>
          <w:lang w:val="en-US" w:eastAsia="zh-CN"/>
        </w:rPr>
        <w:t>人</w:t>
      </w:r>
      <w:r>
        <w:rPr>
          <w:rStyle w:val="34"/>
          <w:rFonts w:hint="eastAsia" w:ascii="宋体" w:hAnsi="宋体" w:eastAsia="宋体" w:cs="宋体"/>
          <w:sz w:val="24"/>
        </w:rPr>
        <w:t>在政府采购活动中有违法、违规、违纪行为。</w:t>
      </w:r>
    </w:p>
    <w:p w14:paraId="5832D5B3">
      <w:pPr>
        <w:keepNext w:val="0"/>
        <w:pageBreakBefore w:val="0"/>
        <w:widowControl/>
        <w:kinsoku/>
        <w:wordWrap/>
        <w:overflowPunct/>
        <w:topLinePunct w:val="0"/>
        <w:autoSpaceDE/>
        <w:autoSpaceDN/>
        <w:bidi w:val="0"/>
        <w:adjustRightInd/>
        <w:snapToGrid/>
        <w:spacing w:line="480" w:lineRule="exact"/>
        <w:ind w:firstLine="480" w:firstLineChars="200"/>
        <w:textAlignment w:val="baseline"/>
        <w:rPr>
          <w:rStyle w:val="34"/>
          <w:rFonts w:hint="eastAsia" w:ascii="宋体" w:hAnsi="宋体" w:eastAsia="宋体" w:cs="宋体"/>
          <w:sz w:val="24"/>
        </w:rPr>
      </w:pPr>
      <w:r>
        <w:rPr>
          <w:rStyle w:val="34"/>
          <w:rFonts w:hint="eastAsia" w:ascii="宋体" w:hAnsi="宋体" w:eastAsia="宋体" w:cs="宋体"/>
          <w:sz w:val="24"/>
        </w:rPr>
        <w:t>由此产生的一切法律后果和责任由我公司承担。我公司声明放弃对此提出任何异议和追索的权利。</w:t>
      </w:r>
    </w:p>
    <w:p w14:paraId="38DEF211">
      <w:pPr>
        <w:pStyle w:val="9"/>
        <w:spacing w:line="360" w:lineRule="exact"/>
        <w:ind w:right="-340" w:rightChars="-162"/>
        <w:rPr>
          <w:rStyle w:val="34"/>
          <w:rFonts w:hint="eastAsia" w:ascii="宋体" w:hAnsi="宋体" w:eastAsia="宋体" w:cs="宋体"/>
          <w:sz w:val="24"/>
        </w:rPr>
      </w:pPr>
    </w:p>
    <w:p w14:paraId="4C36C382">
      <w:pPr>
        <w:pStyle w:val="9"/>
        <w:spacing w:line="360" w:lineRule="exact"/>
        <w:ind w:right="-340" w:rightChars="-162"/>
        <w:rPr>
          <w:rFonts w:hint="eastAsia" w:ascii="宋体" w:hAnsi="宋体" w:eastAsia="宋体" w:cs="宋体"/>
          <w:sz w:val="24"/>
        </w:rPr>
      </w:pPr>
      <w:r>
        <w:rPr>
          <w:rStyle w:val="34"/>
          <w:rFonts w:hint="eastAsia" w:ascii="宋体" w:hAnsi="宋体" w:eastAsia="宋体" w:cs="宋体"/>
          <w:sz w:val="24"/>
        </w:rPr>
        <w:t>本公司对上述承诺的内容事项真实性负责。如经查实上述承诺的内容事项存在虚假，我公司愿意接受以提供虚假材料谋取</w:t>
      </w:r>
      <w:r>
        <w:rPr>
          <w:rStyle w:val="34"/>
          <w:rFonts w:hint="eastAsia" w:ascii="宋体" w:hAnsi="宋体" w:cs="宋体"/>
          <w:sz w:val="24"/>
          <w:lang w:eastAsia="zh-CN"/>
        </w:rPr>
        <w:t>成交</w:t>
      </w:r>
      <w:r>
        <w:rPr>
          <w:rStyle w:val="34"/>
          <w:rFonts w:hint="eastAsia" w:ascii="宋体" w:hAnsi="宋体" w:eastAsia="宋体" w:cs="宋体"/>
          <w:sz w:val="24"/>
        </w:rPr>
        <w:t>追究法律责任。</w:t>
      </w:r>
    </w:p>
    <w:p w14:paraId="0C92529C">
      <w:pPr>
        <w:pStyle w:val="9"/>
        <w:spacing w:line="360" w:lineRule="exact"/>
        <w:ind w:left="1" w:leftChars="0" w:right="-340" w:rightChars="-162" w:firstLine="2880" w:firstLineChars="1200"/>
        <w:rPr>
          <w:rFonts w:hint="eastAsia" w:ascii="宋体" w:hAnsi="宋体" w:eastAsia="宋体" w:cs="宋体"/>
          <w:sz w:val="24"/>
        </w:rPr>
      </w:pPr>
    </w:p>
    <w:p w14:paraId="22D44D50">
      <w:pPr>
        <w:pStyle w:val="9"/>
        <w:spacing w:line="360" w:lineRule="exact"/>
        <w:ind w:left="1" w:leftChars="0" w:right="-340" w:rightChars="-162" w:firstLine="2880" w:firstLineChars="1200"/>
        <w:rPr>
          <w:rFonts w:hint="eastAsia" w:ascii="宋体" w:hAnsi="宋体" w:eastAsia="宋体" w:cs="宋体"/>
          <w:sz w:val="24"/>
        </w:rPr>
      </w:pPr>
    </w:p>
    <w:p w14:paraId="3446114A">
      <w:pPr>
        <w:pStyle w:val="9"/>
        <w:spacing w:line="360" w:lineRule="exact"/>
        <w:ind w:left="1" w:leftChars="0" w:right="-340" w:rightChars="-162" w:firstLine="2880" w:firstLineChars="1200"/>
        <w:rPr>
          <w:rFonts w:hint="eastAsia" w:ascii="宋体" w:hAnsi="宋体" w:eastAsia="宋体" w:cs="宋体"/>
          <w:sz w:val="24"/>
        </w:rPr>
      </w:pPr>
    </w:p>
    <w:p w14:paraId="65C5D6F6">
      <w:pPr>
        <w:pStyle w:val="9"/>
        <w:spacing w:line="360" w:lineRule="exact"/>
        <w:ind w:left="1" w:leftChars="0" w:right="-340" w:rightChars="-162" w:firstLine="2880" w:firstLineChars="1200"/>
        <w:rPr>
          <w:rFonts w:hint="eastAsia" w:ascii="宋体" w:hAnsi="宋体" w:eastAsia="宋体" w:cs="宋体"/>
          <w:sz w:val="24"/>
          <w:u w:val="single"/>
        </w:rPr>
      </w:pPr>
      <w:r>
        <w:rPr>
          <w:rFonts w:hint="eastAsia" w:ascii="宋体" w:hAnsi="宋体" w:eastAsia="宋体" w:cs="宋体"/>
          <w:sz w:val="24"/>
        </w:rPr>
        <w:t>供  应  商：</w:t>
      </w:r>
      <w:r>
        <w:rPr>
          <w:rFonts w:hint="eastAsia" w:ascii="宋体" w:hAnsi="宋体" w:eastAsia="宋体" w:cs="宋体"/>
          <w:sz w:val="24"/>
          <w:u w:val="single"/>
        </w:rPr>
        <w:t xml:space="preserve">                  </w:t>
      </w:r>
      <w:r>
        <w:rPr>
          <w:rFonts w:hint="eastAsia" w:ascii="宋体" w:hAnsi="宋体" w:eastAsia="宋体" w:cs="宋体"/>
          <w:sz w:val="24"/>
        </w:rPr>
        <w:t>（盖单位公章）</w:t>
      </w:r>
    </w:p>
    <w:p w14:paraId="13ED08EB">
      <w:pPr>
        <w:pStyle w:val="9"/>
        <w:spacing w:line="360" w:lineRule="exact"/>
        <w:ind w:left="1" w:leftChars="0" w:right="-340" w:rightChars="-162" w:firstLine="2880" w:firstLineChars="1200"/>
        <w:rPr>
          <w:rFonts w:hint="eastAsia" w:ascii="宋体" w:hAnsi="宋体" w:eastAsia="宋体" w:cs="宋体"/>
          <w:sz w:val="24"/>
          <w:u w:val="single"/>
        </w:rPr>
      </w:pPr>
    </w:p>
    <w:p w14:paraId="60A0BEE7">
      <w:pPr>
        <w:pStyle w:val="9"/>
        <w:spacing w:line="360" w:lineRule="exact"/>
        <w:ind w:left="1" w:leftChars="0" w:right="-340" w:rightChars="-162" w:firstLine="2880" w:firstLineChars="1200"/>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7A5C7473">
      <w:pPr>
        <w:pStyle w:val="9"/>
        <w:spacing w:line="360" w:lineRule="exact"/>
        <w:ind w:left="1" w:leftChars="0" w:right="-340" w:rightChars="-162" w:firstLine="480" w:firstLineChars="200"/>
        <w:rPr>
          <w:rFonts w:hint="eastAsia" w:ascii="宋体" w:hAnsi="宋体" w:eastAsia="宋体" w:cs="宋体"/>
          <w:sz w:val="24"/>
        </w:rPr>
      </w:pPr>
      <w:r>
        <w:rPr>
          <w:rFonts w:hint="eastAsia" w:ascii="宋体" w:hAnsi="宋体" w:eastAsia="宋体" w:cs="宋体"/>
          <w:sz w:val="24"/>
        </w:rPr>
        <w:t xml:space="preserve"> </w:t>
      </w:r>
    </w:p>
    <w:p w14:paraId="24CDB922">
      <w:pPr>
        <w:pStyle w:val="9"/>
        <w:spacing w:line="360" w:lineRule="exact"/>
        <w:ind w:left="99" w:leftChars="47" w:right="-340" w:rightChars="-162" w:firstLine="2760" w:firstLineChars="1150"/>
        <w:rPr>
          <w:rFonts w:hint="eastAsia" w:ascii="宋体" w:hAnsi="宋体" w:eastAsia="宋体" w:cs="宋体"/>
          <w:b/>
          <w:bCs/>
          <w:sz w:val="24"/>
          <w:u w:val="single"/>
        </w:rPr>
      </w:pPr>
      <w:r>
        <w:rPr>
          <w:rFonts w:hint="eastAsia" w:ascii="宋体" w:hAnsi="宋体" w:eastAsia="宋体" w:cs="宋体"/>
          <w:sz w:val="24"/>
        </w:rPr>
        <w:t>日    期：</w:t>
      </w:r>
      <w:r>
        <w:rPr>
          <w:rFonts w:hint="eastAsia" w:ascii="宋体" w:hAnsi="宋体" w:eastAsia="宋体" w:cs="宋体"/>
          <w:sz w:val="24"/>
          <w:u w:val="single"/>
        </w:rPr>
        <w:t xml:space="preserve">      年     月    日</w:t>
      </w:r>
    </w:p>
    <w:p w14:paraId="0062AE64">
      <w:pPr>
        <w:rPr>
          <w:rFonts w:hint="eastAsia" w:ascii="宋体" w:hAnsi="宋体" w:eastAsia="宋体" w:cs="宋体"/>
          <w:sz w:val="28"/>
          <w:szCs w:val="21"/>
        </w:rPr>
      </w:pPr>
    </w:p>
    <w:p w14:paraId="0DE47E60">
      <w:pPr>
        <w:rPr>
          <w:rFonts w:hint="eastAsia" w:ascii="宋体" w:hAnsi="宋体" w:eastAsia="宋体" w:cs="宋体"/>
          <w:sz w:val="28"/>
          <w:szCs w:val="21"/>
        </w:rPr>
      </w:pPr>
      <w:r>
        <w:rPr>
          <w:rFonts w:hint="eastAsia" w:ascii="宋体" w:hAnsi="宋体" w:eastAsia="宋体" w:cs="宋体"/>
          <w:sz w:val="28"/>
          <w:szCs w:val="21"/>
        </w:rPr>
        <w:br w:type="page"/>
      </w:r>
    </w:p>
    <w:p w14:paraId="6EB5C33A">
      <w:pPr>
        <w:pStyle w:val="4"/>
        <w:numPr>
          <w:ilvl w:val="1"/>
          <w:numId w:val="0"/>
        </w:numPr>
        <w:wordWrap w:val="0"/>
        <w:topLinePunct/>
        <w:spacing w:before="0" w:after="0" w:line="360" w:lineRule="auto"/>
        <w:jc w:val="left"/>
        <w:rPr>
          <w:rFonts w:hint="eastAsia" w:ascii="宋体" w:hAnsi="宋体" w:eastAsia="宋体" w:cs="宋体"/>
          <w:sz w:val="24"/>
        </w:rPr>
      </w:pPr>
      <w:r>
        <w:rPr>
          <w:rFonts w:hint="eastAsia" w:ascii="宋体" w:hAnsi="宋体" w:eastAsia="宋体" w:cs="宋体"/>
          <w:sz w:val="28"/>
          <w:szCs w:val="21"/>
        </w:rPr>
        <w:t>附件2：</w:t>
      </w:r>
      <w:bookmarkEnd w:id="29"/>
    </w:p>
    <w:p w14:paraId="21769903">
      <w:pPr>
        <w:pStyle w:val="4"/>
        <w:numPr>
          <w:ilvl w:val="1"/>
          <w:numId w:val="0"/>
        </w:numPr>
        <w:wordWrap w:val="0"/>
        <w:topLinePunct/>
        <w:spacing w:before="0" w:after="0" w:line="360" w:lineRule="auto"/>
        <w:rPr>
          <w:rFonts w:hint="eastAsia" w:ascii="宋体" w:hAnsi="宋体" w:eastAsia="宋体" w:cs="宋体"/>
        </w:rPr>
      </w:pPr>
      <w:r>
        <w:rPr>
          <w:rFonts w:hint="eastAsia" w:ascii="宋体" w:hAnsi="宋体" w:eastAsia="宋体" w:cs="宋体"/>
          <w:bCs/>
          <w:szCs w:val="24"/>
          <w:lang w:val="zh-CN"/>
        </w:rPr>
        <w:t>中小企业声明函</w:t>
      </w:r>
      <w:bookmarkEnd w:id="30"/>
    </w:p>
    <w:p w14:paraId="30C174DA">
      <w:pPr>
        <w:bidi w:val="0"/>
        <w:rPr>
          <w:rFonts w:hint="eastAsia" w:ascii="宋体" w:hAnsi="宋体" w:eastAsia="宋体" w:cs="宋体"/>
        </w:rPr>
      </w:pPr>
      <w:bookmarkStart w:id="31" w:name="_Toc82111747"/>
      <w:bookmarkEnd w:id="31"/>
      <w:bookmarkStart w:id="32" w:name="_Toc10422"/>
      <w:bookmarkEnd w:id="32"/>
      <w:bookmarkStart w:id="33" w:name="_Toc7247"/>
      <w:bookmarkEnd w:id="33"/>
      <w:bookmarkStart w:id="34" w:name="_Toc12921"/>
      <w:bookmarkEnd w:id="34"/>
      <w:bookmarkStart w:id="35" w:name="_Toc13133"/>
      <w:bookmarkEnd w:id="35"/>
      <w:bookmarkStart w:id="36" w:name="_Toc9430"/>
      <w:bookmarkEnd w:id="36"/>
      <w:bookmarkStart w:id="37" w:name="_Toc14000"/>
      <w:bookmarkEnd w:id="37"/>
      <w:bookmarkStart w:id="38" w:name="_Toc10652"/>
      <w:bookmarkEnd w:id="38"/>
      <w:bookmarkStart w:id="39" w:name="_Toc22972"/>
      <w:bookmarkEnd w:id="39"/>
      <w:bookmarkStart w:id="40" w:name="_Toc22139"/>
      <w:bookmarkEnd w:id="40"/>
    </w:p>
    <w:p w14:paraId="5A8EA40A">
      <w:pPr>
        <w:widowControl/>
        <w:spacing w:before="100" w:beforeAutospacing="1" w:after="100" w:afterAutospacing="1" w:line="360" w:lineRule="auto"/>
        <w:ind w:firstLine="600" w:firstLineChars="250"/>
        <w:rPr>
          <w:rFonts w:hint="eastAsia" w:ascii="宋体" w:hAnsi="宋体" w:eastAsia="宋体" w:cs="宋体"/>
          <w:kern w:val="0"/>
          <w:sz w:val="24"/>
        </w:rPr>
      </w:pPr>
      <w:r>
        <w:rPr>
          <w:rFonts w:hint="eastAsia" w:ascii="宋体" w:hAnsi="宋体" w:eastAsia="宋体" w:cs="宋体"/>
          <w:kern w:val="0"/>
          <w:sz w:val="24"/>
        </w:rPr>
        <w:t>本公司（联合体）郑重声明，根据《政府采购促进中小企业发展管理办法》（财库﹝2020﹞46 号）的规定，本公司（联合体）参加</w:t>
      </w:r>
      <w:r>
        <w:rPr>
          <w:rFonts w:hint="eastAsia" w:ascii="宋体" w:hAnsi="宋体" w:eastAsia="宋体" w:cs="宋体"/>
          <w:kern w:val="0"/>
          <w:sz w:val="24"/>
          <w:u w:val="single"/>
        </w:rPr>
        <w:t>（单位名称）</w:t>
      </w:r>
      <w:r>
        <w:rPr>
          <w:rFonts w:hint="eastAsia" w:ascii="宋体" w:hAnsi="宋体" w:eastAsia="宋体" w:cs="宋体"/>
          <w:kern w:val="0"/>
          <w:sz w:val="24"/>
        </w:rPr>
        <w:t>的</w:t>
      </w:r>
      <w:r>
        <w:rPr>
          <w:rFonts w:hint="eastAsia" w:ascii="宋体" w:hAnsi="宋体" w:eastAsia="宋体" w:cs="宋体"/>
          <w:kern w:val="0"/>
          <w:sz w:val="24"/>
          <w:u w:val="single"/>
        </w:rPr>
        <w:t>（项目名称）</w:t>
      </w:r>
      <w:r>
        <w:rPr>
          <w:rFonts w:hint="eastAsia" w:ascii="宋体" w:hAnsi="宋体" w:eastAsia="宋体" w:cs="宋体"/>
          <w:kern w:val="0"/>
          <w:sz w:val="24"/>
        </w:rPr>
        <w:t>采购活动，服务全部由符合政策要求的中小企业承接。相关企业（含联合体中的中小企业、签订分包意向协议的中小企业）的具体情况如下：</w:t>
      </w:r>
    </w:p>
    <w:p w14:paraId="667B018C">
      <w:pPr>
        <w:spacing w:before="100" w:beforeAutospacing="1" w:after="100" w:afterAutospacing="1" w:line="360" w:lineRule="auto"/>
        <w:ind w:firstLine="420" w:firstLineChars="200"/>
        <w:rPr>
          <w:rFonts w:hint="eastAsia" w:ascii="宋体" w:hAnsi="宋体" w:eastAsia="宋体" w:cs="宋体"/>
          <w:kern w:val="0"/>
          <w:sz w:val="24"/>
        </w:rPr>
      </w:pPr>
      <w:r>
        <w:rPr>
          <w:rFonts w:hint="eastAsia"/>
          <w:u w:val="single"/>
          <w:lang w:val="en-US" w:eastAsia="zh-CN"/>
        </w:rPr>
        <w:t xml:space="preserve">         </w:t>
      </w:r>
      <w:r>
        <w:rPr>
          <w:rFonts w:hint="eastAsia" w:ascii="宋体" w:hAnsi="宋体" w:eastAsia="宋体" w:cs="宋体"/>
          <w:kern w:val="0"/>
          <w:sz w:val="24"/>
          <w:u w:val="single"/>
        </w:rPr>
        <w:t>（标的名称</w:t>
      </w:r>
      <w:r>
        <w:rPr>
          <w:rFonts w:hint="eastAsia" w:ascii="宋体" w:hAnsi="宋体" w:eastAsia="宋体" w:cs="宋体"/>
          <w:kern w:val="0"/>
          <w:sz w:val="24"/>
        </w:rPr>
        <w:t>），属于</w:t>
      </w:r>
      <w:r>
        <w:rPr>
          <w:rFonts w:hint="eastAsia"/>
          <w:u w:val="single"/>
          <w:lang w:val="en-US" w:eastAsia="zh-CN"/>
        </w:rPr>
        <w:t xml:space="preserve">         </w:t>
      </w:r>
      <w:r>
        <w:rPr>
          <w:rFonts w:hint="eastAsia" w:ascii="宋体" w:hAnsi="宋体" w:eastAsia="宋体" w:cs="宋体"/>
          <w:kern w:val="0"/>
          <w:sz w:val="24"/>
          <w:u w:val="single"/>
        </w:rPr>
        <w:t>（采购文件中明确的所属行业</w:t>
      </w:r>
      <w:r>
        <w:rPr>
          <w:rFonts w:hint="eastAsia" w:ascii="宋体" w:hAnsi="宋体" w:eastAsia="宋体" w:cs="宋体"/>
          <w:kern w:val="0"/>
          <w:sz w:val="24"/>
        </w:rPr>
        <w:t>）；承接企业为（</w:t>
      </w:r>
      <w:r>
        <w:rPr>
          <w:rFonts w:hint="eastAsia" w:ascii="宋体" w:hAnsi="宋体" w:eastAsia="宋体" w:cs="宋体"/>
          <w:kern w:val="0"/>
          <w:sz w:val="24"/>
          <w:u w:val="single"/>
        </w:rPr>
        <w:t>企业名称</w:t>
      </w:r>
      <w:r>
        <w:rPr>
          <w:rFonts w:hint="eastAsia" w:ascii="宋体" w:hAnsi="宋体" w:eastAsia="宋体" w:cs="宋体"/>
          <w:kern w:val="0"/>
          <w:sz w:val="24"/>
        </w:rPr>
        <w:t>），从业人员</w:t>
      </w:r>
      <w:r>
        <w:rPr>
          <w:rFonts w:hint="eastAsia"/>
          <w:u w:val="single"/>
          <w:lang w:val="en-US" w:eastAsia="zh-CN"/>
        </w:rPr>
        <w:t xml:space="preserve">         </w:t>
      </w:r>
      <w:r>
        <w:rPr>
          <w:rFonts w:hint="eastAsia" w:ascii="宋体" w:hAnsi="宋体" w:eastAsia="宋体" w:cs="宋体"/>
          <w:kern w:val="0"/>
          <w:sz w:val="24"/>
        </w:rPr>
        <w:t>人，营业收入为</w:t>
      </w:r>
      <w:r>
        <w:rPr>
          <w:rFonts w:hint="eastAsia"/>
          <w:u w:val="single"/>
          <w:lang w:val="en-US" w:eastAsia="zh-CN"/>
        </w:rPr>
        <w:t xml:space="preserve">         </w:t>
      </w:r>
      <w:r>
        <w:rPr>
          <w:rFonts w:hint="eastAsia" w:ascii="宋体" w:hAnsi="宋体" w:eastAsia="宋体" w:cs="宋体"/>
          <w:kern w:val="0"/>
          <w:sz w:val="24"/>
        </w:rPr>
        <w:t>万元，资产总额为</w:t>
      </w:r>
      <w:r>
        <w:rPr>
          <w:rFonts w:hint="eastAsia"/>
          <w:u w:val="single"/>
          <w:lang w:val="en-US" w:eastAsia="zh-CN"/>
        </w:rPr>
        <w:t xml:space="preserve">         </w:t>
      </w:r>
      <w:r>
        <w:rPr>
          <w:rFonts w:hint="eastAsia" w:ascii="宋体" w:hAnsi="宋体" w:eastAsia="宋体" w:cs="宋体"/>
          <w:kern w:val="0"/>
          <w:sz w:val="24"/>
        </w:rPr>
        <w:t>万元，属于</w:t>
      </w:r>
      <w:r>
        <w:rPr>
          <w:rFonts w:hint="eastAsia"/>
          <w:u w:val="single"/>
          <w:lang w:val="en-US" w:eastAsia="zh-CN"/>
        </w:rPr>
        <w:t xml:space="preserve">         </w:t>
      </w:r>
      <w:r>
        <w:rPr>
          <w:rFonts w:hint="eastAsia" w:ascii="宋体" w:hAnsi="宋体" w:eastAsia="宋体" w:cs="宋体"/>
          <w:kern w:val="0"/>
          <w:sz w:val="24"/>
        </w:rPr>
        <w:t>（</w:t>
      </w:r>
      <w:r>
        <w:rPr>
          <w:rFonts w:hint="eastAsia" w:ascii="宋体" w:hAnsi="宋体" w:eastAsia="宋体" w:cs="宋体"/>
          <w:kern w:val="0"/>
          <w:sz w:val="24"/>
          <w:u w:val="single"/>
        </w:rPr>
        <w:t>中型企业、小型企业、微型企业</w:t>
      </w:r>
      <w:r>
        <w:rPr>
          <w:rFonts w:hint="eastAsia" w:ascii="宋体" w:hAnsi="宋体" w:eastAsia="宋体" w:cs="宋体"/>
          <w:kern w:val="0"/>
          <w:sz w:val="24"/>
        </w:rPr>
        <w:t xml:space="preserve">）； </w:t>
      </w:r>
    </w:p>
    <w:p w14:paraId="541C64BA">
      <w:pPr>
        <w:widowControl/>
        <w:spacing w:before="100" w:beforeAutospacing="1" w:after="100" w:afterAutospacing="1" w:line="360" w:lineRule="auto"/>
        <w:rPr>
          <w:rFonts w:hint="eastAsia" w:ascii="宋体" w:hAnsi="宋体" w:eastAsia="宋体" w:cs="宋体"/>
          <w:kern w:val="0"/>
          <w:sz w:val="24"/>
        </w:rPr>
      </w:pPr>
      <w:r>
        <w:rPr>
          <w:rFonts w:hint="eastAsia" w:ascii="宋体" w:hAnsi="宋体" w:eastAsia="宋体" w:cs="宋体"/>
          <w:kern w:val="0"/>
          <w:sz w:val="24"/>
        </w:rPr>
        <w:t>以上企业，不属于大企业的分支机构，不存在控股股东为大企业的情形，也不存在与大企业的负责人为同一人的情形。本企业对上述声明内容的真实性负责。如有虚假，将依 法承担相应责任。</w:t>
      </w:r>
    </w:p>
    <w:p w14:paraId="529F94DE">
      <w:pPr>
        <w:spacing w:line="360" w:lineRule="auto"/>
        <w:ind w:firstLine="4320" w:firstLineChars="1800"/>
        <w:rPr>
          <w:rFonts w:hint="eastAsia" w:ascii="宋体" w:hAnsi="宋体" w:eastAsia="宋体" w:cs="宋体"/>
          <w:sz w:val="24"/>
        </w:rPr>
      </w:pPr>
      <w:r>
        <w:rPr>
          <w:rFonts w:hint="eastAsia" w:ascii="宋体" w:hAnsi="宋体" w:eastAsia="宋体" w:cs="宋体"/>
          <w:bCs/>
          <w:sz w:val="24"/>
        </w:rPr>
        <w:t>供应商（公章）：</w:t>
      </w:r>
    </w:p>
    <w:p w14:paraId="4B290AD2">
      <w:pPr>
        <w:spacing w:line="360" w:lineRule="auto"/>
        <w:ind w:firstLine="4320" w:firstLineChars="1800"/>
        <w:rPr>
          <w:rFonts w:hint="eastAsia" w:ascii="宋体" w:hAnsi="宋体" w:eastAsia="宋体" w:cs="宋体"/>
          <w:kern w:val="0"/>
          <w:sz w:val="24"/>
        </w:rPr>
      </w:pPr>
      <w:r>
        <w:rPr>
          <w:rFonts w:hint="eastAsia" w:ascii="宋体" w:hAnsi="宋体" w:eastAsia="宋体" w:cs="宋体"/>
          <w:sz w:val="24"/>
        </w:rPr>
        <w:t>日期：年月日</w:t>
      </w:r>
    </w:p>
    <w:p w14:paraId="138CC378">
      <w:pPr>
        <w:widowControl/>
        <w:spacing w:before="100" w:beforeAutospacing="1" w:after="100" w:afterAutospacing="1" w:line="360" w:lineRule="auto"/>
        <w:rPr>
          <w:rFonts w:hint="eastAsia" w:ascii="宋体" w:hAnsi="宋体" w:eastAsia="宋体" w:cs="宋体"/>
          <w:kern w:val="0"/>
          <w:szCs w:val="21"/>
        </w:rPr>
      </w:pPr>
      <w:r>
        <w:rPr>
          <w:rFonts w:hint="eastAsia" w:ascii="宋体" w:hAnsi="宋体" w:eastAsia="宋体" w:cs="宋体"/>
          <w:kern w:val="0"/>
          <w:szCs w:val="21"/>
        </w:rPr>
        <w:t>注：从业人员、营业收入、资产总额填报上一年度数据，无上一年度数据的新成立企业可不填报。</w:t>
      </w:r>
    </w:p>
    <w:p w14:paraId="1CA03973">
      <w:pPr>
        <w:widowControl/>
        <w:spacing w:before="100" w:beforeAutospacing="1" w:after="100" w:afterAutospacing="1" w:line="360" w:lineRule="auto"/>
        <w:rPr>
          <w:rFonts w:hint="eastAsia" w:ascii="宋体" w:hAnsi="宋体" w:eastAsia="宋体" w:cs="宋体"/>
          <w:kern w:val="0"/>
          <w:szCs w:val="21"/>
        </w:rPr>
      </w:pPr>
    </w:p>
    <w:p w14:paraId="775802BD">
      <w:pPr>
        <w:widowControl/>
        <w:spacing w:before="100" w:beforeAutospacing="1" w:after="100" w:afterAutospacing="1" w:line="360" w:lineRule="auto"/>
        <w:rPr>
          <w:rFonts w:hint="eastAsia" w:ascii="宋体" w:hAnsi="宋体" w:eastAsia="宋体" w:cs="宋体"/>
          <w:kern w:val="0"/>
          <w:szCs w:val="21"/>
        </w:rPr>
      </w:pPr>
    </w:p>
    <w:p w14:paraId="10AA8425">
      <w:pPr>
        <w:pStyle w:val="19"/>
        <w:ind w:firstLine="440"/>
        <w:rPr>
          <w:rFonts w:hint="eastAsia" w:ascii="宋体" w:hAnsi="宋体" w:eastAsia="宋体" w:cs="宋体"/>
          <w:lang w:eastAsia="zh-CN"/>
        </w:rPr>
      </w:pPr>
    </w:p>
    <w:p w14:paraId="1F731E7A">
      <w:pPr>
        <w:widowControl/>
        <w:spacing w:line="500" w:lineRule="exact"/>
        <w:jc w:val="center"/>
        <w:rPr>
          <w:rFonts w:hint="eastAsia" w:ascii="宋体" w:hAnsi="宋体" w:eastAsia="宋体" w:cs="宋体"/>
          <w:sz w:val="28"/>
          <w:szCs w:val="28"/>
        </w:rPr>
      </w:pPr>
      <w:r>
        <w:rPr>
          <w:rFonts w:hint="eastAsia" w:ascii="宋体" w:hAnsi="宋体" w:eastAsia="宋体" w:cs="宋体"/>
          <w:b/>
        </w:rPr>
        <w:br w:type="page"/>
      </w:r>
      <w:r>
        <w:rPr>
          <w:rFonts w:hint="eastAsia" w:ascii="宋体" w:hAnsi="宋体" w:eastAsia="宋体" w:cs="宋体"/>
          <w:sz w:val="28"/>
          <w:szCs w:val="28"/>
        </w:rPr>
        <w:t>工业和信息化部、国家统计局、国家发展和改革委员会、财政部</w:t>
      </w:r>
    </w:p>
    <w:p w14:paraId="60790143">
      <w:pPr>
        <w:widowControl/>
        <w:spacing w:line="500" w:lineRule="exact"/>
        <w:jc w:val="center"/>
        <w:rPr>
          <w:rFonts w:hint="eastAsia" w:ascii="宋体" w:hAnsi="宋体" w:eastAsia="宋体" w:cs="宋体"/>
          <w:sz w:val="28"/>
          <w:szCs w:val="28"/>
        </w:rPr>
      </w:pPr>
      <w:r>
        <w:rPr>
          <w:rFonts w:hint="eastAsia" w:ascii="宋体" w:hAnsi="宋体" w:eastAsia="宋体" w:cs="宋体"/>
          <w:sz w:val="28"/>
          <w:szCs w:val="28"/>
        </w:rPr>
        <w:t>《关于印发中小企业划型标准规定的通知》</w:t>
      </w:r>
    </w:p>
    <w:p w14:paraId="42C7C659">
      <w:pPr>
        <w:widowControl/>
        <w:spacing w:line="500" w:lineRule="exact"/>
        <w:jc w:val="center"/>
        <w:rPr>
          <w:rFonts w:hint="eastAsia" w:ascii="宋体" w:hAnsi="宋体" w:eastAsia="宋体" w:cs="宋体"/>
          <w:sz w:val="28"/>
          <w:szCs w:val="28"/>
        </w:rPr>
      </w:pPr>
      <w:r>
        <w:rPr>
          <w:rFonts w:hint="eastAsia" w:ascii="宋体" w:hAnsi="宋体" w:eastAsia="宋体" w:cs="宋体"/>
          <w:sz w:val="28"/>
          <w:szCs w:val="28"/>
        </w:rPr>
        <w:t>工信部联企业〔2011〕300号</w:t>
      </w:r>
    </w:p>
    <w:p w14:paraId="2B59BF6F">
      <w:pPr>
        <w:widowControl/>
        <w:spacing w:line="500" w:lineRule="exact"/>
        <w:jc w:val="left"/>
        <w:rPr>
          <w:rFonts w:hint="eastAsia" w:ascii="宋体" w:hAnsi="宋体" w:eastAsia="宋体" w:cs="宋体"/>
          <w:sz w:val="24"/>
        </w:rPr>
      </w:pPr>
      <w:r>
        <w:rPr>
          <w:rFonts w:hint="eastAsia" w:ascii="宋体" w:hAnsi="宋体" w:eastAsia="宋体" w:cs="宋体"/>
          <w:sz w:val="24"/>
        </w:rPr>
        <w:t xml:space="preserve">各省、自治区、直辖市人民政府，国务院各部委、各直属机构及有关单位： </w:t>
      </w:r>
    </w:p>
    <w:p w14:paraId="20CB273E">
      <w:pPr>
        <w:widowControl/>
        <w:spacing w:line="5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35A89FEA">
      <w:pPr>
        <w:widowControl/>
        <w:spacing w:line="500" w:lineRule="exact"/>
        <w:jc w:val="right"/>
        <w:rPr>
          <w:rFonts w:hint="eastAsia" w:ascii="宋体" w:hAnsi="宋体" w:eastAsia="宋体" w:cs="宋体"/>
          <w:sz w:val="24"/>
        </w:rPr>
      </w:pPr>
      <w:r>
        <w:rPr>
          <w:rFonts w:hint="eastAsia" w:ascii="宋体" w:hAnsi="宋体" w:eastAsia="宋体" w:cs="宋体"/>
          <w:sz w:val="24"/>
        </w:rPr>
        <w:t xml:space="preserve">工业和信息化部 国家统计局 国家发展和改革委员会 财政部 </w:t>
      </w:r>
    </w:p>
    <w:p w14:paraId="3010A49F">
      <w:pPr>
        <w:widowControl/>
        <w:spacing w:line="500" w:lineRule="exact"/>
        <w:jc w:val="right"/>
        <w:rPr>
          <w:rFonts w:hint="eastAsia" w:ascii="宋体" w:hAnsi="宋体" w:eastAsia="宋体" w:cs="宋体"/>
          <w:sz w:val="24"/>
        </w:rPr>
      </w:pPr>
      <w:r>
        <w:rPr>
          <w:rFonts w:hint="eastAsia" w:ascii="宋体" w:hAnsi="宋体" w:eastAsia="宋体" w:cs="宋体"/>
          <w:sz w:val="24"/>
        </w:rPr>
        <w:t xml:space="preserve">二○一一年六月十八日 </w:t>
      </w:r>
    </w:p>
    <w:p w14:paraId="1F51B03A">
      <w:pPr>
        <w:widowControl/>
        <w:spacing w:line="500" w:lineRule="exact"/>
        <w:jc w:val="center"/>
        <w:rPr>
          <w:rFonts w:hint="eastAsia" w:ascii="宋体" w:hAnsi="宋体" w:eastAsia="宋体" w:cs="宋体"/>
          <w:b/>
          <w:bCs/>
          <w:sz w:val="24"/>
        </w:rPr>
      </w:pPr>
      <w:r>
        <w:rPr>
          <w:rFonts w:hint="eastAsia" w:ascii="宋体" w:hAnsi="宋体" w:eastAsia="宋体" w:cs="宋体"/>
          <w:b/>
          <w:bCs/>
          <w:sz w:val="24"/>
        </w:rPr>
        <w:t>中小企业划型标准规定</w:t>
      </w:r>
    </w:p>
    <w:p w14:paraId="0CBBCF45">
      <w:pPr>
        <w:widowControl/>
        <w:spacing w:line="5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一、根据《中华人民共和国中小企业促进法》和《国务院关于进一步促进中小企业发展的若干意见》(国发〔2009〕36号)，制定本规定。 </w:t>
      </w:r>
    </w:p>
    <w:p w14:paraId="4DBF58F4">
      <w:pPr>
        <w:widowControl/>
        <w:spacing w:line="5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二、中小企业划分为中型、小型、微型三种类型，具体标准根据企业从业人员、营业收入、资产总额等指标，结合行业特点制定。 </w:t>
      </w:r>
    </w:p>
    <w:p w14:paraId="6AE1B041">
      <w:pPr>
        <w:widowControl/>
        <w:spacing w:line="5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073323F2">
      <w:pPr>
        <w:widowControl/>
        <w:spacing w:line="500" w:lineRule="exact"/>
        <w:ind w:firstLine="480" w:firstLineChars="200"/>
        <w:jc w:val="left"/>
        <w:rPr>
          <w:rFonts w:hint="eastAsia" w:ascii="宋体" w:hAnsi="宋体" w:eastAsia="宋体" w:cs="宋体"/>
          <w:sz w:val="24"/>
        </w:rPr>
      </w:pPr>
      <w:bookmarkStart w:id="41" w:name="_Toc16544"/>
      <w:bookmarkStart w:id="42" w:name="_Toc26934"/>
      <w:r>
        <w:rPr>
          <w:rFonts w:hint="eastAsia" w:ascii="宋体" w:hAnsi="宋体" w:eastAsia="宋体" w:cs="宋体"/>
          <w:sz w:val="24"/>
        </w:rPr>
        <w:t>四、各行业划型标准为</w:t>
      </w:r>
      <w:bookmarkEnd w:id="41"/>
      <w:bookmarkEnd w:id="42"/>
    </w:p>
    <w:p w14:paraId="1C416EE8">
      <w:pPr>
        <w:widowControl/>
        <w:spacing w:line="500" w:lineRule="exact"/>
        <w:ind w:firstLine="480" w:firstLineChars="200"/>
        <w:jc w:val="left"/>
        <w:rPr>
          <w:rFonts w:hint="eastAsia" w:ascii="宋体" w:hAnsi="宋体" w:eastAsia="宋体" w:cs="宋体"/>
          <w:sz w:val="24"/>
        </w:rPr>
      </w:pPr>
      <w:r>
        <w:rPr>
          <w:rFonts w:hint="eastAsia" w:ascii="宋体" w:hAnsi="宋体" w:eastAsia="宋体" w:cs="宋体"/>
          <w:sz w:val="24"/>
          <w:shd w:val="clear" w:color="auto" w:fill="FFFFFF"/>
        </w:rPr>
        <w:t>（一）农、林、牧、渔业。营业收入20000万元以下的为中小微型企业。其中，营业收入500万元及以上的为中型企业，营业收入50万元及以上的为小型企业，营业收入50万元以下的为微型企业。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sz w:val="24"/>
          <w:shd w:val="clear" w:color="auto" w:fill="FFFFFF"/>
        </w:rPr>
        <w:br w:type="textWrapping"/>
      </w:r>
      <w:r>
        <w:rPr>
          <w:rFonts w:hint="eastAsia" w:ascii="宋体" w:hAnsi="宋体" w:eastAsia="宋体" w:cs="宋体"/>
          <w:sz w:val="24"/>
          <w:shd w:val="clear" w:color="auto" w:fill="FFFFFF"/>
        </w:rPr>
        <w:t>　　（十六）其他未列明行业。从业人员300人以下的为中小微型企业。其中，从业人员100人及以上的为中型企业；从业人员10人及以上的为小型企业；从业人员10人以下的为微型企业。</w:t>
      </w:r>
    </w:p>
    <w:p w14:paraId="4FFAF828">
      <w:pPr>
        <w:widowControl/>
        <w:spacing w:line="500" w:lineRule="exact"/>
        <w:ind w:firstLine="480" w:firstLineChars="200"/>
        <w:jc w:val="left"/>
        <w:rPr>
          <w:rFonts w:hint="eastAsia" w:ascii="宋体" w:hAnsi="宋体" w:eastAsia="宋体" w:cs="宋体"/>
          <w:sz w:val="24"/>
        </w:rPr>
      </w:pPr>
      <w:bookmarkStart w:id="43" w:name="_Toc30260"/>
      <w:bookmarkStart w:id="44" w:name="_Toc15897"/>
      <w:r>
        <w:rPr>
          <w:rFonts w:hint="eastAsia" w:ascii="宋体" w:hAnsi="宋体" w:eastAsia="宋体" w:cs="宋体"/>
          <w:sz w:val="24"/>
        </w:rPr>
        <w:t>五、企业类型的划分以统计部门的统计数据为依据。</w:t>
      </w:r>
      <w:bookmarkEnd w:id="43"/>
      <w:bookmarkEnd w:id="44"/>
    </w:p>
    <w:p w14:paraId="594F6176">
      <w:pPr>
        <w:widowControl/>
        <w:spacing w:line="500" w:lineRule="exact"/>
        <w:jc w:val="left"/>
        <w:rPr>
          <w:rFonts w:hint="eastAsia" w:ascii="宋体" w:hAnsi="宋体" w:eastAsia="宋体" w:cs="宋体"/>
          <w:sz w:val="24"/>
        </w:rPr>
      </w:pPr>
      <w:r>
        <w:rPr>
          <w:rFonts w:hint="eastAsia" w:ascii="宋体" w:hAnsi="宋体" w:eastAsia="宋体" w:cs="宋体"/>
          <w:sz w:val="24"/>
        </w:rPr>
        <w:t xml:space="preserve">六、本规定适用于在中华人民共和国境内依法设立的各类所有制和各种组织形式的企业。个体工商户和本规定以外的行业，参照本规定进行划型。 </w:t>
      </w:r>
    </w:p>
    <w:p w14:paraId="285FB59A">
      <w:pPr>
        <w:widowControl/>
        <w:spacing w:line="500" w:lineRule="exact"/>
        <w:jc w:val="left"/>
        <w:rPr>
          <w:rFonts w:hint="eastAsia" w:ascii="宋体" w:hAnsi="宋体" w:eastAsia="宋体" w:cs="宋体"/>
          <w:sz w:val="24"/>
        </w:rPr>
      </w:pPr>
      <w:r>
        <w:rPr>
          <w:rFonts w:hint="eastAsia" w:ascii="宋体" w:hAnsi="宋体" w:eastAsia="宋体" w:cs="宋体"/>
          <w:sz w:val="24"/>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0E642B6E">
      <w:pPr>
        <w:widowControl/>
        <w:spacing w:line="500" w:lineRule="exact"/>
        <w:jc w:val="left"/>
        <w:rPr>
          <w:rFonts w:hint="eastAsia" w:ascii="宋体" w:hAnsi="宋体" w:eastAsia="宋体" w:cs="宋体"/>
          <w:sz w:val="24"/>
        </w:rPr>
      </w:pPr>
      <w:r>
        <w:rPr>
          <w:rFonts w:hint="eastAsia" w:ascii="宋体" w:hAnsi="宋体" w:eastAsia="宋体" w:cs="宋体"/>
          <w:sz w:val="24"/>
        </w:rPr>
        <w:t xml:space="preserve">八、本规定由工业和信息化部、国家统计局会同有关部门根据《国民经济行业分类》修订情况和企业发展变化情况适时修订。 </w:t>
      </w:r>
    </w:p>
    <w:p w14:paraId="7B4A319C">
      <w:pPr>
        <w:widowControl/>
        <w:spacing w:line="500" w:lineRule="exact"/>
        <w:jc w:val="left"/>
        <w:rPr>
          <w:rFonts w:hint="eastAsia" w:ascii="宋体" w:hAnsi="宋体" w:eastAsia="宋体" w:cs="宋体"/>
          <w:sz w:val="24"/>
        </w:rPr>
      </w:pPr>
      <w:r>
        <w:rPr>
          <w:rFonts w:hint="eastAsia" w:ascii="宋体" w:hAnsi="宋体" w:eastAsia="宋体" w:cs="宋体"/>
          <w:sz w:val="24"/>
        </w:rPr>
        <w:t xml:space="preserve">九、本规定由工业和信息化部、国家统计局会同有关部门负责解释。 </w:t>
      </w:r>
    </w:p>
    <w:p w14:paraId="3D379AA7">
      <w:pPr>
        <w:widowControl/>
        <w:spacing w:line="500" w:lineRule="exact"/>
        <w:rPr>
          <w:rFonts w:hint="eastAsia" w:ascii="宋体" w:hAnsi="宋体" w:eastAsia="宋体" w:cs="宋体"/>
          <w:sz w:val="24"/>
        </w:rPr>
      </w:pPr>
      <w:r>
        <w:rPr>
          <w:rFonts w:hint="eastAsia" w:ascii="宋体" w:hAnsi="宋体" w:eastAsia="宋体" w:cs="宋体"/>
          <w:sz w:val="24"/>
        </w:rPr>
        <w:t xml:space="preserve">十、本规定自发布之日起执行，原国家经贸委、原国家计委、财政部和国家统计局2003年颁布的《中小企业标准暂行规定》同时废止。 </w:t>
      </w:r>
    </w:p>
    <w:p w14:paraId="2821C422">
      <w:pPr>
        <w:rPr>
          <w:rFonts w:hint="eastAsia" w:ascii="宋体" w:hAnsi="宋体" w:eastAsia="宋体" w:cs="宋体"/>
        </w:rPr>
      </w:pPr>
    </w:p>
    <w:p w14:paraId="4E8646B5">
      <w:pPr>
        <w:widowControl/>
        <w:spacing w:line="340" w:lineRule="exact"/>
        <w:rPr>
          <w:rFonts w:hint="eastAsia" w:ascii="宋体" w:hAnsi="宋体" w:eastAsia="宋体" w:cs="宋体"/>
          <w:b/>
          <w:sz w:val="24"/>
          <w:szCs w:val="24"/>
        </w:rPr>
      </w:pPr>
    </w:p>
    <w:p w14:paraId="3F5B125C">
      <w:pPr>
        <w:widowControl/>
        <w:spacing w:before="100" w:beforeAutospacing="1" w:after="100" w:afterAutospacing="1" w:line="360" w:lineRule="auto"/>
        <w:jc w:val="center"/>
        <w:rPr>
          <w:rFonts w:hint="eastAsia" w:ascii="宋体" w:hAnsi="宋体" w:eastAsia="宋体" w:cs="宋体"/>
          <w:b/>
          <w:kern w:val="0"/>
          <w:sz w:val="24"/>
          <w:szCs w:val="24"/>
        </w:rPr>
      </w:pPr>
      <w:r>
        <w:rPr>
          <w:rFonts w:hint="eastAsia" w:ascii="宋体" w:hAnsi="宋体" w:eastAsia="宋体" w:cs="宋体"/>
          <w:sz w:val="24"/>
          <w:szCs w:val="24"/>
        </w:rPr>
        <w:br w:type="page"/>
      </w:r>
      <w:r>
        <w:rPr>
          <w:rFonts w:hint="eastAsia" w:ascii="宋体" w:hAnsi="宋体" w:eastAsia="宋体" w:cs="宋体"/>
          <w:b/>
          <w:bCs/>
          <w:sz w:val="24"/>
          <w:szCs w:val="24"/>
        </w:rPr>
        <w:t>供应商监狱企业声明函</w:t>
      </w:r>
    </w:p>
    <w:p w14:paraId="7C24C068">
      <w:pPr>
        <w:widowControl/>
        <w:spacing w:before="100" w:beforeAutospacing="1" w:after="100" w:afterAutospacing="1" w:line="360" w:lineRule="auto"/>
        <w:ind w:firstLine="480" w:firstLineChars="200"/>
        <w:jc w:val="center"/>
        <w:rPr>
          <w:rFonts w:hint="eastAsia" w:ascii="宋体" w:hAnsi="宋体" w:eastAsia="宋体" w:cs="宋体"/>
          <w:kern w:val="0"/>
          <w:sz w:val="24"/>
          <w:szCs w:val="24"/>
        </w:rPr>
      </w:pPr>
      <w:r>
        <w:rPr>
          <w:rFonts w:hint="eastAsia" w:ascii="宋体" w:hAnsi="宋体" w:eastAsia="宋体" w:cs="宋体"/>
          <w:kern w:val="0"/>
          <w:sz w:val="24"/>
          <w:szCs w:val="24"/>
        </w:rPr>
        <w:t>（属于残疾人福利性单位的填写，不属于的无需填写此项内容）</w:t>
      </w:r>
    </w:p>
    <w:p w14:paraId="340E7D19">
      <w:pPr>
        <w:widowControl/>
        <w:spacing w:before="100" w:beforeAutospacing="1" w:after="100" w:afterAutospacing="1"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本企业（单位）郑重声明下列事项（按照实际情况填写：是、不是）：</w:t>
      </w:r>
    </w:p>
    <w:p w14:paraId="05D21853">
      <w:pPr>
        <w:widowControl/>
        <w:spacing w:before="100" w:beforeAutospacing="1" w:after="100" w:afterAutospacing="1"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本企业（单位）为直接供应商提供本企业（单位）制造的货物。</w:t>
      </w:r>
    </w:p>
    <w:p w14:paraId="6F54ADC3">
      <w:pPr>
        <w:widowControl/>
        <w:spacing w:before="100" w:beforeAutospacing="1" w:after="100" w:afterAutospacing="1" w:line="360" w:lineRule="auto"/>
        <w:ind w:firstLine="360" w:firstLineChars="150"/>
        <w:jc w:val="left"/>
        <w:rPr>
          <w:rFonts w:hint="eastAsia" w:ascii="宋体" w:hAnsi="宋体" w:eastAsia="宋体" w:cs="宋体"/>
          <w:kern w:val="0"/>
          <w:sz w:val="24"/>
          <w:szCs w:val="24"/>
        </w:rPr>
      </w:pPr>
      <w:r>
        <w:rPr>
          <w:rFonts w:hint="eastAsia" w:ascii="宋体" w:hAnsi="宋体" w:eastAsia="宋体" w:cs="宋体"/>
          <w:kern w:val="0"/>
          <w:sz w:val="24"/>
          <w:szCs w:val="24"/>
        </w:rPr>
        <w:t>（1）本企业（单位）（请填写：是、不是）监狱企业。后附省级以上监狱管理局、戒毒管理局（含新疆生产建设兵团）出具的属于监狱企业的证明文件。</w:t>
      </w:r>
    </w:p>
    <w:p w14:paraId="795B6C7E">
      <w:pPr>
        <w:widowControl/>
        <w:spacing w:before="100" w:beforeAutospacing="1" w:after="100" w:afterAutospacing="1" w:line="360" w:lineRule="auto"/>
        <w:ind w:firstLine="420"/>
        <w:jc w:val="left"/>
        <w:rPr>
          <w:rFonts w:hint="eastAsia" w:ascii="宋体" w:hAnsi="宋体" w:eastAsia="宋体" w:cs="宋体"/>
          <w:kern w:val="0"/>
          <w:sz w:val="24"/>
          <w:szCs w:val="24"/>
        </w:rPr>
      </w:pPr>
      <w:r>
        <w:rPr>
          <w:rFonts w:hint="eastAsia" w:ascii="宋体" w:hAnsi="宋体" w:eastAsia="宋体" w:cs="宋体"/>
          <w:kern w:val="0"/>
          <w:sz w:val="24"/>
          <w:szCs w:val="24"/>
        </w:rPr>
        <w:t>（2）本企业（单位）（请填写：是、不是）为联合体一方，提供本企业（单位）制造的货物，由本企业（单位）承担工程、提供服务。本企业（单位）提供协议合同金额占到共同</w:t>
      </w:r>
      <w:r>
        <w:rPr>
          <w:rFonts w:hint="eastAsia" w:ascii="宋体" w:hAnsi="宋体" w:cs="宋体"/>
          <w:kern w:val="0"/>
          <w:sz w:val="24"/>
          <w:szCs w:val="24"/>
          <w:lang w:eastAsia="zh-CN"/>
        </w:rPr>
        <w:t>响应</w:t>
      </w:r>
      <w:r>
        <w:rPr>
          <w:rFonts w:hint="eastAsia" w:ascii="宋体" w:hAnsi="宋体" w:eastAsia="宋体" w:cs="宋体"/>
          <w:kern w:val="0"/>
          <w:sz w:val="24"/>
          <w:szCs w:val="24"/>
        </w:rPr>
        <w:t>协议合同总金额的比例为</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rPr>
        <w:t>。</w:t>
      </w:r>
    </w:p>
    <w:p w14:paraId="578BC145">
      <w:pPr>
        <w:widowControl/>
        <w:spacing w:before="100" w:beforeAutospacing="1" w:after="100" w:afterAutospacing="1" w:line="360" w:lineRule="auto"/>
        <w:ind w:firstLine="475"/>
        <w:jc w:val="left"/>
        <w:rPr>
          <w:rFonts w:hint="eastAsia" w:ascii="宋体" w:hAnsi="宋体" w:eastAsia="宋体" w:cs="宋体"/>
          <w:kern w:val="0"/>
          <w:sz w:val="24"/>
          <w:szCs w:val="24"/>
        </w:rPr>
      </w:pPr>
      <w:r>
        <w:rPr>
          <w:rFonts w:hint="eastAsia" w:ascii="宋体" w:hAnsi="宋体" w:eastAsia="宋体" w:cs="宋体"/>
          <w:kern w:val="0"/>
          <w:sz w:val="24"/>
          <w:szCs w:val="24"/>
        </w:rPr>
        <w:t>本企业（单位）对上述声明的真实性负责。如有虚假，将依法承担相应责任。</w:t>
      </w:r>
    </w:p>
    <w:p w14:paraId="72696A8E">
      <w:pPr>
        <w:widowControl/>
        <w:spacing w:before="100" w:beforeAutospacing="1" w:after="100" w:afterAutospacing="1"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w:t>
      </w:r>
    </w:p>
    <w:p w14:paraId="5C6344B7">
      <w:pPr>
        <w:widowControl/>
        <w:spacing w:before="100" w:beforeAutospacing="1" w:after="100" w:afterAutospacing="1" w:line="360" w:lineRule="auto"/>
        <w:jc w:val="left"/>
        <w:rPr>
          <w:rFonts w:hint="eastAsia" w:ascii="宋体" w:hAnsi="宋体" w:eastAsia="宋体" w:cs="宋体"/>
          <w:kern w:val="0"/>
          <w:sz w:val="24"/>
          <w:szCs w:val="24"/>
        </w:rPr>
      </w:pPr>
    </w:p>
    <w:p w14:paraId="46FB9E6D">
      <w:pPr>
        <w:spacing w:line="360" w:lineRule="auto"/>
        <w:ind w:firstLine="4320" w:firstLineChars="1800"/>
        <w:rPr>
          <w:rFonts w:hint="eastAsia" w:ascii="宋体" w:hAnsi="宋体" w:eastAsia="宋体" w:cs="宋体"/>
          <w:sz w:val="24"/>
          <w:szCs w:val="24"/>
        </w:rPr>
      </w:pPr>
      <w:r>
        <w:rPr>
          <w:rFonts w:hint="eastAsia" w:ascii="宋体" w:hAnsi="宋体" w:eastAsia="宋体" w:cs="宋体"/>
          <w:bCs/>
          <w:sz w:val="24"/>
          <w:szCs w:val="24"/>
        </w:rPr>
        <w:t>供应商（盖公章）：</w:t>
      </w:r>
    </w:p>
    <w:p w14:paraId="1072D04C">
      <w:pPr>
        <w:spacing w:line="360" w:lineRule="auto"/>
        <w:ind w:firstLine="4320" w:firstLineChars="1800"/>
        <w:rPr>
          <w:rFonts w:hint="eastAsia" w:ascii="宋体" w:hAnsi="宋体" w:eastAsia="宋体" w:cs="宋体"/>
          <w:sz w:val="24"/>
          <w:szCs w:val="24"/>
        </w:rPr>
      </w:pPr>
    </w:p>
    <w:p w14:paraId="57B0DD58">
      <w:pPr>
        <w:spacing w:line="360" w:lineRule="auto"/>
        <w:ind w:firstLine="4320" w:firstLineChars="1800"/>
        <w:rPr>
          <w:rFonts w:hint="eastAsia" w:ascii="宋体" w:hAnsi="宋体" w:eastAsia="宋体" w:cs="宋体"/>
          <w:sz w:val="24"/>
          <w:szCs w:val="24"/>
        </w:rPr>
      </w:pPr>
      <w:r>
        <w:rPr>
          <w:rFonts w:hint="eastAsia" w:ascii="宋体" w:hAnsi="宋体" w:eastAsia="宋体" w:cs="宋体"/>
          <w:sz w:val="24"/>
          <w:szCs w:val="24"/>
        </w:rPr>
        <w:t>日期：年月日</w:t>
      </w:r>
    </w:p>
    <w:p w14:paraId="06AE2C18">
      <w:pPr>
        <w:pStyle w:val="19"/>
        <w:ind w:firstLine="480"/>
        <w:rPr>
          <w:rFonts w:hint="eastAsia" w:ascii="宋体" w:hAnsi="宋体" w:eastAsia="宋体" w:cs="宋体"/>
          <w:sz w:val="24"/>
          <w:szCs w:val="24"/>
          <w:lang w:eastAsia="zh-CN"/>
        </w:rPr>
      </w:pPr>
    </w:p>
    <w:p w14:paraId="74FA863E">
      <w:pPr>
        <w:pStyle w:val="19"/>
        <w:ind w:firstLine="480"/>
        <w:rPr>
          <w:rFonts w:hint="eastAsia" w:ascii="宋体" w:hAnsi="宋体" w:eastAsia="宋体" w:cs="宋体"/>
          <w:sz w:val="24"/>
          <w:szCs w:val="24"/>
          <w:lang w:eastAsia="zh-CN"/>
        </w:rPr>
      </w:pPr>
    </w:p>
    <w:p w14:paraId="1A6C0369">
      <w:pPr>
        <w:pStyle w:val="19"/>
        <w:ind w:firstLine="480"/>
        <w:rPr>
          <w:rFonts w:hint="eastAsia" w:ascii="宋体" w:hAnsi="宋体" w:eastAsia="宋体" w:cs="宋体"/>
          <w:sz w:val="24"/>
          <w:szCs w:val="24"/>
          <w:lang w:eastAsia="zh-CN"/>
        </w:rPr>
      </w:pPr>
    </w:p>
    <w:p w14:paraId="2B3CABE0">
      <w:pPr>
        <w:pStyle w:val="19"/>
        <w:ind w:firstLine="480"/>
        <w:rPr>
          <w:rFonts w:hint="eastAsia" w:ascii="宋体" w:hAnsi="宋体" w:eastAsia="宋体" w:cs="宋体"/>
          <w:sz w:val="24"/>
          <w:szCs w:val="24"/>
          <w:lang w:eastAsia="zh-CN"/>
        </w:rPr>
      </w:pPr>
    </w:p>
    <w:p w14:paraId="484F2D70">
      <w:pPr>
        <w:pStyle w:val="6"/>
        <w:rPr>
          <w:rFonts w:hint="eastAsia" w:ascii="宋体" w:hAnsi="宋体" w:eastAsia="宋体" w:cs="宋体"/>
        </w:rPr>
      </w:pPr>
    </w:p>
    <w:p w14:paraId="07E350F9">
      <w:pPr>
        <w:pStyle w:val="4"/>
        <w:numPr>
          <w:ilvl w:val="1"/>
          <w:numId w:val="0"/>
        </w:numPr>
        <w:wordWrap w:val="0"/>
        <w:topLinePunct/>
        <w:spacing w:before="0" w:after="0" w:line="360" w:lineRule="auto"/>
        <w:rPr>
          <w:rFonts w:hint="eastAsia" w:ascii="宋体" w:hAnsi="宋体" w:eastAsia="宋体" w:cs="宋体"/>
          <w:bCs/>
          <w:sz w:val="24"/>
          <w:szCs w:val="24"/>
        </w:rPr>
      </w:pPr>
    </w:p>
    <w:p w14:paraId="068B5AA7">
      <w:pPr>
        <w:rPr>
          <w:rFonts w:hint="eastAsia" w:ascii="宋体" w:hAnsi="宋体" w:eastAsia="宋体" w:cs="宋体"/>
          <w:sz w:val="24"/>
          <w:szCs w:val="24"/>
        </w:rPr>
      </w:pPr>
    </w:p>
    <w:p w14:paraId="58F9C928">
      <w:pPr>
        <w:widowControl/>
        <w:spacing w:before="100" w:beforeAutospacing="1" w:after="100" w:afterAutospacing="1" w:line="360" w:lineRule="auto"/>
        <w:ind w:firstLine="3120" w:firstLineChars="1300"/>
        <w:jc w:val="left"/>
        <w:rPr>
          <w:rFonts w:hint="eastAsia" w:ascii="宋体" w:hAnsi="宋体" w:eastAsia="宋体" w:cs="宋体"/>
          <w:b/>
          <w:bCs/>
          <w:sz w:val="24"/>
          <w:szCs w:val="24"/>
        </w:rPr>
      </w:pPr>
      <w:r>
        <w:rPr>
          <w:rFonts w:hint="eastAsia" w:ascii="宋体" w:hAnsi="宋体" w:eastAsia="宋体" w:cs="宋体"/>
          <w:bCs/>
          <w:sz w:val="24"/>
          <w:szCs w:val="24"/>
        </w:rPr>
        <w:br w:type="page"/>
      </w:r>
      <w:r>
        <w:rPr>
          <w:rFonts w:hint="eastAsia" w:ascii="宋体" w:hAnsi="宋体" w:eastAsia="宋体" w:cs="宋体"/>
          <w:b/>
          <w:bCs/>
          <w:sz w:val="24"/>
          <w:szCs w:val="24"/>
        </w:rPr>
        <w:t>残疾人福利性单位声明函</w:t>
      </w:r>
    </w:p>
    <w:p w14:paraId="140536AE">
      <w:pPr>
        <w:spacing w:line="360" w:lineRule="auto"/>
        <w:jc w:val="center"/>
        <w:rPr>
          <w:rFonts w:hint="eastAsia" w:ascii="宋体" w:hAnsi="宋体" w:eastAsia="宋体" w:cs="宋体"/>
        </w:rPr>
      </w:pPr>
      <w:r>
        <w:rPr>
          <w:rFonts w:hint="eastAsia" w:ascii="宋体" w:hAnsi="宋体" w:eastAsia="宋体" w:cs="宋体"/>
          <w:kern w:val="0"/>
          <w:sz w:val="24"/>
          <w:szCs w:val="24"/>
        </w:rPr>
        <w:t>（属于监狱企业的提供，不属于的无需提供此项内容）</w:t>
      </w:r>
    </w:p>
    <w:p w14:paraId="6BADADAD">
      <w:pPr>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本单位郑重声明，根据《财政部 民政部 中国残疾人联合会关于促进残疾人就业政府采购政策的通知》（财库</w:t>
      </w:r>
      <w:r>
        <w:rPr>
          <w:rFonts w:hint="eastAsia" w:ascii="宋体" w:hAnsi="宋体" w:eastAsia="宋体" w:cs="宋体"/>
          <w:sz w:val="24"/>
          <w:szCs w:val="24"/>
        </w:rPr>
        <w:t>〔2017〕141</w:t>
      </w:r>
      <w:r>
        <w:rPr>
          <w:rFonts w:hint="eastAsia" w:ascii="宋体" w:hAnsi="宋体" w:eastAsia="宋体" w:cs="宋体"/>
          <w:spacing w:val="6"/>
          <w:sz w:val="24"/>
          <w:szCs w:val="24"/>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7E27D7C">
      <w:pPr>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本单位对上述声明的真实性负责。如有虚假，将依法承担相应责任。</w:t>
      </w:r>
    </w:p>
    <w:p w14:paraId="36E81F57">
      <w:pPr>
        <w:spacing w:line="360" w:lineRule="auto"/>
        <w:ind w:firstLine="4320" w:firstLineChars="1800"/>
        <w:rPr>
          <w:rFonts w:hint="eastAsia" w:ascii="宋体" w:hAnsi="宋体" w:eastAsia="宋体" w:cs="宋体"/>
          <w:bCs/>
          <w:sz w:val="24"/>
          <w:szCs w:val="24"/>
        </w:rPr>
      </w:pPr>
    </w:p>
    <w:p w14:paraId="52B35F74">
      <w:pPr>
        <w:spacing w:line="360" w:lineRule="auto"/>
        <w:ind w:firstLine="4320" w:firstLineChars="1800"/>
        <w:rPr>
          <w:rFonts w:hint="eastAsia" w:ascii="宋体" w:hAnsi="宋体" w:eastAsia="宋体" w:cs="宋体"/>
          <w:sz w:val="24"/>
          <w:szCs w:val="24"/>
        </w:rPr>
      </w:pPr>
      <w:r>
        <w:rPr>
          <w:rFonts w:hint="eastAsia" w:ascii="宋体" w:hAnsi="宋体" w:eastAsia="宋体" w:cs="宋体"/>
          <w:bCs/>
          <w:sz w:val="24"/>
          <w:szCs w:val="24"/>
        </w:rPr>
        <w:t>供应商（盖公章）：</w:t>
      </w:r>
    </w:p>
    <w:p w14:paraId="144D3A43">
      <w:pPr>
        <w:spacing w:line="360" w:lineRule="auto"/>
        <w:ind w:firstLine="4320" w:firstLineChars="1800"/>
        <w:rPr>
          <w:rFonts w:hint="eastAsia" w:ascii="宋体" w:hAnsi="宋体" w:eastAsia="宋体" w:cs="宋体"/>
          <w:sz w:val="24"/>
          <w:szCs w:val="24"/>
        </w:rPr>
      </w:pPr>
    </w:p>
    <w:p w14:paraId="099E8DD7">
      <w:pPr>
        <w:spacing w:line="360" w:lineRule="auto"/>
        <w:ind w:firstLine="4320" w:firstLineChars="1800"/>
        <w:rPr>
          <w:rFonts w:hint="eastAsia" w:ascii="宋体" w:hAnsi="宋体" w:eastAsia="宋体" w:cs="宋体"/>
          <w:b/>
          <w:sz w:val="28"/>
          <w:szCs w:val="28"/>
        </w:rPr>
      </w:pPr>
      <w:r>
        <w:rPr>
          <w:rFonts w:hint="eastAsia" w:ascii="宋体" w:hAnsi="宋体" w:eastAsia="宋体" w:cs="宋体"/>
          <w:sz w:val="24"/>
          <w:szCs w:val="24"/>
        </w:rPr>
        <w:t>日期：年月日</w:t>
      </w:r>
    </w:p>
    <w:p w14:paraId="50FB1ADD">
      <w:pPr>
        <w:spacing w:line="360" w:lineRule="auto"/>
        <w:rPr>
          <w:rFonts w:hint="eastAsia" w:ascii="宋体" w:hAnsi="宋体" w:eastAsia="宋体" w:cs="宋体"/>
          <w:sz w:val="24"/>
          <w:szCs w:val="24"/>
        </w:rPr>
      </w:pPr>
      <w:r>
        <w:rPr>
          <w:rFonts w:hint="eastAsia" w:ascii="宋体" w:hAnsi="宋体" w:eastAsia="宋体" w:cs="宋体"/>
          <w:sz w:val="24"/>
          <w:szCs w:val="24"/>
        </w:rPr>
        <w:t>《财政部民政部中国残疾人联合会关于促进残疾人就业政府采购政策的通知》（财库2017〔141〕号）的规定：</w:t>
      </w:r>
    </w:p>
    <w:p w14:paraId="44B8B9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享受政府采购支持政策的残疾人福利性单位应当同时满足以下条件：</w:t>
      </w:r>
    </w:p>
    <w:p w14:paraId="57C6499D">
      <w:pPr>
        <w:spacing w:line="360" w:lineRule="auto"/>
        <w:rPr>
          <w:rFonts w:hint="eastAsia" w:ascii="宋体" w:hAnsi="宋体" w:eastAsia="宋体" w:cs="宋体"/>
          <w:sz w:val="24"/>
          <w:szCs w:val="24"/>
        </w:rPr>
      </w:pPr>
      <w:r>
        <w:rPr>
          <w:rFonts w:hint="eastAsia" w:ascii="宋体" w:hAnsi="宋体" w:eastAsia="宋体" w:cs="宋体"/>
          <w:sz w:val="24"/>
          <w:szCs w:val="24"/>
        </w:rPr>
        <w:t>（1）安置的残疾人占本单位在职职工人数的比例不低于25%（含25%），并且安置的残疾人人数不少于10人（含10人）；</w:t>
      </w:r>
    </w:p>
    <w:p w14:paraId="17E5C1EA">
      <w:pPr>
        <w:spacing w:line="360" w:lineRule="auto"/>
        <w:rPr>
          <w:rFonts w:hint="eastAsia" w:ascii="宋体" w:hAnsi="宋体" w:eastAsia="宋体" w:cs="宋体"/>
          <w:sz w:val="24"/>
          <w:szCs w:val="24"/>
        </w:rPr>
      </w:pPr>
      <w:r>
        <w:rPr>
          <w:rFonts w:hint="eastAsia" w:ascii="宋体" w:hAnsi="宋体" w:eastAsia="宋体" w:cs="宋体"/>
          <w:sz w:val="24"/>
          <w:szCs w:val="24"/>
        </w:rPr>
        <w:t>（2）依法与安置的每位残疾人签订了一年以上（含一年）的劳动合同或服务协议；</w:t>
      </w:r>
    </w:p>
    <w:p w14:paraId="780966DB">
      <w:pPr>
        <w:spacing w:line="360" w:lineRule="auto"/>
        <w:rPr>
          <w:rFonts w:hint="eastAsia" w:ascii="宋体" w:hAnsi="宋体" w:eastAsia="宋体" w:cs="宋体"/>
          <w:sz w:val="24"/>
          <w:szCs w:val="24"/>
        </w:rPr>
      </w:pPr>
      <w:r>
        <w:rPr>
          <w:rFonts w:hint="eastAsia" w:ascii="宋体" w:hAnsi="宋体" w:eastAsia="宋体" w:cs="宋体"/>
          <w:sz w:val="24"/>
          <w:szCs w:val="24"/>
        </w:rPr>
        <w:t>（3）为安置的每位残疾人按月足额缴纳了基本养老保险、基本医疗保险、失业保险、工伤保险和生育保险等社会保险费；</w:t>
      </w:r>
    </w:p>
    <w:p w14:paraId="47884644">
      <w:pPr>
        <w:spacing w:line="360" w:lineRule="auto"/>
        <w:rPr>
          <w:rFonts w:hint="eastAsia" w:ascii="宋体" w:hAnsi="宋体" w:eastAsia="宋体" w:cs="宋体"/>
          <w:sz w:val="24"/>
          <w:szCs w:val="24"/>
        </w:rPr>
      </w:pPr>
      <w:r>
        <w:rPr>
          <w:rFonts w:hint="eastAsia" w:ascii="宋体" w:hAnsi="宋体" w:eastAsia="宋体" w:cs="宋体"/>
          <w:sz w:val="24"/>
          <w:szCs w:val="24"/>
        </w:rPr>
        <w:t>（4）通过银行等金融机构向安置的每位残疾人，按月支付了不低于单位所在区县适用的经省级人民政府批准的月最低工资标准的工资；</w:t>
      </w:r>
    </w:p>
    <w:p w14:paraId="22E4A56D">
      <w:pPr>
        <w:spacing w:line="360" w:lineRule="auto"/>
        <w:rPr>
          <w:rFonts w:hint="eastAsia" w:ascii="宋体" w:hAnsi="宋体" w:eastAsia="宋体" w:cs="宋体"/>
          <w:sz w:val="24"/>
          <w:szCs w:val="24"/>
        </w:rPr>
      </w:pPr>
      <w:r>
        <w:rPr>
          <w:rFonts w:hint="eastAsia" w:ascii="宋体" w:hAnsi="宋体" w:eastAsia="宋体" w:cs="宋体"/>
          <w:sz w:val="24"/>
          <w:szCs w:val="24"/>
        </w:rPr>
        <w:t>（5）提供本单位制造的货物、承担的工程或者服务（以下简称产品），或者提供其他残疾人福利性单位制造的货物（不包括使用非残疾人福利性单位注册商标的货物）。</w:t>
      </w:r>
    </w:p>
    <w:p w14:paraId="264F52F7">
      <w:pPr>
        <w:pStyle w:val="10"/>
        <w:rPr>
          <w:rFonts w:hint="eastAsia" w:ascii="宋体" w:hAnsi="宋体" w:eastAsia="宋体" w:cs="宋体"/>
        </w:rPr>
      </w:pPr>
      <w:r>
        <w:rPr>
          <w:rFonts w:hint="eastAsia" w:ascii="宋体" w:hAnsi="宋体" w:eastAsia="宋体" w:cs="宋体"/>
          <w:sz w:val="24"/>
          <w:szCs w:val="24"/>
        </w:rPr>
        <w:t>2. 成交人为残疾人福利性单位的，采购人或者其委托的采购代理机构应当随成交、成交结果同时公告其《残疾人福利性单位声明函》，接受社会监督。</w:t>
      </w:r>
    </w:p>
    <w:p w14:paraId="2B55DCFD">
      <w:pPr>
        <w:rPr>
          <w:rFonts w:hint="eastAsia" w:ascii="宋体" w:hAnsi="宋体" w:eastAsia="宋体" w:cs="宋体"/>
        </w:rPr>
      </w:pPr>
    </w:p>
    <w:sectPr>
      <w:footerReference r:id="rId6" w:type="default"/>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方正公文小标宋">
    <w:altName w:val="宋体"/>
    <w:panose1 w:val="02000500000000000000"/>
    <w:charset w:val="86"/>
    <w:family w:val="auto"/>
    <w:pitch w:val="default"/>
    <w:sig w:usb0="00000000" w:usb1="00000000"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64416">
    <w:pP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B0D97">
                          <w:pPr>
                            <w:pStyle w:val="12"/>
                            <w:tabs>
                              <w:tab w:val="center" w:pos="4153"/>
                              <w:tab w:val="right" w:pos="8306"/>
                            </w:tabs>
                            <w:rPr>
                              <w:rFonts w:hint="eastAsia"/>
                            </w:rPr>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CCB0D97">
                    <w:pPr>
                      <w:pStyle w:val="12"/>
                      <w:tabs>
                        <w:tab w:val="center" w:pos="4153"/>
                        <w:tab w:val="right" w:pos="8306"/>
                      </w:tabs>
                      <w:rPr>
                        <w:rFonts w:hint="eastAsia"/>
                      </w:rPr>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v:textbox>
            </v:shape>
          </w:pict>
        </mc:Fallback>
      </mc:AlternateContent>
    </w:r>
    <w:r>
      <w:rPr>
        <w:rFonts w:hint="eastAsia"/>
      </w:rPr>
      <w:t xml:space="preserve"> </w:t>
    </w:r>
  </w:p>
  <w:p w14:paraId="695FFB81">
    <w:pPr>
      <w:pStyle w:val="12"/>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608F8">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01EDC4">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901EDC4">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E881E">
    <w:pPr>
      <w:widowControl/>
      <w:kinsoku w:val="0"/>
      <w:autoSpaceDE w:val="0"/>
      <w:autoSpaceDN w:val="0"/>
      <w:adjustRightInd w:val="0"/>
      <w:snapToGrid w:val="0"/>
      <w:spacing w:line="178" w:lineRule="auto"/>
      <w:ind w:left="4611"/>
      <w:jc w:val="left"/>
      <w:textAlignment w:val="baseline"/>
      <w:rPr>
        <w:rFonts w:ascii="Calibri" w:hAnsi="Calibri" w:eastAsia="Calibri" w:cs="Calibri"/>
        <w:snapToGrid w:val="0"/>
        <w:color w:val="000000"/>
        <w:kern w:val="0"/>
        <w:sz w:val="18"/>
        <w:szCs w:val="18"/>
      </w:rPr>
    </w:pPr>
    <w:r>
      <w:rPr>
        <w:rFonts w:ascii="Times New Roman" w:hAnsi="Times New Roman" w:eastAsia="宋体" w:cs="Times New Roman"/>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2B0598">
                          <w:pPr>
                            <w:widowControl w:val="0"/>
                            <w:snapToGrid w:val="0"/>
                            <w:jc w:val="left"/>
                            <w:rPr>
                              <w:rFonts w:ascii="Calibri" w:hAnsi="Calibri" w:eastAsia="宋体" w:cs="Times New Roman"/>
                              <w:kern w:val="0"/>
                              <w:sz w:val="18"/>
                              <w:szCs w:val="21"/>
                              <w:lang w:val="en-US" w:eastAsia="zh-CN" w:bidi="ar-SA"/>
                            </w:rPr>
                          </w:pPr>
                          <w:r>
                            <w:rPr>
                              <w:rFonts w:ascii="Calibri" w:hAnsi="Calibri" w:eastAsia="宋体" w:cs="Times New Roman"/>
                              <w:kern w:val="0"/>
                              <w:sz w:val="18"/>
                              <w:szCs w:val="21"/>
                              <w:lang w:val="en-US" w:eastAsia="zh-CN" w:bidi="ar-SA"/>
                            </w:rPr>
                            <w:fldChar w:fldCharType="begin"/>
                          </w:r>
                          <w:r>
                            <w:rPr>
                              <w:rFonts w:ascii="Calibri" w:hAnsi="Calibri" w:eastAsia="宋体" w:cs="Times New Roman"/>
                              <w:kern w:val="0"/>
                              <w:sz w:val="18"/>
                              <w:szCs w:val="21"/>
                              <w:lang w:val="en-US" w:eastAsia="zh-CN" w:bidi="ar-SA"/>
                            </w:rPr>
                            <w:instrText xml:space="preserve"> PAGE  \* MERGEFORMAT </w:instrText>
                          </w:r>
                          <w:r>
                            <w:rPr>
                              <w:rFonts w:ascii="Calibri" w:hAnsi="Calibri" w:eastAsia="宋体" w:cs="Times New Roman"/>
                              <w:kern w:val="0"/>
                              <w:sz w:val="18"/>
                              <w:szCs w:val="21"/>
                              <w:lang w:val="en-US" w:eastAsia="zh-CN" w:bidi="ar-SA"/>
                            </w:rPr>
                            <w:fldChar w:fldCharType="separate"/>
                          </w:r>
                          <w:r>
                            <w:rPr>
                              <w:rFonts w:ascii="Calibri" w:hAnsi="Calibri" w:eastAsia="宋体" w:cs="Times New Roman"/>
                              <w:kern w:val="0"/>
                              <w:sz w:val="18"/>
                              <w:szCs w:val="21"/>
                              <w:lang w:val="en-US" w:eastAsia="zh-CN" w:bidi="ar-SA"/>
                            </w:rPr>
                            <w:t>56</w:t>
                          </w:r>
                          <w:r>
                            <w:rPr>
                              <w:rFonts w:ascii="Calibri" w:hAnsi="Calibri" w:eastAsia="宋体" w:cs="Times New Roman"/>
                              <w:kern w:val="0"/>
                              <w:sz w:val="18"/>
                              <w:szCs w:val="21"/>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E2B0598">
                    <w:pPr>
                      <w:widowControl w:val="0"/>
                      <w:snapToGrid w:val="0"/>
                      <w:jc w:val="left"/>
                      <w:rPr>
                        <w:rFonts w:ascii="Calibri" w:hAnsi="Calibri" w:eastAsia="宋体" w:cs="Times New Roman"/>
                        <w:kern w:val="0"/>
                        <w:sz w:val="18"/>
                        <w:szCs w:val="21"/>
                        <w:lang w:val="en-US" w:eastAsia="zh-CN" w:bidi="ar-SA"/>
                      </w:rPr>
                    </w:pPr>
                    <w:r>
                      <w:rPr>
                        <w:rFonts w:ascii="Calibri" w:hAnsi="Calibri" w:eastAsia="宋体" w:cs="Times New Roman"/>
                        <w:kern w:val="0"/>
                        <w:sz w:val="18"/>
                        <w:szCs w:val="21"/>
                        <w:lang w:val="en-US" w:eastAsia="zh-CN" w:bidi="ar-SA"/>
                      </w:rPr>
                      <w:fldChar w:fldCharType="begin"/>
                    </w:r>
                    <w:r>
                      <w:rPr>
                        <w:rFonts w:ascii="Calibri" w:hAnsi="Calibri" w:eastAsia="宋体" w:cs="Times New Roman"/>
                        <w:kern w:val="0"/>
                        <w:sz w:val="18"/>
                        <w:szCs w:val="21"/>
                        <w:lang w:val="en-US" w:eastAsia="zh-CN" w:bidi="ar-SA"/>
                      </w:rPr>
                      <w:instrText xml:space="preserve"> PAGE  \* MERGEFORMAT </w:instrText>
                    </w:r>
                    <w:r>
                      <w:rPr>
                        <w:rFonts w:ascii="Calibri" w:hAnsi="Calibri" w:eastAsia="宋体" w:cs="Times New Roman"/>
                        <w:kern w:val="0"/>
                        <w:sz w:val="18"/>
                        <w:szCs w:val="21"/>
                        <w:lang w:val="en-US" w:eastAsia="zh-CN" w:bidi="ar-SA"/>
                      </w:rPr>
                      <w:fldChar w:fldCharType="separate"/>
                    </w:r>
                    <w:r>
                      <w:rPr>
                        <w:rFonts w:ascii="Calibri" w:hAnsi="Calibri" w:eastAsia="宋体" w:cs="Times New Roman"/>
                        <w:kern w:val="0"/>
                        <w:sz w:val="18"/>
                        <w:szCs w:val="21"/>
                        <w:lang w:val="en-US" w:eastAsia="zh-CN" w:bidi="ar-SA"/>
                      </w:rPr>
                      <w:t>56</w:t>
                    </w:r>
                    <w:r>
                      <w:rPr>
                        <w:rFonts w:ascii="Calibri" w:hAnsi="Calibri" w:eastAsia="宋体" w:cs="Times New Roman"/>
                        <w:kern w:val="0"/>
                        <w:sz w:val="18"/>
                        <w:szCs w:val="21"/>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0AD97">
    <w:pPr>
      <w:pStyle w:val="13"/>
      <w:pBdr>
        <w:bottom w:val="none" w:color="auto" w:sz="0" w:space="1"/>
      </w:pBdr>
      <w:jc w:val="both"/>
      <w:rPr>
        <w:rFonts w:hint="eastAsia" w:eastAsia="楷体_GB2312"/>
        <w:sz w:val="21"/>
        <w:shd w:val="pct10" w:color="auto" w:fill="FFFFFF"/>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B32FD"/>
    <w:multiLevelType w:val="singleLevel"/>
    <w:tmpl w:val="84CB32FD"/>
    <w:lvl w:ilvl="0" w:tentative="0">
      <w:start w:val="1"/>
      <w:numFmt w:val="decimal"/>
      <w:suff w:val="nothing"/>
      <w:lvlText w:val="%1．"/>
      <w:lvlJc w:val="left"/>
    </w:lvl>
  </w:abstractNum>
  <w:abstractNum w:abstractNumId="1">
    <w:nsid w:val="DB36A7FF"/>
    <w:multiLevelType w:val="singleLevel"/>
    <w:tmpl w:val="DB36A7FF"/>
    <w:lvl w:ilvl="0" w:tentative="0">
      <w:start w:val="1"/>
      <w:numFmt w:val="decimal"/>
      <w:suff w:val="space"/>
      <w:lvlText w:val="%1."/>
      <w:lvlJc w:val="left"/>
    </w:lvl>
  </w:abstractNum>
  <w:abstractNum w:abstractNumId="2">
    <w:nsid w:val="3DCFD06D"/>
    <w:multiLevelType w:val="singleLevel"/>
    <w:tmpl w:val="3DCFD06D"/>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kMzQ5Yjk2ZGI3MjFhZGM1NzkyOTg2MDVkN2IyYjMifQ=="/>
  </w:docVars>
  <w:rsids>
    <w:rsidRoot w:val="00000000"/>
    <w:rsid w:val="007D623A"/>
    <w:rsid w:val="010E1A9E"/>
    <w:rsid w:val="018362EB"/>
    <w:rsid w:val="01AA3534"/>
    <w:rsid w:val="025E49B5"/>
    <w:rsid w:val="02AB7BCB"/>
    <w:rsid w:val="02D277CC"/>
    <w:rsid w:val="02F55DCF"/>
    <w:rsid w:val="03FE2AA0"/>
    <w:rsid w:val="041D1922"/>
    <w:rsid w:val="047F723D"/>
    <w:rsid w:val="062B53E9"/>
    <w:rsid w:val="07B62F76"/>
    <w:rsid w:val="080A60FE"/>
    <w:rsid w:val="091044E3"/>
    <w:rsid w:val="09AC45E5"/>
    <w:rsid w:val="0A2C7464"/>
    <w:rsid w:val="0C8F4FAD"/>
    <w:rsid w:val="0E097652"/>
    <w:rsid w:val="0E1E00BD"/>
    <w:rsid w:val="0F791001"/>
    <w:rsid w:val="109F15B9"/>
    <w:rsid w:val="112D5D20"/>
    <w:rsid w:val="117D41DC"/>
    <w:rsid w:val="1193257A"/>
    <w:rsid w:val="11C56289"/>
    <w:rsid w:val="13ED41C3"/>
    <w:rsid w:val="17896C10"/>
    <w:rsid w:val="18351C95"/>
    <w:rsid w:val="19E5593D"/>
    <w:rsid w:val="1A33403F"/>
    <w:rsid w:val="1AE8597C"/>
    <w:rsid w:val="1BC07217"/>
    <w:rsid w:val="1C6761D9"/>
    <w:rsid w:val="1CB5754E"/>
    <w:rsid w:val="1E447DCD"/>
    <w:rsid w:val="1EB66D1F"/>
    <w:rsid w:val="21625D51"/>
    <w:rsid w:val="218D51B0"/>
    <w:rsid w:val="221D1D08"/>
    <w:rsid w:val="23250B5A"/>
    <w:rsid w:val="23CC114F"/>
    <w:rsid w:val="24F25ADF"/>
    <w:rsid w:val="254E5A36"/>
    <w:rsid w:val="27FA08BD"/>
    <w:rsid w:val="2B490F98"/>
    <w:rsid w:val="2B884CFD"/>
    <w:rsid w:val="2C9E7773"/>
    <w:rsid w:val="2CC524C5"/>
    <w:rsid w:val="2D200D0E"/>
    <w:rsid w:val="2D965D5F"/>
    <w:rsid w:val="2E554EA6"/>
    <w:rsid w:val="2F155F25"/>
    <w:rsid w:val="2F462582"/>
    <w:rsid w:val="315216B2"/>
    <w:rsid w:val="31B05492"/>
    <w:rsid w:val="325672C6"/>
    <w:rsid w:val="32DB0CF8"/>
    <w:rsid w:val="341300DC"/>
    <w:rsid w:val="342A426F"/>
    <w:rsid w:val="34565015"/>
    <w:rsid w:val="35DC65C4"/>
    <w:rsid w:val="36FD79CA"/>
    <w:rsid w:val="374D38C1"/>
    <w:rsid w:val="37517D16"/>
    <w:rsid w:val="37D87C8E"/>
    <w:rsid w:val="38323A20"/>
    <w:rsid w:val="393E3225"/>
    <w:rsid w:val="39A93E39"/>
    <w:rsid w:val="39D46A6F"/>
    <w:rsid w:val="3C820B92"/>
    <w:rsid w:val="3CE8111C"/>
    <w:rsid w:val="3D7D42CA"/>
    <w:rsid w:val="3F300D14"/>
    <w:rsid w:val="3F8B5CAB"/>
    <w:rsid w:val="3FBD5D22"/>
    <w:rsid w:val="40B67C10"/>
    <w:rsid w:val="40B72B6C"/>
    <w:rsid w:val="4247088E"/>
    <w:rsid w:val="428A38B6"/>
    <w:rsid w:val="441553C5"/>
    <w:rsid w:val="46364D58"/>
    <w:rsid w:val="46A62983"/>
    <w:rsid w:val="46C86449"/>
    <w:rsid w:val="47086643"/>
    <w:rsid w:val="47B91468"/>
    <w:rsid w:val="47F06A69"/>
    <w:rsid w:val="48582ADB"/>
    <w:rsid w:val="4A5D5169"/>
    <w:rsid w:val="4CAC7A71"/>
    <w:rsid w:val="4D33474B"/>
    <w:rsid w:val="4D573E80"/>
    <w:rsid w:val="4D602609"/>
    <w:rsid w:val="4D930C30"/>
    <w:rsid w:val="4DBE5CAD"/>
    <w:rsid w:val="4E59377A"/>
    <w:rsid w:val="4E93331A"/>
    <w:rsid w:val="4F93316A"/>
    <w:rsid w:val="4FC97F74"/>
    <w:rsid w:val="504979F3"/>
    <w:rsid w:val="5114309A"/>
    <w:rsid w:val="53042CF9"/>
    <w:rsid w:val="54D87F56"/>
    <w:rsid w:val="55202DAA"/>
    <w:rsid w:val="55DC6E08"/>
    <w:rsid w:val="56815ACA"/>
    <w:rsid w:val="568F468B"/>
    <w:rsid w:val="56C4440E"/>
    <w:rsid w:val="57793B44"/>
    <w:rsid w:val="57AA2DFF"/>
    <w:rsid w:val="59A3044D"/>
    <w:rsid w:val="5ABE2FC1"/>
    <w:rsid w:val="5C2E2250"/>
    <w:rsid w:val="5E015742"/>
    <w:rsid w:val="600B025F"/>
    <w:rsid w:val="60E00C13"/>
    <w:rsid w:val="617701F5"/>
    <w:rsid w:val="62C462FD"/>
    <w:rsid w:val="637E1BB3"/>
    <w:rsid w:val="64133100"/>
    <w:rsid w:val="64E7589A"/>
    <w:rsid w:val="665A314B"/>
    <w:rsid w:val="66803392"/>
    <w:rsid w:val="66D87988"/>
    <w:rsid w:val="68295FC1"/>
    <w:rsid w:val="68F77E6E"/>
    <w:rsid w:val="6ABC136F"/>
    <w:rsid w:val="6CBA00EA"/>
    <w:rsid w:val="6CCD33BF"/>
    <w:rsid w:val="6CDB5C47"/>
    <w:rsid w:val="715B3690"/>
    <w:rsid w:val="71E60A7F"/>
    <w:rsid w:val="743261B5"/>
    <w:rsid w:val="74DC361D"/>
    <w:rsid w:val="74F95639"/>
    <w:rsid w:val="75262AE9"/>
    <w:rsid w:val="759572A2"/>
    <w:rsid w:val="76A81A2D"/>
    <w:rsid w:val="76E61C4D"/>
    <w:rsid w:val="77207516"/>
    <w:rsid w:val="77356731"/>
    <w:rsid w:val="774C293D"/>
    <w:rsid w:val="78681D5F"/>
    <w:rsid w:val="78CE1DCE"/>
    <w:rsid w:val="7A23674E"/>
    <w:rsid w:val="7B3B184D"/>
    <w:rsid w:val="7DE22A43"/>
    <w:rsid w:val="7E691CC3"/>
    <w:rsid w:val="7F842940"/>
    <w:rsid w:val="7FDF5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26"/>
    <w:qFormat/>
    <w:uiPriority w:val="0"/>
    <w:pPr>
      <w:keepNext/>
      <w:keepLines/>
      <w:spacing w:before="340" w:after="330" w:line="578" w:lineRule="auto"/>
      <w:outlineLvl w:val="0"/>
    </w:pPr>
    <w:rPr>
      <w:rFonts w:ascii="Calibri" w:hAnsi="Calibri" w:eastAsia="仿宋"/>
      <w:b/>
      <w:bCs/>
      <w:kern w:val="44"/>
      <w:sz w:val="32"/>
      <w:szCs w:val="44"/>
    </w:rPr>
  </w:style>
  <w:style w:type="paragraph" w:styleId="4">
    <w:name w:val="heading 2"/>
    <w:basedOn w:val="1"/>
    <w:next w:val="1"/>
    <w:qFormat/>
    <w:uiPriority w:val="0"/>
    <w:pPr>
      <w:keepNext/>
      <w:keepLines/>
      <w:spacing w:before="100" w:beforeAutospacing="1" w:after="100" w:afterAutospacing="1" w:line="240" w:lineRule="atLeast"/>
      <w:ind w:left="419"/>
      <w:jc w:val="center"/>
      <w:textAlignment w:val="baseline"/>
      <w:outlineLvl w:val="1"/>
    </w:pPr>
    <w:rPr>
      <w:rFonts w:ascii="宋体" w:hAnsi="宋体" w:cs="宋体"/>
      <w:b/>
      <w:sz w:val="28"/>
      <w:szCs w:val="2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Message Header"/>
    <w:basedOn w:val="1"/>
    <w:next w:val="1"/>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5">
    <w:name w:val="annotation text"/>
    <w:basedOn w:val="1"/>
    <w:qFormat/>
    <w:uiPriority w:val="0"/>
    <w:pPr>
      <w:jc w:val="left"/>
    </w:pPr>
  </w:style>
  <w:style w:type="paragraph" w:styleId="6">
    <w:name w:val="Body Text"/>
    <w:basedOn w:val="1"/>
    <w:next w:val="1"/>
    <w:unhideWhenUsed/>
    <w:qFormat/>
    <w:uiPriority w:val="99"/>
    <w:pPr>
      <w:spacing w:after="120"/>
    </w:pPr>
    <w:rPr>
      <w:kern w:val="0"/>
      <w:sz w:val="20"/>
    </w:rPr>
  </w:style>
  <w:style w:type="paragraph" w:styleId="7">
    <w:name w:val="Body Text Indent"/>
    <w:basedOn w:val="1"/>
    <w:next w:val="8"/>
    <w:unhideWhenUsed/>
    <w:qFormat/>
    <w:uiPriority w:val="0"/>
    <w:pPr>
      <w:spacing w:after="120"/>
      <w:ind w:left="420" w:leftChars="200"/>
    </w:pPr>
    <w:rPr>
      <w:kern w:val="0"/>
      <w:sz w:val="20"/>
    </w:rPr>
  </w:style>
  <w:style w:type="paragraph" w:styleId="8">
    <w:name w:val="envelope return"/>
    <w:basedOn w:val="1"/>
    <w:unhideWhenUsed/>
    <w:qFormat/>
    <w:uiPriority w:val="99"/>
    <w:pPr>
      <w:snapToGrid w:val="0"/>
    </w:pPr>
    <w:rPr>
      <w:rFonts w:ascii="等线 Light" w:hAnsi="等线 Light" w:eastAsia="等线 Light" w:cs="Times New Roman"/>
    </w:rPr>
  </w:style>
  <w:style w:type="paragraph" w:styleId="9">
    <w:name w:val="List 2"/>
    <w:basedOn w:val="1"/>
    <w:qFormat/>
    <w:uiPriority w:val="0"/>
    <w:pPr>
      <w:ind w:left="100" w:leftChars="200" w:hanging="200" w:hangingChars="200"/>
    </w:pPr>
  </w:style>
  <w:style w:type="paragraph" w:styleId="10">
    <w:name w:val="Plain Text"/>
    <w:basedOn w:val="1"/>
    <w:qFormat/>
    <w:uiPriority w:val="99"/>
    <w:pPr>
      <w:adjustRightInd w:val="0"/>
      <w:textAlignment w:val="baseline"/>
    </w:pPr>
    <w:rPr>
      <w:rFonts w:ascii="宋体" w:hAnsi="Courier New"/>
      <w:kern w:val="0"/>
      <w:sz w:val="20"/>
      <w:szCs w:val="20"/>
    </w:rPr>
  </w:style>
  <w:style w:type="paragraph" w:styleId="11">
    <w:name w:val="Body Text Indent 2"/>
    <w:basedOn w:val="1"/>
    <w:qFormat/>
    <w:uiPriority w:val="99"/>
    <w:pPr>
      <w:spacing w:line="500" w:lineRule="exact"/>
      <w:ind w:firstLine="420" w:firstLineChars="200"/>
    </w:pPr>
    <w:rPr>
      <w:rFonts w:ascii="Calibri" w:hAnsi="Calibri"/>
      <w:kern w:val="0"/>
      <w:sz w:val="24"/>
    </w:rPr>
  </w:style>
  <w:style w:type="paragraph" w:styleId="12">
    <w:name w:val="footer"/>
    <w:basedOn w:val="1"/>
    <w:unhideWhenUsed/>
    <w:qFormat/>
    <w:uiPriority w:val="99"/>
    <w:pPr>
      <w:snapToGrid w:val="0"/>
      <w:jc w:val="left"/>
    </w:pPr>
    <w:rPr>
      <w:kern w:val="0"/>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tabs>
        <w:tab w:val="right" w:leader="dot" w:pos="9060"/>
      </w:tabs>
      <w:jc w:val="center"/>
    </w:pPr>
    <w:rPr>
      <w:rFonts w:ascii="方正小标宋简体" w:hAnsi="方正小标宋简体" w:eastAsia="宋体"/>
      <w:sz w:val="28"/>
      <w:szCs w:val="32"/>
    </w:rPr>
  </w:style>
  <w:style w:type="paragraph" w:styleId="15">
    <w:name w:val="footnote text"/>
    <w:basedOn w:val="1"/>
    <w:qFormat/>
    <w:uiPriority w:val="0"/>
    <w:pPr>
      <w:snapToGrid w:val="0"/>
      <w:jc w:val="left"/>
    </w:pPr>
    <w:rPr>
      <w:rFonts w:asciiTheme="minorHAnsi" w:hAnsiTheme="minorHAnsi" w:eastAsiaTheme="minorEastAsia" w:cstheme="minorBidi"/>
      <w:sz w:val="18"/>
      <w:szCs w:val="18"/>
    </w:rPr>
  </w:style>
  <w:style w:type="paragraph" w:styleId="16">
    <w:name w:val="Body Text 2"/>
    <w:basedOn w:val="1"/>
    <w:next w:val="6"/>
    <w:unhideWhenUsed/>
    <w:qFormat/>
    <w:uiPriority w:val="99"/>
    <w:pPr>
      <w:spacing w:after="120" w:line="480" w:lineRule="auto"/>
    </w:p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8">
    <w:name w:val="Body Text First Indent"/>
    <w:basedOn w:val="1"/>
    <w:next w:val="19"/>
    <w:unhideWhenUsed/>
    <w:qFormat/>
    <w:uiPriority w:val="99"/>
    <w:pPr>
      <w:ind w:firstLine="420" w:firstLineChars="100"/>
    </w:pPr>
  </w:style>
  <w:style w:type="paragraph" w:styleId="19">
    <w:name w:val="Body Text First Indent 2"/>
    <w:basedOn w:val="1"/>
    <w:next w:val="1"/>
    <w:unhideWhenUsed/>
    <w:qFormat/>
    <w:uiPriority w:val="0"/>
    <w:pPr>
      <w:ind w:firstLine="420" w:firstLineChars="200"/>
    </w:pPr>
  </w:style>
  <w:style w:type="table" w:styleId="21">
    <w:name w:val="Table Grid"/>
    <w:basedOn w:val="20"/>
    <w:qFormat/>
    <w:uiPriority w:val="0"/>
    <w:pPr>
      <w:widowControl w:val="0"/>
      <w:spacing w:after="0" w:line="240" w:lineRule="auto"/>
      <w:jc w:val="both"/>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qFormat/>
    <w:uiPriority w:val="0"/>
    <w:rPr>
      <w:color w:val="0000FF"/>
      <w:u w:val="single"/>
    </w:rPr>
  </w:style>
  <w:style w:type="paragraph" w:customStyle="1" w:styleId="24">
    <w:name w:val="Default"/>
    <w:next w:val="2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大标题"/>
    <w:basedOn w:val="1"/>
    <w:next w:val="19"/>
    <w:qFormat/>
    <w:uiPriority w:val="0"/>
    <w:pPr>
      <w:pageBreakBefore/>
      <w:spacing w:after="200" w:line="720" w:lineRule="auto"/>
      <w:jc w:val="center"/>
      <w:outlineLvl w:val="0"/>
    </w:pPr>
    <w:rPr>
      <w:rFonts w:ascii="黑体" w:hAnsi="Calibri" w:eastAsia="黑体"/>
      <w:sz w:val="32"/>
      <w:szCs w:val="30"/>
      <w:lang w:eastAsia="en-US" w:bidi="en-US"/>
    </w:rPr>
  </w:style>
  <w:style w:type="character" w:customStyle="1" w:styleId="26">
    <w:name w:val="标题 1 Char"/>
    <w:link w:val="3"/>
    <w:qFormat/>
    <w:uiPriority w:val="0"/>
    <w:rPr>
      <w:rFonts w:ascii="Calibri" w:hAnsi="Calibri" w:eastAsia="仿宋"/>
      <w:b/>
      <w:bCs/>
      <w:kern w:val="44"/>
      <w:sz w:val="32"/>
      <w:szCs w:val="44"/>
    </w:rPr>
  </w:style>
  <w:style w:type="paragraph" w:styleId="27">
    <w:name w:val="List Paragraph"/>
    <w:basedOn w:val="1"/>
    <w:qFormat/>
    <w:uiPriority w:val="34"/>
    <w:pPr>
      <w:ind w:firstLine="420" w:firstLineChars="200"/>
    </w:pPr>
    <w:rPr>
      <w:szCs w:val="24"/>
    </w:rPr>
  </w:style>
  <w:style w:type="table" w:customStyle="1" w:styleId="28">
    <w:name w:val="TableGrid"/>
    <w:qFormat/>
    <w:uiPriority w:val="0"/>
    <w:tblPr>
      <w:tblCellMar>
        <w:top w:w="0" w:type="dxa"/>
        <w:left w:w="0" w:type="dxa"/>
        <w:bottom w:w="0" w:type="dxa"/>
        <w:right w:w="0" w:type="dxa"/>
      </w:tblCellMar>
    </w:tblPr>
  </w:style>
  <w:style w:type="paragraph" w:customStyle="1" w:styleId="29">
    <w:name w:val="WPSOffice手动目录 1"/>
    <w:qFormat/>
    <w:uiPriority w:val="0"/>
    <w:pPr>
      <w:ind w:leftChars="0"/>
    </w:pPr>
    <w:rPr>
      <w:rFonts w:asciiTheme="minorHAnsi" w:hAnsiTheme="minorHAnsi" w:eastAsiaTheme="minorEastAsia" w:cstheme="minorBidi"/>
      <w:sz w:val="20"/>
      <w:szCs w:val="20"/>
    </w:rPr>
  </w:style>
  <w:style w:type="paragraph" w:customStyle="1" w:styleId="30">
    <w:name w:val="Table Paragraph"/>
    <w:basedOn w:val="1"/>
    <w:qFormat/>
    <w:uiPriority w:val="1"/>
  </w:style>
  <w:style w:type="paragraph" w:customStyle="1" w:styleId="31">
    <w:name w:val="Heading2"/>
    <w:basedOn w:val="1"/>
    <w:next w:val="1"/>
    <w:autoRedefine/>
    <w:qFormat/>
    <w:uiPriority w:val="0"/>
    <w:pPr>
      <w:keepNext/>
      <w:keepLines/>
      <w:spacing w:before="260" w:after="260" w:line="415" w:lineRule="auto"/>
    </w:pPr>
    <w:rPr>
      <w:rFonts w:ascii="Arial" w:hAnsi="Arial" w:eastAsia="黑体"/>
      <w:kern w:val="0"/>
      <w:sz w:val="32"/>
      <w:szCs w:val="32"/>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table" w:customStyle="1" w:styleId="33">
    <w:name w:val="Table Normal"/>
    <w:unhideWhenUsed/>
    <w:qFormat/>
    <w:uiPriority w:val="0"/>
    <w:tblPr>
      <w:tblCellMar>
        <w:top w:w="0" w:type="dxa"/>
        <w:left w:w="0" w:type="dxa"/>
        <w:bottom w:w="0" w:type="dxa"/>
        <w:right w:w="0" w:type="dxa"/>
      </w:tblCellMar>
    </w:tblPr>
  </w:style>
  <w:style w:type="character" w:customStyle="1" w:styleId="34">
    <w:name w:val="NormalCharacter"/>
    <w:qFormat/>
    <w:uiPriority w:val="0"/>
    <w:rPr>
      <w:rFonts w:ascii="Times New Roman" w:hAnsi="Times New Roman" w:eastAsia="宋体"/>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24443</Words>
  <Characters>26440</Characters>
  <Lines>0</Lines>
  <Paragraphs>0</Paragraphs>
  <TotalTime>10</TotalTime>
  <ScaleCrop>false</ScaleCrop>
  <LinksUpToDate>false</LinksUpToDate>
  <CharactersWithSpaces>27468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2023-10-15T16:37:00Z</dcterms:created>
  <dc:creator>DELL</dc:creator>
  <cp:lastModifiedBy>Administrator</cp:lastModifiedBy>
  <dcterms:modified xsi:type="dcterms:W3CDTF">2025-12-08T03:09:32Z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442FAECD11884A89882C00D4A37D9465_13</vt:lpwstr>
  </property>
  <property fmtid="{D5CDD505-2E9C-101B-9397-08002B2CF9AE}" pid="4" name="KSOTemplateDocerSaveRecord">
    <vt:lpwstr>eyJoZGlkIjoiMmQ2MjI1NmU1YzY5ZmFlOWRlYTA4NzliZGE3NTZiOWEiLCJ1c2VySWQiOiI3NTU5ODA1OTUifQ==</vt:lpwstr>
  </property>
</Properties>
</file>