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541B">
      <w:pPr>
        <w:pStyle w:val="11"/>
        <w:widowControl/>
        <w:adjustRightInd w:val="0"/>
        <w:snapToGrid w:val="0"/>
        <w:spacing w:line="360" w:lineRule="auto"/>
        <w:jc w:val="center"/>
        <w:rPr>
          <w:rFonts w:hAnsi="宋体" w:cs="宋体"/>
          <w:b/>
          <w:bCs/>
          <w:sz w:val="44"/>
          <w:szCs w:val="44"/>
          <w:lang w:val="en-US"/>
        </w:rPr>
      </w:pPr>
      <w:r>
        <w:rPr>
          <w:rFonts w:hint="eastAsia" w:hAnsi="宋体" w:cs="宋体"/>
          <w:b/>
          <w:bCs/>
          <w:sz w:val="44"/>
          <w:szCs w:val="44"/>
          <w:lang w:eastAsia="zh-CN"/>
        </w:rPr>
        <w:t>湖滨区2025年城镇老旧小区改造项目监理项目</w:t>
      </w:r>
    </w:p>
    <w:p w14:paraId="7356CAA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7F8D075F">
      <w:pPr>
        <w:pStyle w:val="16"/>
        <w:widowControl/>
        <w:adjustRightInd w:val="0"/>
        <w:snapToGrid w:val="0"/>
        <w:spacing w:line="360" w:lineRule="auto"/>
        <w:ind w:left="0" w:leftChars="0" w:firstLine="0" w:firstLineChars="0"/>
        <w:rPr>
          <w:rFonts w:hint="eastAsia" w:ascii="宋体" w:hAnsi="宋体" w:eastAsia="宋体" w:cs="宋体"/>
          <w:lang w:val="en-US"/>
        </w:rPr>
      </w:pPr>
    </w:p>
    <w:p w14:paraId="279AFD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44"/>
          <w:szCs w:val="44"/>
          <w:lang w:val="en-US"/>
        </w:rPr>
      </w:pPr>
      <w:r>
        <w:rPr>
          <w:rFonts w:hint="eastAsia" w:ascii="宋体" w:hAnsi="宋体" w:eastAsia="宋体" w:cs="宋体"/>
          <w:b/>
          <w:bCs/>
          <w:kern w:val="0"/>
          <w:sz w:val="44"/>
          <w:szCs w:val="44"/>
          <w:lang w:val="en-US" w:eastAsia="zh-CN" w:bidi="ar"/>
        </w:rPr>
        <w:t>竞争性磋商文件</w:t>
      </w:r>
    </w:p>
    <w:p w14:paraId="508422CB">
      <w:pPr>
        <w:pStyle w:val="16"/>
        <w:widowControl/>
        <w:adjustRightInd w:val="0"/>
        <w:snapToGrid w:val="0"/>
        <w:spacing w:line="360" w:lineRule="auto"/>
        <w:rPr>
          <w:rFonts w:hint="eastAsia" w:ascii="宋体" w:hAnsi="宋体" w:eastAsia="宋体" w:cs="宋体"/>
          <w:lang w:val="en-US"/>
        </w:rPr>
      </w:pPr>
    </w:p>
    <w:p w14:paraId="51BAD57F">
      <w:pPr>
        <w:pStyle w:val="10"/>
        <w:widowControl/>
        <w:adjustRightInd w:val="0"/>
        <w:snapToGrid w:val="0"/>
        <w:spacing w:before="0" w:beforeAutospacing="0" w:after="0" w:afterAutospacing="0" w:line="360" w:lineRule="auto"/>
        <w:ind w:left="0" w:right="0"/>
        <w:rPr>
          <w:lang w:val="en-US"/>
        </w:rPr>
      </w:pPr>
    </w:p>
    <w:p w14:paraId="2155FCA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项目编号：湖滨竞磋采购-2025-37</w:t>
      </w:r>
    </w:p>
    <w:p w14:paraId="27A2932D">
      <w:pPr>
        <w:pStyle w:val="2"/>
        <w:ind w:firstLine="3935" w:firstLineChars="1400"/>
        <w:rPr>
          <w:rFonts w:hint="default"/>
          <w:b/>
          <w:bCs/>
          <w:lang w:val="en-US"/>
        </w:rPr>
      </w:pPr>
      <w:r>
        <w:rPr>
          <w:rFonts w:hint="default" w:ascii="宋体" w:hAnsi="宋体" w:eastAsia="宋体" w:cs="宋体"/>
          <w:b/>
          <w:bCs/>
          <w:kern w:val="0"/>
          <w:sz w:val="28"/>
          <w:szCs w:val="28"/>
          <w:lang w:val="en-US" w:eastAsia="zh-CN" w:bidi="ar"/>
        </w:rPr>
        <w:t>SGZ[2025]587-ZC385</w:t>
      </w:r>
    </w:p>
    <w:p w14:paraId="0D2EBFBC">
      <w:pPr>
        <w:keepNext w:val="0"/>
        <w:keepLines w:val="0"/>
        <w:widowControl/>
        <w:suppressLineNumbers w:val="0"/>
        <w:shd w:val="clear" w:fill="FFFFFF"/>
        <w:adjustRightInd w:val="0"/>
        <w:snapToGrid w:val="0"/>
        <w:spacing w:before="0" w:beforeAutospacing="0" w:after="0" w:afterAutospacing="0" w:line="360" w:lineRule="auto"/>
        <w:ind w:left="0" w:right="0"/>
        <w:jc w:val="both"/>
        <w:rPr>
          <w:rFonts w:hint="eastAsia" w:ascii="宋体" w:hAnsi="宋体" w:eastAsia="宋体" w:cs="宋体"/>
          <w:sz w:val="21"/>
          <w:szCs w:val="21"/>
          <w:shd w:val="clear" w:fill="FFFFFF"/>
          <w:lang w:val="en-US"/>
        </w:rPr>
      </w:pPr>
    </w:p>
    <w:p w14:paraId="5AC9428F">
      <w:pPr>
        <w:pStyle w:val="8"/>
        <w:widowControl/>
        <w:adjustRightInd w:val="0"/>
        <w:snapToGrid w:val="0"/>
        <w:spacing w:after="0" w:afterAutospacing="0" w:line="360" w:lineRule="auto"/>
        <w:rPr>
          <w:rFonts w:hint="eastAsia" w:ascii="宋体" w:hAnsi="宋体" w:eastAsia="宋体" w:cs="宋体"/>
          <w:lang w:val="en-US"/>
        </w:rPr>
      </w:pPr>
      <w:r>
        <w:rPr>
          <w:snapToGrid w:val="0"/>
          <w:lang w:eastAsia="zh-CN"/>
        </w:rPr>
        <w:drawing>
          <wp:anchor distT="0" distB="0" distL="114300" distR="114300" simplePos="0" relativeHeight="251659264" behindDoc="0" locked="0" layoutInCell="1" allowOverlap="1">
            <wp:simplePos x="0" y="0"/>
            <wp:positionH relativeFrom="column">
              <wp:posOffset>337820</wp:posOffset>
            </wp:positionH>
            <wp:positionV relativeFrom="paragraph">
              <wp:posOffset>109855</wp:posOffset>
            </wp:positionV>
            <wp:extent cx="4636135" cy="1567815"/>
            <wp:effectExtent l="0" t="0" r="12065" b="13335"/>
            <wp:wrapTopAndBottom/>
            <wp:docPr id="1"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a174cb79c9777742916e75fc8ceb0cd"/>
                    <pic:cNvPicPr>
                      <a:picLocks noChangeAspect="1"/>
                    </pic:cNvPicPr>
                  </pic:nvPicPr>
                  <pic:blipFill>
                    <a:blip r:embed="rId8">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6AEC34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14:paraId="2C04BDC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p w14:paraId="2B8A3F21">
      <w:pPr>
        <w:pStyle w:val="2"/>
        <w:rPr>
          <w:rFonts w:hint="eastAsia" w:ascii="宋体" w:hAnsi="宋体" w:eastAsia="宋体" w:cs="宋体"/>
          <w:sz w:val="24"/>
          <w:szCs w:val="24"/>
          <w:lang w:val="en-US"/>
        </w:rPr>
      </w:pPr>
    </w:p>
    <w:p w14:paraId="4DB5801D">
      <w:pPr>
        <w:rPr>
          <w:rFonts w:hint="eastAsia"/>
          <w:lang w:val="en-US"/>
        </w:rPr>
      </w:pPr>
    </w:p>
    <w:p w14:paraId="76F68999">
      <w:pPr>
        <w:pStyle w:val="16"/>
        <w:widowControl/>
        <w:adjustRightInd w:val="0"/>
        <w:snapToGrid w:val="0"/>
        <w:spacing w:line="360" w:lineRule="auto"/>
        <w:rPr>
          <w:rFonts w:hint="eastAsia" w:ascii="宋体" w:hAnsi="宋体" w:eastAsia="宋体" w:cs="宋体"/>
          <w:lang w:val="en-US"/>
        </w:rPr>
      </w:pPr>
    </w:p>
    <w:p w14:paraId="685A419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en-US"/>
        </w:rPr>
        <w:t>采  购  人：三门峡市湖滨区建设局</w:t>
      </w:r>
    </w:p>
    <w:p w14:paraId="2626540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rPr>
        <w:t>采购代理机构：</w:t>
      </w:r>
      <w:bookmarkStart w:id="0" w:name="OLE_LINK3"/>
      <w:r>
        <w:rPr>
          <w:rFonts w:hint="eastAsia" w:ascii="宋体" w:hAnsi="宋体" w:eastAsia="宋体" w:cs="宋体"/>
          <w:b/>
          <w:bCs/>
          <w:sz w:val="32"/>
          <w:szCs w:val="32"/>
          <w:lang w:val="en-US"/>
        </w:rPr>
        <w:t>傲唐集团有限公司</w:t>
      </w:r>
      <w:bookmarkEnd w:id="0"/>
    </w:p>
    <w:p w14:paraId="5063A3D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rPr>
        <w:t>日      期：二零二五年十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en-US"/>
        </w:rPr>
        <w:t>月</w:t>
      </w:r>
    </w:p>
    <w:p w14:paraId="1065617C">
      <w:pPr>
        <w:spacing w:line="360" w:lineRule="auto"/>
        <w:rPr>
          <w:rFonts w:hint="eastAsia" w:ascii="宋体" w:hAnsi="宋体" w:eastAsia="宋体" w:cs="宋体"/>
          <w:b/>
          <w:bCs/>
          <w:sz w:val="32"/>
          <w:szCs w:val="32"/>
          <w:lang w:val="en-US" w:eastAsia="zh-CN" w:bidi="ar"/>
        </w:rPr>
        <w:sectPr>
          <w:pgSz w:w="11906" w:h="16838"/>
          <w:pgMar w:top="1417" w:right="1417" w:bottom="1417" w:left="1417" w:header="851" w:footer="992" w:gutter="0"/>
          <w:cols w:space="425" w:num="1"/>
          <w:docGrid w:type="lines" w:linePitch="312" w:charSpace="0"/>
        </w:sectPr>
      </w:pPr>
    </w:p>
    <w:p w14:paraId="01C5CDBB">
      <w:pPr>
        <w:wordWrap w:val="0"/>
        <w:topLinePunct/>
        <w:spacing w:before="312" w:beforeLines="100" w:after="312" w:afterLines="100" w:line="300" w:lineRule="auto"/>
        <w:jc w:val="center"/>
        <w:rPr>
          <w:rFonts w:ascii="宋体" w:hAnsi="宋体" w:eastAsia="宋体" w:cs="Courier New"/>
          <w:b/>
          <w:bCs/>
          <w:sz w:val="44"/>
          <w:szCs w:val="44"/>
          <w:highlight w:val="none"/>
        </w:rPr>
      </w:pPr>
      <w:r>
        <w:rPr>
          <w:rFonts w:hint="eastAsia" w:ascii="宋体" w:hAnsi="宋体" w:eastAsia="宋体" w:cs="Courier New"/>
          <w:b/>
          <w:bCs/>
          <w:sz w:val="44"/>
          <w:szCs w:val="44"/>
          <w:highlight w:val="none"/>
        </w:rPr>
        <w:t>目  录</w:t>
      </w:r>
    </w:p>
    <w:p w14:paraId="1ED67C3B">
      <w:pPr>
        <w:tabs>
          <w:tab w:val="left" w:pos="1050"/>
          <w:tab w:val="right" w:leader="dot" w:pos="9629"/>
        </w:tabs>
        <w:wordWrap w:val="0"/>
        <w:topLinePunct/>
        <w:spacing w:line="480" w:lineRule="auto"/>
        <w:rPr>
          <w:rFonts w:ascii="宋体" w:hAnsi="宋体" w:eastAsia="宋体" w:cs="Times New Roman"/>
          <w:sz w:val="28"/>
          <w:szCs w:val="28"/>
          <w:highlight w:val="none"/>
        </w:rPr>
      </w:pPr>
      <w:r>
        <w:rPr>
          <w:rFonts w:ascii="宋体" w:hAnsi="宋体" w:eastAsia="宋体" w:cs="宋体"/>
          <w:sz w:val="28"/>
          <w:szCs w:val="28"/>
          <w:highlight w:val="none"/>
        </w:rPr>
        <w:fldChar w:fldCharType="begin"/>
      </w:r>
      <w:r>
        <w:rPr>
          <w:rFonts w:ascii="宋体" w:hAnsi="宋体" w:eastAsia="宋体" w:cs="宋体"/>
          <w:sz w:val="28"/>
          <w:szCs w:val="28"/>
          <w:highlight w:val="none"/>
        </w:rPr>
        <w:instrText xml:space="preserve">TOC \o "1-2" \h \u </w:instrText>
      </w:r>
      <w:r>
        <w:rPr>
          <w:rFonts w:ascii="宋体" w:hAnsi="宋体" w:eastAsia="宋体" w:cs="宋体"/>
          <w:sz w:val="28"/>
          <w:szCs w:val="28"/>
          <w:highlight w:val="none"/>
        </w:rPr>
        <w:fldChar w:fldCharType="separate"/>
      </w:r>
      <w:r>
        <w:rPr>
          <w:highlight w:val="none"/>
        </w:rPr>
        <w:fldChar w:fldCharType="begin"/>
      </w:r>
      <w:r>
        <w:rPr>
          <w:highlight w:val="none"/>
        </w:rPr>
        <w:instrText xml:space="preserve"> HYPERLINK \l "_Toc23774424" </w:instrText>
      </w:r>
      <w:r>
        <w:rPr>
          <w:highlight w:val="none"/>
        </w:rPr>
        <w:fldChar w:fldCharType="separate"/>
      </w:r>
      <w:r>
        <w:rPr>
          <w:rFonts w:hint="eastAsia" w:ascii="宋体" w:hAnsi="宋体" w:eastAsia="宋体" w:cs="宋体"/>
          <w:b/>
          <w:sz w:val="28"/>
          <w:szCs w:val="28"/>
          <w:highlight w:val="none"/>
        </w:rPr>
        <w:t>第一章</w:t>
      </w:r>
      <w:r>
        <w:rPr>
          <w:rFonts w:ascii="宋体" w:hAnsi="宋体" w:eastAsia="宋体" w:cs="Times New Roman"/>
          <w:sz w:val="28"/>
          <w:szCs w:val="28"/>
          <w:highlight w:val="none"/>
        </w:rPr>
        <w:tab/>
      </w:r>
      <w:r>
        <w:rPr>
          <w:rFonts w:hint="eastAsia" w:ascii="宋体" w:hAnsi="宋体" w:eastAsia="宋体" w:cs="Times New Roman"/>
          <w:b/>
          <w:bCs/>
          <w:sz w:val="28"/>
          <w:szCs w:val="28"/>
          <w:highlight w:val="none"/>
        </w:rPr>
        <w:t>竞争性磋商公告</w:t>
      </w:r>
      <w:r>
        <w:rPr>
          <w:rFonts w:ascii="宋体" w:hAnsi="宋体" w:eastAsia="宋体" w:cs="宋体"/>
          <w:sz w:val="28"/>
          <w:szCs w:val="28"/>
          <w:highlight w:val="none"/>
        </w:rPr>
        <w:tab/>
      </w:r>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fldChar w:fldCharType="end"/>
      </w:r>
    </w:p>
    <w:p w14:paraId="0F539B36">
      <w:pPr>
        <w:tabs>
          <w:tab w:val="left" w:pos="1050"/>
          <w:tab w:val="right" w:leader="dot" w:pos="9629"/>
        </w:tabs>
        <w:wordWrap w:val="0"/>
        <w:topLinePunct/>
        <w:spacing w:line="480" w:lineRule="auto"/>
        <w:rPr>
          <w:rFonts w:ascii="宋体" w:hAnsi="宋体" w:eastAsia="宋体" w:cs="Times New Roman"/>
          <w:sz w:val="28"/>
          <w:szCs w:val="28"/>
          <w:highlight w:val="none"/>
        </w:rPr>
      </w:pPr>
      <w:r>
        <w:rPr>
          <w:highlight w:val="none"/>
        </w:rPr>
        <w:fldChar w:fldCharType="begin"/>
      </w:r>
      <w:r>
        <w:rPr>
          <w:highlight w:val="none"/>
        </w:rPr>
        <w:instrText xml:space="preserve"> HYPERLINK \l "_Toc23774425" </w:instrText>
      </w:r>
      <w:r>
        <w:rPr>
          <w:highlight w:val="none"/>
        </w:rPr>
        <w:fldChar w:fldCharType="separate"/>
      </w:r>
      <w:r>
        <w:rPr>
          <w:rFonts w:hint="eastAsia" w:ascii="宋体" w:hAnsi="宋体" w:eastAsia="宋体" w:cs="宋体"/>
          <w:b/>
          <w:sz w:val="28"/>
          <w:szCs w:val="28"/>
          <w:highlight w:val="none"/>
        </w:rPr>
        <w:t>第二章</w:t>
      </w:r>
      <w:r>
        <w:rPr>
          <w:rFonts w:ascii="宋体" w:hAnsi="宋体" w:eastAsia="宋体" w:cs="Times New Roman"/>
          <w:sz w:val="28"/>
          <w:szCs w:val="28"/>
          <w:highlight w:val="none"/>
        </w:rPr>
        <w:tab/>
      </w:r>
      <w:r>
        <w:rPr>
          <w:rFonts w:hint="eastAsia" w:ascii="宋体" w:hAnsi="宋体" w:eastAsia="宋体" w:cs="宋体"/>
          <w:b/>
          <w:bCs/>
          <w:sz w:val="28"/>
          <w:szCs w:val="28"/>
          <w:highlight w:val="none"/>
        </w:rPr>
        <w:t>供应商须知</w:t>
      </w:r>
      <w:r>
        <w:rPr>
          <w:rFonts w:ascii="宋体" w:hAnsi="宋体" w:eastAsia="宋体" w:cs="宋体"/>
          <w:sz w:val="28"/>
          <w:szCs w:val="28"/>
          <w:highlight w:val="none"/>
        </w:rPr>
        <w:tab/>
      </w:r>
      <w:r>
        <w:rPr>
          <w:rFonts w:hint="eastAsia" w:ascii="宋体" w:hAnsi="宋体" w:eastAsia="宋体" w:cs="宋体"/>
          <w:sz w:val="28"/>
          <w:szCs w:val="28"/>
          <w:highlight w:val="none"/>
          <w:lang w:val="en-US" w:eastAsia="zh-CN"/>
        </w:rPr>
        <w:t>7</w:t>
      </w:r>
      <w:r>
        <w:rPr>
          <w:rFonts w:ascii="宋体" w:hAnsi="宋体" w:eastAsia="宋体" w:cs="宋体"/>
          <w:sz w:val="28"/>
          <w:szCs w:val="28"/>
          <w:highlight w:val="none"/>
        </w:rPr>
        <w:fldChar w:fldCharType="end"/>
      </w:r>
    </w:p>
    <w:p w14:paraId="3291463F">
      <w:pPr>
        <w:tabs>
          <w:tab w:val="left" w:pos="1050"/>
          <w:tab w:val="right" w:leader="dot" w:pos="9629"/>
        </w:tabs>
        <w:wordWrap w:val="0"/>
        <w:topLinePunct/>
        <w:spacing w:line="480" w:lineRule="auto"/>
        <w:rPr>
          <w:rFonts w:ascii="宋体" w:hAnsi="宋体" w:eastAsia="宋体" w:cs="Times New Roman"/>
          <w:sz w:val="28"/>
          <w:szCs w:val="28"/>
          <w:highlight w:val="none"/>
        </w:rPr>
      </w:pPr>
      <w:r>
        <w:rPr>
          <w:highlight w:val="none"/>
        </w:rPr>
        <w:fldChar w:fldCharType="begin"/>
      </w:r>
      <w:r>
        <w:rPr>
          <w:highlight w:val="none"/>
        </w:rPr>
        <w:instrText xml:space="preserve"> HYPERLINK \l "_Toc23774436" </w:instrText>
      </w:r>
      <w:r>
        <w:rPr>
          <w:highlight w:val="none"/>
        </w:rPr>
        <w:fldChar w:fldCharType="separate"/>
      </w:r>
      <w:r>
        <w:rPr>
          <w:rFonts w:hint="eastAsia" w:ascii="宋体" w:hAnsi="宋体" w:eastAsia="宋体" w:cs="宋体"/>
          <w:b/>
          <w:bCs/>
          <w:sz w:val="28"/>
          <w:szCs w:val="28"/>
          <w:highlight w:val="none"/>
        </w:rPr>
        <w:t>第三章</w:t>
      </w:r>
      <w:r>
        <w:rPr>
          <w:rFonts w:ascii="宋体" w:hAnsi="宋体" w:eastAsia="宋体" w:cs="Times New Roman"/>
          <w:sz w:val="28"/>
          <w:szCs w:val="28"/>
          <w:highlight w:val="none"/>
        </w:rPr>
        <w:tab/>
      </w:r>
      <w:r>
        <w:rPr>
          <w:rFonts w:hint="eastAsia" w:ascii="宋体" w:hAnsi="宋体" w:eastAsia="宋体" w:cs="宋体"/>
          <w:b/>
          <w:bCs/>
          <w:sz w:val="28"/>
          <w:szCs w:val="28"/>
          <w:highlight w:val="none"/>
        </w:rPr>
        <w:t>评审办法</w:t>
      </w:r>
      <w:r>
        <w:rPr>
          <w:rFonts w:ascii="宋体" w:hAnsi="宋体" w:eastAsia="宋体" w:cs="宋体"/>
          <w:sz w:val="28"/>
          <w:szCs w:val="28"/>
          <w:highlight w:val="none"/>
        </w:rPr>
        <w:tab/>
      </w:r>
      <w:r>
        <w:rPr>
          <w:rFonts w:ascii="宋体" w:hAnsi="宋体" w:eastAsia="宋体" w:cs="宋体"/>
          <w:sz w:val="28"/>
          <w:szCs w:val="28"/>
          <w:highlight w:val="none"/>
        </w:rPr>
        <w:fldChar w:fldCharType="begin"/>
      </w:r>
      <w:r>
        <w:rPr>
          <w:rFonts w:ascii="宋体" w:hAnsi="宋体" w:eastAsia="宋体" w:cs="宋体"/>
          <w:sz w:val="28"/>
          <w:szCs w:val="28"/>
          <w:highlight w:val="none"/>
        </w:rPr>
        <w:instrText xml:space="preserve"> PAGEREF _Toc23774436 \h </w:instrText>
      </w:r>
      <w:r>
        <w:rPr>
          <w:rFonts w:ascii="宋体" w:hAnsi="宋体" w:eastAsia="宋体" w:cs="宋体"/>
          <w:sz w:val="28"/>
          <w:szCs w:val="28"/>
          <w:highlight w:val="none"/>
        </w:rPr>
        <w:fldChar w:fldCharType="separate"/>
      </w:r>
      <w:r>
        <w:rPr>
          <w:rFonts w:ascii="宋体" w:hAnsi="宋体" w:eastAsia="宋体" w:cs="宋体"/>
          <w:sz w:val="28"/>
          <w:szCs w:val="28"/>
          <w:highlight w:val="none"/>
        </w:rPr>
        <w:t>2</w:t>
      </w:r>
      <w:r>
        <w:rPr>
          <w:rFonts w:hint="eastAsia" w:ascii="宋体" w:hAnsi="宋体" w:eastAsia="宋体" w:cs="宋体"/>
          <w:sz w:val="28"/>
          <w:szCs w:val="28"/>
          <w:highlight w:val="none"/>
          <w:lang w:val="en-US" w:eastAsia="zh-CN"/>
        </w:rPr>
        <w:t>5</w:t>
      </w:r>
      <w:r>
        <w:rPr>
          <w:rFonts w:ascii="宋体" w:hAnsi="宋体" w:eastAsia="宋体" w:cs="宋体"/>
          <w:sz w:val="28"/>
          <w:szCs w:val="28"/>
          <w:highlight w:val="none"/>
        </w:rPr>
        <w:fldChar w:fldCharType="end"/>
      </w:r>
      <w:r>
        <w:rPr>
          <w:rFonts w:ascii="宋体" w:hAnsi="宋体" w:eastAsia="宋体" w:cs="宋体"/>
          <w:sz w:val="28"/>
          <w:szCs w:val="28"/>
          <w:highlight w:val="none"/>
        </w:rPr>
        <w:fldChar w:fldCharType="end"/>
      </w:r>
    </w:p>
    <w:p w14:paraId="631D9D10">
      <w:pPr>
        <w:tabs>
          <w:tab w:val="left" w:pos="1050"/>
          <w:tab w:val="right" w:leader="dot" w:pos="9629"/>
        </w:tabs>
        <w:wordWrap w:val="0"/>
        <w:topLinePunct/>
        <w:spacing w:line="480" w:lineRule="auto"/>
        <w:rPr>
          <w:rFonts w:hint="eastAsia" w:ascii="宋体" w:hAnsi="宋体" w:eastAsia="宋体" w:cs="Times New Roman"/>
          <w:sz w:val="28"/>
          <w:szCs w:val="28"/>
          <w:highlight w:val="none"/>
          <w:lang w:val="en-US" w:eastAsia="zh-CN"/>
        </w:rPr>
      </w:pPr>
      <w:r>
        <w:rPr>
          <w:highlight w:val="none"/>
        </w:rPr>
        <w:fldChar w:fldCharType="begin"/>
      </w:r>
      <w:r>
        <w:rPr>
          <w:highlight w:val="none"/>
        </w:rPr>
        <w:instrText xml:space="preserve"> HYPERLINK \l "_Toc23774437" </w:instrText>
      </w:r>
      <w:r>
        <w:rPr>
          <w:highlight w:val="none"/>
        </w:rPr>
        <w:fldChar w:fldCharType="separate"/>
      </w:r>
      <w:r>
        <w:rPr>
          <w:rFonts w:hint="eastAsia" w:ascii="宋体" w:hAnsi="宋体" w:eastAsia="宋体" w:cs="宋体"/>
          <w:b/>
          <w:bCs/>
          <w:sz w:val="28"/>
          <w:szCs w:val="28"/>
          <w:highlight w:val="none"/>
        </w:rPr>
        <w:t>第四章</w:t>
      </w:r>
      <w:r>
        <w:rPr>
          <w:rFonts w:ascii="宋体" w:hAnsi="宋体" w:eastAsia="宋体" w:cs="Times New Roman"/>
          <w:sz w:val="28"/>
          <w:szCs w:val="28"/>
          <w:highlight w:val="none"/>
        </w:rPr>
        <w:tab/>
      </w:r>
      <w:r>
        <w:rPr>
          <w:rFonts w:hint="eastAsia" w:ascii="宋体" w:hAnsi="宋体" w:eastAsia="宋体" w:cs="宋体"/>
          <w:b/>
          <w:bCs/>
          <w:sz w:val="28"/>
          <w:szCs w:val="28"/>
          <w:highlight w:val="none"/>
        </w:rPr>
        <w:t>合同条款及格式</w:t>
      </w:r>
      <w:r>
        <w:rPr>
          <w:rFonts w:ascii="宋体" w:hAnsi="宋体" w:eastAsia="宋体" w:cs="宋体"/>
          <w:sz w:val="28"/>
          <w:szCs w:val="28"/>
          <w:highlight w:val="none"/>
        </w:rPr>
        <w:tab/>
      </w:r>
      <w:r>
        <w:rPr>
          <w:rFonts w:hint="eastAsia" w:ascii="宋体" w:hAnsi="宋体" w:eastAsia="宋体" w:cs="宋体"/>
          <w:sz w:val="28"/>
          <w:szCs w:val="28"/>
          <w:highlight w:val="none"/>
          <w:lang w:val="en-US" w:eastAsia="zh-CN"/>
        </w:rPr>
        <w:t>3</w:t>
      </w:r>
      <w:r>
        <w:rPr>
          <w:rFonts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3</w:t>
      </w:r>
    </w:p>
    <w:p w14:paraId="47808FF2">
      <w:pPr>
        <w:tabs>
          <w:tab w:val="left" w:pos="1050"/>
          <w:tab w:val="right" w:leader="dot" w:pos="9629"/>
        </w:tabs>
        <w:wordWrap w:val="0"/>
        <w:topLinePunct/>
        <w:spacing w:line="480" w:lineRule="auto"/>
        <w:rPr>
          <w:rFonts w:hint="eastAsia" w:ascii="宋体" w:hAnsi="宋体" w:eastAsia="宋体" w:cs="Times New Roman"/>
          <w:sz w:val="28"/>
          <w:szCs w:val="28"/>
          <w:highlight w:val="none"/>
          <w:lang w:val="en-US" w:eastAsia="zh-CN"/>
        </w:rPr>
      </w:pPr>
      <w:r>
        <w:rPr>
          <w:highlight w:val="none"/>
        </w:rPr>
        <w:fldChar w:fldCharType="begin"/>
      </w:r>
      <w:r>
        <w:rPr>
          <w:highlight w:val="none"/>
        </w:rPr>
        <w:instrText xml:space="preserve"> HYPERLINK \l "_Toc23774490" </w:instrText>
      </w:r>
      <w:r>
        <w:rPr>
          <w:highlight w:val="none"/>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eastAsia="zh-CN"/>
        </w:rPr>
        <w:t>五</w:t>
      </w:r>
      <w:r>
        <w:rPr>
          <w:rFonts w:hint="eastAsia" w:ascii="宋体" w:hAnsi="宋体" w:eastAsia="宋体" w:cs="宋体"/>
          <w:b/>
          <w:bCs/>
          <w:sz w:val="28"/>
          <w:szCs w:val="28"/>
          <w:highlight w:val="none"/>
        </w:rPr>
        <w:t>章</w:t>
      </w:r>
      <w:r>
        <w:rPr>
          <w:rFonts w:ascii="宋体" w:hAnsi="宋体" w:eastAsia="宋体" w:cs="Times New Roman"/>
          <w:sz w:val="28"/>
          <w:szCs w:val="28"/>
          <w:highlight w:val="none"/>
        </w:rPr>
        <w:tab/>
      </w:r>
      <w:r>
        <w:rPr>
          <w:rFonts w:hint="eastAsia" w:ascii="宋体" w:hAnsi="宋体" w:eastAsia="宋体" w:cs="Times New Roman"/>
          <w:b/>
          <w:bCs/>
          <w:sz w:val="28"/>
          <w:szCs w:val="28"/>
          <w:highlight w:val="none"/>
        </w:rPr>
        <w:t>监理任务范围及监理大纲</w:t>
      </w:r>
      <w:r>
        <w:rPr>
          <w:rFonts w:ascii="宋体" w:hAnsi="宋体" w:eastAsia="宋体" w:cs="宋体"/>
          <w:sz w:val="28"/>
          <w:szCs w:val="28"/>
          <w:highlight w:val="none"/>
        </w:rPr>
        <w:tab/>
      </w:r>
      <w:r>
        <w:rPr>
          <w:rFonts w:hint="eastAsia" w:ascii="宋体" w:hAnsi="宋体" w:eastAsia="宋体" w:cs="宋体"/>
          <w:sz w:val="28"/>
          <w:szCs w:val="28"/>
          <w:highlight w:val="none"/>
          <w:lang w:val="en-US" w:eastAsia="zh-CN"/>
        </w:rPr>
        <w:t>5</w:t>
      </w:r>
      <w:r>
        <w:rPr>
          <w:rFonts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4</w:t>
      </w:r>
    </w:p>
    <w:p w14:paraId="7050FECB">
      <w:pPr>
        <w:tabs>
          <w:tab w:val="left" w:pos="1050"/>
          <w:tab w:val="right" w:leader="dot" w:pos="9629"/>
        </w:tabs>
        <w:wordWrap w:val="0"/>
        <w:topLinePunct/>
        <w:spacing w:line="480" w:lineRule="auto"/>
        <w:rPr>
          <w:rFonts w:hint="eastAsia" w:ascii="宋体" w:hAnsi="宋体" w:eastAsia="宋体" w:cs="Times New Roman"/>
          <w:sz w:val="28"/>
          <w:szCs w:val="28"/>
          <w:highlight w:val="none"/>
          <w:lang w:val="en-US" w:eastAsia="zh-CN"/>
        </w:rPr>
      </w:pPr>
      <w:r>
        <w:rPr>
          <w:highlight w:val="none"/>
        </w:rPr>
        <w:fldChar w:fldCharType="begin"/>
      </w:r>
      <w:r>
        <w:rPr>
          <w:highlight w:val="none"/>
        </w:rPr>
        <w:instrText xml:space="preserve"> HYPERLINK \l "_Toc23774491" </w:instrText>
      </w:r>
      <w:r>
        <w:rPr>
          <w:highlight w:val="none"/>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eastAsia="zh-CN"/>
        </w:rPr>
        <w:t>六</w:t>
      </w:r>
      <w:r>
        <w:rPr>
          <w:rFonts w:hint="eastAsia" w:ascii="宋体" w:hAnsi="宋体" w:eastAsia="宋体" w:cs="宋体"/>
          <w:b/>
          <w:bCs/>
          <w:sz w:val="28"/>
          <w:szCs w:val="28"/>
          <w:highlight w:val="none"/>
        </w:rPr>
        <w:t>章</w:t>
      </w:r>
      <w:r>
        <w:rPr>
          <w:rFonts w:ascii="宋体" w:hAnsi="宋体" w:eastAsia="宋体" w:cs="Times New Roman"/>
          <w:sz w:val="28"/>
          <w:szCs w:val="28"/>
          <w:highlight w:val="none"/>
        </w:rPr>
        <w:tab/>
      </w:r>
      <w:r>
        <w:rPr>
          <w:rFonts w:hint="eastAsia" w:ascii="宋体" w:hAnsi="宋体" w:eastAsia="宋体" w:cs="宋体"/>
          <w:b/>
          <w:bCs/>
          <w:sz w:val="28"/>
          <w:szCs w:val="28"/>
          <w:highlight w:val="none"/>
        </w:rPr>
        <w:t>响应文件格式</w:t>
      </w:r>
      <w:r>
        <w:rPr>
          <w:rFonts w:ascii="宋体" w:hAnsi="宋体" w:eastAsia="宋体" w:cs="宋体"/>
          <w:sz w:val="28"/>
          <w:szCs w:val="28"/>
          <w:highlight w:val="none"/>
        </w:rPr>
        <w:tab/>
      </w:r>
      <w:r>
        <w:rPr>
          <w:rFonts w:hint="eastAsia" w:ascii="宋体" w:hAnsi="宋体" w:eastAsia="宋体" w:cs="宋体"/>
          <w:sz w:val="28"/>
          <w:szCs w:val="28"/>
          <w:highlight w:val="none"/>
          <w:lang w:val="en-US" w:eastAsia="zh-CN"/>
        </w:rPr>
        <w:t>5</w:t>
      </w:r>
      <w:r>
        <w:rPr>
          <w:rFonts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6</w:t>
      </w:r>
    </w:p>
    <w:p w14:paraId="567028D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Cs w:val="24"/>
          <w:lang w:val="en-US"/>
        </w:rPr>
      </w:pPr>
      <w:r>
        <w:rPr>
          <w:rFonts w:ascii="宋体" w:hAnsi="宋体" w:eastAsia="宋体" w:cs="宋体"/>
          <w:sz w:val="28"/>
          <w:szCs w:val="28"/>
          <w:highlight w:val="none"/>
        </w:rPr>
        <w:fldChar w:fldCharType="end"/>
      </w:r>
    </w:p>
    <w:p w14:paraId="266B1F24">
      <w:pPr>
        <w:pStyle w:val="10"/>
        <w:widowControl/>
        <w:adjustRightInd w:val="0"/>
        <w:snapToGrid w:val="0"/>
        <w:spacing w:before="0" w:beforeAutospacing="0" w:after="0" w:afterAutospacing="0" w:line="360" w:lineRule="auto"/>
        <w:ind w:left="0" w:right="0"/>
        <w:rPr>
          <w:lang w:val="en-US"/>
        </w:rPr>
      </w:pPr>
    </w:p>
    <w:p w14:paraId="559C267A">
      <w:pPr>
        <w:pStyle w:val="10"/>
        <w:widowControl/>
        <w:adjustRightInd w:val="0"/>
        <w:snapToGrid w:val="0"/>
        <w:spacing w:before="0" w:beforeAutospacing="0" w:after="0" w:afterAutospacing="0" w:line="360" w:lineRule="auto"/>
        <w:ind w:left="0" w:right="0"/>
        <w:rPr>
          <w:lang w:val="en-US"/>
        </w:rPr>
      </w:pPr>
    </w:p>
    <w:p w14:paraId="7F6D5046">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42A45AC3">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5CBE0F07">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2DD55C31">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11AA2600">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r>
        <w:rPr>
          <w:rFonts w:hint="eastAsia" w:ascii="宋体" w:hAnsi="宋体" w:eastAsia="宋体" w:cs="宋体"/>
          <w:kern w:val="0"/>
          <w:sz w:val="24"/>
          <w:szCs w:val="24"/>
          <w:shd w:val="clear" w:fill="FFFFFF"/>
          <w:lang w:val="en-US" w:eastAsia="zh-CN" w:bidi="ar"/>
        </w:rPr>
        <w:t xml:space="preserve"> </w:t>
      </w:r>
    </w:p>
    <w:p w14:paraId="39A017BE">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r>
        <w:rPr>
          <w:rFonts w:hint="eastAsia" w:ascii="宋体" w:hAnsi="宋体" w:eastAsia="宋体" w:cs="宋体"/>
          <w:kern w:val="0"/>
          <w:sz w:val="24"/>
          <w:szCs w:val="24"/>
          <w:shd w:val="clear" w:fill="FFFFFF"/>
          <w:lang w:val="en-US" w:eastAsia="zh-CN" w:bidi="ar"/>
        </w:rPr>
        <w:t xml:space="preserve"> </w:t>
      </w:r>
    </w:p>
    <w:p w14:paraId="4369CF2F">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28C46955">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4878A2BF">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27C49D54">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5C0D3DE9">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p>
    <w:p w14:paraId="402827CB">
      <w:pPr>
        <w:keepNext w:val="0"/>
        <w:keepLines w:val="0"/>
        <w:widowControl/>
        <w:suppressLineNumbers w:val="0"/>
        <w:shd w:val="clear" w:fill="FFFFFF"/>
        <w:adjustRightInd w:val="0"/>
        <w:snapToGrid w:val="0"/>
        <w:spacing w:before="0" w:beforeAutospacing="0" w:after="0" w:afterAutospacing="0" w:line="360" w:lineRule="auto"/>
        <w:ind w:left="0" w:right="0" w:firstLine="360" w:firstLineChars="150"/>
        <w:jc w:val="center"/>
        <w:outlineLvl w:val="0"/>
        <w:rPr>
          <w:rFonts w:hint="eastAsia" w:ascii="宋体" w:hAnsi="宋体" w:eastAsia="宋体" w:cs="宋体"/>
          <w:sz w:val="24"/>
          <w:szCs w:val="24"/>
          <w:shd w:val="clear" w:fill="FFFFFF"/>
          <w:lang w:val="en-US"/>
        </w:rPr>
      </w:pPr>
      <w:r>
        <w:rPr>
          <w:rFonts w:hint="eastAsia" w:ascii="宋体" w:hAnsi="宋体" w:eastAsia="宋体" w:cs="宋体"/>
          <w:kern w:val="0"/>
          <w:sz w:val="24"/>
          <w:szCs w:val="24"/>
          <w:shd w:val="clear" w:fill="FFFFFF"/>
          <w:lang w:val="en-US" w:eastAsia="zh-CN" w:bidi="ar"/>
        </w:rPr>
        <w:t xml:space="preserve"> </w:t>
      </w:r>
    </w:p>
    <w:p w14:paraId="2440C313">
      <w:pPr>
        <w:keepNext w:val="0"/>
        <w:keepLines w:val="0"/>
        <w:widowControl/>
        <w:suppressLineNumbers w:val="0"/>
        <w:shd w:val="clear" w:fill="FFFFFF"/>
        <w:adjustRightInd w:val="0"/>
        <w:snapToGrid w:val="0"/>
        <w:spacing w:before="0" w:beforeAutospacing="0" w:after="0" w:afterAutospacing="0" w:line="360" w:lineRule="auto"/>
        <w:ind w:left="0" w:right="0"/>
        <w:jc w:val="both"/>
        <w:outlineLvl w:val="0"/>
        <w:rPr>
          <w:rFonts w:hint="eastAsia" w:ascii="宋体" w:hAnsi="宋体" w:eastAsia="宋体" w:cs="宋体"/>
          <w:b/>
          <w:bCs w:val="0"/>
          <w:kern w:val="2"/>
          <w:sz w:val="24"/>
          <w:szCs w:val="24"/>
          <w:shd w:val="clear" w:fill="FFFFFF"/>
          <w:lang w:val="en-US"/>
        </w:rPr>
      </w:pPr>
      <w:bookmarkStart w:id="1" w:name="_Toc461977403"/>
      <w:bookmarkEnd w:id="1"/>
      <w:bookmarkStart w:id="2" w:name="_Toc461977412"/>
      <w:bookmarkEnd w:id="2"/>
    </w:p>
    <w:p w14:paraId="6E8874EA">
      <w:pPr>
        <w:spacing w:line="360" w:lineRule="auto"/>
        <w:rPr>
          <w:rFonts w:hint="eastAsia" w:ascii="宋体" w:hAnsi="宋体" w:eastAsia="宋体" w:cs="宋体"/>
          <w:b/>
          <w:bCs w:val="0"/>
          <w:kern w:val="2"/>
          <w:sz w:val="24"/>
          <w:szCs w:val="24"/>
          <w:lang w:val="en-US" w:eastAsia="zh-CN" w:bidi="ar"/>
        </w:rPr>
        <w:sectPr>
          <w:footerReference r:id="rId3" w:type="default"/>
          <w:pgSz w:w="11906" w:h="16838"/>
          <w:pgMar w:top="1417" w:right="1417" w:bottom="1417" w:left="1417" w:header="720" w:footer="720" w:gutter="0"/>
          <w:pgNumType w:start="1"/>
          <w:cols w:space="425" w:num="1"/>
          <w:docGrid w:type="lines" w:linePitch="312" w:charSpace="0"/>
        </w:sectPr>
      </w:pPr>
    </w:p>
    <w:p w14:paraId="4A3E50AE">
      <w:pPr>
        <w:keepNext/>
        <w:keepLines w:val="0"/>
        <w:widowControl w:val="0"/>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sz w:val="32"/>
          <w:szCs w:val="32"/>
          <w:lang w:val="en-US"/>
        </w:rPr>
      </w:pPr>
      <w:bookmarkStart w:id="3" w:name="_Toc3441"/>
      <w:bookmarkStart w:id="4" w:name="_Toc29630"/>
      <w:r>
        <w:rPr>
          <w:rFonts w:hint="eastAsia" w:ascii="宋体" w:hAnsi="宋体" w:eastAsia="宋体" w:cs="宋体"/>
          <w:b/>
          <w:bCs w:val="0"/>
          <w:kern w:val="2"/>
          <w:sz w:val="32"/>
          <w:szCs w:val="32"/>
          <w:lang w:val="en-US" w:eastAsia="zh-CN" w:bidi="ar"/>
        </w:rPr>
        <w:t>第一章    竞争性磋商公告</w:t>
      </w:r>
      <w:bookmarkEnd w:id="3"/>
      <w:bookmarkEnd w:id="4"/>
    </w:p>
    <w:p w14:paraId="481A90C9">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项目概况</w:t>
      </w:r>
    </w:p>
    <w:p w14:paraId="000422B3">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rPr>
        <w:t>湖滨区2025年城镇老旧小区改造项目监理项目</w:t>
      </w:r>
      <w:r>
        <w:rPr>
          <w:rFonts w:hint="eastAsia" w:ascii="宋体" w:hAnsi="宋体" w:eastAsia="宋体" w:cs="宋体"/>
          <w:kern w:val="2"/>
          <w:sz w:val="28"/>
          <w:szCs w:val="28"/>
          <w:lang w:val="en-US"/>
        </w:rPr>
        <w:t>招标项目的潜在</w:t>
      </w:r>
      <w:r>
        <w:rPr>
          <w:rFonts w:hint="eastAsia" w:ascii="宋体" w:hAnsi="宋体" w:eastAsia="宋体" w:cs="宋体"/>
          <w:kern w:val="2"/>
          <w:sz w:val="28"/>
          <w:szCs w:val="28"/>
          <w:lang w:val="en-US" w:eastAsia="zh-CN"/>
        </w:rPr>
        <w:t>供应商</w:t>
      </w:r>
      <w:r>
        <w:rPr>
          <w:rFonts w:hint="eastAsia" w:ascii="宋体" w:hAnsi="宋体" w:eastAsia="宋体" w:cs="宋体"/>
          <w:kern w:val="2"/>
          <w:sz w:val="28"/>
          <w:szCs w:val="28"/>
          <w:lang w:val="en-US"/>
        </w:rPr>
        <w:t>应在三门峡市公共资源交易中心网（网址：gzjy.smx.gov.cn）获取招标文件，并于2025年12月</w:t>
      </w:r>
      <w:r>
        <w:rPr>
          <w:rFonts w:hint="eastAsia" w:ascii="宋体" w:hAnsi="宋体" w:eastAsia="宋体" w:cs="宋体"/>
          <w:kern w:val="2"/>
          <w:sz w:val="28"/>
          <w:szCs w:val="28"/>
          <w:lang w:val="en-US" w:eastAsia="zh-CN"/>
        </w:rPr>
        <w:t>26</w:t>
      </w:r>
      <w:r>
        <w:rPr>
          <w:rFonts w:hint="eastAsia" w:ascii="宋体" w:hAnsi="宋体" w:eastAsia="宋体" w:cs="宋体"/>
          <w:kern w:val="2"/>
          <w:sz w:val="28"/>
          <w:szCs w:val="28"/>
          <w:lang w:val="en-US"/>
        </w:rPr>
        <w:t>日08时</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lang w:val="en-US"/>
        </w:rPr>
        <w:t>0分（北京时间）前递交响应文件。</w:t>
      </w:r>
    </w:p>
    <w:p w14:paraId="54BF1A57">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outlineLvl w:val="1"/>
        <w:rPr>
          <w:rFonts w:hint="eastAsia" w:ascii="宋体" w:hAnsi="宋体" w:eastAsia="宋体" w:cs="宋体"/>
          <w:kern w:val="2"/>
          <w:sz w:val="28"/>
          <w:szCs w:val="28"/>
          <w:lang w:val="en-US"/>
        </w:rPr>
      </w:pPr>
      <w:bookmarkStart w:id="5" w:name="_Toc2448"/>
      <w:r>
        <w:rPr>
          <w:rFonts w:hint="eastAsia" w:ascii="宋体" w:hAnsi="宋体" w:eastAsia="宋体" w:cs="宋体"/>
          <w:kern w:val="2"/>
          <w:sz w:val="28"/>
          <w:szCs w:val="28"/>
          <w:lang w:val="en-US" w:eastAsia="zh-CN" w:bidi="ar"/>
        </w:rPr>
        <w:t>一、项目</w:t>
      </w:r>
      <w:bookmarkEnd w:id="5"/>
      <w:r>
        <w:rPr>
          <w:rFonts w:hint="eastAsia" w:ascii="宋体" w:hAnsi="宋体" w:eastAsia="宋体" w:cs="宋体"/>
          <w:kern w:val="2"/>
          <w:sz w:val="28"/>
          <w:szCs w:val="28"/>
          <w:lang w:val="en-US" w:eastAsia="zh-CN" w:bidi="ar"/>
        </w:rPr>
        <w:t>基本情况</w:t>
      </w:r>
    </w:p>
    <w:p w14:paraId="714A954D">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bidi="ar"/>
        </w:rPr>
        <w:t>1、项目名称：湖滨区2025年城镇老旧小区改造项目监理项目</w:t>
      </w:r>
    </w:p>
    <w:p w14:paraId="7A016513">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bidi="ar"/>
        </w:rPr>
        <w:t>2、项目编号：湖滨竞磋采购-2025-37、SGZ[2025]587-ZC385</w:t>
      </w:r>
    </w:p>
    <w:p w14:paraId="7E622AB6">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2"/>
          <w:sz w:val="28"/>
          <w:szCs w:val="28"/>
          <w:lang w:val="en-US"/>
        </w:rPr>
      </w:pPr>
      <w:r>
        <w:rPr>
          <w:rFonts w:hint="eastAsia" w:ascii="宋体" w:hAnsi="宋体" w:eastAsia="宋体" w:cs="宋体"/>
          <w:kern w:val="2"/>
          <w:sz w:val="28"/>
          <w:szCs w:val="28"/>
          <w:lang w:val="en-US" w:eastAsia="zh-CN" w:bidi="ar"/>
        </w:rPr>
        <w:t>3、采购方式：竞争性磋商</w:t>
      </w:r>
    </w:p>
    <w:p w14:paraId="2EA9453A">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4、预算金额：777130.00元（一标段：258361.00元，二标段：321790.00元，三标段：196979.00元）</w:t>
      </w:r>
    </w:p>
    <w:p w14:paraId="51FD5512">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招标控制价：施工合同价的1.5%</w:t>
      </w:r>
    </w:p>
    <w:p w14:paraId="2A6A47E9">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5、采购需求（包括但不限于标的的名称、数量、简要技术需求或服务要求等） </w:t>
      </w:r>
    </w:p>
    <w:p w14:paraId="33B5BB39">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5.1项目概况：</w:t>
      </w:r>
      <w:bookmarkStart w:id="6" w:name="OLE_LINK6"/>
      <w:r>
        <w:rPr>
          <w:rFonts w:hint="eastAsia" w:ascii="宋体" w:hAnsi="宋体" w:eastAsia="宋体" w:cs="宋体"/>
          <w:kern w:val="2"/>
          <w:sz w:val="28"/>
          <w:szCs w:val="28"/>
          <w:lang w:val="en-US" w:eastAsia="zh-CN" w:bidi="ar"/>
        </w:rPr>
        <w:t>本工程为湖滨区2025年城镇老旧小区改造项目监理项目,主要项目内容为湖滨街道、涧河街道、车站街道、前进街道、崖底街道5个片区老旧小区的改造，主要内容包括屋面防水修复、破损场地拆除与恢复、室外雨污水管网改造等，现对该项目进行监理服务采购。</w:t>
      </w:r>
      <w:bookmarkEnd w:id="6"/>
      <w:r>
        <w:rPr>
          <w:rFonts w:hint="eastAsia" w:ascii="宋体" w:hAnsi="宋体" w:eastAsia="宋体" w:cs="宋体"/>
          <w:kern w:val="2"/>
          <w:sz w:val="28"/>
          <w:szCs w:val="28"/>
          <w:lang w:val="en-US" w:eastAsia="zh-CN" w:bidi="ar"/>
        </w:rPr>
        <w:t>具体详见磋商文件。</w:t>
      </w:r>
    </w:p>
    <w:p w14:paraId="14FDD168">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5.2监理服务期限：同施工工期及缺陷责任期；</w:t>
      </w:r>
    </w:p>
    <w:p w14:paraId="4842881D">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5.3资金来源：财政资金，已落实；</w:t>
      </w:r>
    </w:p>
    <w:p w14:paraId="2B0AD2B7">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5.4</w:t>
      </w:r>
      <w:bookmarkStart w:id="7" w:name="OLE_LINK2"/>
      <w:r>
        <w:rPr>
          <w:rFonts w:hint="eastAsia" w:ascii="宋体" w:hAnsi="宋体" w:eastAsia="宋体" w:cs="宋体"/>
          <w:kern w:val="2"/>
          <w:sz w:val="28"/>
          <w:szCs w:val="28"/>
          <w:lang w:val="en-US" w:eastAsia="zh-CN" w:bidi="ar"/>
        </w:rPr>
        <w:t>质量要求：达到国家及地方现行工程施工质量验收规范合格标准；</w:t>
      </w:r>
      <w:bookmarkEnd w:id="7"/>
    </w:p>
    <w:p w14:paraId="6510900C">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5.5建设项目地点：三门峡市湖滨区；</w:t>
      </w:r>
    </w:p>
    <w:p w14:paraId="78E7EAE0">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2"/>
          <w:sz w:val="28"/>
          <w:szCs w:val="28"/>
          <w:lang w:val="en-US" w:eastAsia="zh-CN" w:bidi="ar"/>
        </w:rPr>
        <w:t>5.6</w:t>
      </w:r>
      <w:r>
        <w:rPr>
          <w:rFonts w:hint="eastAsia" w:ascii="宋体" w:hAnsi="宋体" w:eastAsia="宋体" w:cs="宋体"/>
          <w:kern w:val="0"/>
          <w:sz w:val="28"/>
          <w:szCs w:val="28"/>
          <w:lang w:val="en-US" w:eastAsia="zh-CN" w:bidi="ar"/>
        </w:rPr>
        <w:t>磋商范围：监理范围包括全部工程内容的施工阶段监理、保修阶段监理。</w:t>
      </w:r>
    </w:p>
    <w:p w14:paraId="336C3D39">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5.7标段划分：本项目共划分三个标段：</w:t>
      </w:r>
    </w:p>
    <w:p w14:paraId="71655289">
      <w:pPr>
        <w:keepNext w:val="0"/>
        <w:keepLines w:val="0"/>
        <w:widowControl w:val="0"/>
        <w:suppressLineNumbers w:val="0"/>
        <w:adjustRightInd w:val="0"/>
        <w:snapToGrid w:val="0"/>
        <w:spacing w:before="0" w:beforeAutospacing="0" w:after="0" w:afterAutospacing="0" w:line="360" w:lineRule="auto"/>
        <w:ind w:left="0" w:right="0" w:firstLine="562" w:firstLineChars="200"/>
        <w:jc w:val="left"/>
        <w:rPr>
          <w:rFonts w:hint="eastAsia" w:ascii="宋体" w:hAnsi="宋体" w:eastAsia="宋体" w:cs="宋体"/>
          <w:kern w:val="2"/>
          <w:sz w:val="28"/>
          <w:szCs w:val="28"/>
          <w:lang w:val="en-US" w:eastAsia="zh-CN" w:bidi="ar"/>
        </w:rPr>
      </w:pPr>
      <w:bookmarkStart w:id="8" w:name="OLE_LINK1"/>
      <w:r>
        <w:rPr>
          <w:rFonts w:hint="eastAsia" w:ascii="宋体" w:hAnsi="宋体" w:eastAsia="宋体" w:cs="宋体"/>
          <w:b/>
          <w:bCs/>
          <w:kern w:val="2"/>
          <w:sz w:val="28"/>
          <w:szCs w:val="28"/>
          <w:lang w:val="en-US" w:eastAsia="zh-CN"/>
        </w:rPr>
        <w:t>一标段</w:t>
      </w:r>
      <w:bookmarkEnd w:id="8"/>
      <w:r>
        <w:rPr>
          <w:rFonts w:hint="eastAsia" w:ascii="宋体" w:hAnsi="宋体" w:eastAsia="宋体" w:cs="宋体"/>
          <w:kern w:val="2"/>
          <w:sz w:val="28"/>
          <w:szCs w:val="28"/>
          <w:lang w:val="en-US" w:eastAsia="zh-CN"/>
        </w:rPr>
        <w:t>：对</w:t>
      </w:r>
      <w:r>
        <w:rPr>
          <w:rFonts w:hint="eastAsia" w:ascii="宋体" w:hAnsi="宋体" w:eastAsia="宋体" w:cs="宋体"/>
          <w:kern w:val="2"/>
          <w:sz w:val="28"/>
          <w:szCs w:val="28"/>
          <w:lang w:val="en-US" w:eastAsia="zh-CN" w:bidi="ar"/>
        </w:rPr>
        <w:t>车站街道</w:t>
      </w:r>
      <w:bookmarkStart w:id="9" w:name="OLE_LINK4"/>
      <w:r>
        <w:rPr>
          <w:rFonts w:hint="eastAsia" w:ascii="宋体" w:hAnsi="宋体" w:eastAsia="宋体" w:cs="宋体"/>
          <w:kern w:val="2"/>
          <w:sz w:val="28"/>
          <w:szCs w:val="28"/>
          <w:lang w:val="en-US" w:eastAsia="zh-CN" w:bidi="ar"/>
        </w:rPr>
        <w:t>老旧小区</w:t>
      </w:r>
      <w:bookmarkEnd w:id="9"/>
      <w:r>
        <w:rPr>
          <w:rFonts w:hint="eastAsia" w:ascii="宋体" w:hAnsi="宋体" w:eastAsia="宋体" w:cs="宋体"/>
          <w:kern w:val="2"/>
          <w:sz w:val="28"/>
          <w:szCs w:val="28"/>
          <w:lang w:val="en-US" w:eastAsia="zh-CN" w:bidi="ar"/>
        </w:rPr>
        <w:t>拟实施改造范围主要包括屋面防水修复、破损场地拆除与恢复、室外雨污水管网改造、太阳能路灯、楼梯间内墙翻新、小区线束整理、外墙翻新、充电车棚、小区弱电改造等建设内容。</w:t>
      </w:r>
    </w:p>
    <w:p w14:paraId="3AA10AB0">
      <w:pPr>
        <w:keepNext w:val="0"/>
        <w:keepLines w:val="0"/>
        <w:widowControl w:val="0"/>
        <w:suppressLineNumbers w:val="0"/>
        <w:adjustRightInd w:val="0"/>
        <w:snapToGrid w:val="0"/>
        <w:spacing w:before="0" w:beforeAutospacing="0" w:after="0" w:afterAutospacing="0" w:line="360" w:lineRule="auto"/>
        <w:ind w:left="0" w:right="0" w:firstLine="562" w:firstLineChars="200"/>
        <w:jc w:val="left"/>
        <w:rPr>
          <w:rFonts w:hint="eastAsia" w:ascii="宋体" w:hAnsi="宋体" w:eastAsia="宋体" w:cs="宋体"/>
          <w:kern w:val="2"/>
          <w:sz w:val="28"/>
          <w:szCs w:val="28"/>
          <w:lang w:val="en-US" w:eastAsia="zh-CN" w:bidi="ar"/>
        </w:rPr>
      </w:pPr>
      <w:r>
        <w:rPr>
          <w:rFonts w:hint="eastAsia" w:ascii="宋体" w:hAnsi="宋体" w:eastAsia="宋体" w:cs="宋体"/>
          <w:b/>
          <w:bCs/>
          <w:kern w:val="2"/>
          <w:sz w:val="28"/>
          <w:szCs w:val="28"/>
          <w:lang w:val="en-US" w:eastAsia="zh-CN"/>
        </w:rPr>
        <w:t>二标段</w:t>
      </w:r>
      <w:r>
        <w:rPr>
          <w:rFonts w:hint="eastAsia" w:ascii="宋体" w:hAnsi="宋体" w:eastAsia="宋体" w:cs="宋体"/>
          <w:kern w:val="2"/>
          <w:sz w:val="28"/>
          <w:szCs w:val="28"/>
          <w:lang w:val="en-US" w:eastAsia="zh-CN"/>
        </w:rPr>
        <w:t>：对涧河街道老旧小区拟实施改造范围主要包括拆除原有屋面防水卷材、屋面找坡找平层修复、屋面新做防水、落水管更换、小区地面修复、小区监控、小区路灯、围墙粉刷、污水管道修复、雨水管网修复、新建室外管沟、建筑楼梯间整修、电线整理等建设内容。</w:t>
      </w:r>
    </w:p>
    <w:p w14:paraId="4B789621">
      <w:pPr>
        <w:keepNext w:val="0"/>
        <w:keepLines w:val="0"/>
        <w:widowControl w:val="0"/>
        <w:suppressLineNumbers w:val="0"/>
        <w:adjustRightInd w:val="0"/>
        <w:snapToGrid w:val="0"/>
        <w:spacing w:before="0" w:beforeAutospacing="0" w:after="0" w:afterAutospacing="0" w:line="360" w:lineRule="auto"/>
        <w:ind w:left="0" w:right="0" w:firstLine="562" w:firstLineChars="200"/>
        <w:jc w:val="left"/>
        <w:rPr>
          <w:rFonts w:hint="default" w:ascii="宋体" w:hAnsi="宋体" w:eastAsia="宋体" w:cs="宋体"/>
          <w:kern w:val="2"/>
          <w:sz w:val="28"/>
          <w:szCs w:val="28"/>
          <w:lang w:val="en-US" w:eastAsia="zh-CN" w:bidi="ar"/>
        </w:rPr>
      </w:pPr>
      <w:r>
        <w:rPr>
          <w:rFonts w:hint="eastAsia" w:ascii="宋体" w:hAnsi="宋体" w:eastAsia="宋体" w:cs="宋体"/>
          <w:b/>
          <w:bCs/>
          <w:kern w:val="2"/>
          <w:sz w:val="28"/>
          <w:szCs w:val="28"/>
          <w:lang w:val="en-US" w:eastAsia="zh-CN"/>
        </w:rPr>
        <w:t>三标段</w:t>
      </w:r>
      <w:r>
        <w:rPr>
          <w:rFonts w:hint="eastAsia" w:ascii="宋体" w:hAnsi="宋体" w:eastAsia="宋体" w:cs="宋体"/>
          <w:kern w:val="2"/>
          <w:sz w:val="28"/>
          <w:szCs w:val="28"/>
          <w:lang w:val="en-US" w:eastAsia="zh-CN"/>
        </w:rPr>
        <w:t>：</w:t>
      </w:r>
      <w:r>
        <w:rPr>
          <w:rFonts w:hint="eastAsia" w:ascii="宋体" w:hAnsi="宋体" w:eastAsia="宋体" w:cs="宋体"/>
          <w:b w:val="0"/>
          <w:bCs w:val="0"/>
          <w:kern w:val="2"/>
          <w:sz w:val="28"/>
          <w:szCs w:val="28"/>
          <w:lang w:val="en-US" w:eastAsia="zh-CN"/>
        </w:rPr>
        <w:t>湖滨街道：</w:t>
      </w:r>
      <w:r>
        <w:rPr>
          <w:rFonts w:hint="eastAsia" w:ascii="宋体" w:hAnsi="宋体" w:eastAsia="宋体" w:cs="宋体"/>
          <w:kern w:val="2"/>
          <w:sz w:val="28"/>
          <w:szCs w:val="28"/>
          <w:lang w:val="en-US" w:eastAsia="zh-CN"/>
        </w:rPr>
        <w:t>拟实施改造范围主要包括破损场地拆除与恢复、屋面防水、充电车棚、污水管、污水井、雨水管雨水井、雨水篦子、地沟、围墙整修、悬臂灯、小区监控、配电线等建设内容，电线整理等建设内容。前进街道：实施改造范围主要包括屋面防水修复、破损场地拆除与恢复、室外雨污水管网改造、太阳能路灯、楼梯间内墙翻新、外墙外保温改造、充电车棚、小区弱电改造等建设内容。崖底街道：实施改造范围主要包括屋面防水修复、破损场地拆除与恢复、太阳能路灯、楼梯间内墙翻新等建设内容及建设局弱电改项目。</w:t>
      </w:r>
    </w:p>
    <w:p w14:paraId="00AB6653">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5.8、安全控制目标：无安全事故。</w:t>
      </w:r>
    </w:p>
    <w:p w14:paraId="337CA4B4">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6、合同履行期限：同施工工期及缺陷责任期</w:t>
      </w:r>
    </w:p>
    <w:p w14:paraId="35269B66">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7、本项目是否接受联合体投标：否</w:t>
      </w:r>
    </w:p>
    <w:p w14:paraId="6793B2CB">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8、是否接受进口产品：否</w:t>
      </w:r>
    </w:p>
    <w:p w14:paraId="50B07B10">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9、是否专门面向中小企业：否</w:t>
      </w:r>
    </w:p>
    <w:p w14:paraId="46B78023">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outlineLvl w:val="1"/>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bidi="ar"/>
        </w:rPr>
        <w:t>二、供应商资格要求</w:t>
      </w:r>
    </w:p>
    <w:p w14:paraId="55AC13BC">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sz w:val="28"/>
          <w:szCs w:val="28"/>
          <w:lang w:val="en-US"/>
        </w:rPr>
        <w:t>1、满足《中华人民共和国政府采购法》第二十二条规定；</w:t>
      </w:r>
    </w:p>
    <w:p w14:paraId="7099447C">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sz w:val="28"/>
          <w:szCs w:val="28"/>
          <w:lang w:val="en-US"/>
        </w:rPr>
        <w:t>2、落实政府采购政策需满足的资格要求：</w:t>
      </w:r>
    </w:p>
    <w:p w14:paraId="680FBF6C">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sz w:val="28"/>
          <w:szCs w:val="28"/>
          <w:lang w:val="en-US"/>
        </w:rPr>
        <w:t>本项目非专门面向中小微企业采购项目,执行促进中小企业发展等政府采购政策。</w:t>
      </w:r>
    </w:p>
    <w:p w14:paraId="7A4D80EF">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3.本项目的特定资格要求：</w:t>
      </w:r>
    </w:p>
    <w:p w14:paraId="1F2FCFD4">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2"/>
          <w:sz w:val="28"/>
          <w:szCs w:val="28"/>
          <w:highlight w:val="none"/>
          <w:lang w:val="en-US"/>
        </w:rPr>
      </w:pPr>
      <w:r>
        <w:rPr>
          <w:rFonts w:hint="eastAsia" w:ascii="宋体" w:hAnsi="宋体" w:eastAsia="宋体" w:cs="宋体"/>
          <w:kern w:val="0"/>
          <w:sz w:val="28"/>
          <w:szCs w:val="28"/>
          <w:lang w:val="en-US" w:eastAsia="zh-CN" w:bidi="ar"/>
        </w:rPr>
        <w:t>3.1供应商须</w:t>
      </w:r>
      <w:r>
        <w:rPr>
          <w:rFonts w:hint="eastAsia" w:ascii="宋体" w:hAnsi="宋体" w:eastAsia="宋体" w:cs="宋体"/>
          <w:kern w:val="2"/>
          <w:sz w:val="28"/>
          <w:szCs w:val="28"/>
          <w:lang w:val="en-US" w:eastAsia="zh-CN" w:bidi="ar"/>
        </w:rPr>
        <w:t>具有有效的营</w:t>
      </w:r>
      <w:r>
        <w:rPr>
          <w:rFonts w:hint="eastAsia" w:ascii="宋体" w:hAnsi="宋体" w:eastAsia="宋体" w:cs="宋体"/>
          <w:kern w:val="2"/>
          <w:sz w:val="28"/>
          <w:szCs w:val="28"/>
          <w:highlight w:val="none"/>
          <w:lang w:val="en-US" w:eastAsia="zh-CN" w:bidi="ar"/>
        </w:rPr>
        <w:t>业执照。</w:t>
      </w:r>
    </w:p>
    <w:p w14:paraId="5446078A">
      <w:pPr>
        <w:keepNext w:val="0"/>
        <w:keepLines w:val="0"/>
        <w:widowControl w:val="0"/>
        <w:suppressLineNumbers w:val="0"/>
        <w:adjustRightInd w:val="0"/>
        <w:snapToGrid w:val="0"/>
        <w:spacing w:before="0" w:beforeAutospacing="0" w:after="0" w:afterAutospacing="0" w:line="240" w:lineRule="auto"/>
        <w:ind w:left="0" w:right="-168" w:rightChars="-80" w:firstLine="560" w:firstLineChars="200"/>
        <w:jc w:val="left"/>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eastAsia="zh-CN" w:bidi="ar"/>
        </w:rPr>
        <w:t>3.2须具备工程监理综合资质或房屋建筑工程专业监理乙级及以上资质，并在人员、设备、资金等方面具有相应的监理服务能力。</w:t>
      </w:r>
    </w:p>
    <w:p w14:paraId="116687EE">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3.3</w:t>
      </w:r>
      <w:r>
        <w:rPr>
          <w:rFonts w:hint="eastAsia" w:ascii="宋体" w:hAnsi="宋体" w:eastAsia="宋体" w:cs="宋体"/>
          <w:sz w:val="28"/>
          <w:szCs w:val="28"/>
          <w:highlight w:val="none"/>
        </w:rPr>
        <w:t>供应商拟派项目总监理工程师具备国家建设行政主管部门颁发的房屋建筑专业注册监理工程师执业资格；</w:t>
      </w:r>
    </w:p>
    <w:p w14:paraId="77F250F3">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3.4</w:t>
      </w:r>
      <w:r>
        <w:rPr>
          <w:rFonts w:hint="eastAsia" w:ascii="宋体" w:hAnsi="宋体" w:eastAsia="宋体" w:cs="宋体"/>
          <w:sz w:val="28"/>
          <w:szCs w:val="28"/>
          <w:highlight w:val="none"/>
        </w:rPr>
        <w:t>供应商出具本企业的无商业贿赂和不正当竞争行为承诺书，格式自拟。</w:t>
      </w:r>
    </w:p>
    <w:p w14:paraId="033059F3">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3.5</w:t>
      </w:r>
      <w:r>
        <w:rPr>
          <w:rFonts w:hint="eastAsia" w:ascii="宋体" w:hAnsi="宋体" w:eastAsia="宋体" w:cs="宋体"/>
          <w:sz w:val="28"/>
          <w:szCs w:val="28"/>
          <w:highlight w:val="none"/>
        </w:rPr>
        <w:t>企业出具在中国裁判文书网（http://wenshu.court.gov.cn）自行查询的无行贿犯罪记录或自行承诺（对象：企业、法定代表人）。</w:t>
      </w:r>
    </w:p>
    <w:p w14:paraId="06249895">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3.6</w:t>
      </w:r>
      <w:r>
        <w:rPr>
          <w:rFonts w:hint="eastAsia" w:ascii="宋体" w:hAnsi="宋体" w:eastAsia="宋体" w:cs="宋体"/>
          <w:sz w:val="28"/>
          <w:szCs w:val="28"/>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w:t>
      </w:r>
      <w:r>
        <w:rPr>
          <w:rFonts w:hint="eastAsia" w:ascii="宋体" w:hAnsi="宋体" w:eastAsia="宋体" w:cs="宋体"/>
          <w:sz w:val="28"/>
          <w:szCs w:val="28"/>
          <w:highlight w:val="none"/>
          <w:lang w:eastAsia="zh-CN"/>
        </w:rPr>
        <w:t xml:space="preserve"> </w:t>
      </w:r>
      <w:r>
        <w:rPr>
          <w:rFonts w:hint="eastAsia" w:ascii="宋体" w:hAnsi="宋体" w:eastAsia="宋体" w:cs="宋体"/>
          <w:sz w:val="28"/>
          <w:szCs w:val="28"/>
          <w:highlight w:val="none"/>
        </w:rPr>
        <w:t>（查询时间从磋商公告发布之后）</w:t>
      </w:r>
    </w:p>
    <w:p w14:paraId="23EDA292">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3.7</w:t>
      </w:r>
      <w:r>
        <w:rPr>
          <w:rFonts w:hint="eastAsia" w:ascii="宋体" w:hAnsi="宋体" w:eastAsia="宋体" w:cs="宋体"/>
          <w:sz w:val="28"/>
          <w:szCs w:val="28"/>
          <w:highlight w:val="none"/>
        </w:rPr>
        <w:t>本次磋商不接受联合体。</w:t>
      </w:r>
    </w:p>
    <w:p w14:paraId="42585928">
      <w:pPr>
        <w:keepNext w:val="0"/>
        <w:keepLines w:val="0"/>
        <w:pageBreakBefore w:val="0"/>
        <w:widowControl w:val="0"/>
        <w:kinsoku/>
        <w:overflowPunct/>
        <w:autoSpaceDE/>
        <w:autoSpaceDN/>
        <w:bidi w:val="0"/>
        <w:adjustRightInd/>
        <w:snapToGrid/>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w:t>
      </w:r>
      <w:r>
        <w:rPr>
          <w:rFonts w:hint="eastAsia" w:ascii="宋体" w:hAnsi="宋体" w:eastAsia="宋体" w:cs="宋体"/>
          <w:sz w:val="28"/>
          <w:szCs w:val="28"/>
          <w:highlight w:val="none"/>
        </w:rPr>
        <w:t>本次磋商实行资格后审，资格审查的具体要求见竞争性磋商文件。</w:t>
      </w:r>
    </w:p>
    <w:p w14:paraId="123528A6">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bookmarkStart w:id="10" w:name="_Toc22930"/>
      <w:bookmarkStart w:id="11" w:name="_Toc12521"/>
      <w:r>
        <w:rPr>
          <w:rFonts w:hint="eastAsia" w:ascii="宋体" w:hAnsi="宋体" w:eastAsia="宋体" w:cs="宋体"/>
          <w:kern w:val="2"/>
          <w:sz w:val="28"/>
          <w:szCs w:val="28"/>
          <w:lang w:val="en-US" w:eastAsia="zh-CN" w:bidi="ar"/>
        </w:rPr>
        <w:t>三、获取磋商文件：</w:t>
      </w:r>
    </w:p>
    <w:p w14:paraId="67741D07">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 时间：2025年12月13日至2025年12月25日，每天上午00:00至12:00，下午12:01至23:59（北京时间，法定节假日除外）。</w:t>
      </w:r>
    </w:p>
    <w:p w14:paraId="7C8B95A7">
      <w:pPr>
        <w:keepNext w:val="0"/>
        <w:keepLines w:val="0"/>
        <w:widowControl/>
        <w:suppressLineNumbers w:val="0"/>
        <w:adjustRightInd w:val="0"/>
        <w:snapToGrid w:val="0"/>
        <w:spacing w:before="0" w:beforeAutospacing="0" w:after="0" w:afterAutospacing="0" w:line="360" w:lineRule="auto"/>
        <w:ind w:left="0" w:right="-586" w:rightChars="-279"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2、地点：三门峡市公共资源交易中心网（网址：http://gzjy.smx.gov.cn/）</w:t>
      </w:r>
    </w:p>
    <w:p w14:paraId="0E5F9380">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1E47862F">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具体操作请查看以下链接：http://gzjy.smx.gov.cn/</w:t>
      </w:r>
    </w:p>
    <w:p w14:paraId="71AD73D7">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CA证书：http://gzjy.smx.gov.cn/bzzx/008001/20211105/57b16af9-ab87-4395-a723-7758c628a3f8.html</w:t>
      </w:r>
    </w:p>
    <w:p w14:paraId="41137CDC">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本项目为不见面开标项目。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7FADD61">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5、根据《关于进一步加强公共资源交易管理持续优化营商环境的通知》（三公管办[2020]2号）文件的要求，磋商文件费用不再收取。</w:t>
      </w:r>
    </w:p>
    <w:p w14:paraId="2151294F">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四、响应文件提交</w:t>
      </w:r>
    </w:p>
    <w:p w14:paraId="06574512">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1、截止时间：2025年12月26日8时20分（北京时间）</w:t>
      </w:r>
    </w:p>
    <w:p w14:paraId="2F1BEA88">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2、地点：加密电子竞争性磋商响应文件须在磋商截止时间前通过三门峡市公共资源交易中心电子交易平台加密上传。</w:t>
      </w:r>
    </w:p>
    <w:p w14:paraId="1B874D04">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五、响应文件开启</w:t>
      </w:r>
    </w:p>
    <w:p w14:paraId="5882805A">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1、时间：2025年12月26日8时20分（北京时间）</w:t>
      </w:r>
    </w:p>
    <w:p w14:paraId="31EFDA9B">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2、地点：三门峡市公共资源交易中心五楼开标区</w:t>
      </w:r>
    </w:p>
    <w:p w14:paraId="58AA2F46">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六、发布公告的媒介及公告期限</w:t>
      </w:r>
    </w:p>
    <w:p w14:paraId="59802AC5">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本次公告同时在《河南省政府采购网》、《中国采购与招标网》、《三门峡市公共资源交易中心网》上发布。</w:t>
      </w:r>
    </w:p>
    <w:p w14:paraId="5A50E20C">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七、其他补充事宜</w:t>
      </w:r>
    </w:p>
    <w:p w14:paraId="6FDA88AA">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1、资格评（预）审部分：资格评（预）以响应文件为准，其上传资料真实性由供应商自行承担。</w:t>
      </w:r>
    </w:p>
    <w:p w14:paraId="59797C5A">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2、评标打分部分：评标打分部分仍按照100分制原则进行，涉及到资格审查、企业荣誉、人员业绩、企业业绩等计分部分时，以供应商自行上传到响应文件中的相应内容为准。</w:t>
      </w:r>
    </w:p>
    <w:p w14:paraId="4426E973">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14:paraId="139A6096">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4、我单位（采购人）严格按三财购【2021】9号文要求的时限发布中标结果公告，发出中标通知书，签订采购合同，上传采购合同。</w:t>
      </w:r>
    </w:p>
    <w:p w14:paraId="70E3F641">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5、供应商应仔细阅读操作手册，在本公告中要求的截止时间前完成磋商文件下载等工作。因供应商操作不当等问题造成的无法下载磋商文件、无法磋商等一切后果，由供应商自行承担。</w:t>
      </w:r>
    </w:p>
    <w:p w14:paraId="13BBB7CE">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6、供应商递交的响应文件不论中标与否均不予退还。</w:t>
      </w:r>
    </w:p>
    <w:p w14:paraId="255CA6E9">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7、采购人不组织供应商踏勘现场。</w:t>
      </w:r>
    </w:p>
    <w:p w14:paraId="1917FDD9">
      <w:pPr>
        <w:keepNext w:val="0"/>
        <w:keepLines w:val="0"/>
        <w:widowControl/>
        <w:suppressLineNumbers w:val="0"/>
        <w:adjustRightInd w:val="0"/>
        <w:snapToGrid w:val="0"/>
        <w:spacing w:before="0" w:beforeAutospacing="0" w:after="0" w:afterAutospacing="0" w:line="360" w:lineRule="auto"/>
        <w:ind w:left="0" w:right="0" w:firstLine="560" w:firstLineChars="200"/>
        <w:jc w:val="left"/>
        <w:outlineLvl w:val="0"/>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bidi="ar"/>
        </w:rPr>
        <w:t>八、联系方式</w:t>
      </w:r>
      <w:bookmarkEnd w:id="10"/>
      <w:bookmarkEnd w:id="11"/>
    </w:p>
    <w:p w14:paraId="5C987DE5">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监督单位：三门峡市湖滨区建设工程施工招标投标管理办公室</w:t>
      </w:r>
    </w:p>
    <w:p w14:paraId="479B1EE4">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联系电话：0398-2906166</w:t>
      </w:r>
    </w:p>
    <w:p w14:paraId="36CC4C76">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采购人：三门峡市湖滨区建设局</w:t>
      </w:r>
    </w:p>
    <w:p w14:paraId="319A9671">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地址：三门峡市湖滨区青龙路科创大厦八楼</w:t>
      </w:r>
    </w:p>
    <w:p w14:paraId="6E4D8D41">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联系人：赵先生</w:t>
      </w:r>
    </w:p>
    <w:p w14:paraId="07BC0549">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联系电话：0398-2958508</w:t>
      </w:r>
    </w:p>
    <w:p w14:paraId="341F56FA">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采购代理机构：傲唐集团有限公司</w:t>
      </w:r>
    </w:p>
    <w:p w14:paraId="0FF2DB6D">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地址：</w:t>
      </w:r>
      <w:bookmarkStart w:id="12" w:name="OLE_LINK5"/>
      <w:r>
        <w:rPr>
          <w:rFonts w:hint="eastAsia" w:ascii="宋体" w:hAnsi="宋体" w:eastAsia="宋体" w:cs="宋体"/>
          <w:kern w:val="0"/>
          <w:sz w:val="28"/>
          <w:szCs w:val="28"/>
          <w:lang w:val="en-US" w:eastAsia="zh-CN" w:bidi="ar"/>
        </w:rPr>
        <w:t>河南省三门峡市湖滨区义乌商贸城四楼4109室</w:t>
      </w:r>
      <w:bookmarkEnd w:id="12"/>
    </w:p>
    <w:p w14:paraId="5B1A7BD0">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联系人：王先生</w:t>
      </w:r>
    </w:p>
    <w:p w14:paraId="63BA123B">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联系电话：15039820114</w:t>
      </w:r>
    </w:p>
    <w:p w14:paraId="0959645D">
      <w:pPr>
        <w:keepNext w:val="0"/>
        <w:keepLines w:val="0"/>
        <w:widowControl w:val="0"/>
        <w:suppressLineNumbers w:val="0"/>
        <w:adjustRightInd w:val="0"/>
        <w:snapToGrid w:val="0"/>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sectPr>
          <w:footerReference r:id="rId4" w:type="default"/>
          <w:pgSz w:w="11906" w:h="16838"/>
          <w:pgMar w:top="1417" w:right="1417" w:bottom="1417" w:left="1217" w:header="851" w:footer="992" w:gutter="0"/>
          <w:pgNumType w:start="1"/>
          <w:cols w:space="425" w:num="1"/>
          <w:docGrid w:type="lines" w:linePitch="312" w:charSpace="0"/>
        </w:sectPr>
      </w:pPr>
    </w:p>
    <w:p w14:paraId="14280EE2">
      <w:pPr>
        <w:keepNext/>
        <w:keepLines w:val="0"/>
        <w:widowControl w:val="0"/>
        <w:suppressLineNumbers w:val="0"/>
        <w:adjustRightInd w:val="0"/>
        <w:snapToGrid w:val="0"/>
        <w:spacing w:before="0" w:beforeAutospacing="0" w:after="0" w:afterAutospacing="0" w:line="360" w:lineRule="auto"/>
        <w:ind w:left="0" w:right="0"/>
        <w:jc w:val="center"/>
        <w:outlineLvl w:val="0"/>
        <w:rPr>
          <w:rFonts w:hint="eastAsia" w:ascii="宋体" w:hAnsi="宋体" w:eastAsia="宋体" w:cs="宋体"/>
          <w:b/>
          <w:bCs w:val="0"/>
          <w:kern w:val="2"/>
          <w:sz w:val="32"/>
          <w:szCs w:val="32"/>
          <w:lang w:val="en-US"/>
        </w:rPr>
      </w:pPr>
      <w:bookmarkStart w:id="13" w:name="_Toc29104"/>
      <w:bookmarkStart w:id="14" w:name="_Toc7224"/>
      <w:r>
        <w:rPr>
          <w:rFonts w:hint="eastAsia" w:ascii="宋体" w:hAnsi="宋体" w:eastAsia="宋体" w:cs="宋体"/>
          <w:b/>
          <w:bCs w:val="0"/>
          <w:kern w:val="2"/>
          <w:sz w:val="32"/>
          <w:szCs w:val="32"/>
          <w:lang w:val="en-US" w:eastAsia="zh-CN" w:bidi="ar"/>
        </w:rPr>
        <w:t>第二章    供应商须知</w:t>
      </w:r>
      <w:bookmarkEnd w:id="13"/>
      <w:bookmarkEnd w:id="14"/>
    </w:p>
    <w:p w14:paraId="3EA8CBA8">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供应商须知前附表</w:t>
      </w:r>
    </w:p>
    <w:tbl>
      <w:tblPr>
        <w:tblStyle w:val="18"/>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5"/>
        <w:gridCol w:w="20"/>
        <w:gridCol w:w="6570"/>
      </w:tblGrid>
      <w:tr w14:paraId="052F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974" w:type="dxa"/>
            <w:noWrap w:val="0"/>
            <w:vAlign w:val="center"/>
          </w:tcPr>
          <w:p w14:paraId="01D0853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72" w:type="dxa"/>
            <w:noWrap w:val="0"/>
            <w:vAlign w:val="center"/>
          </w:tcPr>
          <w:p w14:paraId="08F8FB3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 称</w:t>
            </w:r>
          </w:p>
        </w:tc>
        <w:tc>
          <w:tcPr>
            <w:tcW w:w="6595" w:type="dxa"/>
            <w:gridSpan w:val="3"/>
            <w:noWrap w:val="0"/>
            <w:vAlign w:val="center"/>
          </w:tcPr>
          <w:p w14:paraId="6F09B05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 容</w:t>
            </w:r>
          </w:p>
        </w:tc>
      </w:tr>
      <w:tr w14:paraId="2777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974" w:type="dxa"/>
            <w:noWrap w:val="0"/>
            <w:vAlign w:val="center"/>
          </w:tcPr>
          <w:p w14:paraId="722C731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072" w:type="dxa"/>
            <w:noWrap w:val="0"/>
            <w:vAlign w:val="center"/>
          </w:tcPr>
          <w:p w14:paraId="0D6C0F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w:t>
            </w:r>
          </w:p>
        </w:tc>
        <w:tc>
          <w:tcPr>
            <w:tcW w:w="6595" w:type="dxa"/>
            <w:gridSpan w:val="3"/>
            <w:noWrap w:val="0"/>
            <w:vAlign w:val="center"/>
          </w:tcPr>
          <w:p w14:paraId="51EF9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采购人：三门峡市湖滨区建设局</w:t>
            </w:r>
          </w:p>
          <w:p w14:paraId="74E9B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地址：三门峡市湖滨区青龙路科创大厦八楼</w:t>
            </w:r>
          </w:p>
          <w:p w14:paraId="0C561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联系人：赵先生</w:t>
            </w:r>
          </w:p>
          <w:p w14:paraId="356F8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联系电话：0398-2958508</w:t>
            </w:r>
          </w:p>
        </w:tc>
      </w:tr>
      <w:tr w14:paraId="17DB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974" w:type="dxa"/>
            <w:noWrap w:val="0"/>
            <w:vAlign w:val="center"/>
          </w:tcPr>
          <w:p w14:paraId="7137AAD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072" w:type="dxa"/>
            <w:noWrap w:val="0"/>
            <w:vAlign w:val="center"/>
          </w:tcPr>
          <w:p w14:paraId="713B6C7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6595" w:type="dxa"/>
            <w:gridSpan w:val="3"/>
            <w:noWrap w:val="0"/>
            <w:vAlign w:val="center"/>
          </w:tcPr>
          <w:p w14:paraId="45660571">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采购代理机构：傲唐集团有限公司</w:t>
            </w:r>
          </w:p>
          <w:p w14:paraId="024D87E2">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地址：河南省三门峡市湖滨区义乌商贸城四楼4109室</w:t>
            </w:r>
          </w:p>
          <w:p w14:paraId="2705CA9A">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联系人：王先生</w:t>
            </w:r>
          </w:p>
          <w:p w14:paraId="6A83E482">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联系电话：15039820114</w:t>
            </w:r>
          </w:p>
        </w:tc>
      </w:tr>
      <w:tr w14:paraId="052D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74" w:type="dxa"/>
            <w:noWrap w:val="0"/>
            <w:vAlign w:val="center"/>
          </w:tcPr>
          <w:p w14:paraId="12AB39A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072" w:type="dxa"/>
            <w:noWrap w:val="0"/>
            <w:vAlign w:val="center"/>
          </w:tcPr>
          <w:p w14:paraId="747399A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595" w:type="dxa"/>
            <w:gridSpan w:val="3"/>
            <w:noWrap w:val="0"/>
            <w:vAlign w:val="center"/>
          </w:tcPr>
          <w:p w14:paraId="49A13BC6">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湖滨区2025年城镇老旧小区改造项目监理项目</w:t>
            </w:r>
          </w:p>
        </w:tc>
      </w:tr>
      <w:tr w14:paraId="6F5D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74" w:type="dxa"/>
            <w:noWrap w:val="0"/>
            <w:vAlign w:val="center"/>
          </w:tcPr>
          <w:p w14:paraId="5F94DF3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072" w:type="dxa"/>
            <w:noWrap w:val="0"/>
            <w:vAlign w:val="center"/>
          </w:tcPr>
          <w:p w14:paraId="0C568B3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6595" w:type="dxa"/>
            <w:gridSpan w:val="3"/>
            <w:noWrap w:val="0"/>
            <w:vAlign w:val="center"/>
          </w:tcPr>
          <w:p w14:paraId="4401B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本工程为湖滨区2025年城镇老旧小区改造项目监理项目,主要项目内容为湖滨街道、涧河街道、车站街道、前进街道、崖底街道5个片区老旧小区的改造，主要内容包括屋面防水修复、破损场地拆除与恢复、室外雨污水管网改造等，现对该项目进行监理服务采购。具体详见磋商文件。</w:t>
            </w:r>
          </w:p>
        </w:tc>
      </w:tr>
      <w:tr w14:paraId="5949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4" w:type="dxa"/>
            <w:noWrap w:val="0"/>
            <w:vAlign w:val="center"/>
          </w:tcPr>
          <w:p w14:paraId="738AFD3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072" w:type="dxa"/>
            <w:noWrap w:val="0"/>
            <w:vAlign w:val="center"/>
          </w:tcPr>
          <w:p w14:paraId="39AE5DC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资金来源及落实情况</w:t>
            </w:r>
          </w:p>
        </w:tc>
        <w:tc>
          <w:tcPr>
            <w:tcW w:w="6595" w:type="dxa"/>
            <w:gridSpan w:val="3"/>
            <w:noWrap w:val="0"/>
            <w:vAlign w:val="center"/>
          </w:tcPr>
          <w:p w14:paraId="22447D9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财政</w:t>
            </w:r>
            <w:r>
              <w:rPr>
                <w:rFonts w:hint="eastAsia" w:ascii="宋体" w:hAnsi="宋体" w:eastAsia="宋体" w:cs="宋体"/>
                <w:sz w:val="24"/>
                <w:szCs w:val="24"/>
                <w:lang w:val="en-US" w:eastAsia="zh-CN"/>
              </w:rPr>
              <w:t>资金，已落实</w:t>
            </w:r>
          </w:p>
        </w:tc>
      </w:tr>
      <w:tr w14:paraId="0D86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460D365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072" w:type="dxa"/>
            <w:noWrap w:val="0"/>
            <w:vAlign w:val="center"/>
          </w:tcPr>
          <w:p w14:paraId="6F032B8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招标控制价</w:t>
            </w:r>
          </w:p>
          <w:p w14:paraId="02ED267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w:t>
            </w:r>
          </w:p>
        </w:tc>
        <w:tc>
          <w:tcPr>
            <w:tcW w:w="6595" w:type="dxa"/>
            <w:gridSpan w:val="3"/>
            <w:noWrap w:val="0"/>
            <w:vAlign w:val="center"/>
          </w:tcPr>
          <w:p w14:paraId="67C3CAE6">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招标控制价：施工合同价的1.5%。</w:t>
            </w:r>
          </w:p>
          <w:p w14:paraId="6CB0DE2D">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供应商磋商报价超出“ 招标控制价”（不含等于“ 招标控制价”）的，该供应商的响应文件应作无效标处理。</w:t>
            </w:r>
          </w:p>
        </w:tc>
      </w:tr>
      <w:tr w14:paraId="4851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4" w:type="dxa"/>
            <w:noWrap w:val="0"/>
            <w:vAlign w:val="center"/>
          </w:tcPr>
          <w:p w14:paraId="619985A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72" w:type="dxa"/>
            <w:noWrap w:val="0"/>
            <w:vAlign w:val="center"/>
          </w:tcPr>
          <w:p w14:paraId="66194638">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磋商范围</w:t>
            </w:r>
          </w:p>
        </w:tc>
        <w:tc>
          <w:tcPr>
            <w:tcW w:w="6595" w:type="dxa"/>
            <w:gridSpan w:val="3"/>
            <w:noWrap w:val="0"/>
            <w:vAlign w:val="center"/>
          </w:tcPr>
          <w:p w14:paraId="63E7E0B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监理范围包括全部工程内容的施工阶段监理、保修阶段监理</w:t>
            </w:r>
          </w:p>
        </w:tc>
      </w:tr>
      <w:tr w14:paraId="4D5B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74" w:type="dxa"/>
            <w:noWrap w:val="0"/>
            <w:vAlign w:val="center"/>
          </w:tcPr>
          <w:p w14:paraId="1FEC775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72" w:type="dxa"/>
            <w:noWrap w:val="0"/>
            <w:vAlign w:val="center"/>
          </w:tcPr>
          <w:p w14:paraId="70FDF5CD">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监理服务期限</w:t>
            </w:r>
          </w:p>
        </w:tc>
        <w:tc>
          <w:tcPr>
            <w:tcW w:w="6595" w:type="dxa"/>
            <w:gridSpan w:val="3"/>
            <w:noWrap w:val="0"/>
            <w:vAlign w:val="center"/>
          </w:tcPr>
          <w:p w14:paraId="56A3CBF4">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同施工工期及缺陷责任期</w:t>
            </w:r>
          </w:p>
        </w:tc>
      </w:tr>
      <w:tr w14:paraId="757F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74" w:type="dxa"/>
            <w:noWrap w:val="0"/>
            <w:vAlign w:val="center"/>
          </w:tcPr>
          <w:p w14:paraId="3693D00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72" w:type="dxa"/>
            <w:noWrap w:val="0"/>
            <w:vAlign w:val="center"/>
          </w:tcPr>
          <w:p w14:paraId="7DE3F76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
              </w:rPr>
              <w:t>质量要求</w:t>
            </w:r>
          </w:p>
        </w:tc>
        <w:tc>
          <w:tcPr>
            <w:tcW w:w="6595" w:type="dxa"/>
            <w:gridSpan w:val="3"/>
            <w:noWrap w:val="0"/>
            <w:vAlign w:val="center"/>
          </w:tcPr>
          <w:p w14:paraId="1B75D94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
              </w:rPr>
              <w:t>达到国家及地方现行工程施工质量验收规范合格标准</w:t>
            </w:r>
          </w:p>
        </w:tc>
      </w:tr>
      <w:tr w14:paraId="75F1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4" w:type="dxa"/>
            <w:noWrap w:val="0"/>
            <w:vAlign w:val="center"/>
          </w:tcPr>
          <w:p w14:paraId="4502407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72" w:type="dxa"/>
            <w:noWrap w:val="0"/>
            <w:vAlign w:val="center"/>
          </w:tcPr>
          <w:p w14:paraId="61C574D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资质条件</w:t>
            </w:r>
          </w:p>
        </w:tc>
        <w:tc>
          <w:tcPr>
            <w:tcW w:w="6595" w:type="dxa"/>
            <w:gridSpan w:val="3"/>
            <w:noWrap w:val="0"/>
            <w:vAlign w:val="top"/>
          </w:tcPr>
          <w:p w14:paraId="18DD4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D3C8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70282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本项目非专门面向中小微企业采购项目,执行促进中小企业发展等政府采购政策。</w:t>
            </w:r>
          </w:p>
          <w:p w14:paraId="28F99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0F1CE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3.1供应商须具有有效的营业执照。</w:t>
            </w:r>
          </w:p>
          <w:p w14:paraId="080FC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3.2须具备工程监理综合资质或房屋建筑工程专业监理乙级及以上资质，并在人员、设备、资金等方面具有相应的监理服务能力。</w:t>
            </w:r>
          </w:p>
          <w:p w14:paraId="6D4B4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3.3供应商拟派项目总监理工程师具备国家建设行政主管部门颁发的房屋建筑专业注册监理工程师执业资格；</w:t>
            </w:r>
          </w:p>
          <w:p w14:paraId="10BCE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3.4供应商出具本企业的无商业贿赂和不正当竞争行为承诺书，格式自拟。</w:t>
            </w:r>
          </w:p>
          <w:p w14:paraId="1F638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3.5企业出具在中国裁判文书网（http://wenshu.court.gov.cn）自行查询的无行贿犯罪记录或自行承诺（对象：企业、法定代表人）。</w:t>
            </w:r>
          </w:p>
          <w:p w14:paraId="2CB4B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（查询时间从磋商公告发布之后）</w:t>
            </w:r>
          </w:p>
          <w:p w14:paraId="2193B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3.7本次磋商不接受联合体。</w:t>
            </w:r>
          </w:p>
          <w:p w14:paraId="2BEF8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注：本次磋商实行资格后审，资格审查的具体要求见竞争性磋商文件。</w:t>
            </w:r>
          </w:p>
        </w:tc>
      </w:tr>
      <w:tr w14:paraId="54DA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4" w:type="dxa"/>
            <w:noWrap w:val="0"/>
            <w:vAlign w:val="center"/>
          </w:tcPr>
          <w:p w14:paraId="175706E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072" w:type="dxa"/>
            <w:noWrap w:val="0"/>
            <w:vAlign w:val="center"/>
          </w:tcPr>
          <w:p w14:paraId="2FC64A9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是否接受联合体参加磋商</w:t>
            </w:r>
          </w:p>
        </w:tc>
        <w:tc>
          <w:tcPr>
            <w:tcW w:w="6595" w:type="dxa"/>
            <w:gridSpan w:val="3"/>
            <w:noWrap w:val="0"/>
            <w:vAlign w:val="center"/>
          </w:tcPr>
          <w:p w14:paraId="595C9E9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5ED0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74" w:type="dxa"/>
            <w:noWrap w:val="0"/>
            <w:vAlign w:val="center"/>
          </w:tcPr>
          <w:p w14:paraId="1CC6756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072" w:type="dxa"/>
            <w:noWrap w:val="0"/>
            <w:vAlign w:val="center"/>
          </w:tcPr>
          <w:p w14:paraId="7B6C1CD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595" w:type="dxa"/>
            <w:gridSpan w:val="3"/>
            <w:noWrap w:val="0"/>
            <w:vAlign w:val="center"/>
          </w:tcPr>
          <w:p w14:paraId="38E5B80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0A94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4" w:type="dxa"/>
            <w:noWrap w:val="0"/>
            <w:vAlign w:val="center"/>
          </w:tcPr>
          <w:p w14:paraId="298D2DD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072" w:type="dxa"/>
            <w:noWrap w:val="0"/>
            <w:vAlign w:val="center"/>
          </w:tcPr>
          <w:p w14:paraId="7058F9B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38" w:leftChars="18"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答疑会</w:t>
            </w:r>
          </w:p>
        </w:tc>
        <w:tc>
          <w:tcPr>
            <w:tcW w:w="6595" w:type="dxa"/>
            <w:gridSpan w:val="3"/>
            <w:noWrap w:val="0"/>
            <w:vAlign w:val="center"/>
          </w:tcPr>
          <w:p w14:paraId="480001AE">
            <w:pPr>
              <w:keepNext w:val="0"/>
              <w:keepLines w:val="0"/>
              <w:pageBreakBefore w:val="0"/>
              <w:suppressLineNumbers w:val="0"/>
              <w:tabs>
                <w:tab w:val="left" w:pos="720"/>
                <w:tab w:val="left" w:pos="1904"/>
              </w:tabs>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0C0F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74" w:type="dxa"/>
            <w:noWrap w:val="0"/>
            <w:vAlign w:val="center"/>
          </w:tcPr>
          <w:p w14:paraId="2080E78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072" w:type="dxa"/>
            <w:noWrap w:val="0"/>
            <w:vAlign w:val="center"/>
          </w:tcPr>
          <w:p w14:paraId="22461EA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6595" w:type="dxa"/>
            <w:gridSpan w:val="3"/>
            <w:noWrap w:val="0"/>
            <w:vAlign w:val="center"/>
          </w:tcPr>
          <w:p w14:paraId="57FACA2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00D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74" w:type="dxa"/>
            <w:noWrap w:val="0"/>
            <w:vAlign w:val="center"/>
          </w:tcPr>
          <w:p w14:paraId="3790CD4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072" w:type="dxa"/>
            <w:noWrap w:val="0"/>
            <w:vAlign w:val="center"/>
          </w:tcPr>
          <w:p w14:paraId="0888DF4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偏差</w:t>
            </w:r>
          </w:p>
        </w:tc>
        <w:tc>
          <w:tcPr>
            <w:tcW w:w="6595" w:type="dxa"/>
            <w:gridSpan w:val="3"/>
            <w:noWrap w:val="0"/>
            <w:vAlign w:val="center"/>
          </w:tcPr>
          <w:p w14:paraId="46F67A0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DD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74" w:type="dxa"/>
            <w:noWrap w:val="0"/>
            <w:vAlign w:val="center"/>
          </w:tcPr>
          <w:p w14:paraId="442E46F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072" w:type="dxa"/>
            <w:noWrap w:val="0"/>
            <w:vAlign w:val="center"/>
          </w:tcPr>
          <w:p w14:paraId="1F43B98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是否接受选择性报价方案</w:t>
            </w:r>
          </w:p>
        </w:tc>
        <w:tc>
          <w:tcPr>
            <w:tcW w:w="6595" w:type="dxa"/>
            <w:gridSpan w:val="3"/>
            <w:noWrap w:val="0"/>
            <w:vAlign w:val="center"/>
          </w:tcPr>
          <w:p w14:paraId="1139E12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首次响应文件只允许一个报价方案</w:t>
            </w:r>
          </w:p>
        </w:tc>
      </w:tr>
      <w:tr w14:paraId="1D8D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4" w:type="dxa"/>
            <w:vMerge w:val="restart"/>
            <w:noWrap w:val="0"/>
            <w:vAlign w:val="center"/>
          </w:tcPr>
          <w:p w14:paraId="7F9A23E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072" w:type="dxa"/>
            <w:vMerge w:val="restart"/>
            <w:noWrap w:val="0"/>
            <w:vAlign w:val="center"/>
          </w:tcPr>
          <w:p w14:paraId="50459DC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要求澄清竞争性磋商文件</w:t>
            </w:r>
          </w:p>
        </w:tc>
        <w:tc>
          <w:tcPr>
            <w:tcW w:w="6595" w:type="dxa"/>
            <w:gridSpan w:val="3"/>
            <w:noWrap w:val="0"/>
            <w:vAlign w:val="center"/>
          </w:tcPr>
          <w:p w14:paraId="7B06871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704A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74" w:type="dxa"/>
            <w:vMerge w:val="continue"/>
            <w:noWrap w:val="0"/>
            <w:vAlign w:val="center"/>
          </w:tcPr>
          <w:p w14:paraId="7D63B4E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2072" w:type="dxa"/>
            <w:vMerge w:val="continue"/>
            <w:noWrap w:val="0"/>
            <w:vAlign w:val="center"/>
          </w:tcPr>
          <w:p w14:paraId="19B0466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6595" w:type="dxa"/>
            <w:gridSpan w:val="3"/>
            <w:noWrap w:val="0"/>
            <w:vAlign w:val="center"/>
          </w:tcPr>
          <w:p w14:paraId="0740A10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2660" w:right="0" w:hanging="2280" w:hangingChars="9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356A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74" w:type="dxa"/>
            <w:noWrap w:val="0"/>
            <w:vAlign w:val="center"/>
          </w:tcPr>
          <w:p w14:paraId="50B3423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072" w:type="dxa"/>
            <w:noWrap w:val="0"/>
            <w:vAlign w:val="center"/>
          </w:tcPr>
          <w:p w14:paraId="2668FFD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竞争性磋商文件澄清发出的形式</w:t>
            </w:r>
          </w:p>
        </w:tc>
        <w:tc>
          <w:tcPr>
            <w:tcW w:w="6595" w:type="dxa"/>
            <w:gridSpan w:val="3"/>
            <w:noWrap w:val="0"/>
            <w:vAlign w:val="center"/>
          </w:tcPr>
          <w:p w14:paraId="710B1F8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通过三门峡市公共资源电子招标投标交易平台发布且同时在原公告媒体发布澄清公告</w:t>
            </w:r>
          </w:p>
        </w:tc>
      </w:tr>
      <w:tr w14:paraId="083B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69D3FBB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072" w:type="dxa"/>
            <w:vMerge w:val="restart"/>
            <w:noWrap w:val="0"/>
            <w:vAlign w:val="center"/>
          </w:tcPr>
          <w:p w14:paraId="4D0135F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确认收到竞争性磋商文件澄清</w:t>
            </w:r>
          </w:p>
        </w:tc>
        <w:tc>
          <w:tcPr>
            <w:tcW w:w="6595" w:type="dxa"/>
            <w:gridSpan w:val="3"/>
            <w:noWrap w:val="0"/>
            <w:vAlign w:val="center"/>
          </w:tcPr>
          <w:p w14:paraId="047F220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6C7C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4" w:type="dxa"/>
            <w:vMerge w:val="continue"/>
            <w:noWrap w:val="0"/>
            <w:vAlign w:val="center"/>
          </w:tcPr>
          <w:p w14:paraId="5441B4D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2072" w:type="dxa"/>
            <w:vMerge w:val="continue"/>
            <w:noWrap w:val="0"/>
            <w:vAlign w:val="center"/>
          </w:tcPr>
          <w:p w14:paraId="3A123E7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6595" w:type="dxa"/>
            <w:gridSpan w:val="3"/>
            <w:noWrap w:val="0"/>
            <w:vAlign w:val="center"/>
          </w:tcPr>
          <w:p w14:paraId="472B11F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三门峡市公共资源交易平台</w:t>
            </w:r>
            <w:r>
              <w:rPr>
                <w:rFonts w:hint="eastAsia" w:ascii="宋体" w:hAnsi="宋体" w:eastAsia="宋体" w:cs="宋体"/>
                <w:kern w:val="0"/>
                <w:sz w:val="24"/>
                <w:szCs w:val="24"/>
                <w:highlight w:val="none"/>
              </w:rPr>
              <w:t>进行回复确认</w:t>
            </w:r>
          </w:p>
        </w:tc>
      </w:tr>
      <w:tr w14:paraId="272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74" w:type="dxa"/>
            <w:noWrap w:val="0"/>
            <w:vAlign w:val="center"/>
          </w:tcPr>
          <w:p w14:paraId="534D3F4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072" w:type="dxa"/>
            <w:noWrap w:val="0"/>
            <w:vAlign w:val="center"/>
          </w:tcPr>
          <w:p w14:paraId="36B51F1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竞争性磋商文件修改发出的形式</w:t>
            </w:r>
          </w:p>
        </w:tc>
        <w:tc>
          <w:tcPr>
            <w:tcW w:w="6595" w:type="dxa"/>
            <w:gridSpan w:val="3"/>
            <w:noWrap w:val="0"/>
            <w:vAlign w:val="center"/>
          </w:tcPr>
          <w:p w14:paraId="0FAD7C6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通过三门峡市公共资源电子招标投标交易平台发布且同时在原公告媒体发布变更公告</w:t>
            </w:r>
          </w:p>
        </w:tc>
      </w:tr>
      <w:tr w14:paraId="17B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32442BA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072" w:type="dxa"/>
            <w:vMerge w:val="restart"/>
            <w:noWrap w:val="0"/>
            <w:vAlign w:val="center"/>
          </w:tcPr>
          <w:p w14:paraId="03144F2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确认收到竞争性磋商文件修改</w:t>
            </w:r>
          </w:p>
        </w:tc>
        <w:tc>
          <w:tcPr>
            <w:tcW w:w="6595" w:type="dxa"/>
            <w:gridSpan w:val="3"/>
            <w:noWrap w:val="0"/>
            <w:vAlign w:val="center"/>
          </w:tcPr>
          <w:p w14:paraId="3DEE873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时间：在收到相应修改文件后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7F48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74" w:type="dxa"/>
            <w:vMerge w:val="continue"/>
            <w:noWrap w:val="0"/>
            <w:vAlign w:val="center"/>
          </w:tcPr>
          <w:p w14:paraId="50C79E8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2072" w:type="dxa"/>
            <w:vMerge w:val="continue"/>
            <w:noWrap w:val="0"/>
            <w:vAlign w:val="center"/>
          </w:tcPr>
          <w:p w14:paraId="7A6DCDF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p>
        </w:tc>
        <w:tc>
          <w:tcPr>
            <w:tcW w:w="6595" w:type="dxa"/>
            <w:gridSpan w:val="3"/>
            <w:noWrap w:val="0"/>
            <w:vAlign w:val="center"/>
          </w:tcPr>
          <w:p w14:paraId="5F0698E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三门峡市公共资源交易平台</w:t>
            </w:r>
            <w:r>
              <w:rPr>
                <w:rFonts w:hint="eastAsia" w:ascii="宋体" w:hAnsi="宋体" w:eastAsia="宋体" w:cs="宋体"/>
                <w:kern w:val="0"/>
                <w:sz w:val="24"/>
                <w:szCs w:val="24"/>
                <w:highlight w:val="none"/>
              </w:rPr>
              <w:t>进行回复确认</w:t>
            </w:r>
          </w:p>
        </w:tc>
      </w:tr>
      <w:tr w14:paraId="1A80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74" w:type="dxa"/>
            <w:noWrap w:val="0"/>
            <w:vAlign w:val="center"/>
          </w:tcPr>
          <w:p w14:paraId="3B56330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072" w:type="dxa"/>
            <w:noWrap w:val="0"/>
            <w:vAlign w:val="center"/>
          </w:tcPr>
          <w:p w14:paraId="5ABCFDA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595" w:type="dxa"/>
            <w:gridSpan w:val="3"/>
            <w:noWrap w:val="0"/>
            <w:vAlign w:val="center"/>
          </w:tcPr>
          <w:p w14:paraId="2975019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响应文件递交截止之日起</w:t>
            </w:r>
            <w:r>
              <w:rPr>
                <w:rFonts w:hint="eastAsia" w:ascii="宋体" w:hAnsi="宋体" w:eastAsia="宋体" w:cs="宋体"/>
                <w:sz w:val="24"/>
                <w:szCs w:val="24"/>
                <w:highlight w:val="none"/>
                <w:u w:val="single"/>
              </w:rPr>
              <w:t xml:space="preserve"> 60</w:t>
            </w:r>
            <w:r>
              <w:rPr>
                <w:rFonts w:hint="eastAsia" w:ascii="宋体" w:hAnsi="宋体" w:eastAsia="宋体" w:cs="宋体"/>
                <w:sz w:val="24"/>
                <w:szCs w:val="24"/>
                <w:highlight w:val="none"/>
              </w:rPr>
              <w:t>日历天</w:t>
            </w:r>
          </w:p>
        </w:tc>
      </w:tr>
      <w:tr w14:paraId="5410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74" w:type="dxa"/>
            <w:noWrap w:val="0"/>
            <w:vAlign w:val="center"/>
          </w:tcPr>
          <w:p w14:paraId="3AC8F05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072" w:type="dxa"/>
            <w:noWrap w:val="0"/>
            <w:vAlign w:val="center"/>
          </w:tcPr>
          <w:p w14:paraId="0C54EB0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6595" w:type="dxa"/>
            <w:gridSpan w:val="3"/>
            <w:noWrap w:val="0"/>
            <w:vAlign w:val="top"/>
          </w:tcPr>
          <w:p w14:paraId="665BF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根据《河南省财政厅关于优化政府采购营商环境有关问题的通知》豫财购（2019）4号要求，本项目不再收取磋商保证金，需提供</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承诺函，具体格式详见第六章磋商响应文件格式，未按竞争性磋商文件规定提交</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承诺函的均视为无效投标。</w:t>
            </w:r>
          </w:p>
        </w:tc>
      </w:tr>
      <w:tr w14:paraId="3CB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2A80B9D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072" w:type="dxa"/>
            <w:noWrap w:val="0"/>
            <w:vAlign w:val="center"/>
          </w:tcPr>
          <w:p w14:paraId="2D82EB5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磋商文件费</w:t>
            </w:r>
          </w:p>
        </w:tc>
        <w:tc>
          <w:tcPr>
            <w:tcW w:w="6595" w:type="dxa"/>
            <w:gridSpan w:val="3"/>
            <w:noWrap w:val="0"/>
            <w:vAlign w:val="center"/>
          </w:tcPr>
          <w:p w14:paraId="781F8B5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本项目为全电子招标，不再收取磋商文件费用</w:t>
            </w:r>
          </w:p>
        </w:tc>
      </w:tr>
      <w:tr w14:paraId="00D4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974" w:type="dxa"/>
            <w:noWrap w:val="0"/>
            <w:vAlign w:val="center"/>
          </w:tcPr>
          <w:p w14:paraId="0E01CA7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072" w:type="dxa"/>
            <w:noWrap w:val="0"/>
            <w:vAlign w:val="center"/>
          </w:tcPr>
          <w:p w14:paraId="746C90C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tc>
        <w:tc>
          <w:tcPr>
            <w:tcW w:w="6595" w:type="dxa"/>
            <w:gridSpan w:val="3"/>
            <w:noWrap w:val="0"/>
            <w:vAlign w:val="center"/>
          </w:tcPr>
          <w:p w14:paraId="5F5E9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在生成电子化投标文件后，应对电子化投标文件进行签章，未进行签章的视为无效投标。</w:t>
            </w:r>
          </w:p>
          <w:p w14:paraId="6442B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2、要求法定代表人或授权委托人签字或盖章的，响应人在进行电子化投标文件签章时，以签盖法定代表人签章为准。</w:t>
            </w:r>
            <w:r>
              <w:rPr>
                <w:rFonts w:hint="eastAsia" w:ascii="宋体" w:hAnsi="宋体" w:eastAsia="宋体" w:cs="宋体"/>
                <w:sz w:val="24"/>
                <w:szCs w:val="24"/>
                <w:highlight w:val="none"/>
                <w:lang w:eastAsia="zh-CN"/>
              </w:rPr>
              <w:t>授权委托书</w:t>
            </w:r>
            <w:r>
              <w:rPr>
                <w:rFonts w:hint="eastAsia" w:ascii="宋体" w:hAnsi="宋体" w:eastAsia="宋体" w:cs="宋体"/>
                <w:sz w:val="24"/>
                <w:szCs w:val="24"/>
                <w:highlight w:val="none"/>
              </w:rPr>
              <w:t>委托代理人无法手写签字，可以电脑打印字体为准</w:t>
            </w:r>
            <w:r>
              <w:rPr>
                <w:rFonts w:hint="eastAsia" w:ascii="宋体" w:hAnsi="宋体" w:eastAsia="宋体" w:cs="宋体"/>
                <w:sz w:val="24"/>
                <w:szCs w:val="24"/>
                <w:highlight w:val="none"/>
                <w:lang w:eastAsia="zh-CN"/>
              </w:rPr>
              <w:t>并</w:t>
            </w:r>
            <w:r>
              <w:rPr>
                <w:rFonts w:hint="eastAsia" w:ascii="宋体" w:hAnsi="宋体" w:eastAsia="宋体" w:cs="宋体"/>
                <w:sz w:val="24"/>
                <w:szCs w:val="24"/>
                <w:highlight w:val="none"/>
              </w:rPr>
              <w:t>加盖法定代表人签章为准。</w:t>
            </w:r>
          </w:p>
        </w:tc>
      </w:tr>
      <w:tr w14:paraId="3D67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974" w:type="dxa"/>
            <w:noWrap w:val="0"/>
            <w:vAlign w:val="center"/>
          </w:tcPr>
          <w:p w14:paraId="4AC17F2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072" w:type="dxa"/>
            <w:noWrap w:val="0"/>
            <w:vAlign w:val="center"/>
          </w:tcPr>
          <w:p w14:paraId="274B3F11">
            <w:pPr>
              <w:keepNext w:val="0"/>
              <w:keepLines w:val="0"/>
              <w:pageBreakBefore w:val="0"/>
              <w:suppressLineNumbers w:val="0"/>
              <w:kinsoku/>
              <w:wordWrap w:val="0"/>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10"/>
                <w:sz w:val="24"/>
                <w:szCs w:val="24"/>
              </w:rPr>
              <w:t>报价方式</w:t>
            </w:r>
          </w:p>
        </w:tc>
        <w:tc>
          <w:tcPr>
            <w:tcW w:w="6595" w:type="dxa"/>
            <w:gridSpan w:val="3"/>
            <w:noWrap w:val="0"/>
            <w:vAlign w:val="center"/>
          </w:tcPr>
          <w:p w14:paraId="5E2CBEA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1、本次磋商应以</w:t>
            </w:r>
            <w:r>
              <w:rPr>
                <w:rFonts w:hint="eastAsia" w:ascii="宋体" w:hAnsi="宋体" w:cs="宋体"/>
                <w:kern w:val="0"/>
                <w:sz w:val="24"/>
                <w:szCs w:val="24"/>
                <w:lang w:val="en-US" w:eastAsia="zh-CN"/>
              </w:rPr>
              <w:t>费率</w:t>
            </w:r>
            <w:r>
              <w:rPr>
                <w:rFonts w:hint="eastAsia" w:ascii="宋体" w:hAnsi="宋体" w:eastAsia="宋体" w:cs="宋体"/>
                <w:kern w:val="0"/>
                <w:sz w:val="24"/>
                <w:szCs w:val="24"/>
              </w:rPr>
              <w:t>报价。</w:t>
            </w:r>
          </w:p>
          <w:p w14:paraId="2A83803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2、本次磋商中，磋商响应文件中的报价为第一次报价，</w:t>
            </w:r>
            <w:r>
              <w:rPr>
                <w:rFonts w:hint="eastAsia" w:ascii="宋体" w:hAnsi="宋体" w:eastAsia="宋体" w:cs="宋体"/>
                <w:sz w:val="24"/>
                <w:szCs w:val="24"/>
              </w:rPr>
              <w:t>不得高于项目</w:t>
            </w:r>
            <w:r>
              <w:rPr>
                <w:rFonts w:hint="eastAsia" w:ascii="宋体" w:hAnsi="宋体" w:eastAsia="宋体" w:cs="宋体"/>
                <w:sz w:val="24"/>
                <w:szCs w:val="24"/>
                <w:lang w:val="en-US" w:eastAsia="zh-CN"/>
              </w:rPr>
              <w:t>招标控制价</w:t>
            </w:r>
            <w:r>
              <w:rPr>
                <w:rFonts w:hint="eastAsia" w:ascii="宋体" w:hAnsi="宋体" w:eastAsia="宋体" w:cs="宋体"/>
                <w:sz w:val="24"/>
                <w:szCs w:val="24"/>
              </w:rPr>
              <w:t>；</w:t>
            </w:r>
          </w:p>
          <w:p w14:paraId="5AADBA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480" w:lineRule="exact"/>
              <w:ind w:left="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3、磋商</w:t>
            </w:r>
            <w:r>
              <w:rPr>
                <w:rFonts w:hint="eastAsia" w:ascii="宋体" w:hAnsi="宋体" w:cs="宋体"/>
                <w:kern w:val="0"/>
                <w:sz w:val="24"/>
                <w:szCs w:val="24"/>
                <w:lang w:eastAsia="zh-CN"/>
              </w:rPr>
              <w:t>响应人</w:t>
            </w:r>
            <w:r>
              <w:rPr>
                <w:rFonts w:hint="eastAsia" w:ascii="宋体" w:hAnsi="宋体" w:eastAsia="宋体" w:cs="宋体"/>
                <w:kern w:val="0"/>
                <w:sz w:val="24"/>
                <w:szCs w:val="24"/>
              </w:rPr>
              <w:t>可以在磋商小组规定的时间内进行第二次报价，通过交易中心系统以电子形式递交，第二次报价为最终报价；</w:t>
            </w:r>
            <w:r>
              <w:rPr>
                <w:rFonts w:hint="eastAsia" w:ascii="宋体" w:hAnsi="宋体" w:eastAsia="宋体" w:cs="宋体"/>
                <w:bCs/>
                <w:kern w:val="0"/>
                <w:sz w:val="24"/>
                <w:szCs w:val="24"/>
              </w:rPr>
              <w:t>第二轮报价不得高于第一轮报价。</w:t>
            </w:r>
          </w:p>
          <w:p w14:paraId="5E515DB1">
            <w:pPr>
              <w:keepNext w:val="0"/>
              <w:keepLines w:val="0"/>
              <w:pageBreakBefore w:val="0"/>
              <w:suppressLineNumbers w:val="0"/>
              <w:kinsoku/>
              <w:wordWrap w:val="0"/>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kern w:val="0"/>
                <w:sz w:val="24"/>
                <w:szCs w:val="24"/>
              </w:rPr>
              <w:t>4、最后一轮报价超过</w:t>
            </w:r>
            <w:r>
              <w:rPr>
                <w:rFonts w:hint="eastAsia" w:ascii="宋体" w:hAnsi="宋体" w:eastAsia="宋体" w:cs="宋体"/>
                <w:kern w:val="0"/>
                <w:sz w:val="24"/>
                <w:szCs w:val="24"/>
                <w:lang w:eastAsia="zh-CN"/>
              </w:rPr>
              <w:t xml:space="preserve"> 招标控制价</w:t>
            </w:r>
            <w:r>
              <w:rPr>
                <w:rFonts w:hint="eastAsia" w:ascii="宋体" w:hAnsi="宋体" w:eastAsia="宋体" w:cs="宋体"/>
                <w:kern w:val="0"/>
                <w:sz w:val="24"/>
                <w:szCs w:val="24"/>
              </w:rPr>
              <w:t>的为无效报价。</w:t>
            </w:r>
          </w:p>
        </w:tc>
      </w:tr>
      <w:tr w14:paraId="273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3DAD925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w:t>
            </w:r>
          </w:p>
        </w:tc>
        <w:tc>
          <w:tcPr>
            <w:tcW w:w="2072" w:type="dxa"/>
            <w:noWrap w:val="0"/>
            <w:vAlign w:val="center"/>
          </w:tcPr>
          <w:p w14:paraId="2232AC35">
            <w:pPr>
              <w:keepNext w:val="0"/>
              <w:keepLines w:val="0"/>
              <w:pageBreakBefore w:val="0"/>
              <w:suppressLineNumbers w:val="0"/>
              <w:kinsoku/>
              <w:wordWrap w:val="0"/>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kern w:val="10"/>
                <w:sz w:val="24"/>
                <w:szCs w:val="24"/>
                <w:lang w:val="en-US" w:eastAsia="zh-CN"/>
              </w:rPr>
            </w:pPr>
            <w:r>
              <w:rPr>
                <w:rFonts w:hint="eastAsia" w:ascii="宋体" w:hAnsi="宋体" w:cs="宋体"/>
                <w:kern w:val="10"/>
                <w:sz w:val="24"/>
                <w:szCs w:val="24"/>
                <w:lang w:val="en-US" w:eastAsia="zh-CN"/>
              </w:rPr>
              <w:t>付款方式</w:t>
            </w:r>
          </w:p>
        </w:tc>
        <w:tc>
          <w:tcPr>
            <w:tcW w:w="6595" w:type="dxa"/>
            <w:gridSpan w:val="3"/>
            <w:noWrap w:val="0"/>
            <w:vAlign w:val="center"/>
          </w:tcPr>
          <w:p w14:paraId="09C1253C">
            <w:pPr>
              <w:keepNext w:val="0"/>
              <w:keepLines w:val="0"/>
              <w:pageBreakBefore w:val="0"/>
              <w:suppressLineNumbers w:val="0"/>
              <w:kinsoku/>
              <w:wordWrap w:val="0"/>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双方协商</w:t>
            </w:r>
          </w:p>
        </w:tc>
      </w:tr>
      <w:tr w14:paraId="509F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23A91B8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28</w:t>
            </w:r>
          </w:p>
        </w:tc>
        <w:tc>
          <w:tcPr>
            <w:tcW w:w="2072" w:type="dxa"/>
            <w:noWrap w:val="0"/>
            <w:vAlign w:val="center"/>
          </w:tcPr>
          <w:p w14:paraId="59A1236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资料上传注意事项</w:t>
            </w:r>
          </w:p>
        </w:tc>
        <w:tc>
          <w:tcPr>
            <w:tcW w:w="6595" w:type="dxa"/>
            <w:gridSpan w:val="3"/>
            <w:noWrap w:val="0"/>
            <w:vAlign w:val="center"/>
          </w:tcPr>
          <w:p w14:paraId="53C49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应仔细阅读操作手册，在本公告中要求的截止时间前完成磋商文件下载工作。因</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操作不当问题造成的无法下载磋商文件等一切后果，由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自行承担。</w:t>
            </w:r>
          </w:p>
          <w:p w14:paraId="071D0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递交的投标文件不论中标与否均不予退还。</w:t>
            </w:r>
          </w:p>
          <w:p w14:paraId="58AE9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3、采购人不组织投标单位踏勘现场。</w:t>
            </w:r>
          </w:p>
          <w:p w14:paraId="6573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、本项目评分业绩以投标文件业绩信息为准，可使用电子营业执照。</w:t>
            </w:r>
          </w:p>
          <w:p w14:paraId="5C197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5、根据优化营商环境的要求，评标时以投标文件为准：</w:t>
            </w:r>
          </w:p>
          <w:p w14:paraId="3D43C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（1）资格评（预）审部分：资格评（预）以投标文件为准，其上传资料真实性由响应人自行承担，同时，响应人要完善主体库。</w:t>
            </w:r>
          </w:p>
          <w:p w14:paraId="42FF9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（2）评标打分部分：评标打分部分仍按照100分制原则进行，涉及到资格审查、企业荣誉、人员业绩、企业业绩等计分部分时，以投标单位自行上传到投标文件中的相应内容为准。</w:t>
            </w:r>
          </w:p>
          <w:p w14:paraId="6E3B1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14:paraId="59AE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注：我单位（采购人）严格按三财购【2021】9号文要求的时限发布中标结果公告，发出中标通知书，签订采购合同，上传采购合同。</w:t>
            </w:r>
          </w:p>
        </w:tc>
      </w:tr>
      <w:tr w14:paraId="46F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4" w:type="dxa"/>
            <w:noWrap w:val="0"/>
            <w:vAlign w:val="center"/>
          </w:tcPr>
          <w:p w14:paraId="21EC31F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w:t>
            </w:r>
          </w:p>
        </w:tc>
        <w:tc>
          <w:tcPr>
            <w:tcW w:w="2072" w:type="dxa"/>
            <w:noWrap w:val="0"/>
            <w:vAlign w:val="center"/>
          </w:tcPr>
          <w:p w14:paraId="668BD39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响应文件递交截止时间</w:t>
            </w:r>
          </w:p>
        </w:tc>
        <w:tc>
          <w:tcPr>
            <w:tcW w:w="6595" w:type="dxa"/>
            <w:gridSpan w:val="3"/>
            <w:noWrap w:val="0"/>
            <w:vAlign w:val="center"/>
          </w:tcPr>
          <w:p w14:paraId="4DD3980A">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分（北京时间）</w:t>
            </w:r>
          </w:p>
        </w:tc>
      </w:tr>
      <w:tr w14:paraId="1CB8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4" w:type="dxa"/>
            <w:noWrap w:val="0"/>
            <w:vAlign w:val="center"/>
          </w:tcPr>
          <w:p w14:paraId="49A469F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30</w:t>
            </w:r>
          </w:p>
        </w:tc>
        <w:tc>
          <w:tcPr>
            <w:tcW w:w="2072" w:type="dxa"/>
            <w:noWrap w:val="0"/>
            <w:vAlign w:val="center"/>
          </w:tcPr>
          <w:p w14:paraId="72897C0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w:t>
            </w:r>
          </w:p>
          <w:p w14:paraId="0E8C969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6595" w:type="dxa"/>
            <w:gridSpan w:val="3"/>
            <w:noWrap w:val="0"/>
            <w:vAlign w:val="center"/>
          </w:tcPr>
          <w:p w14:paraId="1E4CC4A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上传至三门峡市公共资源交易中心系统</w:t>
            </w:r>
          </w:p>
        </w:tc>
      </w:tr>
      <w:tr w14:paraId="76CB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74" w:type="dxa"/>
            <w:noWrap w:val="0"/>
            <w:vAlign w:val="center"/>
          </w:tcPr>
          <w:p w14:paraId="0D7BA51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31</w:t>
            </w:r>
          </w:p>
        </w:tc>
        <w:tc>
          <w:tcPr>
            <w:tcW w:w="2072" w:type="dxa"/>
            <w:noWrap w:val="0"/>
            <w:vAlign w:val="center"/>
          </w:tcPr>
          <w:p w14:paraId="1B95682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是否退还响应</w:t>
            </w:r>
          </w:p>
          <w:p w14:paraId="2AD4E09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文件</w:t>
            </w:r>
          </w:p>
        </w:tc>
        <w:tc>
          <w:tcPr>
            <w:tcW w:w="6595" w:type="dxa"/>
            <w:gridSpan w:val="3"/>
            <w:noWrap w:val="0"/>
            <w:vAlign w:val="center"/>
          </w:tcPr>
          <w:p w14:paraId="29DD3C6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30E9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A5F9C9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32</w:t>
            </w:r>
          </w:p>
        </w:tc>
        <w:tc>
          <w:tcPr>
            <w:tcW w:w="2072" w:type="dxa"/>
            <w:noWrap w:val="0"/>
            <w:vAlign w:val="center"/>
          </w:tcPr>
          <w:p w14:paraId="7A6508B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开标时间及地点</w:t>
            </w:r>
          </w:p>
        </w:tc>
        <w:tc>
          <w:tcPr>
            <w:tcW w:w="6595" w:type="dxa"/>
            <w:gridSpan w:val="3"/>
            <w:noWrap w:val="0"/>
            <w:vAlign w:val="top"/>
          </w:tcPr>
          <w:p w14:paraId="650F787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分（北京时间）</w:t>
            </w:r>
          </w:p>
          <w:p w14:paraId="504C54E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开标地点：</w:t>
            </w:r>
            <w:r>
              <w:rPr>
                <w:rFonts w:hint="eastAsia" w:ascii="宋体" w:hAnsi="宋体" w:cs="楷体"/>
                <w:sz w:val="24"/>
              </w:rPr>
              <w:t>三门峡市公共资源交易中心五楼开标</w:t>
            </w:r>
            <w:r>
              <w:rPr>
                <w:rFonts w:hint="eastAsia" w:ascii="宋体" w:hAnsi="宋体" w:cs="楷体"/>
                <w:sz w:val="24"/>
                <w:lang w:val="en-US" w:eastAsia="zh-CN"/>
              </w:rPr>
              <w:t>区</w:t>
            </w:r>
          </w:p>
        </w:tc>
      </w:tr>
      <w:tr w14:paraId="3710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74" w:type="dxa"/>
            <w:noWrap w:val="0"/>
            <w:vAlign w:val="center"/>
          </w:tcPr>
          <w:p w14:paraId="4CFE7BB4">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33</w:t>
            </w:r>
          </w:p>
        </w:tc>
        <w:tc>
          <w:tcPr>
            <w:tcW w:w="2072" w:type="dxa"/>
            <w:noWrap w:val="0"/>
            <w:vAlign w:val="center"/>
          </w:tcPr>
          <w:p w14:paraId="3B28DC6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6595" w:type="dxa"/>
            <w:gridSpan w:val="3"/>
            <w:noWrap w:val="0"/>
            <w:vAlign w:val="center"/>
          </w:tcPr>
          <w:p w14:paraId="08ABA18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年1月1</w:t>
            </w:r>
            <w:r>
              <w:rPr>
                <w:rFonts w:hint="eastAsia" w:ascii="宋体" w:hAnsi="宋体" w:eastAsia="宋体" w:cs="宋体"/>
                <w:sz w:val="24"/>
                <w:szCs w:val="24"/>
                <w:highlight w:val="none"/>
              </w:rPr>
              <w:t>日以来</w:t>
            </w:r>
          </w:p>
        </w:tc>
      </w:tr>
      <w:tr w14:paraId="3785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35BFFD3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34</w:t>
            </w:r>
          </w:p>
        </w:tc>
        <w:tc>
          <w:tcPr>
            <w:tcW w:w="2072" w:type="dxa"/>
            <w:noWrap w:val="0"/>
            <w:vAlign w:val="center"/>
          </w:tcPr>
          <w:p w14:paraId="58080322">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44"/>
                <w:sz w:val="24"/>
                <w:szCs w:val="24"/>
              </w:rPr>
              <w:t>近年发生的诉讼及仲裁情况的年份要求</w:t>
            </w:r>
          </w:p>
        </w:tc>
        <w:tc>
          <w:tcPr>
            <w:tcW w:w="6595" w:type="dxa"/>
            <w:gridSpan w:val="3"/>
            <w:noWrap w:val="0"/>
            <w:vAlign w:val="center"/>
          </w:tcPr>
          <w:p w14:paraId="014E99CD">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sz w:val="24"/>
                <w:szCs w:val="24"/>
                <w:highlight w:val="none"/>
              </w:rPr>
            </w:pPr>
            <w:r>
              <w:rPr>
                <w:rFonts w:hint="eastAsia" w:ascii="宋体" w:hAnsi="宋体" w:cs="宋体"/>
                <w:kern w:val="44"/>
                <w:sz w:val="24"/>
                <w:szCs w:val="24"/>
                <w:lang w:val="en-US" w:eastAsia="zh-CN"/>
              </w:rPr>
              <w:t>2022年1月1</w:t>
            </w:r>
            <w:r>
              <w:rPr>
                <w:rFonts w:hint="eastAsia" w:ascii="宋体" w:hAnsi="宋体" w:eastAsia="宋体" w:cs="宋体"/>
                <w:kern w:val="44"/>
                <w:sz w:val="24"/>
                <w:szCs w:val="24"/>
              </w:rPr>
              <w:t>日以来</w:t>
            </w:r>
          </w:p>
        </w:tc>
      </w:tr>
      <w:tr w14:paraId="116F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74" w:type="dxa"/>
            <w:noWrap w:val="0"/>
            <w:vAlign w:val="center"/>
          </w:tcPr>
          <w:p w14:paraId="1493700F">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35</w:t>
            </w:r>
          </w:p>
        </w:tc>
        <w:tc>
          <w:tcPr>
            <w:tcW w:w="2072" w:type="dxa"/>
            <w:noWrap w:val="0"/>
            <w:vAlign w:val="center"/>
          </w:tcPr>
          <w:p w14:paraId="7DCAB2A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6595" w:type="dxa"/>
            <w:gridSpan w:val="3"/>
            <w:noWrap w:val="0"/>
            <w:vAlign w:val="center"/>
          </w:tcPr>
          <w:p w14:paraId="512F59BE">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磋商小组构成：采购人代表及有关经济、技术等方面的专家共3人组成，其中采购人代表1人，经济、技术等方面的专家各1人。</w:t>
            </w:r>
          </w:p>
          <w:p w14:paraId="741E2986">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专家确定方式：开标后从相关评标专家库中随机抽取。</w:t>
            </w:r>
          </w:p>
          <w:p w14:paraId="7B1EA92B">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注：采购人代表评委无评标劳务费用</w:t>
            </w:r>
          </w:p>
        </w:tc>
      </w:tr>
      <w:tr w14:paraId="6AFD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74" w:type="dxa"/>
            <w:noWrap w:val="0"/>
            <w:vAlign w:val="center"/>
          </w:tcPr>
          <w:p w14:paraId="1E16D2A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36</w:t>
            </w:r>
          </w:p>
        </w:tc>
        <w:tc>
          <w:tcPr>
            <w:tcW w:w="2072" w:type="dxa"/>
            <w:noWrap w:val="0"/>
            <w:vAlign w:val="center"/>
          </w:tcPr>
          <w:p w14:paraId="15BFD81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是否授权磋商小组确定成交人</w:t>
            </w:r>
          </w:p>
        </w:tc>
        <w:tc>
          <w:tcPr>
            <w:tcW w:w="6595" w:type="dxa"/>
            <w:gridSpan w:val="3"/>
            <w:noWrap w:val="0"/>
            <w:vAlign w:val="center"/>
          </w:tcPr>
          <w:p w14:paraId="1C9790D7">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否，推荐的成交候选人数：</w:t>
            </w:r>
            <w:r>
              <w:rPr>
                <w:rFonts w:hint="eastAsia" w:ascii="宋体" w:hAnsi="宋体" w:cs="宋体"/>
                <w:sz w:val="24"/>
                <w:szCs w:val="24"/>
                <w:highlight w:val="none"/>
                <w:lang w:eastAsia="zh-CN"/>
              </w:rPr>
              <w:t>3</w:t>
            </w:r>
            <w:r>
              <w:rPr>
                <w:rFonts w:hint="eastAsia" w:ascii="宋体" w:hAnsi="宋体" w:eastAsia="宋体" w:cs="宋体"/>
                <w:sz w:val="24"/>
                <w:szCs w:val="24"/>
                <w:highlight w:val="none"/>
                <w:lang w:eastAsia="zh-CN"/>
              </w:rPr>
              <w:t>名</w:t>
            </w:r>
          </w:p>
        </w:tc>
      </w:tr>
      <w:tr w14:paraId="5F2C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74" w:type="dxa"/>
            <w:noWrap w:val="0"/>
            <w:vAlign w:val="center"/>
          </w:tcPr>
          <w:p w14:paraId="12CE70E5">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38</w:t>
            </w:r>
          </w:p>
        </w:tc>
        <w:tc>
          <w:tcPr>
            <w:tcW w:w="2072" w:type="dxa"/>
            <w:noWrap w:val="0"/>
            <w:vAlign w:val="center"/>
          </w:tcPr>
          <w:p w14:paraId="4F6EB23F">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结果公示</w:t>
            </w:r>
          </w:p>
        </w:tc>
        <w:tc>
          <w:tcPr>
            <w:tcW w:w="6595" w:type="dxa"/>
            <w:gridSpan w:val="3"/>
            <w:noWrap w:val="0"/>
            <w:vAlign w:val="center"/>
          </w:tcPr>
          <w:p w14:paraId="4225F4F7">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结果公告在</w:t>
            </w:r>
            <w:r>
              <w:rPr>
                <w:rFonts w:hint="eastAsia" w:ascii="宋体" w:hAnsi="宋体" w:eastAsia="宋体" w:cs="宋体"/>
                <w:sz w:val="24"/>
                <w:szCs w:val="24"/>
                <w:lang w:val="en-US" w:eastAsia="zh-CN"/>
              </w:rPr>
              <w:t>磋商</w:t>
            </w:r>
            <w:r>
              <w:rPr>
                <w:rFonts w:hint="eastAsia" w:ascii="宋体" w:hAnsi="宋体" w:eastAsia="宋体" w:cs="宋体"/>
                <w:sz w:val="24"/>
                <w:szCs w:val="24"/>
              </w:rPr>
              <w:t>公告发布的同一媒介予以公示，公示期为一个工作日</w:t>
            </w:r>
          </w:p>
        </w:tc>
      </w:tr>
      <w:tr w14:paraId="2916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74" w:type="dxa"/>
            <w:noWrap w:val="0"/>
            <w:vAlign w:val="center"/>
          </w:tcPr>
          <w:p w14:paraId="7173BAF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39</w:t>
            </w:r>
          </w:p>
        </w:tc>
        <w:tc>
          <w:tcPr>
            <w:tcW w:w="2072" w:type="dxa"/>
            <w:noWrap w:val="0"/>
            <w:vAlign w:val="center"/>
          </w:tcPr>
          <w:p w14:paraId="7EC25207">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bCs/>
                <w:sz w:val="24"/>
                <w:szCs w:val="24"/>
                <w:lang w:val="en-US" w:eastAsia="zh-CN"/>
              </w:rPr>
              <w:t>监督</w:t>
            </w:r>
          </w:p>
        </w:tc>
        <w:tc>
          <w:tcPr>
            <w:tcW w:w="6595" w:type="dxa"/>
            <w:gridSpan w:val="3"/>
            <w:noWrap w:val="0"/>
            <w:vAlign w:val="center"/>
          </w:tcPr>
          <w:p w14:paraId="48411BD2">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rPr>
              <w:t>本项目的招标磋商活动及其相关当事人应当接受有管辖权的招标投标行政监督部门依法实施的监督。</w:t>
            </w:r>
          </w:p>
        </w:tc>
      </w:tr>
      <w:tr w14:paraId="6293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974" w:type="dxa"/>
            <w:noWrap w:val="0"/>
            <w:vAlign w:val="center"/>
          </w:tcPr>
          <w:p w14:paraId="6E3AE09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w:t>
            </w:r>
          </w:p>
        </w:tc>
        <w:tc>
          <w:tcPr>
            <w:tcW w:w="2072" w:type="dxa"/>
            <w:noWrap w:val="0"/>
            <w:vAlign w:val="center"/>
          </w:tcPr>
          <w:p w14:paraId="552314D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知识产权</w:t>
            </w:r>
          </w:p>
        </w:tc>
        <w:tc>
          <w:tcPr>
            <w:tcW w:w="6595" w:type="dxa"/>
            <w:gridSpan w:val="3"/>
            <w:noWrap w:val="0"/>
            <w:vAlign w:val="center"/>
          </w:tcPr>
          <w:p w14:paraId="7B07FBFF">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rPr>
              <w:t>构成本</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文件各个组成部分的文件，未经</w:t>
            </w:r>
            <w:r>
              <w:rPr>
                <w:rFonts w:hint="eastAsia" w:ascii="宋体" w:hAnsi="宋体" w:eastAsia="宋体" w:cs="宋体"/>
                <w:sz w:val="24"/>
                <w:szCs w:val="24"/>
                <w:lang w:eastAsia="zh-CN"/>
              </w:rPr>
              <w:t>采购人</w:t>
            </w:r>
            <w:r>
              <w:rPr>
                <w:rFonts w:hint="eastAsia" w:ascii="宋体" w:hAnsi="宋体" w:eastAsia="宋体" w:cs="宋体"/>
                <w:sz w:val="24"/>
                <w:szCs w:val="24"/>
              </w:rPr>
              <w:t>书面同意，</w:t>
            </w:r>
            <w:r>
              <w:rPr>
                <w:rFonts w:hint="eastAsia" w:ascii="宋体" w:hAnsi="宋体" w:cs="宋体"/>
                <w:sz w:val="24"/>
                <w:szCs w:val="24"/>
                <w:lang w:eastAsia="zh-CN"/>
              </w:rPr>
              <w:t>响应人</w:t>
            </w:r>
            <w:r>
              <w:rPr>
                <w:rFonts w:hint="eastAsia" w:ascii="宋体" w:hAnsi="宋体" w:eastAsia="宋体" w:cs="宋体"/>
                <w:sz w:val="24"/>
                <w:szCs w:val="24"/>
              </w:rPr>
              <w:t>不得擅自复印和用于非本招标项目所需的其他目的。</w:t>
            </w:r>
            <w:r>
              <w:rPr>
                <w:rFonts w:hint="eastAsia" w:ascii="宋体" w:hAnsi="宋体" w:eastAsia="宋体" w:cs="宋体"/>
                <w:sz w:val="24"/>
                <w:szCs w:val="24"/>
                <w:lang w:eastAsia="zh-CN"/>
              </w:rPr>
              <w:t>采购人</w:t>
            </w:r>
            <w:r>
              <w:rPr>
                <w:rFonts w:hint="eastAsia" w:ascii="宋体" w:hAnsi="宋体" w:eastAsia="宋体" w:cs="宋体"/>
                <w:sz w:val="24"/>
                <w:szCs w:val="24"/>
              </w:rPr>
              <w:t>全部或者部分使用未成交人</w:t>
            </w:r>
            <w:r>
              <w:rPr>
                <w:rFonts w:hint="eastAsia" w:ascii="宋体" w:hAnsi="宋体" w:eastAsia="宋体" w:cs="宋体"/>
                <w:sz w:val="24"/>
                <w:szCs w:val="24"/>
                <w:lang w:val="en-US" w:eastAsia="zh-CN"/>
              </w:rPr>
              <w:t>磋商</w:t>
            </w:r>
            <w:r>
              <w:rPr>
                <w:rFonts w:hint="eastAsia" w:ascii="宋体" w:hAnsi="宋体" w:eastAsia="宋体" w:cs="宋体"/>
                <w:sz w:val="24"/>
                <w:szCs w:val="24"/>
              </w:rPr>
              <w:t>响应文件中的技术成果或技术方案时，需征得其书面同意，并不得擅自复印或提供给第三人。</w:t>
            </w:r>
          </w:p>
        </w:tc>
      </w:tr>
      <w:tr w14:paraId="7E9C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974" w:type="dxa"/>
            <w:noWrap w:val="0"/>
            <w:vAlign w:val="center"/>
          </w:tcPr>
          <w:p w14:paraId="6C2D78B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41</w:t>
            </w:r>
          </w:p>
        </w:tc>
        <w:tc>
          <w:tcPr>
            <w:tcW w:w="2072" w:type="dxa"/>
            <w:noWrap w:val="0"/>
            <w:vAlign w:val="center"/>
          </w:tcPr>
          <w:p w14:paraId="7735FD8D">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同义词语</w:t>
            </w:r>
          </w:p>
        </w:tc>
        <w:tc>
          <w:tcPr>
            <w:tcW w:w="6595" w:type="dxa"/>
            <w:gridSpan w:val="3"/>
            <w:noWrap w:val="0"/>
            <w:vAlign w:val="center"/>
          </w:tcPr>
          <w:p w14:paraId="711E70F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rPr>
              <w:t>构成</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文件组成部分的“通用合同条款”、“专用合同条款”、“技术标准和要求”等章节中出现的措辞“发包人”和“承包人”，在招标投标阶段应当分别按“</w:t>
            </w:r>
            <w:r>
              <w:rPr>
                <w:rFonts w:hint="eastAsia" w:ascii="宋体" w:hAnsi="宋体" w:eastAsia="宋体" w:cs="宋体"/>
                <w:sz w:val="24"/>
                <w:szCs w:val="24"/>
                <w:lang w:eastAsia="zh-CN"/>
              </w:rPr>
              <w:t>采购人</w:t>
            </w:r>
            <w:r>
              <w:rPr>
                <w:rFonts w:hint="eastAsia" w:ascii="宋体" w:hAnsi="宋体" w:eastAsia="宋体" w:cs="宋体"/>
                <w:sz w:val="24"/>
                <w:szCs w:val="24"/>
              </w:rPr>
              <w:t>”和“</w:t>
            </w:r>
            <w:r>
              <w:rPr>
                <w:rFonts w:hint="eastAsia" w:ascii="宋体" w:hAnsi="宋体" w:cs="宋体"/>
                <w:sz w:val="24"/>
                <w:szCs w:val="24"/>
                <w:lang w:eastAsia="zh-CN"/>
              </w:rPr>
              <w:t>响应人</w:t>
            </w:r>
            <w:r>
              <w:rPr>
                <w:rFonts w:hint="eastAsia" w:ascii="宋体" w:hAnsi="宋体" w:eastAsia="宋体" w:cs="宋体"/>
                <w:sz w:val="24"/>
                <w:szCs w:val="24"/>
              </w:rPr>
              <w:t>”进行理解。</w:t>
            </w:r>
          </w:p>
        </w:tc>
      </w:tr>
      <w:tr w14:paraId="5BF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jc w:val="center"/>
        </w:trPr>
        <w:tc>
          <w:tcPr>
            <w:tcW w:w="974" w:type="dxa"/>
            <w:noWrap w:val="0"/>
            <w:vAlign w:val="center"/>
          </w:tcPr>
          <w:p w14:paraId="48DDAD1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w:t>
            </w:r>
          </w:p>
        </w:tc>
        <w:tc>
          <w:tcPr>
            <w:tcW w:w="2072" w:type="dxa"/>
            <w:noWrap w:val="0"/>
            <w:vAlign w:val="center"/>
          </w:tcPr>
          <w:p w14:paraId="53EE490A">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解释权</w:t>
            </w:r>
          </w:p>
        </w:tc>
        <w:tc>
          <w:tcPr>
            <w:tcW w:w="6595" w:type="dxa"/>
            <w:gridSpan w:val="3"/>
            <w:noWrap w:val="0"/>
            <w:vAlign w:val="center"/>
          </w:tcPr>
          <w:p w14:paraId="6AC535F5">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构成本</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文件中有特别规定外，仅适用于招标投标阶段的规定，按</w:t>
            </w:r>
            <w:r>
              <w:rPr>
                <w:rFonts w:hint="eastAsia" w:ascii="宋体" w:hAnsi="宋体" w:eastAsia="宋体" w:cs="宋体"/>
                <w:sz w:val="24"/>
                <w:szCs w:val="24"/>
                <w:lang w:val="en-US" w:eastAsia="zh-CN"/>
              </w:rPr>
              <w:t>磋商</w:t>
            </w:r>
            <w:r>
              <w:rPr>
                <w:rFonts w:hint="eastAsia" w:ascii="宋体" w:hAnsi="宋体" w:eastAsia="宋体" w:cs="宋体"/>
                <w:sz w:val="24"/>
                <w:szCs w:val="24"/>
              </w:rPr>
              <w:t>公告、</w:t>
            </w:r>
            <w:r>
              <w:rPr>
                <w:rFonts w:hint="eastAsia" w:ascii="宋体" w:hAnsi="宋体" w:cs="宋体"/>
                <w:sz w:val="24"/>
                <w:szCs w:val="24"/>
                <w:lang w:eastAsia="zh-CN"/>
              </w:rPr>
              <w:t>响应人</w:t>
            </w:r>
            <w:r>
              <w:rPr>
                <w:rFonts w:hint="eastAsia" w:ascii="宋体" w:hAnsi="宋体" w:eastAsia="宋体" w:cs="宋体"/>
                <w:sz w:val="24"/>
                <w:szCs w:val="24"/>
              </w:rPr>
              <w:t>须知、评标办法、</w:t>
            </w:r>
            <w:r>
              <w:rPr>
                <w:rFonts w:hint="eastAsia" w:ascii="宋体" w:hAnsi="宋体" w:eastAsia="宋体" w:cs="宋体"/>
                <w:sz w:val="24"/>
                <w:szCs w:val="24"/>
                <w:lang w:val="en-US" w:eastAsia="zh-CN"/>
              </w:rPr>
              <w:t>磋商</w:t>
            </w:r>
            <w:r>
              <w:rPr>
                <w:rFonts w:hint="eastAsia" w:ascii="宋体" w:hAnsi="宋体" w:eastAsia="宋体" w:cs="宋体"/>
                <w:sz w:val="24"/>
                <w:szCs w:val="24"/>
              </w:rPr>
              <w:t>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sz w:val="24"/>
                <w:szCs w:val="24"/>
                <w:lang w:eastAsia="zh-CN"/>
              </w:rPr>
              <w:t>采购人</w:t>
            </w:r>
            <w:r>
              <w:rPr>
                <w:rFonts w:hint="eastAsia" w:ascii="宋体" w:hAnsi="宋体" w:eastAsia="宋体" w:cs="宋体"/>
                <w:sz w:val="24"/>
                <w:szCs w:val="24"/>
              </w:rPr>
              <w:t>负责解释。</w:t>
            </w:r>
            <w:r>
              <w:rPr>
                <w:rFonts w:hint="eastAsia" w:ascii="宋体" w:hAnsi="宋体" w:cs="宋体"/>
                <w:sz w:val="24"/>
                <w:szCs w:val="24"/>
                <w:lang w:val="en-US" w:eastAsia="zh-CN"/>
              </w:rPr>
              <w:t xml:space="preserve"> </w:t>
            </w:r>
          </w:p>
        </w:tc>
      </w:tr>
      <w:tr w14:paraId="6BF6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74" w:type="dxa"/>
            <w:noWrap w:val="0"/>
            <w:vAlign w:val="center"/>
          </w:tcPr>
          <w:p w14:paraId="42E8CC11">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43</w:t>
            </w:r>
          </w:p>
        </w:tc>
        <w:tc>
          <w:tcPr>
            <w:tcW w:w="2077" w:type="dxa"/>
            <w:gridSpan w:val="2"/>
            <w:noWrap w:val="0"/>
            <w:vAlign w:val="center"/>
          </w:tcPr>
          <w:p w14:paraId="00A93DF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rPr>
            </w:pPr>
            <w:r>
              <w:rPr>
                <w:rFonts w:hint="eastAsia" w:ascii="宋体" w:hAnsi="宋体" w:eastAsia="宋体" w:cs="宋体"/>
                <w:sz w:val="24"/>
                <w:szCs w:val="24"/>
                <w:lang w:val="en-US" w:eastAsia="zh-CN"/>
              </w:rPr>
              <w:t>代理服务费</w:t>
            </w:r>
          </w:p>
        </w:tc>
        <w:tc>
          <w:tcPr>
            <w:tcW w:w="6590" w:type="dxa"/>
            <w:gridSpan w:val="2"/>
            <w:noWrap w:val="0"/>
            <w:vAlign w:val="center"/>
          </w:tcPr>
          <w:p w14:paraId="6AD76817">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1.收取标准：参考河南省招标代理服务收费指导意见，按豫招协【2023】002号文件规定计取的招标代理服务收费标准的 97%作为本项目代理服务费，由中标人支付。</w:t>
            </w:r>
          </w:p>
          <w:p w14:paraId="772638A6">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.收取方式：成交投标人在领取成交通知书时，以现金或转账的方式一次性向代理机构缴纳代理服务费。</w:t>
            </w:r>
          </w:p>
          <w:p w14:paraId="55BBF45A">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.成交单位领取成交通知书时向招标代理机构提交两份纸质磋商响应文件磋商响应文件应按以下要求装订：胶装（不得采用活页装订），应有目录，并逐页标注连续页码，需加盖公章。</w:t>
            </w:r>
          </w:p>
        </w:tc>
      </w:tr>
      <w:tr w14:paraId="785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74" w:type="dxa"/>
            <w:noWrap w:val="0"/>
            <w:vAlign w:val="center"/>
          </w:tcPr>
          <w:p w14:paraId="267F519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077" w:type="dxa"/>
            <w:gridSpan w:val="2"/>
            <w:noWrap w:val="0"/>
            <w:vAlign w:val="center"/>
          </w:tcPr>
          <w:p w14:paraId="6EFA6E1A">
            <w:pPr>
              <w:keepNext w:val="0"/>
              <w:keepLines w:val="0"/>
              <w:widowControl w:val="0"/>
              <w:suppressLineNumbers w:val="0"/>
              <w:tabs>
                <w:tab w:val="left" w:pos="720"/>
              </w:tabs>
              <w:spacing w:before="0" w:beforeAutospacing="0" w:after="0" w:afterAutospacing="0" w:line="400" w:lineRule="exact"/>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需要补充的其他内容</w:t>
            </w:r>
          </w:p>
        </w:tc>
        <w:tc>
          <w:tcPr>
            <w:tcW w:w="6590" w:type="dxa"/>
            <w:gridSpan w:val="2"/>
            <w:noWrap w:val="0"/>
            <w:vAlign w:val="center"/>
          </w:tcPr>
          <w:p w14:paraId="3B5DF1FE">
            <w:pPr>
              <w:keepNext w:val="0"/>
              <w:keepLines w:val="0"/>
              <w:widowControl w:val="0"/>
              <w:suppressLineNumbers w:val="0"/>
              <w:tabs>
                <w:tab w:val="left" w:pos="720"/>
              </w:tabs>
              <w:spacing w:before="0" w:beforeAutospacing="0" w:after="0" w:afterAutospacing="0" w:line="4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 成交人与采购人签订合同后，将合同副本原件一份报采购代理机构备案。</w:t>
            </w:r>
          </w:p>
          <w:p w14:paraId="3A462A30">
            <w:pPr>
              <w:keepNext w:val="0"/>
              <w:keepLines w:val="0"/>
              <w:widowControl w:val="0"/>
              <w:suppressLineNumbers w:val="0"/>
              <w:tabs>
                <w:tab w:val="left" w:pos="720"/>
              </w:tabs>
              <w:spacing w:before="0" w:beforeAutospacing="0" w:after="0" w:afterAutospacing="0" w:line="400" w:lineRule="exact"/>
              <w:ind w:left="0" w:leftChars="0" w:right="0" w:rightChars="0"/>
              <w:jc w:val="both"/>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
              </w:rPr>
              <w:t>2. 本次采购标的对应的中小企业划分标准所属行业为“建筑业”，所属行业界定标准参考《中小企业划型标准规定》。</w:t>
            </w:r>
          </w:p>
        </w:tc>
      </w:tr>
      <w:tr w14:paraId="5EA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74" w:type="dxa"/>
            <w:noWrap w:val="0"/>
            <w:vAlign w:val="center"/>
          </w:tcPr>
          <w:p w14:paraId="1903FA7C">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45</w:t>
            </w:r>
          </w:p>
        </w:tc>
        <w:tc>
          <w:tcPr>
            <w:tcW w:w="2097" w:type="dxa"/>
            <w:gridSpan w:val="3"/>
            <w:noWrap w:val="0"/>
            <w:vAlign w:val="top"/>
          </w:tcPr>
          <w:p w14:paraId="1803D1AF">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109DC5D6">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0E738096">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2485D2F2">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5F9E8180">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D98B3E5">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7B095D16">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22C74344">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20EEEABB">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65B859EB">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0CA1E1C0">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32B29873">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5494B1BB">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6B55A37">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3A0DCF03">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电子化交易</w:t>
            </w:r>
          </w:p>
          <w:p w14:paraId="006A26D3">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4"/>
                <w:szCs w:val="24"/>
              </w:rPr>
              <w:t>注意事项</w:t>
            </w:r>
          </w:p>
        </w:tc>
        <w:tc>
          <w:tcPr>
            <w:tcW w:w="6570" w:type="dxa"/>
            <w:noWrap w:val="0"/>
            <w:vAlign w:val="top"/>
          </w:tcPr>
          <w:p w14:paraId="4A19C3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电子化项目开标、解密、唱标、磋商</w:t>
            </w:r>
          </w:p>
          <w:p w14:paraId="06D02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具体要求：本项目为电子化、无纸化交易项目，投标文件是</w:t>
            </w:r>
            <w:r>
              <w:rPr>
                <w:rFonts w:hint="eastAsia"/>
                <w:sz w:val="24"/>
                <w:szCs w:val="24"/>
                <w:lang w:eastAsia="zh-CN"/>
              </w:rPr>
              <w:t>响应人</w:t>
            </w:r>
            <w:r>
              <w:rPr>
                <w:rFonts w:hint="eastAsia"/>
                <w:sz w:val="24"/>
                <w:szCs w:val="24"/>
              </w:rPr>
              <w:t>、</w:t>
            </w:r>
            <w:r>
              <w:rPr>
                <w:rFonts w:hint="eastAsia"/>
                <w:sz w:val="24"/>
                <w:szCs w:val="24"/>
                <w:lang w:eastAsia="zh-CN"/>
              </w:rPr>
              <w:t>响应人</w:t>
            </w:r>
            <w:r>
              <w:rPr>
                <w:rFonts w:hint="eastAsia"/>
                <w:sz w:val="24"/>
                <w:szCs w:val="24"/>
              </w:rPr>
              <w:t>（以下简称“</w:t>
            </w:r>
            <w:r>
              <w:rPr>
                <w:rFonts w:hint="eastAsia"/>
                <w:sz w:val="24"/>
                <w:szCs w:val="24"/>
                <w:lang w:eastAsia="zh-CN"/>
              </w:rPr>
              <w:t>响应人</w:t>
            </w:r>
            <w:r>
              <w:rPr>
                <w:rFonts w:hint="eastAsia"/>
                <w:sz w:val="24"/>
                <w:szCs w:val="24"/>
              </w:rPr>
              <w:t>”）通过中心投标文件制作系统制作，并经过签章和加密后生成的电子版投标文件。</w:t>
            </w:r>
          </w:p>
          <w:p w14:paraId="745872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电子化投标文件具体制作文件请点击https://download.bqpoint.com/download/downloaddetail.html?SourceFrom=Ztb&amp;ZtbSoftXiaQuCode=1506&amp;ZtbSoftType=tballinclusive进行下载。</w:t>
            </w:r>
          </w:p>
          <w:p w14:paraId="604902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温馨提示：本项目为电子化、无纸化交易项目，为保证您能投标成功，请需仔细阅读以下条款。</w:t>
            </w:r>
          </w:p>
          <w:p w14:paraId="6A64ED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一、电子化投标</w:t>
            </w:r>
          </w:p>
          <w:p w14:paraId="5751B9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（一）电子化投标文件的签章</w:t>
            </w:r>
          </w:p>
          <w:p w14:paraId="5F6E27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w:t>
            </w:r>
            <w:r>
              <w:rPr>
                <w:rFonts w:hint="eastAsia"/>
                <w:sz w:val="24"/>
                <w:szCs w:val="24"/>
                <w:lang w:eastAsia="zh-CN"/>
              </w:rPr>
              <w:t>响应人</w:t>
            </w:r>
            <w:r>
              <w:rPr>
                <w:rFonts w:hint="eastAsia"/>
                <w:sz w:val="24"/>
                <w:szCs w:val="24"/>
              </w:rPr>
              <w:t>在生成电子化投标文件后，应对电子化投标文件进行签章，未进行签章的视为无效投标。</w:t>
            </w:r>
          </w:p>
          <w:p w14:paraId="00DA01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2、招标文件中要求法定代表人（或经营者）或授权委托人签字或盖章的，</w:t>
            </w:r>
            <w:r>
              <w:rPr>
                <w:rFonts w:hint="eastAsia"/>
                <w:sz w:val="24"/>
                <w:szCs w:val="24"/>
                <w:lang w:eastAsia="zh-CN"/>
              </w:rPr>
              <w:t>响应人</w:t>
            </w:r>
            <w:r>
              <w:rPr>
                <w:rFonts w:hint="eastAsia"/>
                <w:sz w:val="24"/>
                <w:szCs w:val="24"/>
              </w:rPr>
              <w:t>在进行电子化投标文件签章时，以签盖法定代表人（或经营者）签章为准。</w:t>
            </w:r>
          </w:p>
          <w:p w14:paraId="11EAA2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（三）电子化投标文件的格式及上传投标</w:t>
            </w:r>
          </w:p>
          <w:p w14:paraId="4F3576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w:t>
            </w:r>
            <w:r>
              <w:rPr>
                <w:rFonts w:hint="eastAsia"/>
                <w:sz w:val="24"/>
                <w:szCs w:val="24"/>
                <w:lang w:eastAsia="zh-CN"/>
              </w:rPr>
              <w:t>响应人</w:t>
            </w:r>
            <w:r>
              <w:rPr>
                <w:rFonts w:hint="eastAsia"/>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sz w:val="24"/>
                <w:szCs w:val="24"/>
                <w:lang w:eastAsia="zh-CN"/>
              </w:rPr>
              <w:t>响应人</w:t>
            </w:r>
            <w:r>
              <w:rPr>
                <w:rFonts w:hint="eastAsia"/>
                <w:sz w:val="24"/>
                <w:szCs w:val="24"/>
              </w:rPr>
              <w:t>随身携带。</w:t>
            </w:r>
          </w:p>
          <w:p w14:paraId="6EE776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注：</w:t>
            </w:r>
            <w:r>
              <w:rPr>
                <w:rFonts w:hint="eastAsia"/>
                <w:sz w:val="24"/>
                <w:szCs w:val="24"/>
                <w:lang w:eastAsia="zh-CN"/>
              </w:rPr>
              <w:t>响应人</w:t>
            </w:r>
            <w:r>
              <w:rPr>
                <w:rFonts w:hint="eastAsia"/>
                <w:sz w:val="24"/>
                <w:szCs w:val="24"/>
              </w:rPr>
              <w:t>投报多个标段的，需要每个标段单独制作电子投标文件。</w:t>
            </w:r>
          </w:p>
          <w:p w14:paraId="32F80F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3AF80D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注：如按照电子化投标操作教材制作完成的电子化投标文件无法上传的，</w:t>
            </w:r>
            <w:r>
              <w:rPr>
                <w:rFonts w:hint="eastAsia"/>
                <w:sz w:val="24"/>
                <w:szCs w:val="24"/>
                <w:lang w:eastAsia="zh-CN"/>
              </w:rPr>
              <w:t>响应人</w:t>
            </w:r>
            <w:r>
              <w:rPr>
                <w:rFonts w:hint="eastAsia"/>
                <w:sz w:val="24"/>
                <w:szCs w:val="24"/>
              </w:rPr>
              <w:t>应在投标截止时间前尽早的联系中心技术人员，以便有充分的时间进行处理。</w:t>
            </w:r>
            <w:r>
              <w:rPr>
                <w:rFonts w:hint="eastAsia"/>
                <w:sz w:val="24"/>
                <w:szCs w:val="24"/>
                <w:lang w:eastAsia="zh-CN"/>
              </w:rPr>
              <w:t>响应人</w:t>
            </w:r>
            <w:r>
              <w:rPr>
                <w:rFonts w:hint="eastAsia"/>
                <w:sz w:val="24"/>
                <w:szCs w:val="24"/>
              </w:rPr>
              <w:t>应充分考虑到处理技术问题和上传数据等工作所需的时间问题，投标文件未在投标截止时间前成功上传的，其投标文件不予接收。</w:t>
            </w:r>
          </w:p>
          <w:p w14:paraId="28C32B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技术联系电话：0398-3117095   3117080</w:t>
            </w:r>
          </w:p>
          <w:p w14:paraId="553CD2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新点客服电话:4009980000</w:t>
            </w:r>
          </w:p>
          <w:p w14:paraId="57FCB7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（四）电子化项目开标、解密、唱标、评标</w:t>
            </w:r>
          </w:p>
          <w:p w14:paraId="62A38FF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1、本项目采用无纸化进行招标，开标当日，</w:t>
            </w:r>
            <w:r>
              <w:rPr>
                <w:rFonts w:hint="eastAsia"/>
                <w:sz w:val="24"/>
                <w:szCs w:val="24"/>
                <w:lang w:eastAsia="zh-CN"/>
              </w:rPr>
              <w:t>响应人</w:t>
            </w:r>
            <w:r>
              <w:rPr>
                <w:rFonts w:hint="eastAsia"/>
                <w:sz w:val="24"/>
                <w:szCs w:val="24"/>
              </w:rPr>
              <w:t>无需到开标现场参加开标会议，</w:t>
            </w:r>
            <w:r>
              <w:rPr>
                <w:rFonts w:hint="eastAsia"/>
                <w:sz w:val="24"/>
                <w:szCs w:val="24"/>
                <w:lang w:eastAsia="zh-CN"/>
              </w:rPr>
              <w:t>响应人</w:t>
            </w:r>
            <w:r>
              <w:rPr>
                <w:rFonts w:hint="eastAsia"/>
                <w:sz w:val="24"/>
                <w:szCs w:val="24"/>
              </w:rPr>
              <w:t>应当在投标截止时间前，登陆不见面开标大厅选择登陆三门峡市公共资源电子招投标系统进行登陆（网址为http://122.112.246.33/BidOpening/bidopeninghallaction/hall/login）,在线准时参加开标活动并进行投标文件解密等</w:t>
            </w:r>
          </w:p>
          <w:p w14:paraId="540605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2、电子化投标文件采用一次加密方式。开标时，由</w:t>
            </w:r>
            <w:r>
              <w:rPr>
                <w:rFonts w:hint="eastAsia"/>
                <w:sz w:val="24"/>
                <w:szCs w:val="24"/>
                <w:lang w:eastAsia="zh-CN"/>
              </w:rPr>
              <w:t>响应人</w:t>
            </w:r>
            <w:r>
              <w:rPr>
                <w:rFonts w:hint="eastAsia"/>
                <w:sz w:val="24"/>
                <w:szCs w:val="24"/>
              </w:rPr>
              <w:t>使用CA 证书，在规定时间内对其电子化投标文件进行解密。每位</w:t>
            </w:r>
            <w:r>
              <w:rPr>
                <w:rFonts w:hint="eastAsia"/>
                <w:sz w:val="24"/>
                <w:szCs w:val="24"/>
                <w:lang w:eastAsia="zh-CN"/>
              </w:rPr>
              <w:t>响应人</w:t>
            </w:r>
            <w:r>
              <w:rPr>
                <w:rFonts w:hint="eastAsia"/>
                <w:sz w:val="24"/>
                <w:szCs w:val="24"/>
              </w:rPr>
              <w:t>的解密时间为开标时间起30 分钟内，如在规定时间内未完成解密的，其投标文件不予开标、唱标。</w:t>
            </w:r>
          </w:p>
          <w:p w14:paraId="29EEFF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3、电子化投标文件解密异常的处理</w:t>
            </w:r>
          </w:p>
          <w:p w14:paraId="7B6304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如出现</w:t>
            </w:r>
            <w:r>
              <w:rPr>
                <w:rFonts w:hint="eastAsia"/>
                <w:sz w:val="24"/>
                <w:szCs w:val="24"/>
                <w:lang w:eastAsia="zh-CN"/>
              </w:rPr>
              <w:t>响应人</w:t>
            </w:r>
            <w:r>
              <w:rPr>
                <w:rFonts w:hint="eastAsia"/>
                <w:sz w:val="24"/>
                <w:szCs w:val="24"/>
              </w:rPr>
              <w:t>的电子投标文件无法解密等异常情况，</w:t>
            </w:r>
            <w:r>
              <w:rPr>
                <w:rFonts w:hint="eastAsia"/>
                <w:sz w:val="24"/>
                <w:szCs w:val="24"/>
                <w:lang w:eastAsia="zh-CN"/>
              </w:rPr>
              <w:t>响应人</w:t>
            </w:r>
            <w:r>
              <w:rPr>
                <w:rFonts w:hint="eastAsia"/>
                <w:sz w:val="24"/>
                <w:szCs w:val="24"/>
              </w:rPr>
              <w:t>应及时致电中介服务机构说明。投标文件异常，按以下步骤进行处理：</w:t>
            </w:r>
          </w:p>
          <w:p w14:paraId="213525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（1）首先由技术人员进行问题排查。</w:t>
            </w:r>
          </w:p>
          <w:p w14:paraId="531D1C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（2）经技术人员排查后，是</w:t>
            </w:r>
            <w:r>
              <w:rPr>
                <w:rFonts w:hint="eastAsia"/>
                <w:sz w:val="24"/>
                <w:szCs w:val="24"/>
                <w:lang w:eastAsia="zh-CN"/>
              </w:rPr>
              <w:t>响应人</w:t>
            </w:r>
            <w:r>
              <w:rPr>
                <w:rFonts w:hint="eastAsia"/>
                <w:sz w:val="24"/>
                <w:szCs w:val="24"/>
              </w:rPr>
              <w:t>文件自身问题导致投标文件无法解密的，该投标文件将不予接收、解密和唱标。开标会议继续进行。</w:t>
            </w:r>
          </w:p>
          <w:p w14:paraId="76B60F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49B1F9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4、待所有</w:t>
            </w:r>
            <w:r>
              <w:rPr>
                <w:rFonts w:hint="eastAsia"/>
                <w:sz w:val="24"/>
                <w:szCs w:val="24"/>
                <w:lang w:eastAsia="zh-CN"/>
              </w:rPr>
              <w:t>响应人</w:t>
            </w:r>
            <w:r>
              <w:rPr>
                <w:rFonts w:hint="eastAsia"/>
                <w:sz w:val="24"/>
                <w:szCs w:val="24"/>
              </w:rPr>
              <w:t>投标文件解密完成后，由中介服务机构操作，对所有已解密投标文件进行唱标。</w:t>
            </w:r>
          </w:p>
          <w:p w14:paraId="4CA6C23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lang w:eastAsia="zh-CN"/>
              </w:rPr>
              <w:t>响应人</w:t>
            </w:r>
            <w:r>
              <w:rPr>
                <w:rFonts w:hint="eastAsia"/>
                <w:sz w:val="24"/>
                <w:szCs w:val="24"/>
              </w:rPr>
              <w:t>应保证在开标期间电话、电脑、网络能够正常工作，</w:t>
            </w:r>
            <w:r>
              <w:rPr>
                <w:rFonts w:hint="eastAsia"/>
                <w:sz w:val="24"/>
                <w:szCs w:val="24"/>
                <w:lang w:eastAsia="zh-CN"/>
              </w:rPr>
              <w:t>响应人</w:t>
            </w:r>
            <w:r>
              <w:rPr>
                <w:rFonts w:hint="eastAsia"/>
                <w:sz w:val="24"/>
                <w:szCs w:val="24"/>
              </w:rPr>
              <w:t>因停电、电脑病毒、网络堵塞等原因，未在规定的解密时间内对投标文件进行解密的，其投标文件不予接收、唱标。</w:t>
            </w:r>
          </w:p>
          <w:p w14:paraId="3E163A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5、开标时</w:t>
            </w:r>
            <w:r>
              <w:rPr>
                <w:rFonts w:hint="eastAsia"/>
                <w:sz w:val="24"/>
                <w:szCs w:val="24"/>
                <w:lang w:eastAsia="zh-CN"/>
              </w:rPr>
              <w:t>响应人</w:t>
            </w:r>
            <w:r>
              <w:rPr>
                <w:rFonts w:hint="eastAsia"/>
                <w:sz w:val="24"/>
                <w:szCs w:val="24"/>
              </w:rPr>
              <w:t>可登录到交易系统中在开标解密栏中点击报价一览表查看自己的投标报价。如对自己的唱标内容有异议的，应在</w:t>
            </w:r>
            <w:r>
              <w:rPr>
                <w:rFonts w:hint="eastAsia"/>
                <w:sz w:val="24"/>
                <w:szCs w:val="24"/>
                <w:lang w:eastAsia="zh-CN"/>
              </w:rPr>
              <w:t>响应人</w:t>
            </w:r>
            <w:r>
              <w:rPr>
                <w:rFonts w:hint="eastAsia"/>
                <w:sz w:val="24"/>
                <w:szCs w:val="24"/>
              </w:rPr>
              <w:t>解密成功后10分钟内向中介服务机构电话质疑。中介服务机构应在监督人员的监督下进行免提通话接受</w:t>
            </w:r>
            <w:r>
              <w:rPr>
                <w:rFonts w:hint="eastAsia"/>
                <w:sz w:val="24"/>
                <w:szCs w:val="24"/>
                <w:lang w:eastAsia="zh-CN"/>
              </w:rPr>
              <w:t>响应人</w:t>
            </w:r>
            <w:r>
              <w:rPr>
                <w:rFonts w:hint="eastAsia"/>
                <w:sz w:val="24"/>
                <w:szCs w:val="24"/>
              </w:rPr>
              <w:t>的质疑并做好书面记录。</w:t>
            </w:r>
            <w:r>
              <w:rPr>
                <w:rFonts w:hint="eastAsia"/>
                <w:sz w:val="24"/>
                <w:szCs w:val="24"/>
                <w:lang w:eastAsia="zh-CN"/>
              </w:rPr>
              <w:t>响应人</w:t>
            </w:r>
            <w:r>
              <w:rPr>
                <w:rFonts w:hint="eastAsia"/>
                <w:sz w:val="24"/>
                <w:szCs w:val="24"/>
              </w:rPr>
              <w:t>未在规定时间内提出质疑的，视为认可唱标内容。</w:t>
            </w:r>
          </w:p>
          <w:p w14:paraId="0D639C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6、评标时，评标委员会对电子化投标文件有质疑的，将通过电子化交易系统对</w:t>
            </w:r>
            <w:r>
              <w:rPr>
                <w:rFonts w:hint="eastAsia"/>
                <w:sz w:val="24"/>
                <w:szCs w:val="24"/>
                <w:lang w:eastAsia="zh-CN"/>
              </w:rPr>
              <w:t>响应人</w:t>
            </w:r>
            <w:r>
              <w:rPr>
                <w:rFonts w:hint="eastAsia"/>
                <w:sz w:val="24"/>
                <w:szCs w:val="24"/>
              </w:rPr>
              <w:t>发起质疑，并在监督人员的监督下，用免提模式致电需要答复的</w:t>
            </w:r>
            <w:r>
              <w:rPr>
                <w:rFonts w:hint="eastAsia"/>
                <w:sz w:val="24"/>
                <w:szCs w:val="24"/>
                <w:lang w:eastAsia="zh-CN"/>
              </w:rPr>
              <w:t>响应人</w:t>
            </w:r>
            <w:r>
              <w:rPr>
                <w:rFonts w:hint="eastAsia"/>
                <w:sz w:val="24"/>
                <w:szCs w:val="24"/>
              </w:rPr>
              <w:t>对质疑进行回复。</w:t>
            </w:r>
            <w:r>
              <w:rPr>
                <w:rFonts w:hint="eastAsia"/>
                <w:sz w:val="24"/>
                <w:szCs w:val="24"/>
                <w:lang w:eastAsia="zh-CN"/>
              </w:rPr>
              <w:t>响应人</w:t>
            </w:r>
            <w:r>
              <w:rPr>
                <w:rFonts w:hint="eastAsia"/>
                <w:sz w:val="24"/>
                <w:szCs w:val="24"/>
              </w:rPr>
              <w:t>的回复文件必须以经过</w:t>
            </w:r>
            <w:r>
              <w:rPr>
                <w:rFonts w:hint="eastAsia"/>
                <w:sz w:val="24"/>
                <w:szCs w:val="24"/>
                <w:lang w:eastAsia="zh-CN"/>
              </w:rPr>
              <w:t>响应人</w:t>
            </w:r>
            <w:r>
              <w:rPr>
                <w:rFonts w:hint="eastAsia"/>
                <w:sz w:val="24"/>
                <w:szCs w:val="24"/>
              </w:rPr>
              <w:t>和其法定代表人（或经营者）签章的PDF格式文件为准，并通过电子化交易系统提交至评标委员会。</w:t>
            </w:r>
          </w:p>
          <w:p w14:paraId="4AD542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7、如评标委员会对需要回复的</w:t>
            </w:r>
            <w:r>
              <w:rPr>
                <w:rFonts w:hint="eastAsia"/>
                <w:sz w:val="24"/>
                <w:szCs w:val="24"/>
                <w:lang w:eastAsia="zh-CN"/>
              </w:rPr>
              <w:t>响应人</w:t>
            </w:r>
            <w:r>
              <w:rPr>
                <w:rFonts w:hint="eastAsia"/>
                <w:sz w:val="24"/>
                <w:szCs w:val="24"/>
              </w:rPr>
              <w:t>连续三次致电未接通的，视为</w:t>
            </w:r>
            <w:r>
              <w:rPr>
                <w:rFonts w:hint="eastAsia"/>
                <w:sz w:val="24"/>
                <w:szCs w:val="24"/>
                <w:lang w:eastAsia="zh-CN"/>
              </w:rPr>
              <w:t>响应人</w:t>
            </w:r>
            <w:r>
              <w:rPr>
                <w:rFonts w:hint="eastAsia"/>
                <w:sz w:val="24"/>
                <w:szCs w:val="24"/>
              </w:rPr>
              <w:t>放弃回复，评标委员会将自行对需要回复的内容进行认定。</w:t>
            </w:r>
          </w:p>
          <w:p w14:paraId="156DD2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提示：</w:t>
            </w:r>
          </w:p>
          <w:p w14:paraId="18DF2E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1、本项目为电子化、无纸化交易项目，开标时不再接受任何纸质资料，为保证您能投标成功，需仔细阅读以上条款。</w:t>
            </w:r>
          </w:p>
          <w:p w14:paraId="3A49E9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eastAsiaTheme="minorEastAsia"/>
                <w:sz w:val="24"/>
                <w:szCs w:val="24"/>
                <w:lang w:eastAsia="zh-CN"/>
              </w:rPr>
            </w:pPr>
            <w:r>
              <w:rPr>
                <w:rFonts w:hint="eastAsia"/>
                <w:sz w:val="24"/>
                <w:szCs w:val="24"/>
              </w:rPr>
              <w:t>2、CA证书延期激活后，已经报名为开标的项目，请重新下载制作投标文件并上传，否则开标时文件将无法解密</w:t>
            </w:r>
            <w:r>
              <w:rPr>
                <w:rFonts w:hint="eastAsia"/>
                <w:sz w:val="24"/>
                <w:szCs w:val="24"/>
                <w:lang w:eastAsia="zh-CN"/>
              </w:rPr>
              <w:t>。</w:t>
            </w:r>
          </w:p>
          <w:p w14:paraId="50230A60">
            <w:pPr>
              <w:keepNext w:val="0"/>
              <w:keepLines w:val="0"/>
              <w:suppressLineNumbers w:val="0"/>
              <w:bidi w:val="0"/>
              <w:spacing w:before="0" w:beforeAutospacing="0" w:after="0" w:afterAutospacing="0"/>
              <w:ind w:left="0" w:right="0"/>
              <w:jc w:val="left"/>
              <w:rPr>
                <w:rFonts w:hint="eastAsia"/>
                <w:lang w:val="en-US" w:eastAsia="zh-CN"/>
              </w:rPr>
            </w:pPr>
          </w:p>
        </w:tc>
      </w:tr>
    </w:tbl>
    <w:p w14:paraId="5D24EAE8">
      <w:pPr>
        <w:keepNext w:val="0"/>
        <w:keepLines w:val="0"/>
        <w:pageBreakBefore/>
        <w:widowControl w:val="0"/>
        <w:tabs>
          <w:tab w:val="left" w:pos="312"/>
        </w:tabs>
        <w:kinsoku/>
        <w:wordWrap/>
        <w:topLinePunct w:val="0"/>
        <w:autoSpaceDE/>
        <w:autoSpaceDN/>
        <w:bidi w:val="0"/>
        <w:spacing w:line="520" w:lineRule="exact"/>
        <w:jc w:val="both"/>
        <w:textAlignment w:val="auto"/>
        <w:outlineLvl w:val="1"/>
        <w:rPr>
          <w:rFonts w:hint="eastAsia" w:ascii="宋体" w:hAnsi="宋体" w:eastAsia="宋体" w:cs="宋体"/>
          <w:b/>
          <w:sz w:val="24"/>
          <w:szCs w:val="24"/>
        </w:rPr>
      </w:pPr>
      <w:bookmarkStart w:id="15" w:name="_Toc38145697"/>
      <w:bookmarkStart w:id="16" w:name="_Toc38145596"/>
      <w:bookmarkStart w:id="17" w:name="_Toc235378129"/>
      <w:bookmarkStart w:id="18" w:name="_Toc38145772"/>
      <w:bookmarkStart w:id="19" w:name="_Toc6768_WPSOffice_Level2"/>
      <w:r>
        <w:rPr>
          <w:rFonts w:hint="eastAsia" w:ascii="宋体" w:hAnsi="宋体" w:eastAsia="宋体" w:cs="宋体"/>
          <w:b/>
          <w:sz w:val="24"/>
          <w:szCs w:val="24"/>
        </w:rPr>
        <w:t>一</w:t>
      </w:r>
      <w:r>
        <w:rPr>
          <w:rFonts w:hint="eastAsia" w:ascii="宋体" w:hAnsi="宋体" w:eastAsia="宋体" w:cs="宋体"/>
          <w:b/>
          <w:sz w:val="24"/>
          <w:szCs w:val="24"/>
          <w:lang w:eastAsia="zh-CN"/>
        </w:rPr>
        <w:t>、</w:t>
      </w:r>
      <w:r>
        <w:rPr>
          <w:rFonts w:hint="eastAsia" w:ascii="宋体" w:hAnsi="宋体" w:eastAsia="宋体" w:cs="宋体"/>
          <w:b/>
          <w:sz w:val="24"/>
          <w:szCs w:val="24"/>
        </w:rPr>
        <w:t>总则</w:t>
      </w:r>
      <w:bookmarkEnd w:id="15"/>
      <w:bookmarkEnd w:id="16"/>
      <w:bookmarkEnd w:id="17"/>
      <w:bookmarkEnd w:id="18"/>
      <w:bookmarkEnd w:id="19"/>
    </w:p>
    <w:p w14:paraId="3A6D149C">
      <w:pPr>
        <w:keepNext w:val="0"/>
        <w:keepLines w:val="0"/>
        <w:widowControl w:val="0"/>
        <w:kinsoku/>
        <w:wordWrap/>
        <w:topLinePunct w:val="0"/>
        <w:autoSpaceDE/>
        <w:autoSpaceDN/>
        <w:bidi w:val="0"/>
        <w:spacing w:line="520" w:lineRule="exact"/>
        <w:ind w:left="0" w:leftChars="0" w:firstLine="422" w:firstLineChars="175"/>
        <w:jc w:val="both"/>
        <w:textAlignment w:val="auto"/>
        <w:outlineLvl w:val="2"/>
        <w:rPr>
          <w:rFonts w:hint="eastAsia" w:ascii="宋体" w:hAnsi="宋体" w:eastAsia="宋体" w:cs="宋体"/>
          <w:b/>
          <w:kern w:val="1"/>
          <w:sz w:val="24"/>
          <w:szCs w:val="24"/>
        </w:rPr>
      </w:pPr>
      <w:bookmarkStart w:id="20" w:name="_Toc38145597"/>
      <w:bookmarkStart w:id="21" w:name="_Toc38145698"/>
      <w:bookmarkStart w:id="22" w:name="_Toc38145773"/>
      <w:r>
        <w:rPr>
          <w:rFonts w:hint="eastAsia" w:ascii="宋体" w:hAnsi="宋体" w:eastAsia="宋体" w:cs="宋体"/>
          <w:b/>
          <w:bCs/>
          <w:sz w:val="24"/>
          <w:szCs w:val="24"/>
        </w:rPr>
        <w:t>1.1项目概况</w:t>
      </w:r>
      <w:bookmarkEnd w:id="20"/>
      <w:bookmarkEnd w:id="21"/>
      <w:bookmarkEnd w:id="22"/>
    </w:p>
    <w:p w14:paraId="3C48544F">
      <w:pPr>
        <w:keepNext w:val="0"/>
        <w:keepLines w:val="0"/>
        <w:widowControl w:val="0"/>
        <w:suppressAutoHyphens/>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kern w:val="1"/>
          <w:sz w:val="24"/>
          <w:szCs w:val="24"/>
        </w:rPr>
      </w:pPr>
      <w:r>
        <w:rPr>
          <w:rFonts w:hint="eastAsia" w:ascii="宋体" w:hAnsi="宋体" w:eastAsia="宋体" w:cs="宋体"/>
          <w:kern w:val="1"/>
          <w:sz w:val="24"/>
          <w:szCs w:val="24"/>
        </w:rPr>
        <w:t>1.1.1根据有关法律、法规和规章的规定，本项目己具备磋商条件，现对本项目进行磋商。</w:t>
      </w:r>
    </w:p>
    <w:p w14:paraId="3FEC2893">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1.1.2本项目采购人：见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7E647929">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1.1.3本项目</w:t>
      </w:r>
      <w:r>
        <w:rPr>
          <w:rFonts w:hint="eastAsia" w:ascii="宋体" w:hAnsi="宋体" w:eastAsia="宋体" w:cs="宋体"/>
          <w:sz w:val="24"/>
          <w:szCs w:val="24"/>
          <w:lang w:eastAsia="zh-CN"/>
        </w:rPr>
        <w:t>招标代理公司</w:t>
      </w:r>
      <w:r>
        <w:rPr>
          <w:rFonts w:hint="eastAsia" w:ascii="宋体" w:hAnsi="宋体" w:eastAsia="宋体" w:cs="宋体"/>
          <w:sz w:val="24"/>
          <w:szCs w:val="24"/>
        </w:rPr>
        <w:t>：见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08F493AB">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1.1.4本项目名称：见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6B08CFE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23" w:name="_Toc38145598"/>
      <w:bookmarkStart w:id="24" w:name="_Toc38145774"/>
      <w:bookmarkStart w:id="25" w:name="_Toc38145699"/>
      <w:r>
        <w:rPr>
          <w:rFonts w:hint="eastAsia" w:ascii="宋体" w:hAnsi="宋体" w:eastAsia="宋体" w:cs="宋体"/>
          <w:b/>
          <w:bCs/>
          <w:sz w:val="24"/>
          <w:szCs w:val="24"/>
        </w:rPr>
        <w:t>1.2资金来源、落实情况</w:t>
      </w:r>
      <w:bookmarkEnd w:id="23"/>
      <w:bookmarkEnd w:id="24"/>
      <w:bookmarkEnd w:id="25"/>
    </w:p>
    <w:p w14:paraId="24B54609">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1.2.1本项目的资金来源：见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396670F8">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1.2.2本项目的资金落实情况：见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6BE458A9">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26" w:name="_Toc38145775"/>
      <w:bookmarkStart w:id="27" w:name="_Toc38145599"/>
      <w:bookmarkStart w:id="28" w:name="_Toc38145700"/>
      <w:r>
        <w:rPr>
          <w:rFonts w:hint="eastAsia" w:ascii="宋体" w:hAnsi="宋体" w:eastAsia="宋体" w:cs="宋体"/>
          <w:b/>
          <w:bCs/>
          <w:sz w:val="24"/>
          <w:szCs w:val="24"/>
        </w:rPr>
        <w:t>1.3磋商范围、</w:t>
      </w:r>
      <w:bookmarkEnd w:id="26"/>
      <w:bookmarkEnd w:id="27"/>
      <w:bookmarkEnd w:id="28"/>
      <w:r>
        <w:rPr>
          <w:rFonts w:hint="eastAsia" w:ascii="宋体" w:hAnsi="宋体" w:cs="宋体"/>
          <w:b/>
          <w:bCs/>
          <w:sz w:val="24"/>
          <w:szCs w:val="24"/>
          <w:lang w:val="en-US" w:eastAsia="zh-CN"/>
        </w:rPr>
        <w:t>监理服务期限</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质量</w:t>
      </w:r>
      <w:r>
        <w:rPr>
          <w:rFonts w:hint="eastAsia" w:ascii="宋体" w:hAnsi="宋体" w:eastAsia="宋体" w:cs="宋体"/>
          <w:b/>
          <w:bCs/>
          <w:sz w:val="24"/>
          <w:szCs w:val="24"/>
          <w:lang w:val="en-US" w:eastAsia="zh-CN"/>
        </w:rPr>
        <w:t>控制目标</w:t>
      </w:r>
    </w:p>
    <w:p w14:paraId="389E7F3D">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1.3.1本项目磋商范围：见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0FC1E2C8">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1.3.2本项目</w:t>
      </w:r>
      <w:r>
        <w:rPr>
          <w:rFonts w:hint="eastAsia" w:ascii="宋体" w:hAnsi="宋体" w:cs="宋体"/>
          <w:sz w:val="24"/>
          <w:szCs w:val="24"/>
          <w:lang w:val="en-US" w:eastAsia="zh-CN"/>
        </w:rPr>
        <w:t>监理服务期限</w:t>
      </w:r>
      <w:r>
        <w:rPr>
          <w:rFonts w:hint="eastAsia" w:ascii="宋体" w:hAnsi="宋体" w:eastAsia="宋体" w:cs="宋体"/>
          <w:sz w:val="24"/>
          <w:szCs w:val="24"/>
        </w:rPr>
        <w:t>：见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3420B18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lang w:val="en-US" w:eastAsia="zh-CN"/>
        </w:rPr>
      </w:pPr>
      <w:bookmarkStart w:id="29" w:name="_Toc38145776"/>
      <w:bookmarkStart w:id="30" w:name="_Toc38145701"/>
      <w:bookmarkStart w:id="31" w:name="_Toc38145600"/>
      <w:r>
        <w:rPr>
          <w:rFonts w:hint="eastAsia" w:ascii="宋体" w:hAnsi="宋体" w:eastAsia="宋体" w:cs="宋体"/>
          <w:b/>
          <w:bCs/>
          <w:sz w:val="24"/>
          <w:szCs w:val="24"/>
          <w:lang w:val="en-US" w:eastAsia="zh-CN"/>
        </w:rPr>
        <w:t>1.4</w:t>
      </w:r>
      <w:r>
        <w:rPr>
          <w:rFonts w:hint="eastAsia" w:ascii="宋体" w:hAnsi="宋体" w:cs="宋体"/>
          <w:b/>
          <w:bCs/>
          <w:sz w:val="24"/>
          <w:szCs w:val="24"/>
          <w:lang w:val="en-US" w:eastAsia="zh-CN"/>
        </w:rPr>
        <w:t>响应人</w:t>
      </w:r>
      <w:r>
        <w:rPr>
          <w:rFonts w:hint="eastAsia" w:ascii="宋体" w:hAnsi="宋体" w:eastAsia="宋体" w:cs="宋体"/>
          <w:b/>
          <w:bCs/>
          <w:sz w:val="24"/>
          <w:szCs w:val="24"/>
          <w:lang w:val="en-US" w:eastAsia="zh-CN"/>
        </w:rPr>
        <w:t>资格要求</w:t>
      </w:r>
      <w:bookmarkEnd w:id="29"/>
      <w:bookmarkEnd w:id="30"/>
      <w:bookmarkEnd w:id="31"/>
    </w:p>
    <w:p w14:paraId="707C1DD4">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yellow"/>
        </w:rPr>
      </w:pPr>
      <w:r>
        <w:rPr>
          <w:rFonts w:hint="eastAsia" w:ascii="宋体" w:hAnsi="宋体" w:eastAsia="宋体" w:cs="宋体"/>
          <w:sz w:val="24"/>
          <w:szCs w:val="24"/>
        </w:rPr>
        <w:t>1.4.1</w:t>
      </w:r>
      <w:r>
        <w:rPr>
          <w:rFonts w:hint="eastAsia" w:ascii="宋体" w:hAnsi="宋体" w:cs="宋体"/>
          <w:sz w:val="24"/>
          <w:szCs w:val="24"/>
          <w:lang w:eastAsia="zh-CN"/>
        </w:rPr>
        <w:t>响应人</w:t>
      </w:r>
      <w:r>
        <w:rPr>
          <w:rFonts w:hint="eastAsia" w:ascii="宋体" w:hAnsi="宋体" w:eastAsia="宋体" w:cs="宋体"/>
          <w:sz w:val="24"/>
          <w:szCs w:val="24"/>
        </w:rPr>
        <w:t>资格要求：见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5B4FD59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2" w:name="_Toc38145601"/>
      <w:bookmarkStart w:id="33" w:name="_Toc38145777"/>
      <w:bookmarkStart w:id="34" w:name="_Toc38145702"/>
      <w:r>
        <w:rPr>
          <w:rFonts w:hint="eastAsia" w:ascii="宋体" w:hAnsi="宋体" w:eastAsia="宋体" w:cs="宋体"/>
          <w:b/>
          <w:bCs/>
          <w:sz w:val="24"/>
          <w:szCs w:val="24"/>
        </w:rPr>
        <w:t>1.5费用承担</w:t>
      </w:r>
      <w:bookmarkEnd w:id="32"/>
      <w:bookmarkEnd w:id="33"/>
      <w:bookmarkEnd w:id="34"/>
    </w:p>
    <w:p w14:paraId="18B6FFF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cs="宋体"/>
          <w:sz w:val="24"/>
          <w:szCs w:val="24"/>
          <w:lang w:eastAsia="zh-CN"/>
        </w:rPr>
        <w:t>响应人</w:t>
      </w:r>
      <w:r>
        <w:rPr>
          <w:rFonts w:hint="eastAsia" w:ascii="宋体" w:hAnsi="宋体" w:eastAsia="宋体" w:cs="宋体"/>
          <w:sz w:val="24"/>
          <w:szCs w:val="24"/>
        </w:rPr>
        <w:t>应承担其投标准备与递交响应文件所涉及的一切费用。不论是否中标，采购人对上述费用均不承担任何责任。</w:t>
      </w:r>
    </w:p>
    <w:p w14:paraId="2975C2C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5" w:name="_Toc38145778"/>
      <w:bookmarkStart w:id="36" w:name="_Toc38145602"/>
      <w:bookmarkStart w:id="37" w:name="_Toc38145703"/>
      <w:r>
        <w:rPr>
          <w:rFonts w:hint="eastAsia" w:ascii="宋体" w:hAnsi="宋体" w:eastAsia="宋体" w:cs="宋体"/>
          <w:b/>
          <w:bCs/>
          <w:sz w:val="24"/>
          <w:szCs w:val="24"/>
        </w:rPr>
        <w:t>1.6保密</w:t>
      </w:r>
      <w:bookmarkEnd w:id="35"/>
      <w:bookmarkEnd w:id="36"/>
      <w:bookmarkEnd w:id="37"/>
    </w:p>
    <w:p w14:paraId="0FB83978">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参与采购活动的各方应对磋商文件和响应文件中的商业和技术等秘密保密，违者应对由此造成的后果承担法律责任。</w:t>
      </w:r>
    </w:p>
    <w:p w14:paraId="3CC6AE1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8" w:name="_Toc38145704"/>
      <w:bookmarkStart w:id="39" w:name="_Toc38145779"/>
      <w:bookmarkStart w:id="40" w:name="_Toc38145603"/>
      <w:r>
        <w:rPr>
          <w:rFonts w:hint="eastAsia" w:ascii="宋体" w:hAnsi="宋体" w:eastAsia="宋体" w:cs="宋体"/>
          <w:b/>
          <w:bCs/>
          <w:sz w:val="24"/>
          <w:szCs w:val="24"/>
        </w:rPr>
        <w:t>1.7语言文字</w:t>
      </w:r>
      <w:bookmarkEnd w:id="38"/>
      <w:bookmarkEnd w:id="39"/>
      <w:bookmarkEnd w:id="40"/>
    </w:p>
    <w:p w14:paraId="6B2DA1D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除专用术语外，与采购活动有关的语言均使用中文。必要时专用术语应附有中文注释，对不同文字文。</w:t>
      </w:r>
    </w:p>
    <w:p w14:paraId="11A17C7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本响应文件的解释发生异议的，以中文文本为准。</w:t>
      </w:r>
    </w:p>
    <w:p w14:paraId="11CF39A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41" w:name="_Toc38145604"/>
      <w:bookmarkStart w:id="42" w:name="_Toc38145780"/>
      <w:bookmarkStart w:id="43" w:name="_Toc38145705"/>
      <w:r>
        <w:rPr>
          <w:rFonts w:hint="eastAsia" w:ascii="宋体" w:hAnsi="宋体" w:eastAsia="宋体" w:cs="宋体"/>
          <w:b/>
          <w:bCs/>
          <w:sz w:val="24"/>
          <w:szCs w:val="24"/>
        </w:rPr>
        <w:t>1.8计量单位</w:t>
      </w:r>
      <w:bookmarkEnd w:id="41"/>
      <w:bookmarkEnd w:id="42"/>
      <w:bookmarkEnd w:id="43"/>
    </w:p>
    <w:p w14:paraId="3C8F0082">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除技术规范另有规定外，所有计量均采用中华人民共和国法定计量单位。</w:t>
      </w:r>
    </w:p>
    <w:p w14:paraId="27A148F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44" w:name="_Toc38145706"/>
      <w:bookmarkStart w:id="45" w:name="_Toc38145605"/>
      <w:bookmarkStart w:id="46" w:name="_Toc38145781"/>
      <w:r>
        <w:rPr>
          <w:rFonts w:hint="eastAsia" w:ascii="宋体" w:hAnsi="宋体" w:eastAsia="宋体" w:cs="宋体"/>
          <w:b/>
          <w:bCs/>
          <w:sz w:val="24"/>
          <w:szCs w:val="24"/>
        </w:rPr>
        <w:t>1.9踏勘现场</w:t>
      </w:r>
      <w:bookmarkEnd w:id="44"/>
      <w:bookmarkEnd w:id="45"/>
      <w:bookmarkEnd w:id="46"/>
    </w:p>
    <w:p w14:paraId="763A1FBE">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180A88F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3"/>
        <w:rPr>
          <w:rFonts w:hint="eastAsia" w:ascii="宋体" w:hAnsi="宋体" w:eastAsia="宋体" w:cs="宋体"/>
          <w:b/>
          <w:bCs/>
          <w:sz w:val="24"/>
          <w:szCs w:val="24"/>
        </w:rPr>
      </w:pPr>
      <w:bookmarkStart w:id="47" w:name="_Toc38145707"/>
      <w:bookmarkStart w:id="48" w:name="_Toc38145782"/>
      <w:bookmarkStart w:id="49" w:name="_Toc38145606"/>
      <w:r>
        <w:rPr>
          <w:rFonts w:hint="eastAsia" w:ascii="宋体" w:hAnsi="宋体" w:eastAsia="宋体" w:cs="宋体"/>
          <w:b/>
          <w:bCs/>
          <w:sz w:val="24"/>
          <w:szCs w:val="24"/>
        </w:rPr>
        <w:t>1.10</w:t>
      </w:r>
      <w:bookmarkEnd w:id="47"/>
      <w:bookmarkEnd w:id="48"/>
      <w:bookmarkEnd w:id="49"/>
      <w:r>
        <w:rPr>
          <w:rFonts w:hint="eastAsia" w:ascii="宋体" w:hAnsi="宋体" w:eastAsia="宋体" w:cs="宋体"/>
          <w:b/>
          <w:bCs/>
          <w:sz w:val="24"/>
          <w:szCs w:val="24"/>
        </w:rPr>
        <w:t>联合体磋商</w:t>
      </w:r>
    </w:p>
    <w:p w14:paraId="2721C73B">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bookmarkStart w:id="50" w:name="_Toc38145708"/>
      <w:bookmarkStart w:id="51" w:name="_Toc38145783"/>
      <w:bookmarkStart w:id="52" w:name="_Toc38145607"/>
      <w:r>
        <w:rPr>
          <w:rFonts w:hint="eastAsia" w:ascii="宋体" w:hAnsi="宋体" w:eastAsia="宋体" w:cs="宋体"/>
          <w:sz w:val="24"/>
          <w:szCs w:val="24"/>
        </w:rPr>
        <w:t>不允许。</w:t>
      </w:r>
    </w:p>
    <w:p w14:paraId="5BCBE99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1.11分包</w:t>
      </w:r>
      <w:bookmarkEnd w:id="50"/>
      <w:bookmarkEnd w:id="51"/>
      <w:bookmarkEnd w:id="52"/>
    </w:p>
    <w:p w14:paraId="0F96D6E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不允许。</w:t>
      </w:r>
    </w:p>
    <w:p w14:paraId="1EA98E12">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53" w:name="_Toc38145608"/>
      <w:bookmarkStart w:id="54" w:name="_Toc38145784"/>
      <w:bookmarkStart w:id="55" w:name="_Toc38145709"/>
      <w:r>
        <w:rPr>
          <w:rFonts w:hint="eastAsia" w:ascii="宋体" w:hAnsi="宋体" w:eastAsia="宋体" w:cs="宋体"/>
          <w:b/>
          <w:bCs/>
          <w:sz w:val="24"/>
          <w:szCs w:val="24"/>
        </w:rPr>
        <w:t>1.12偏离</w:t>
      </w:r>
      <w:bookmarkEnd w:id="53"/>
      <w:bookmarkEnd w:id="54"/>
      <w:bookmarkEnd w:id="55"/>
    </w:p>
    <w:p w14:paraId="09D13847">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不允许</w:t>
      </w:r>
      <w:r>
        <w:rPr>
          <w:rFonts w:hint="eastAsia" w:ascii="宋体" w:hAnsi="宋体" w:eastAsia="宋体" w:cs="宋体"/>
          <w:sz w:val="24"/>
          <w:szCs w:val="24"/>
          <w:lang w:eastAsia="zh-CN"/>
        </w:rPr>
        <w:t>偏离</w:t>
      </w:r>
      <w:r>
        <w:rPr>
          <w:rFonts w:hint="eastAsia" w:ascii="宋体" w:hAnsi="宋体" w:eastAsia="宋体" w:cs="宋体"/>
          <w:sz w:val="24"/>
          <w:szCs w:val="24"/>
        </w:rPr>
        <w:t>。</w:t>
      </w:r>
      <w:bookmarkStart w:id="56" w:name="_Toc20846_WPSOffice_Level2"/>
      <w:bookmarkStart w:id="57" w:name="_Toc38145609"/>
      <w:bookmarkStart w:id="58" w:name="_Toc38145785"/>
      <w:bookmarkStart w:id="59" w:name="_Toc38145710"/>
    </w:p>
    <w:p w14:paraId="5B0AA3D1">
      <w:pPr>
        <w:keepNext w:val="0"/>
        <w:keepLines w:val="0"/>
        <w:widowControl w:val="0"/>
        <w:kinsoku/>
        <w:wordWrap/>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二</w:t>
      </w:r>
      <w:bookmarkEnd w:id="56"/>
      <w:r>
        <w:rPr>
          <w:rFonts w:hint="eastAsia" w:ascii="宋体" w:hAnsi="宋体" w:eastAsia="宋体" w:cs="宋体"/>
          <w:b/>
          <w:sz w:val="24"/>
          <w:szCs w:val="24"/>
          <w:lang w:eastAsia="zh-CN"/>
        </w:rPr>
        <w:t>、</w:t>
      </w:r>
      <w:r>
        <w:rPr>
          <w:rFonts w:hint="eastAsia" w:ascii="宋体" w:hAnsi="宋体" w:eastAsia="宋体" w:cs="宋体"/>
          <w:b/>
          <w:sz w:val="24"/>
          <w:szCs w:val="24"/>
        </w:rPr>
        <w:t>磋商文件</w:t>
      </w:r>
      <w:bookmarkEnd w:id="57"/>
      <w:bookmarkEnd w:id="58"/>
      <w:bookmarkEnd w:id="59"/>
    </w:p>
    <w:p w14:paraId="180757E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60" w:name="_Toc38145786"/>
      <w:bookmarkStart w:id="61" w:name="_Toc38145610"/>
      <w:bookmarkStart w:id="62" w:name="_Toc38145711"/>
      <w:r>
        <w:rPr>
          <w:rFonts w:hint="eastAsia" w:ascii="宋体" w:hAnsi="宋体" w:eastAsia="宋体" w:cs="宋体"/>
          <w:b/>
          <w:bCs/>
          <w:sz w:val="24"/>
          <w:szCs w:val="24"/>
        </w:rPr>
        <w:t>2.1磋商文件的组成</w:t>
      </w:r>
      <w:bookmarkEnd w:id="60"/>
      <w:bookmarkEnd w:id="61"/>
      <w:bookmarkEnd w:id="62"/>
    </w:p>
    <w:p w14:paraId="5DA7FB4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本磋商文件包括：</w:t>
      </w:r>
    </w:p>
    <w:p w14:paraId="565FED4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（1）竞争性磋商公告；</w:t>
      </w:r>
    </w:p>
    <w:p w14:paraId="41EB96D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0E7B7887">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（3）评审办法；</w:t>
      </w:r>
    </w:p>
    <w:p w14:paraId="4DD59BAD">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5209111E">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（5）监理任务范围及监理大纲；</w:t>
      </w:r>
    </w:p>
    <w:p w14:paraId="12ACC4B5">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3146ACDE">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根据本章第 2.1 款、第 2.2 款和第 2.3 款对磋商文件所作的澄清、修改，构成磋商文件的组成部分。</w:t>
      </w:r>
    </w:p>
    <w:p w14:paraId="36C06E2C">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63" w:name="_Toc38145787"/>
      <w:bookmarkStart w:id="64" w:name="_Toc38145712"/>
      <w:bookmarkStart w:id="65" w:name="_Toc38145611"/>
      <w:r>
        <w:rPr>
          <w:rFonts w:hint="eastAsia" w:ascii="宋体" w:hAnsi="宋体" w:eastAsia="宋体" w:cs="宋体"/>
          <w:b/>
          <w:bCs/>
          <w:sz w:val="24"/>
          <w:szCs w:val="24"/>
        </w:rPr>
        <w:t>2.2磋商文件的澄清</w:t>
      </w:r>
      <w:bookmarkEnd w:id="63"/>
      <w:bookmarkEnd w:id="64"/>
      <w:bookmarkEnd w:id="65"/>
    </w:p>
    <w:p w14:paraId="2274451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2.2.1 </w:t>
      </w:r>
      <w:r>
        <w:rPr>
          <w:rFonts w:hint="eastAsia" w:ascii="宋体" w:hAnsi="宋体" w:cs="宋体"/>
          <w:sz w:val="24"/>
          <w:szCs w:val="24"/>
          <w:lang w:eastAsia="zh-CN"/>
        </w:rPr>
        <w:t>响应人</w:t>
      </w:r>
      <w:r>
        <w:rPr>
          <w:rFonts w:hint="eastAsia" w:ascii="宋体" w:hAnsi="宋体" w:eastAsia="宋体" w:cs="宋体"/>
          <w:sz w:val="24"/>
          <w:szCs w:val="24"/>
        </w:rPr>
        <w:t>应仔细阅读和检查竞争性磋商文件的全部内容。如发现内容不完整或附件不全，应及时向采购人提出，以便补齐。如有疑问，应在</w:t>
      </w:r>
      <w:r>
        <w:rPr>
          <w:rFonts w:hint="eastAsia" w:ascii="宋体" w:hAnsi="宋体" w:cs="宋体"/>
          <w:sz w:val="24"/>
          <w:szCs w:val="24"/>
          <w:lang w:eastAsia="zh-CN"/>
        </w:rPr>
        <w:t>响应人</w:t>
      </w:r>
      <w:r>
        <w:rPr>
          <w:rFonts w:hint="eastAsia" w:ascii="宋体" w:hAnsi="宋体" w:eastAsia="宋体" w:cs="宋体"/>
          <w:sz w:val="24"/>
          <w:szCs w:val="24"/>
        </w:rPr>
        <w:t>须知前附表规定的时间</w:t>
      </w:r>
      <w:r>
        <w:rPr>
          <w:rFonts w:hint="eastAsia" w:ascii="宋体" w:hAnsi="宋体" w:eastAsia="宋体" w:cs="宋体"/>
          <w:sz w:val="24"/>
          <w:szCs w:val="24"/>
          <w:lang w:eastAsia="zh-CN"/>
        </w:rPr>
        <w:t>、</w:t>
      </w:r>
      <w:r>
        <w:rPr>
          <w:rFonts w:hint="eastAsia" w:ascii="宋体" w:hAnsi="宋体" w:eastAsia="宋体" w:cs="宋体"/>
          <w:sz w:val="24"/>
          <w:szCs w:val="24"/>
        </w:rPr>
        <w:t>形式提出质询，要求采购人对竞争性磋商文件予以澄清。</w:t>
      </w:r>
    </w:p>
    <w:p w14:paraId="3680FB07">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2.2.2 竞争性磋商文件的澄清以</w:t>
      </w:r>
      <w:r>
        <w:rPr>
          <w:rFonts w:hint="eastAsia" w:ascii="宋体" w:hAnsi="宋体" w:cs="宋体"/>
          <w:sz w:val="24"/>
          <w:szCs w:val="24"/>
          <w:lang w:eastAsia="zh-CN"/>
        </w:rPr>
        <w:t>响应人</w:t>
      </w:r>
      <w:r>
        <w:rPr>
          <w:rFonts w:hint="eastAsia" w:ascii="宋体" w:hAnsi="宋体" w:eastAsia="宋体" w:cs="宋体"/>
          <w:sz w:val="24"/>
          <w:szCs w:val="24"/>
        </w:rPr>
        <w:t>须知前附表规定澄清回复的方式回复，但不指明澄清问题的来源。澄清竞争性磋商文件实质性内容且影响响应文件编制的，将相应延长</w:t>
      </w:r>
      <w:r>
        <w:rPr>
          <w:rFonts w:hint="eastAsia" w:ascii="宋体" w:hAnsi="宋体" w:eastAsia="宋体" w:cs="宋体"/>
          <w:sz w:val="24"/>
          <w:szCs w:val="24"/>
          <w:lang w:eastAsia="zh-CN"/>
        </w:rPr>
        <w:t>磋商</w:t>
      </w:r>
      <w:r>
        <w:rPr>
          <w:rFonts w:hint="eastAsia" w:ascii="宋体" w:hAnsi="宋体" w:eastAsia="宋体" w:cs="宋体"/>
          <w:sz w:val="24"/>
          <w:szCs w:val="24"/>
        </w:rPr>
        <w:t xml:space="preserve">截止时间。 </w:t>
      </w:r>
    </w:p>
    <w:p w14:paraId="0ABF3B8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66" w:name="_Toc38145713"/>
      <w:bookmarkStart w:id="67" w:name="_Toc38145612"/>
      <w:bookmarkStart w:id="68" w:name="_Toc38145788"/>
      <w:r>
        <w:rPr>
          <w:rFonts w:hint="eastAsia" w:ascii="宋体" w:hAnsi="宋体" w:eastAsia="宋体" w:cs="宋体"/>
          <w:b/>
          <w:bCs/>
          <w:sz w:val="24"/>
          <w:szCs w:val="24"/>
        </w:rPr>
        <w:t>2.3磋商文件的修改</w:t>
      </w:r>
      <w:bookmarkEnd w:id="66"/>
      <w:bookmarkEnd w:id="67"/>
      <w:bookmarkEnd w:id="68"/>
    </w:p>
    <w:p w14:paraId="668A83F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bookmarkStart w:id="69" w:name="_Toc385_WPSOffice_Level2"/>
      <w:r>
        <w:rPr>
          <w:rFonts w:hint="eastAsia" w:ascii="宋体" w:hAnsi="宋体" w:eastAsia="宋体" w:cs="宋体"/>
          <w:sz w:val="24"/>
          <w:szCs w:val="24"/>
        </w:rPr>
        <w:t>2.3.1 在</w:t>
      </w:r>
      <w:r>
        <w:rPr>
          <w:rFonts w:hint="eastAsia" w:ascii="宋体" w:hAnsi="宋体" w:eastAsia="宋体" w:cs="宋体"/>
          <w:sz w:val="24"/>
          <w:szCs w:val="24"/>
          <w:lang w:eastAsia="zh-CN"/>
        </w:rPr>
        <w:t>磋商</w:t>
      </w:r>
      <w:r>
        <w:rPr>
          <w:rFonts w:hint="eastAsia" w:ascii="宋体" w:hAnsi="宋体" w:eastAsia="宋体" w:cs="宋体"/>
          <w:sz w:val="24"/>
          <w:szCs w:val="24"/>
        </w:rPr>
        <w:t>截止时间5天前，采购人可以修改竞争性磋商文件，并以变更公告形式通知所有</w:t>
      </w:r>
      <w:r>
        <w:rPr>
          <w:rFonts w:hint="eastAsia" w:ascii="宋体" w:hAnsi="宋体" w:eastAsia="宋体" w:cs="宋体"/>
          <w:sz w:val="24"/>
          <w:szCs w:val="24"/>
          <w:lang w:val="en-US" w:eastAsia="zh-CN"/>
        </w:rPr>
        <w:t>潜在</w:t>
      </w:r>
      <w:r>
        <w:rPr>
          <w:rFonts w:hint="eastAsia" w:ascii="宋体" w:hAnsi="宋体" w:cs="宋体"/>
          <w:sz w:val="24"/>
          <w:szCs w:val="24"/>
          <w:lang w:eastAsia="zh-CN"/>
        </w:rPr>
        <w:t>响应人</w:t>
      </w:r>
      <w:r>
        <w:rPr>
          <w:rFonts w:hint="eastAsia" w:ascii="宋体" w:hAnsi="宋体" w:eastAsia="宋体" w:cs="宋体"/>
          <w:sz w:val="24"/>
          <w:szCs w:val="24"/>
        </w:rPr>
        <w:t>。</w:t>
      </w:r>
    </w:p>
    <w:p w14:paraId="41D70FD1">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2.3.2 如果修改竞争性磋商文件，会在</w:t>
      </w:r>
      <w:r>
        <w:rPr>
          <w:rFonts w:hint="eastAsia" w:ascii="宋体" w:hAnsi="宋体" w:eastAsia="宋体" w:cs="宋体"/>
          <w:sz w:val="24"/>
          <w:szCs w:val="24"/>
          <w:lang w:eastAsia="zh-CN"/>
        </w:rPr>
        <w:t>“本项目磋商公告”发布的同一网站</w:t>
      </w:r>
      <w:r>
        <w:rPr>
          <w:rFonts w:hint="eastAsia" w:ascii="宋体" w:hAnsi="宋体" w:eastAsia="宋体" w:cs="宋体"/>
          <w:sz w:val="24"/>
          <w:szCs w:val="24"/>
        </w:rPr>
        <w:t>发布变更公告，不再发纸质的变更信息。提醒</w:t>
      </w:r>
      <w:r>
        <w:rPr>
          <w:rFonts w:hint="eastAsia" w:ascii="宋体" w:hAnsi="宋体" w:cs="宋体"/>
          <w:sz w:val="24"/>
          <w:szCs w:val="24"/>
          <w:lang w:eastAsia="zh-CN"/>
        </w:rPr>
        <w:t>响应人</w:t>
      </w:r>
      <w:r>
        <w:rPr>
          <w:rFonts w:hint="eastAsia" w:ascii="宋体" w:hAnsi="宋体" w:eastAsia="宋体" w:cs="宋体"/>
          <w:sz w:val="24"/>
          <w:szCs w:val="24"/>
        </w:rPr>
        <w:t>随时注意网上发布的信息。如因</w:t>
      </w:r>
      <w:r>
        <w:rPr>
          <w:rFonts w:hint="eastAsia" w:ascii="宋体" w:hAnsi="宋体" w:cs="宋体"/>
          <w:sz w:val="24"/>
          <w:szCs w:val="24"/>
          <w:lang w:eastAsia="zh-CN"/>
        </w:rPr>
        <w:t>响应人</w:t>
      </w:r>
      <w:r>
        <w:rPr>
          <w:rFonts w:hint="eastAsia" w:ascii="宋体" w:hAnsi="宋体" w:eastAsia="宋体" w:cs="宋体"/>
          <w:sz w:val="24"/>
          <w:szCs w:val="24"/>
        </w:rPr>
        <w:t>自身原因未看到信息，因此造成的一切后果由</w:t>
      </w:r>
      <w:r>
        <w:rPr>
          <w:rFonts w:hint="eastAsia" w:ascii="宋体" w:hAnsi="宋体" w:cs="宋体"/>
          <w:sz w:val="24"/>
          <w:szCs w:val="24"/>
          <w:lang w:eastAsia="zh-CN"/>
        </w:rPr>
        <w:t>响应人</w:t>
      </w:r>
      <w:r>
        <w:rPr>
          <w:rFonts w:hint="eastAsia" w:ascii="宋体" w:hAnsi="宋体" w:eastAsia="宋体" w:cs="宋体"/>
          <w:sz w:val="24"/>
          <w:szCs w:val="24"/>
        </w:rPr>
        <w:t>自行承担。</w:t>
      </w:r>
    </w:p>
    <w:p w14:paraId="5B9BB6AF">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2.3.3 为使</w:t>
      </w:r>
      <w:r>
        <w:rPr>
          <w:rFonts w:hint="eastAsia" w:ascii="宋体" w:hAnsi="宋体" w:cs="宋体"/>
          <w:sz w:val="24"/>
          <w:szCs w:val="24"/>
          <w:lang w:eastAsia="zh-CN"/>
        </w:rPr>
        <w:t>响应人</w:t>
      </w:r>
      <w:r>
        <w:rPr>
          <w:rFonts w:hint="eastAsia" w:ascii="宋体" w:hAnsi="宋体" w:eastAsia="宋体" w:cs="宋体"/>
          <w:sz w:val="24"/>
          <w:szCs w:val="24"/>
        </w:rPr>
        <w:t>在准备竞争性磋商文件时有合理的时间考虑竞争性磋商文件的修改，</w:t>
      </w:r>
      <w:r>
        <w:rPr>
          <w:rFonts w:hint="eastAsia" w:ascii="宋体" w:hAnsi="宋体" w:eastAsia="宋体" w:cs="宋体"/>
          <w:sz w:val="24"/>
          <w:szCs w:val="24"/>
          <w:lang w:eastAsia="zh-CN"/>
        </w:rPr>
        <w:t>招标代理公司</w:t>
      </w:r>
      <w:r>
        <w:rPr>
          <w:rFonts w:hint="eastAsia" w:ascii="宋体" w:hAnsi="宋体" w:eastAsia="宋体" w:cs="宋体"/>
          <w:sz w:val="24"/>
          <w:szCs w:val="24"/>
        </w:rPr>
        <w:t>可酌情推迟磋商截止时间和开标时间，但应当至少在磋商截止时间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个日历日前将变更时间以发布变更公告的形式通知所有</w:t>
      </w:r>
      <w:r>
        <w:rPr>
          <w:rFonts w:hint="eastAsia" w:ascii="宋体" w:hAnsi="宋体" w:cs="宋体"/>
          <w:sz w:val="24"/>
          <w:szCs w:val="24"/>
          <w:lang w:eastAsia="zh-CN"/>
        </w:rPr>
        <w:t>响应人</w:t>
      </w:r>
      <w:r>
        <w:rPr>
          <w:rFonts w:hint="eastAsia" w:ascii="宋体" w:hAnsi="宋体" w:eastAsia="宋体" w:cs="宋体"/>
          <w:sz w:val="24"/>
          <w:szCs w:val="24"/>
        </w:rPr>
        <w:t>。该修改内容为竞争性磋商文件的组成部分。在此情况下，采购人和</w:t>
      </w:r>
      <w:r>
        <w:rPr>
          <w:rFonts w:hint="eastAsia" w:ascii="宋体" w:hAnsi="宋体" w:cs="宋体"/>
          <w:sz w:val="24"/>
          <w:szCs w:val="24"/>
          <w:lang w:eastAsia="zh-CN"/>
        </w:rPr>
        <w:t>响应人</w:t>
      </w:r>
      <w:r>
        <w:rPr>
          <w:rFonts w:hint="eastAsia" w:ascii="宋体" w:hAnsi="宋体" w:eastAsia="宋体" w:cs="宋体"/>
          <w:sz w:val="24"/>
          <w:szCs w:val="24"/>
        </w:rPr>
        <w:t>受磋商截止期制约的所有权利和义务均应延长至新的截止日期。</w:t>
      </w:r>
      <w:bookmarkStart w:id="70" w:name="_Toc184635073"/>
      <w:bookmarkEnd w:id="70"/>
      <w:bookmarkStart w:id="71" w:name="_Toc38145613"/>
      <w:bookmarkStart w:id="72" w:name="_Toc38145714"/>
      <w:bookmarkStart w:id="73" w:name="_Toc38145789"/>
    </w:p>
    <w:p w14:paraId="5530A4E0">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w:t>
      </w:r>
      <w:r>
        <w:rPr>
          <w:rFonts w:hint="eastAsia" w:ascii="宋体" w:hAnsi="宋体" w:eastAsia="宋体" w:cs="宋体"/>
          <w:b/>
          <w:sz w:val="24"/>
          <w:szCs w:val="24"/>
        </w:rPr>
        <w:t>响应文件的编制</w:t>
      </w:r>
      <w:bookmarkEnd w:id="69"/>
      <w:bookmarkEnd w:id="71"/>
      <w:bookmarkEnd w:id="72"/>
      <w:bookmarkEnd w:id="73"/>
    </w:p>
    <w:p w14:paraId="77D0A95C">
      <w:pPr>
        <w:keepNext w:val="0"/>
        <w:keepLines w:val="0"/>
        <w:widowControl w:val="0"/>
        <w:tabs>
          <w:tab w:val="left" w:pos="362"/>
          <w:tab w:val="left" w:pos="7089"/>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74" w:name="_Toc38145790"/>
      <w:bookmarkStart w:id="75" w:name="_Toc38145614"/>
      <w:bookmarkStart w:id="76" w:name="_Toc38145715"/>
      <w:r>
        <w:rPr>
          <w:rFonts w:hint="eastAsia" w:ascii="宋体" w:hAnsi="宋体" w:eastAsia="宋体" w:cs="宋体"/>
          <w:b/>
          <w:bCs/>
          <w:sz w:val="24"/>
          <w:szCs w:val="24"/>
        </w:rPr>
        <w:t>3.1响应文件的组成</w:t>
      </w:r>
      <w:bookmarkEnd w:id="74"/>
      <w:bookmarkEnd w:id="75"/>
      <w:bookmarkEnd w:id="76"/>
      <w:r>
        <w:rPr>
          <w:rFonts w:hint="eastAsia" w:ascii="宋体" w:hAnsi="宋体" w:eastAsia="宋体" w:cs="宋体"/>
          <w:b/>
          <w:bCs/>
          <w:sz w:val="24"/>
          <w:szCs w:val="24"/>
        </w:rPr>
        <w:tab/>
      </w:r>
    </w:p>
    <w:p w14:paraId="1CBF804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需按磋商文件的要求编制响应文件并提供资料。响应文件包括以下内容：</w:t>
      </w:r>
    </w:p>
    <w:p w14:paraId="6A1B301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bookmarkStart w:id="77" w:name="_Toc38145791"/>
      <w:bookmarkStart w:id="78" w:name="_Toc38145716"/>
      <w:bookmarkStart w:id="79" w:name="_Toc38145615"/>
      <w:r>
        <w:rPr>
          <w:rFonts w:hint="eastAsia" w:ascii="宋体" w:hAnsi="宋体" w:eastAsia="宋体" w:cs="宋体"/>
          <w:sz w:val="24"/>
          <w:szCs w:val="24"/>
          <w:lang w:eastAsia="zh-CN"/>
        </w:rPr>
        <w:t>一、报价函及报价函附录</w:t>
      </w:r>
    </w:p>
    <w:p w14:paraId="6F6537D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二、法定代表人身份证明</w:t>
      </w:r>
    </w:p>
    <w:p w14:paraId="59A3EA2D">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三、授权委托书</w:t>
      </w:r>
    </w:p>
    <w:p w14:paraId="3C580C2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四、供应商基本情况</w:t>
      </w:r>
    </w:p>
    <w:p w14:paraId="3A0FA0D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五、监理大纲</w:t>
      </w:r>
    </w:p>
    <w:p w14:paraId="65CF6A9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六、项目管理机构</w:t>
      </w:r>
    </w:p>
    <w:p w14:paraId="330217A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七、近年完成的类似项目清单</w:t>
      </w:r>
    </w:p>
    <w:p w14:paraId="0277DDF6">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八、磋商文件要求提供的其它资料</w:t>
      </w:r>
    </w:p>
    <w:p w14:paraId="7D54478C">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九、供应商认为有必要提供的其它资料</w:t>
      </w:r>
    </w:p>
    <w:p w14:paraId="2094F77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3.2磋商报价要求</w:t>
      </w:r>
      <w:bookmarkEnd w:id="77"/>
      <w:bookmarkEnd w:id="78"/>
      <w:bookmarkEnd w:id="79"/>
    </w:p>
    <w:p w14:paraId="4AD66E5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3.2.1本项目的磋商报价采用本须知前附表所规定的方式进行报价。</w:t>
      </w:r>
    </w:p>
    <w:p w14:paraId="6009FFB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3.2.2参考相关收费标准结合投标单位自身情况自主报价，但不得低于完成本项目的成本。低于成本的报价属于恶意竞标，其投标将被拒绝。</w:t>
      </w:r>
    </w:p>
    <w:p w14:paraId="1BA5211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3.2.3各</w:t>
      </w:r>
      <w:r>
        <w:rPr>
          <w:rFonts w:hint="eastAsia" w:ascii="宋体" w:hAnsi="宋体" w:cs="宋体"/>
          <w:sz w:val="24"/>
          <w:szCs w:val="24"/>
          <w:lang w:eastAsia="zh-CN"/>
        </w:rPr>
        <w:t>响应人</w:t>
      </w:r>
      <w:r>
        <w:rPr>
          <w:rFonts w:hint="eastAsia" w:ascii="宋体" w:hAnsi="宋体" w:eastAsia="宋体" w:cs="宋体"/>
          <w:sz w:val="24"/>
          <w:szCs w:val="24"/>
        </w:rPr>
        <w:t>应根据磋商文件的要求，进行合理投标报价。所报价格应包含磋商文件所要求的可能发生的磋商范围内的工作费、顾问费及现场咨询服务费（后续服务费）等所有费用。</w:t>
      </w:r>
    </w:p>
    <w:p w14:paraId="3BBDC097">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green"/>
        </w:rPr>
      </w:pPr>
      <w:r>
        <w:rPr>
          <w:rFonts w:hint="eastAsia" w:ascii="宋体" w:hAnsi="宋体" w:eastAsia="宋体" w:cs="宋体"/>
          <w:sz w:val="24"/>
          <w:szCs w:val="24"/>
        </w:rPr>
        <w:t>3.2.4投标的报价及合同所有款项的</w:t>
      </w:r>
      <w:r>
        <w:rPr>
          <w:rFonts w:hint="eastAsia" w:ascii="宋体" w:hAnsi="宋体" w:cs="宋体"/>
          <w:sz w:val="24"/>
          <w:szCs w:val="24"/>
          <w:lang w:val="en-US" w:eastAsia="zh-CN"/>
        </w:rPr>
        <w:t>付款</w:t>
      </w:r>
      <w:r>
        <w:rPr>
          <w:rFonts w:hint="eastAsia" w:ascii="宋体" w:hAnsi="宋体" w:eastAsia="宋体" w:cs="宋体"/>
          <w:sz w:val="24"/>
          <w:szCs w:val="24"/>
          <w:lang w:val="en-US" w:eastAsia="zh-CN"/>
        </w:rPr>
        <w:t>方式</w:t>
      </w:r>
      <w:r>
        <w:rPr>
          <w:rFonts w:hint="eastAsia" w:ascii="宋体" w:hAnsi="宋体" w:eastAsia="宋体" w:cs="宋体"/>
          <w:sz w:val="24"/>
          <w:szCs w:val="24"/>
        </w:rPr>
        <w:t>见</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14:paraId="3E117C03">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3.2.5税金属不可竞争费用，所有根据合同或其它原因应由</w:t>
      </w:r>
      <w:r>
        <w:rPr>
          <w:rFonts w:hint="eastAsia" w:ascii="宋体" w:hAnsi="宋体" w:cs="宋体"/>
          <w:sz w:val="24"/>
          <w:szCs w:val="24"/>
          <w:lang w:eastAsia="zh-CN"/>
        </w:rPr>
        <w:t>响应人</w:t>
      </w:r>
      <w:r>
        <w:rPr>
          <w:rFonts w:hint="eastAsia" w:ascii="宋体" w:hAnsi="宋体" w:eastAsia="宋体" w:cs="宋体"/>
          <w:sz w:val="24"/>
          <w:szCs w:val="24"/>
        </w:rPr>
        <w:t>支付的税金和其它应缴纳的费用都要包括在</w:t>
      </w:r>
      <w:r>
        <w:rPr>
          <w:rFonts w:hint="eastAsia" w:ascii="宋体" w:hAnsi="宋体" w:cs="宋体"/>
          <w:sz w:val="24"/>
          <w:szCs w:val="24"/>
          <w:lang w:eastAsia="zh-CN"/>
        </w:rPr>
        <w:t>响应人</w:t>
      </w:r>
      <w:r>
        <w:rPr>
          <w:rFonts w:hint="eastAsia" w:ascii="宋体" w:hAnsi="宋体" w:eastAsia="宋体" w:cs="宋体"/>
          <w:sz w:val="24"/>
          <w:szCs w:val="24"/>
        </w:rPr>
        <w:t>提交的投标价格中。</w:t>
      </w:r>
    </w:p>
    <w:p w14:paraId="67ACCB0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3.2.6应当由</w:t>
      </w:r>
      <w:r>
        <w:rPr>
          <w:rFonts w:hint="eastAsia" w:ascii="宋体" w:hAnsi="宋体" w:cs="宋体"/>
          <w:sz w:val="24"/>
          <w:szCs w:val="24"/>
          <w:lang w:eastAsia="zh-CN"/>
        </w:rPr>
        <w:t>响应人</w:t>
      </w:r>
      <w:r>
        <w:rPr>
          <w:rFonts w:hint="eastAsia" w:ascii="宋体" w:hAnsi="宋体" w:eastAsia="宋体" w:cs="宋体"/>
          <w:sz w:val="24"/>
          <w:szCs w:val="24"/>
        </w:rPr>
        <w:t>完成的而</w:t>
      </w:r>
      <w:r>
        <w:rPr>
          <w:rFonts w:hint="eastAsia" w:ascii="宋体" w:hAnsi="宋体" w:cs="宋体"/>
          <w:sz w:val="24"/>
          <w:szCs w:val="24"/>
          <w:lang w:eastAsia="zh-CN"/>
        </w:rPr>
        <w:t>响应人</w:t>
      </w:r>
      <w:r>
        <w:rPr>
          <w:rFonts w:hint="eastAsia" w:ascii="宋体" w:hAnsi="宋体" w:eastAsia="宋体" w:cs="宋体"/>
          <w:sz w:val="24"/>
          <w:szCs w:val="24"/>
        </w:rPr>
        <w:t>在报价组成中没有详细列出的工作内容，其报价均视为包含在报价组成已列出的项目之中，采购人不另行支付。</w:t>
      </w:r>
    </w:p>
    <w:p w14:paraId="10AEBD3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3.2.7</w:t>
      </w:r>
      <w:r>
        <w:rPr>
          <w:rFonts w:hint="eastAsia" w:ascii="宋体" w:hAnsi="宋体" w:cs="宋体"/>
          <w:sz w:val="24"/>
          <w:szCs w:val="24"/>
          <w:lang w:eastAsia="zh-CN"/>
        </w:rPr>
        <w:t>响应人</w:t>
      </w:r>
      <w:r>
        <w:rPr>
          <w:rFonts w:hint="eastAsia" w:ascii="宋体" w:hAnsi="宋体" w:eastAsia="宋体" w:cs="宋体"/>
          <w:sz w:val="24"/>
          <w:szCs w:val="24"/>
        </w:rPr>
        <w:t>的磋商报价不得高于</w:t>
      </w:r>
      <w:r>
        <w:rPr>
          <w:rFonts w:hint="eastAsia" w:ascii="宋体" w:hAnsi="宋体" w:eastAsia="宋体" w:cs="宋体"/>
          <w:sz w:val="24"/>
          <w:szCs w:val="24"/>
          <w:lang w:eastAsia="zh-CN"/>
        </w:rPr>
        <w:t xml:space="preserve"> 招标控制价</w:t>
      </w:r>
      <w:r>
        <w:rPr>
          <w:rFonts w:hint="eastAsia" w:ascii="宋体" w:hAnsi="宋体" w:eastAsia="宋体" w:cs="宋体"/>
          <w:sz w:val="24"/>
          <w:szCs w:val="24"/>
        </w:rPr>
        <w:t>，否则</w:t>
      </w:r>
      <w:r>
        <w:rPr>
          <w:rFonts w:hint="eastAsia" w:ascii="宋体" w:hAnsi="宋体" w:eastAsia="宋体" w:cs="宋体"/>
          <w:sz w:val="24"/>
          <w:szCs w:val="24"/>
          <w:lang w:val="en-US" w:eastAsia="zh-CN"/>
        </w:rPr>
        <w:t>其</w:t>
      </w:r>
      <w:r>
        <w:rPr>
          <w:rFonts w:hint="eastAsia" w:ascii="宋体" w:hAnsi="宋体" w:eastAsia="宋体" w:cs="宋体"/>
          <w:sz w:val="24"/>
          <w:szCs w:val="24"/>
        </w:rPr>
        <w:t>投标</w:t>
      </w:r>
      <w:r>
        <w:rPr>
          <w:rFonts w:hint="eastAsia" w:ascii="宋体" w:hAnsi="宋体" w:eastAsia="宋体" w:cs="宋体"/>
          <w:kern w:val="0"/>
          <w:sz w:val="24"/>
          <w:szCs w:val="24"/>
        </w:rPr>
        <w:t>无效</w:t>
      </w:r>
      <w:r>
        <w:rPr>
          <w:rFonts w:hint="eastAsia" w:ascii="宋体" w:hAnsi="宋体" w:eastAsia="宋体" w:cs="宋体"/>
          <w:sz w:val="24"/>
          <w:szCs w:val="24"/>
        </w:rPr>
        <w:t>。</w:t>
      </w:r>
    </w:p>
    <w:p w14:paraId="5C63F369">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80" w:name="_Toc38145717"/>
      <w:bookmarkStart w:id="81" w:name="_Toc38145616"/>
      <w:bookmarkStart w:id="82" w:name="_Toc38145792"/>
      <w:r>
        <w:rPr>
          <w:rFonts w:hint="eastAsia" w:ascii="宋体" w:hAnsi="宋体" w:eastAsia="宋体" w:cs="宋体"/>
          <w:b/>
          <w:bCs/>
          <w:sz w:val="24"/>
          <w:szCs w:val="24"/>
        </w:rPr>
        <w:t>3.3磋商有效期</w:t>
      </w:r>
      <w:bookmarkEnd w:id="80"/>
      <w:bookmarkEnd w:id="81"/>
      <w:bookmarkEnd w:id="82"/>
    </w:p>
    <w:p w14:paraId="1325D3BD">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3.3.1自磋商截止时间起，磋商有效期为60日历天。在磋商有效期内，</w:t>
      </w:r>
      <w:r>
        <w:rPr>
          <w:rFonts w:hint="eastAsia" w:ascii="宋体" w:hAnsi="宋体" w:cs="宋体"/>
          <w:sz w:val="24"/>
          <w:szCs w:val="24"/>
          <w:lang w:eastAsia="zh-CN"/>
        </w:rPr>
        <w:t>响应人</w:t>
      </w:r>
      <w:r>
        <w:rPr>
          <w:rFonts w:hint="eastAsia" w:ascii="宋体" w:hAnsi="宋体" w:eastAsia="宋体" w:cs="宋体"/>
          <w:sz w:val="24"/>
          <w:szCs w:val="24"/>
        </w:rPr>
        <w:t>不得要求撤销或修改其响应文件。</w:t>
      </w:r>
    </w:p>
    <w:p w14:paraId="3241D43E">
      <w:pPr>
        <w:keepNext w:val="0"/>
        <w:keepLines w:val="0"/>
        <w:widowControl w:val="0"/>
        <w:tabs>
          <w:tab w:val="left" w:pos="78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3.3.2出现特殊情况需要延长磋商有效期的，采购人以书面形式通知所有</w:t>
      </w:r>
      <w:r>
        <w:rPr>
          <w:rFonts w:hint="eastAsia" w:ascii="宋体" w:hAnsi="宋体" w:cs="宋体"/>
          <w:sz w:val="24"/>
          <w:szCs w:val="24"/>
          <w:lang w:eastAsia="zh-CN"/>
        </w:rPr>
        <w:t>响应人</w:t>
      </w:r>
      <w:r>
        <w:rPr>
          <w:rFonts w:hint="eastAsia" w:ascii="宋体" w:hAnsi="宋体" w:eastAsia="宋体" w:cs="宋体"/>
          <w:sz w:val="24"/>
          <w:szCs w:val="24"/>
        </w:rPr>
        <w:t>延长磋商有效期。</w:t>
      </w:r>
      <w:r>
        <w:rPr>
          <w:rFonts w:hint="eastAsia" w:ascii="宋体" w:hAnsi="宋体" w:cs="宋体"/>
          <w:sz w:val="24"/>
          <w:szCs w:val="24"/>
          <w:lang w:eastAsia="zh-CN"/>
        </w:rPr>
        <w:t>响应人</w:t>
      </w:r>
      <w:r>
        <w:rPr>
          <w:rFonts w:hint="eastAsia" w:ascii="宋体" w:hAnsi="宋体" w:eastAsia="宋体" w:cs="宋体"/>
          <w:sz w:val="24"/>
          <w:szCs w:val="24"/>
        </w:rPr>
        <w:t>同意延长的，不得要求或被允许修改或撤销其响应文件；</w:t>
      </w:r>
      <w:r>
        <w:rPr>
          <w:rFonts w:hint="eastAsia" w:ascii="宋体" w:hAnsi="宋体" w:cs="宋体"/>
          <w:sz w:val="24"/>
          <w:szCs w:val="24"/>
          <w:lang w:eastAsia="zh-CN"/>
        </w:rPr>
        <w:t>响应人</w:t>
      </w:r>
      <w:r>
        <w:rPr>
          <w:rFonts w:hint="eastAsia" w:ascii="宋体" w:hAnsi="宋体" w:eastAsia="宋体" w:cs="宋体"/>
          <w:sz w:val="24"/>
          <w:szCs w:val="24"/>
        </w:rPr>
        <w:t>拒绝延长的，其投标失效。</w:t>
      </w:r>
    </w:p>
    <w:p w14:paraId="36BD469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83" w:name="_Toc38145718"/>
      <w:bookmarkStart w:id="84" w:name="_Toc38145617"/>
      <w:bookmarkStart w:id="85" w:name="_Toc38145793"/>
      <w:r>
        <w:rPr>
          <w:rFonts w:hint="eastAsia" w:ascii="宋体" w:hAnsi="宋体" w:eastAsia="宋体" w:cs="宋体"/>
          <w:b/>
          <w:bCs/>
          <w:sz w:val="24"/>
          <w:szCs w:val="24"/>
        </w:rPr>
        <w:t>3.4磋商保证金</w:t>
      </w:r>
      <w:bookmarkEnd w:id="83"/>
      <w:bookmarkEnd w:id="84"/>
      <w:bookmarkEnd w:id="85"/>
    </w:p>
    <w:p w14:paraId="2EEAC5B0">
      <w:pPr>
        <w:keepNext w:val="0"/>
        <w:keepLines w:val="0"/>
        <w:widowControl w:val="0"/>
        <w:tabs>
          <w:tab w:val="left" w:pos="78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bookmarkStart w:id="86" w:name="_Toc38145719"/>
      <w:bookmarkStart w:id="87" w:name="_Toc38145618"/>
      <w:bookmarkStart w:id="88" w:name="_Toc38145794"/>
      <w:r>
        <w:rPr>
          <w:rFonts w:hint="eastAsia" w:ascii="宋体" w:hAnsi="宋体" w:eastAsia="宋体" w:cs="宋体"/>
          <w:sz w:val="24"/>
          <w:szCs w:val="24"/>
        </w:rPr>
        <w:t>按照《河南省财政厅关于优化政府采购营商环境有关问题的通知》（豫财购[2019]4号文）的要求本项目不再收取</w:t>
      </w:r>
      <w:r>
        <w:rPr>
          <w:rFonts w:hint="eastAsia" w:ascii="宋体" w:hAnsi="宋体" w:eastAsia="宋体" w:cs="宋体"/>
          <w:sz w:val="24"/>
          <w:szCs w:val="24"/>
          <w:lang w:eastAsia="zh-CN"/>
        </w:rPr>
        <w:t>磋商</w:t>
      </w:r>
      <w:r>
        <w:rPr>
          <w:rFonts w:hint="eastAsia" w:ascii="宋体" w:hAnsi="宋体" w:eastAsia="宋体" w:cs="宋体"/>
          <w:sz w:val="24"/>
          <w:szCs w:val="24"/>
        </w:rPr>
        <w:t>保证金。</w:t>
      </w:r>
    </w:p>
    <w:p w14:paraId="63C51AF1">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3.5资格审查资料要求</w:t>
      </w:r>
      <w:bookmarkEnd w:id="86"/>
      <w:bookmarkEnd w:id="87"/>
      <w:bookmarkEnd w:id="88"/>
    </w:p>
    <w:p w14:paraId="72A8AB3A">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cs="宋体"/>
          <w:color w:val="000000"/>
          <w:kern w:val="0"/>
          <w:sz w:val="24"/>
          <w:szCs w:val="24"/>
          <w:lang w:eastAsia="zh-CN"/>
        </w:rPr>
        <w:t>响应人</w:t>
      </w:r>
      <w:r>
        <w:rPr>
          <w:rFonts w:hint="eastAsia" w:ascii="宋体" w:hAnsi="宋体" w:eastAsia="宋体" w:cs="宋体"/>
          <w:color w:val="000000"/>
          <w:kern w:val="0"/>
          <w:sz w:val="24"/>
          <w:szCs w:val="24"/>
        </w:rPr>
        <w:t>须知前附表</w:t>
      </w:r>
    </w:p>
    <w:p w14:paraId="0CD82908">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89" w:name="_Toc38145795"/>
      <w:bookmarkStart w:id="90" w:name="_Toc38145619"/>
      <w:bookmarkStart w:id="91" w:name="_Toc38145720"/>
      <w:r>
        <w:rPr>
          <w:rFonts w:hint="eastAsia" w:ascii="宋体" w:hAnsi="宋体" w:eastAsia="宋体" w:cs="宋体"/>
          <w:b/>
          <w:bCs/>
          <w:sz w:val="24"/>
          <w:szCs w:val="24"/>
        </w:rPr>
        <w:t>3.6备选招标方案</w:t>
      </w:r>
      <w:bookmarkEnd w:id="89"/>
      <w:bookmarkEnd w:id="90"/>
      <w:bookmarkEnd w:id="91"/>
    </w:p>
    <w:p w14:paraId="08BB76A3">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本项目不允许</w:t>
      </w:r>
      <w:r>
        <w:rPr>
          <w:rFonts w:hint="eastAsia" w:ascii="宋体" w:hAnsi="宋体" w:cs="宋体"/>
          <w:sz w:val="24"/>
          <w:szCs w:val="24"/>
          <w:lang w:eastAsia="zh-CN"/>
        </w:rPr>
        <w:t>响应人</w:t>
      </w:r>
      <w:r>
        <w:rPr>
          <w:rFonts w:hint="eastAsia" w:ascii="宋体" w:hAnsi="宋体" w:eastAsia="宋体" w:cs="宋体"/>
          <w:sz w:val="24"/>
          <w:szCs w:val="24"/>
        </w:rPr>
        <w:t>递交备选招标方案。</w:t>
      </w:r>
    </w:p>
    <w:p w14:paraId="1EA7658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3.7响应文件的编制</w:t>
      </w:r>
    </w:p>
    <w:p w14:paraId="79C4206D">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3.7.1 响应文件应按第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章“响应文件格式”进行编写，如有必要，可以增加附页，作为响应文件的组成部分。其中，投标函附录在满足磋商文件实质性要求的基础上，可以提出比磋商文件要求更有利于采购人的承诺。</w:t>
      </w:r>
    </w:p>
    <w:p w14:paraId="3EFE760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3.7.2 响应文件应当对磋商文件有关</w:t>
      </w:r>
      <w:r>
        <w:rPr>
          <w:rFonts w:hint="eastAsia" w:ascii="宋体" w:hAnsi="宋体" w:eastAsia="宋体" w:cs="宋体"/>
          <w:sz w:val="24"/>
          <w:szCs w:val="24"/>
          <w:lang w:eastAsia="zh-CN"/>
        </w:rPr>
        <w:t>磋商</w:t>
      </w:r>
      <w:r>
        <w:rPr>
          <w:rFonts w:hint="eastAsia" w:ascii="宋体" w:hAnsi="宋体" w:eastAsia="宋体" w:cs="宋体"/>
          <w:sz w:val="24"/>
          <w:szCs w:val="24"/>
        </w:rPr>
        <w:t>有效期、</w:t>
      </w:r>
      <w:r>
        <w:rPr>
          <w:rFonts w:hint="eastAsia" w:ascii="宋体" w:hAnsi="宋体" w:cs="宋体"/>
          <w:sz w:val="24"/>
          <w:szCs w:val="24"/>
          <w:highlight w:val="none"/>
          <w:lang w:val="en-US" w:eastAsia="zh-CN"/>
        </w:rPr>
        <w:t>监理服务期限</w:t>
      </w:r>
      <w:r>
        <w:rPr>
          <w:rFonts w:hint="eastAsia" w:ascii="宋体" w:hAnsi="宋体" w:eastAsia="宋体" w:cs="宋体"/>
          <w:sz w:val="24"/>
          <w:szCs w:val="24"/>
        </w:rPr>
        <w:t>、磋商范围等实质性内容作出响应。</w:t>
      </w:r>
    </w:p>
    <w:p w14:paraId="5645B66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3.7.3响应人所上传的电子化磋商响应文件，应是通过中心投标文件制作系统制作的（投标文件制作工具下载地址：</w:t>
      </w:r>
    </w:p>
    <w:p w14:paraId="112D6D7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s://download.bqpoint.com/download/downloadlist.html?SoftTypeCode=03），经过签章和加密后生成的电子版磋商响应文件。其中包含用于磋商响应文件上传的主文件（后缀为.smxtf）和用于应急补救的磋商响应文件备份文件（后缀为.nsmxtf）。</w:t>
      </w:r>
    </w:p>
    <w:p w14:paraId="600D4A71">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b/>
          <w:sz w:val="24"/>
          <w:szCs w:val="24"/>
        </w:rPr>
      </w:pPr>
      <w:bookmarkStart w:id="92" w:name="_Toc179632574"/>
      <w:bookmarkStart w:id="93" w:name="_Toc152045556"/>
      <w:bookmarkStart w:id="94" w:name="_Toc246996943"/>
      <w:bookmarkStart w:id="95" w:name="_Toc246996200"/>
      <w:bookmarkStart w:id="96" w:name="_Toc152042332"/>
      <w:bookmarkStart w:id="97" w:name="_Toc296602444"/>
      <w:bookmarkStart w:id="98" w:name="_Toc247085714"/>
      <w:bookmarkStart w:id="99" w:name="_Toc144974524"/>
      <w:bookmarkStart w:id="100" w:name="_Toc32632_WPSOffice_Level2"/>
      <w:bookmarkStart w:id="101" w:name="_Toc38145624"/>
      <w:bookmarkStart w:id="102" w:name="_Toc38145725"/>
      <w:bookmarkStart w:id="103" w:name="_Toc38145800"/>
      <w:r>
        <w:rPr>
          <w:rFonts w:hint="eastAsia" w:ascii="宋体" w:hAnsi="宋体" w:eastAsia="宋体" w:cs="宋体"/>
          <w:b/>
          <w:sz w:val="24"/>
          <w:szCs w:val="24"/>
        </w:rPr>
        <w:t>四</w:t>
      </w:r>
      <w:r>
        <w:rPr>
          <w:rFonts w:hint="eastAsia" w:ascii="宋体" w:hAnsi="宋体" w:eastAsia="宋体" w:cs="宋体"/>
          <w:b/>
          <w:sz w:val="24"/>
          <w:szCs w:val="24"/>
          <w:lang w:eastAsia="zh-CN"/>
        </w:rPr>
        <w:t>、</w:t>
      </w:r>
      <w:r>
        <w:rPr>
          <w:rFonts w:hint="eastAsia" w:ascii="宋体" w:hAnsi="宋体" w:eastAsia="宋体" w:cs="宋体"/>
          <w:b/>
          <w:sz w:val="24"/>
          <w:szCs w:val="24"/>
        </w:rPr>
        <w:t>投标</w:t>
      </w:r>
    </w:p>
    <w:p w14:paraId="2A5BD42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4.1 磋商响应文件的</w:t>
      </w:r>
      <w:bookmarkEnd w:id="92"/>
      <w:bookmarkEnd w:id="93"/>
      <w:bookmarkEnd w:id="94"/>
      <w:bookmarkEnd w:id="95"/>
      <w:bookmarkEnd w:id="96"/>
      <w:bookmarkEnd w:id="97"/>
      <w:bookmarkEnd w:id="98"/>
      <w:bookmarkEnd w:id="99"/>
      <w:r>
        <w:rPr>
          <w:rFonts w:hint="eastAsia" w:ascii="宋体" w:hAnsi="宋体" w:eastAsia="宋体" w:cs="宋体"/>
          <w:sz w:val="24"/>
          <w:szCs w:val="24"/>
          <w:highlight w:val="none"/>
        </w:rPr>
        <w:t>签署</w:t>
      </w:r>
    </w:p>
    <w:p w14:paraId="3AAE203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在进行电子化磋商响应文件签章时，竞争性磋商文件中要求</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盖章的，以签盖单位章为准；要求法定代表人签章的，以签盖法定代表人签章为准。电子化磋商响应文件具体制作教材请</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通过CA证书登录三门峡市公共资源电子化交易系统在右上角“组件下载”中查看。</w:t>
      </w:r>
    </w:p>
    <w:p w14:paraId="59A67322">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4.2 磋商响应文件的上传</w:t>
      </w:r>
    </w:p>
    <w:p w14:paraId="4805675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电子化磋商响应文件应在投标截止时间前成功上传至三门峡市公共资源电子化交易系统。至投标截止时间止，仍未上传成功的电子化磋商响应文件将不予接收。</w:t>
      </w:r>
    </w:p>
    <w:p w14:paraId="027B165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注：如按照电子化投标操作教材制作完成的电子化磋商响应文件无法上传的，</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应在投标截止时间前尽早的联系中心技术人员，以便有充分的时间进行处理。</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应充分考虑到处理技术问题和上传数据等工作所需的时间问题，电子化磋商响应文件未在投标截止时间前成功上传的，其磋商响应文件不予接收。</w:t>
      </w:r>
    </w:p>
    <w:p w14:paraId="6BA482F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4.3 响应文件的修改与撤回</w:t>
      </w:r>
    </w:p>
    <w:p w14:paraId="382B2B0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 在规定的投标截止时间前，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 xml:space="preserve">可以修改或撤回响应文件。 </w:t>
      </w:r>
    </w:p>
    <w:p w14:paraId="157E70C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4.2.2在投标截止时间之后，</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不得补充、修改电子化磋商响应文件。</w:t>
      </w:r>
    </w:p>
    <w:p w14:paraId="1D2B4FC9">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五</w:t>
      </w:r>
      <w:r>
        <w:rPr>
          <w:rFonts w:hint="eastAsia" w:ascii="宋体" w:hAnsi="宋体" w:eastAsia="宋体" w:cs="宋体"/>
          <w:b/>
          <w:sz w:val="24"/>
          <w:szCs w:val="24"/>
          <w:lang w:eastAsia="zh-CN"/>
        </w:rPr>
        <w:t>、</w:t>
      </w:r>
      <w:r>
        <w:rPr>
          <w:rFonts w:hint="eastAsia" w:ascii="宋体" w:hAnsi="宋体" w:eastAsia="宋体" w:cs="宋体"/>
          <w:b/>
          <w:sz w:val="24"/>
          <w:szCs w:val="24"/>
        </w:rPr>
        <w:t>开标</w:t>
      </w:r>
    </w:p>
    <w:p w14:paraId="4A122958">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5.1本项目采用电子化、无纸化进行招标，开标当日，</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应当在投标截止时间前，登陆不见面开标大厅选择登陆三门峡市公共资源电子招投标系统进行登陆（网址为</w:t>
      </w:r>
    </w:p>
    <w:p w14:paraId="695C25C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http://120.194.249.36:10094/BidOpening/bidopeninghallaction/hall/login）,在线准时参加开标活动并进行磋商响应文件解密等。</w:t>
      </w:r>
    </w:p>
    <w:p w14:paraId="73FC17B8">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电子化磋商响应文件采用一次加密方式。开标时，由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使用CA 证书，在规定时间内对其电子化磋商响应文件进行解密。每位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 分钟内，如在规定时间内未完成解密的，其磋商响应文件不予开标、唱标。每位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的解密时间为开标时间起30分钟内完成。</w:t>
      </w:r>
    </w:p>
    <w:p w14:paraId="3AF27217">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5.3 电子化磋商响应文件解密异常的处理</w:t>
      </w:r>
    </w:p>
    <w:p w14:paraId="5670AFD4">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如出现响应人的电子磋商响应文件无法解密等异常情况，响应人应及时致电中介服务机构说明。磋商响应文件异常，按以下步骤进行处理：</w:t>
      </w:r>
    </w:p>
    <w:p w14:paraId="15BCD22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212EE38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（2）经技术人员排查后，是响应人文件自身问题导致磋商响应文件无法解密的，该磋商响应文件将不予接收、解密和唱标。开标会议继续进行。</w:t>
      </w:r>
    </w:p>
    <w:p w14:paraId="4B7AFF3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98937E7">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六</w:t>
      </w:r>
      <w:r>
        <w:rPr>
          <w:rFonts w:hint="eastAsia" w:ascii="宋体" w:hAnsi="宋体" w:eastAsia="宋体" w:cs="宋体"/>
          <w:b/>
          <w:sz w:val="24"/>
          <w:szCs w:val="24"/>
          <w:lang w:eastAsia="zh-CN"/>
        </w:rPr>
        <w:t>、</w:t>
      </w:r>
      <w:r>
        <w:rPr>
          <w:rFonts w:hint="eastAsia" w:ascii="宋体" w:hAnsi="宋体" w:eastAsia="宋体" w:cs="宋体"/>
          <w:b/>
          <w:sz w:val="24"/>
          <w:szCs w:val="24"/>
        </w:rPr>
        <w:t>评标</w:t>
      </w:r>
      <w:bookmarkEnd w:id="100"/>
      <w:bookmarkEnd w:id="101"/>
      <w:bookmarkEnd w:id="102"/>
      <w:bookmarkEnd w:id="103"/>
    </w:p>
    <w:p w14:paraId="6465F53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sz w:val="24"/>
          <w:szCs w:val="24"/>
          <w:highlight w:val="none"/>
          <w:lang w:eastAsia="zh-CN"/>
        </w:rPr>
      </w:pPr>
      <w:bookmarkStart w:id="104" w:name="_Toc38145726"/>
      <w:bookmarkStart w:id="105" w:name="_Toc38145625"/>
      <w:bookmarkStart w:id="106" w:name="_Toc38145801"/>
      <w:r>
        <w:rPr>
          <w:rFonts w:hint="eastAsia" w:ascii="宋体" w:hAnsi="宋体" w:eastAsia="宋体" w:cs="宋体"/>
          <w:b/>
          <w:bCs/>
          <w:sz w:val="24"/>
          <w:szCs w:val="24"/>
          <w:highlight w:val="none"/>
        </w:rPr>
        <w:t>6.1</w:t>
      </w:r>
      <w:r>
        <w:rPr>
          <w:rFonts w:hint="eastAsia" w:ascii="宋体" w:hAnsi="宋体" w:eastAsia="宋体" w:cs="宋体"/>
          <w:b/>
          <w:bCs/>
          <w:sz w:val="24"/>
          <w:szCs w:val="24"/>
          <w:highlight w:val="none"/>
          <w:lang w:eastAsia="zh-CN"/>
        </w:rPr>
        <w:t>磋商小组</w:t>
      </w:r>
    </w:p>
    <w:p w14:paraId="445F9BD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6.1.1评标由采购人依法组建的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组建方式见</w:t>
      </w:r>
      <w:r>
        <w:rPr>
          <w:rFonts w:hint="eastAsia" w:ascii="宋体" w:hAnsi="宋体" w:cs="宋体"/>
          <w:sz w:val="24"/>
          <w:szCs w:val="24"/>
          <w:highlight w:val="none"/>
          <w:lang w:val="en-US" w:eastAsia="zh-CN"/>
        </w:rPr>
        <w:t>响应人</w:t>
      </w:r>
      <w:r>
        <w:rPr>
          <w:rFonts w:hint="eastAsia" w:ascii="宋体" w:hAnsi="宋体" w:eastAsia="宋体" w:cs="宋体"/>
          <w:sz w:val="24"/>
          <w:szCs w:val="24"/>
          <w:highlight w:val="none"/>
          <w:lang w:val="en-US" w:eastAsia="zh-CN"/>
        </w:rPr>
        <w:t>须知前附表。</w:t>
      </w:r>
    </w:p>
    <w:p w14:paraId="3B83BD7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6.1.2</w:t>
      </w:r>
      <w:r>
        <w:rPr>
          <w:rFonts w:hint="eastAsia" w:ascii="宋体" w:hAnsi="宋体" w:eastAsia="宋体" w:cs="宋体"/>
          <w:sz w:val="24"/>
          <w:szCs w:val="24"/>
          <w:highlight w:val="none"/>
          <w:lang w:eastAsia="zh-CN"/>
        </w:rPr>
        <w:t>磋商小组成员有下列情形之一的，应当回避：</w:t>
      </w:r>
    </w:p>
    <w:p w14:paraId="351F73A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或</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主要负责人的近亲属；</w:t>
      </w:r>
    </w:p>
    <w:p w14:paraId="208D484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（2）项目主管部门或者行政监督部门的人员；</w:t>
      </w:r>
    </w:p>
    <w:p w14:paraId="46B5DDC9">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有经济利益关系；</w:t>
      </w:r>
    </w:p>
    <w:p w14:paraId="06F8D29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（4）曾因在招标、评标以及其他与招标投标有关活动中从事违法行为而受过行政处罚或刑事处罚的；</w:t>
      </w:r>
    </w:p>
    <w:p w14:paraId="4CF845A4">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有其他利害关系。</w:t>
      </w:r>
    </w:p>
    <w:p w14:paraId="0D1C3AA1">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6.1.3</w:t>
      </w:r>
      <w:r>
        <w:rPr>
          <w:rFonts w:hint="eastAsia" w:ascii="宋体" w:hAnsi="宋体" w:eastAsia="宋体" w:cs="宋体"/>
          <w:sz w:val="24"/>
          <w:szCs w:val="24"/>
          <w:highlight w:val="none"/>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E2EDEF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6.1.4</w:t>
      </w:r>
      <w:r>
        <w:rPr>
          <w:rFonts w:hint="eastAsia" w:ascii="宋体" w:hAnsi="宋体" w:eastAsia="宋体" w:cs="宋体"/>
          <w:sz w:val="24"/>
          <w:szCs w:val="24"/>
          <w:highlight w:val="none"/>
          <w:lang w:eastAsia="zh-CN"/>
        </w:rPr>
        <w:t>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3970111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highlight w:val="none"/>
        </w:rPr>
      </w:pPr>
      <w:bookmarkStart w:id="107" w:name="_Toc38145626"/>
      <w:bookmarkStart w:id="108" w:name="_Toc38145727"/>
      <w:bookmarkStart w:id="109" w:name="_Toc38145802"/>
      <w:r>
        <w:rPr>
          <w:rFonts w:hint="eastAsia" w:ascii="宋体" w:hAnsi="宋体" w:eastAsia="宋体" w:cs="宋体"/>
          <w:b/>
          <w:bCs/>
          <w:sz w:val="24"/>
          <w:szCs w:val="24"/>
          <w:highlight w:val="none"/>
        </w:rPr>
        <w:t>6.2 评标原则</w:t>
      </w:r>
      <w:bookmarkEnd w:id="107"/>
      <w:bookmarkEnd w:id="108"/>
      <w:bookmarkEnd w:id="109"/>
    </w:p>
    <w:p w14:paraId="16348A9D">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6.2.1</w:t>
      </w:r>
      <w:r>
        <w:rPr>
          <w:rFonts w:hint="eastAsia" w:ascii="宋体" w:hAnsi="宋体" w:eastAsia="宋体" w:cs="宋体"/>
          <w:sz w:val="24"/>
          <w:szCs w:val="24"/>
          <w:highlight w:val="none"/>
        </w:rPr>
        <w:t>评标活动遵循公平、公正、科学合理的原则。</w:t>
      </w:r>
    </w:p>
    <w:p w14:paraId="0AA1751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6.2.2</w:t>
      </w:r>
      <w:r>
        <w:rPr>
          <w:rFonts w:hint="eastAsia" w:ascii="宋体" w:hAnsi="宋体" w:eastAsia="宋体" w:cs="宋体"/>
          <w:sz w:val="24"/>
          <w:szCs w:val="24"/>
          <w:highlight w:val="none"/>
          <w:lang w:eastAsia="zh-CN"/>
        </w:rPr>
        <w:t>磋商在磋商小组应当集中与单一</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分别进行磋商，磋商小组将遵照磋商原则，公正、平等地对待所有</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w:t>
      </w:r>
    </w:p>
    <w:p w14:paraId="4BD2C9B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highlight w:val="none"/>
        </w:rPr>
      </w:pPr>
      <w:bookmarkStart w:id="110" w:name="_Toc38145627"/>
      <w:bookmarkStart w:id="111" w:name="_Toc38145728"/>
      <w:bookmarkStart w:id="112" w:name="_Toc38145803"/>
      <w:r>
        <w:rPr>
          <w:rFonts w:hint="eastAsia" w:ascii="宋体" w:hAnsi="宋体" w:eastAsia="宋体" w:cs="宋体"/>
          <w:b/>
          <w:bCs/>
          <w:sz w:val="24"/>
          <w:szCs w:val="24"/>
          <w:highlight w:val="none"/>
        </w:rPr>
        <w:t>6.3</w:t>
      </w:r>
      <w:bookmarkEnd w:id="110"/>
      <w:bookmarkEnd w:id="111"/>
      <w:bookmarkEnd w:id="112"/>
      <w:r>
        <w:rPr>
          <w:rFonts w:hint="eastAsia" w:ascii="宋体" w:hAnsi="宋体" w:eastAsia="宋体" w:cs="宋体"/>
          <w:b/>
          <w:bCs/>
          <w:sz w:val="24"/>
          <w:szCs w:val="24"/>
          <w:highlight w:val="none"/>
        </w:rPr>
        <w:t>评标</w:t>
      </w:r>
    </w:p>
    <w:p w14:paraId="7592386E">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磋商小组按照第三章“评审办法”规定的方法、评审因素、标准和程序对响应文件进行评审。第三章“评审办法”没有规定的方法、评审因素和标准，不作为评标依据。</w:t>
      </w:r>
    </w:p>
    <w:p w14:paraId="21AC78A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6.3.1</w:t>
      </w:r>
      <w:r>
        <w:rPr>
          <w:rFonts w:hint="eastAsia" w:ascii="宋体" w:hAnsi="宋体" w:eastAsia="宋体" w:cs="宋体"/>
          <w:sz w:val="24"/>
          <w:szCs w:val="24"/>
          <w:highlight w:val="none"/>
          <w:lang w:eastAsia="zh-CN"/>
        </w:rPr>
        <w:t>磋商小组只对已判定为实质性响应且通过初步审查的磋商响应文件进行详细评价和比较。</w:t>
      </w:r>
    </w:p>
    <w:p w14:paraId="340AD1A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6.3.2</w:t>
      </w:r>
      <w:r>
        <w:rPr>
          <w:rFonts w:hint="eastAsia" w:ascii="宋体" w:hAnsi="宋体" w:eastAsia="宋体" w:cs="宋体"/>
          <w:sz w:val="24"/>
          <w:szCs w:val="24"/>
          <w:highlight w:val="none"/>
          <w:lang w:eastAsia="zh-CN"/>
        </w:rPr>
        <w:t>磋商完成后，要求其在规定时间内提交最后报价，提交最后报价的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eastAsia="zh-CN"/>
        </w:rPr>
        <w:t>人可以为两家。</w:t>
      </w:r>
    </w:p>
    <w:p w14:paraId="32A4591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6.3.3</w:t>
      </w:r>
      <w:r>
        <w:rPr>
          <w:rFonts w:hint="eastAsia" w:ascii="宋体" w:hAnsi="宋体" w:eastAsia="宋体" w:cs="宋体"/>
          <w:sz w:val="24"/>
          <w:szCs w:val="24"/>
          <w:highlight w:val="none"/>
          <w:lang w:eastAsia="zh-CN"/>
        </w:rPr>
        <w:t>经磋商确定最终需求和提交最后报价的</w:t>
      </w:r>
      <w:r>
        <w:rPr>
          <w:rFonts w:hint="eastAsia" w:ascii="宋体" w:hAnsi="宋体" w:cs="宋体"/>
          <w:sz w:val="24"/>
          <w:szCs w:val="24"/>
          <w:highlight w:val="none"/>
          <w:lang w:val="en-US" w:eastAsia="zh-CN"/>
        </w:rPr>
        <w:t>响应人</w:t>
      </w:r>
      <w:r>
        <w:rPr>
          <w:rFonts w:hint="eastAsia" w:ascii="宋体" w:hAnsi="宋体" w:eastAsia="宋体" w:cs="宋体"/>
          <w:sz w:val="24"/>
          <w:szCs w:val="24"/>
          <w:highlight w:val="none"/>
          <w:lang w:eastAsia="zh-CN"/>
        </w:rPr>
        <w:t>后，磋商小组采用综合评分法对提交最后报价的</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的磋商响应文件和最后报价进行综合评分。</w:t>
      </w:r>
    </w:p>
    <w:p w14:paraId="38B77A0E">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6.3.4</w:t>
      </w:r>
      <w:r>
        <w:rPr>
          <w:rFonts w:hint="eastAsia" w:ascii="宋体" w:hAnsi="宋体" w:eastAsia="宋体" w:cs="宋体"/>
          <w:sz w:val="24"/>
          <w:szCs w:val="24"/>
          <w:highlight w:val="none"/>
          <w:lang w:eastAsia="zh-CN"/>
        </w:rPr>
        <w:t>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FEF3301">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6.3.5</w:t>
      </w:r>
      <w:r>
        <w:rPr>
          <w:rFonts w:hint="eastAsia" w:ascii="宋体" w:hAnsi="宋体" w:eastAsia="宋体" w:cs="宋体"/>
          <w:sz w:val="24"/>
          <w:szCs w:val="24"/>
          <w:highlight w:val="none"/>
          <w:lang w:eastAsia="zh-CN"/>
        </w:rPr>
        <w:t>如果第一名</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104"/>
    <w:bookmarkEnd w:id="105"/>
    <w:bookmarkEnd w:id="106"/>
    <w:p w14:paraId="22E2F620">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bookmarkStart w:id="113" w:name="_Toc38145729"/>
      <w:bookmarkStart w:id="114" w:name="_Toc38145628"/>
      <w:bookmarkStart w:id="115" w:name="_Toc20999_WPSOffice_Level2"/>
      <w:bookmarkStart w:id="116" w:name="_Toc38145804"/>
      <w:r>
        <w:rPr>
          <w:rFonts w:hint="eastAsia" w:ascii="宋体" w:hAnsi="宋体" w:eastAsia="宋体" w:cs="宋体"/>
          <w:b/>
          <w:sz w:val="24"/>
          <w:szCs w:val="24"/>
        </w:rPr>
        <w:t>七</w:t>
      </w:r>
      <w:r>
        <w:rPr>
          <w:rFonts w:hint="eastAsia" w:ascii="宋体" w:hAnsi="宋体" w:eastAsia="宋体" w:cs="宋体"/>
          <w:b/>
          <w:sz w:val="24"/>
          <w:szCs w:val="24"/>
          <w:lang w:eastAsia="zh-CN"/>
        </w:rPr>
        <w:t>、</w:t>
      </w:r>
      <w:r>
        <w:rPr>
          <w:rFonts w:hint="eastAsia" w:ascii="宋体" w:hAnsi="宋体" w:eastAsia="宋体" w:cs="宋体"/>
          <w:b/>
          <w:sz w:val="24"/>
          <w:szCs w:val="24"/>
        </w:rPr>
        <w:t>定标及签订合同</w:t>
      </w:r>
      <w:bookmarkEnd w:id="113"/>
      <w:bookmarkEnd w:id="114"/>
      <w:bookmarkEnd w:id="115"/>
      <w:bookmarkEnd w:id="116"/>
    </w:p>
    <w:p w14:paraId="51CC21E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17" w:name="_Toc38145730"/>
      <w:bookmarkStart w:id="118" w:name="_Toc38145629"/>
      <w:bookmarkStart w:id="119" w:name="_Toc38145805"/>
      <w:r>
        <w:rPr>
          <w:rFonts w:hint="eastAsia" w:ascii="宋体" w:hAnsi="宋体" w:eastAsia="宋体" w:cs="宋体"/>
          <w:b/>
          <w:bCs/>
          <w:sz w:val="24"/>
          <w:szCs w:val="24"/>
        </w:rPr>
        <w:t>7.1定标以及中标通知书</w:t>
      </w:r>
      <w:bookmarkEnd w:id="117"/>
      <w:bookmarkEnd w:id="118"/>
      <w:bookmarkEnd w:id="119"/>
    </w:p>
    <w:p w14:paraId="52064FF4">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7.1.1最低投标价不作为中标的保证</w:t>
      </w:r>
      <w:r>
        <w:rPr>
          <w:rFonts w:hint="eastAsia" w:ascii="宋体" w:hAnsi="宋体" w:eastAsia="宋体" w:cs="宋体"/>
          <w:sz w:val="24"/>
          <w:szCs w:val="24"/>
          <w:lang w:eastAsia="zh-CN"/>
        </w:rPr>
        <w:t>，</w:t>
      </w:r>
      <w:r>
        <w:rPr>
          <w:rFonts w:hint="eastAsia" w:ascii="宋体" w:hAnsi="宋体" w:eastAsia="宋体" w:cs="宋体"/>
          <w:sz w:val="24"/>
          <w:szCs w:val="24"/>
        </w:rPr>
        <w:t>采购人依据</w:t>
      </w:r>
      <w:r>
        <w:rPr>
          <w:rFonts w:hint="eastAsia" w:ascii="宋体" w:hAnsi="宋体" w:eastAsia="宋体" w:cs="宋体"/>
          <w:sz w:val="24"/>
          <w:szCs w:val="24"/>
          <w:lang w:eastAsia="zh-CN"/>
        </w:rPr>
        <w:t>磋商小组</w:t>
      </w:r>
      <w:r>
        <w:rPr>
          <w:rFonts w:hint="eastAsia" w:ascii="宋体" w:hAnsi="宋体" w:eastAsia="宋体" w:cs="宋体"/>
          <w:sz w:val="24"/>
          <w:szCs w:val="24"/>
        </w:rPr>
        <w:t>推荐的中标候选人确定中标人，</w:t>
      </w:r>
      <w:r>
        <w:rPr>
          <w:rFonts w:hint="eastAsia" w:ascii="宋体" w:hAnsi="宋体" w:eastAsia="宋体" w:cs="宋体"/>
          <w:sz w:val="24"/>
          <w:szCs w:val="24"/>
          <w:lang w:eastAsia="zh-CN"/>
        </w:rPr>
        <w:t>磋商小组</w:t>
      </w:r>
      <w:r>
        <w:rPr>
          <w:rFonts w:hint="eastAsia" w:ascii="宋体" w:hAnsi="宋体" w:eastAsia="宋体" w:cs="宋体"/>
          <w:sz w:val="24"/>
          <w:szCs w:val="24"/>
        </w:rPr>
        <w:t>推荐中标候选人的人数见</w:t>
      </w:r>
      <w:r>
        <w:rPr>
          <w:rFonts w:hint="eastAsia" w:ascii="宋体" w:hAnsi="宋体" w:cs="宋体"/>
          <w:sz w:val="24"/>
          <w:szCs w:val="24"/>
          <w:lang w:eastAsia="zh-CN"/>
        </w:rPr>
        <w:t>响应人</w:t>
      </w:r>
      <w:r>
        <w:rPr>
          <w:rFonts w:hint="eastAsia" w:ascii="宋体" w:hAnsi="宋体" w:eastAsia="宋体" w:cs="宋体"/>
          <w:sz w:val="24"/>
          <w:szCs w:val="24"/>
        </w:rPr>
        <w:t>须知前附表。</w:t>
      </w:r>
    </w:p>
    <w:p w14:paraId="230714CB">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sz w:val="24"/>
          <w:szCs w:val="24"/>
        </w:rPr>
        <w:t>7.1.2</w:t>
      </w:r>
      <w:r>
        <w:rPr>
          <w:rFonts w:hint="eastAsia" w:ascii="宋体" w:hAnsi="宋体" w:eastAsia="宋体" w:cs="宋体"/>
          <w:kern w:val="0"/>
          <w:sz w:val="24"/>
          <w:szCs w:val="24"/>
        </w:rPr>
        <w:t>评标结束后，评标结果经采购人确认后，采购代理机构方应在</w:t>
      </w:r>
      <w:r>
        <w:rPr>
          <w:rFonts w:hint="eastAsia" w:ascii="宋体" w:hAnsi="宋体" w:eastAsia="宋体" w:cs="宋体"/>
          <w:kern w:val="0"/>
          <w:sz w:val="24"/>
          <w:szCs w:val="24"/>
          <w:lang w:val="en-US" w:eastAsia="zh-CN"/>
        </w:rPr>
        <w:t>发布</w:t>
      </w:r>
      <w:r>
        <w:rPr>
          <w:rFonts w:hint="eastAsia" w:ascii="宋体" w:hAnsi="宋体" w:eastAsia="宋体" w:cs="宋体"/>
          <w:kern w:val="0"/>
          <w:sz w:val="24"/>
          <w:szCs w:val="24"/>
        </w:rPr>
        <w:t>本采购项目磋商公告的媒介上对中标结果进行公示，待公示1个工作日且无异议后，采购代理机构向中标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发出中标通知书。中标通知书对采购人和中标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具有同等法律效力。中标通知书发出后，采购人改变中标结果，或者中标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放弃中标，应按相关法律、规章、规范性文件的要求承担相应的法律责任。投标</w:t>
      </w:r>
      <w:r>
        <w:rPr>
          <w:rFonts w:hint="eastAsia" w:ascii="宋体" w:hAnsi="宋体" w:cs="宋体"/>
          <w:kern w:val="0"/>
          <w:sz w:val="24"/>
          <w:szCs w:val="24"/>
          <w:lang w:eastAsia="zh-CN"/>
        </w:rPr>
        <w:t>响应人</w:t>
      </w:r>
      <w:r>
        <w:rPr>
          <w:rFonts w:hint="eastAsia" w:ascii="宋体" w:hAnsi="宋体" w:eastAsia="宋体" w:cs="宋体"/>
          <w:kern w:val="0"/>
          <w:sz w:val="24"/>
          <w:szCs w:val="24"/>
        </w:rPr>
        <w:t>对中标公告有异议的，应当在知道或应当知道其权益受到损害之日起1个工作日内，以书面形式向采购人或采购代理机构提出质疑。</w:t>
      </w:r>
    </w:p>
    <w:p w14:paraId="5E67FEF0">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《中标通知书》将作为签订合同的依据。《合同》签订后，《中标通知书》成为《合同》的一部分。</w:t>
      </w:r>
    </w:p>
    <w:p w14:paraId="4E383DF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20" w:name="_Toc38145630"/>
      <w:bookmarkStart w:id="121" w:name="_Toc38145731"/>
      <w:bookmarkStart w:id="122" w:name="_Toc38145806"/>
      <w:r>
        <w:rPr>
          <w:rFonts w:hint="eastAsia" w:ascii="宋体" w:hAnsi="宋体" w:eastAsia="宋体" w:cs="宋体"/>
          <w:b/>
          <w:bCs/>
          <w:sz w:val="24"/>
          <w:szCs w:val="24"/>
        </w:rPr>
        <w:t>7.2合同的签订</w:t>
      </w:r>
      <w:bookmarkEnd w:id="120"/>
      <w:bookmarkEnd w:id="121"/>
      <w:bookmarkEnd w:id="122"/>
    </w:p>
    <w:p w14:paraId="646666B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7.2.1中标人应按中标通知书规定的时间及地点，由法定代表人或授权委托代理人与采购人签订合同。签订合同应与磋商文件内容一致，不得有实质性改变</w:t>
      </w:r>
      <w:bookmarkStart w:id="123" w:name="_Toc251069685"/>
      <w:bookmarkEnd w:id="123"/>
      <w:r>
        <w:rPr>
          <w:rFonts w:hint="eastAsia" w:ascii="宋体" w:hAnsi="宋体" w:eastAsia="宋体" w:cs="宋体"/>
          <w:kern w:val="0"/>
          <w:sz w:val="24"/>
          <w:szCs w:val="24"/>
        </w:rPr>
        <w:t>。</w:t>
      </w:r>
    </w:p>
    <w:p w14:paraId="2D5ABBB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7.2.2采购人和中标人应当自中标通知书发出之日起2个工作日内，根据磋商文件和中标人的响应文件订立书面合同。中标人无正当理由拒签合同的，采购人取消其中标资格。</w:t>
      </w:r>
    </w:p>
    <w:p w14:paraId="27A2BF5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按《三门峡市财政局关于市本级政府采购合同备案管理工作的通知》（三财购[2021]9号）文要求，集中采购目录以外政府采购项目，原则上自中标通知书发出之日起2个工作日内与中标（成交）</w:t>
      </w:r>
      <w:r>
        <w:rPr>
          <w:rFonts w:hint="eastAsia" w:ascii="宋体" w:hAnsi="宋体" w:cs="宋体"/>
          <w:kern w:val="0"/>
          <w:sz w:val="24"/>
          <w:szCs w:val="24"/>
          <w:lang w:eastAsia="zh-CN"/>
        </w:rPr>
        <w:t>响应人</w:t>
      </w:r>
      <w:r>
        <w:rPr>
          <w:rFonts w:hint="eastAsia" w:ascii="宋体" w:hAnsi="宋体" w:eastAsia="宋体" w:cs="宋体"/>
          <w:kern w:val="0"/>
          <w:sz w:val="24"/>
          <w:szCs w:val="24"/>
        </w:rPr>
        <w:t>按照采购文件确定的事项与</w:t>
      </w:r>
      <w:r>
        <w:rPr>
          <w:rFonts w:hint="eastAsia" w:ascii="宋体" w:hAnsi="宋体" w:cs="宋体"/>
          <w:kern w:val="0"/>
          <w:sz w:val="24"/>
          <w:szCs w:val="24"/>
          <w:lang w:eastAsia="zh-CN"/>
        </w:rPr>
        <w:t>响应人</w:t>
      </w:r>
      <w:r>
        <w:rPr>
          <w:rFonts w:hint="eastAsia" w:ascii="宋体" w:hAnsi="宋体" w:eastAsia="宋体" w:cs="宋体"/>
          <w:kern w:val="0"/>
          <w:sz w:val="24"/>
          <w:szCs w:val="24"/>
        </w:rPr>
        <w:t>签订政府采购合同。</w:t>
      </w:r>
    </w:p>
    <w:p w14:paraId="2538E8D0">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7.2.3</w:t>
      </w:r>
      <w:r>
        <w:rPr>
          <w:rFonts w:hint="eastAsia" w:ascii="宋体" w:hAnsi="宋体" w:eastAsia="宋体" w:cs="宋体"/>
          <w:sz w:val="24"/>
          <w:szCs w:val="24"/>
        </w:rPr>
        <w:t>竞争性磋商文件、竞争性磋商文件的修改文件、中标</w:t>
      </w:r>
      <w:r>
        <w:rPr>
          <w:rFonts w:hint="eastAsia" w:ascii="宋体" w:hAnsi="宋体" w:cs="宋体"/>
          <w:sz w:val="24"/>
          <w:szCs w:val="24"/>
          <w:lang w:eastAsia="zh-CN"/>
        </w:rPr>
        <w:t>响应人</w:t>
      </w:r>
      <w:r>
        <w:rPr>
          <w:rFonts w:hint="eastAsia" w:ascii="宋体" w:hAnsi="宋体" w:eastAsia="宋体" w:cs="宋体"/>
          <w:sz w:val="24"/>
          <w:szCs w:val="24"/>
        </w:rPr>
        <w:t>的响应文件、补充或修改的文件及澄清或承诺文件等，均为双方签订《合同》的组成部分，并与《合同》一并作为本招标文件所列采购项目的互补性法律文件，与《合同》具有同等法律效力。</w:t>
      </w:r>
    </w:p>
    <w:p w14:paraId="170C2DD2">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7.2.4</w:t>
      </w:r>
      <w:r>
        <w:rPr>
          <w:rFonts w:hint="eastAsia" w:ascii="宋体" w:hAnsi="宋体" w:eastAsia="宋体" w:cs="宋体"/>
          <w:sz w:val="24"/>
          <w:szCs w:val="24"/>
        </w:rPr>
        <w:t>采购人在合同履行中，需追加与合同标的相同的货物或者服务的，在不改变合同其他条款的前提下，可与</w:t>
      </w:r>
      <w:r>
        <w:rPr>
          <w:rFonts w:hint="eastAsia" w:ascii="宋体" w:hAnsi="宋体" w:cs="宋体"/>
          <w:sz w:val="24"/>
          <w:szCs w:val="24"/>
          <w:lang w:eastAsia="zh-CN"/>
        </w:rPr>
        <w:t>响应人</w:t>
      </w:r>
      <w:r>
        <w:rPr>
          <w:rFonts w:hint="eastAsia" w:ascii="宋体" w:hAnsi="宋体" w:eastAsia="宋体" w:cs="宋体"/>
          <w:sz w:val="24"/>
          <w:szCs w:val="24"/>
        </w:rPr>
        <w:t>协商签订补充合同，但所有补充合同的采购金额不得超过原合同采购金额的百分之十。</w:t>
      </w:r>
    </w:p>
    <w:p w14:paraId="1E0F201D">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7.2.5</w:t>
      </w:r>
      <w:r>
        <w:rPr>
          <w:rFonts w:hint="eastAsia" w:ascii="宋体" w:hAnsi="宋体" w:eastAsia="宋体" w:cs="宋体"/>
          <w:sz w:val="24"/>
          <w:szCs w:val="24"/>
        </w:rPr>
        <w:t>中标</w:t>
      </w:r>
      <w:r>
        <w:rPr>
          <w:rFonts w:hint="eastAsia" w:ascii="宋体" w:hAnsi="宋体" w:cs="宋体"/>
          <w:sz w:val="24"/>
          <w:szCs w:val="24"/>
          <w:lang w:eastAsia="zh-CN"/>
        </w:rPr>
        <w:t>响应人</w:t>
      </w:r>
      <w:r>
        <w:rPr>
          <w:rFonts w:hint="eastAsia" w:ascii="宋体" w:hAnsi="宋体" w:eastAsia="宋体" w:cs="宋体"/>
          <w:sz w:val="24"/>
          <w:szCs w:val="24"/>
        </w:rPr>
        <w:t>因不可抗力或者自身原因不能履行政府采购合同的，采购人可以与排位在中标</w:t>
      </w:r>
      <w:r>
        <w:rPr>
          <w:rFonts w:hint="eastAsia" w:ascii="宋体" w:hAnsi="宋体" w:cs="宋体"/>
          <w:sz w:val="24"/>
          <w:szCs w:val="24"/>
          <w:lang w:eastAsia="zh-CN"/>
        </w:rPr>
        <w:t>响应人</w:t>
      </w:r>
      <w:r>
        <w:rPr>
          <w:rFonts w:hint="eastAsia" w:ascii="宋体" w:hAnsi="宋体" w:eastAsia="宋体" w:cs="宋体"/>
          <w:sz w:val="24"/>
          <w:szCs w:val="24"/>
        </w:rPr>
        <w:t>之后第一位的中标候选</w:t>
      </w:r>
      <w:r>
        <w:rPr>
          <w:rFonts w:hint="eastAsia" w:ascii="宋体" w:hAnsi="宋体" w:cs="宋体"/>
          <w:sz w:val="24"/>
          <w:szCs w:val="24"/>
          <w:lang w:eastAsia="zh-CN"/>
        </w:rPr>
        <w:t>响应人</w:t>
      </w:r>
      <w:r>
        <w:rPr>
          <w:rFonts w:hint="eastAsia" w:ascii="宋体" w:hAnsi="宋体" w:eastAsia="宋体" w:cs="宋体"/>
          <w:sz w:val="24"/>
          <w:szCs w:val="24"/>
        </w:rPr>
        <w:t>签订政府采购合同，以此类推。</w:t>
      </w:r>
    </w:p>
    <w:p w14:paraId="12A1138D">
      <w:pPr>
        <w:keepNext w:val="0"/>
        <w:keepLines w:val="0"/>
        <w:widowControl w:val="0"/>
        <w:kinsoku/>
        <w:wordWrap/>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kern w:val="0"/>
          <w:sz w:val="24"/>
          <w:szCs w:val="24"/>
        </w:rPr>
      </w:pPr>
      <w:bookmarkStart w:id="124" w:name="_Toc38145733"/>
      <w:bookmarkStart w:id="125" w:name="_Toc27160_WPSOffice_Level2"/>
      <w:bookmarkStart w:id="126" w:name="_Toc38145632"/>
      <w:bookmarkStart w:id="127" w:name="_Toc38145808"/>
      <w:r>
        <w:rPr>
          <w:rFonts w:hint="eastAsia" w:ascii="宋体" w:hAnsi="宋体" w:eastAsia="宋体" w:cs="宋体"/>
          <w:b/>
          <w:sz w:val="24"/>
          <w:szCs w:val="24"/>
        </w:rPr>
        <w:t>八</w:t>
      </w:r>
      <w:r>
        <w:rPr>
          <w:rFonts w:hint="eastAsia" w:ascii="宋体" w:hAnsi="宋体" w:eastAsia="宋体" w:cs="宋体"/>
          <w:b/>
          <w:sz w:val="24"/>
          <w:szCs w:val="24"/>
          <w:lang w:eastAsia="zh-CN"/>
        </w:rPr>
        <w:t>、</w:t>
      </w:r>
      <w:r>
        <w:rPr>
          <w:rFonts w:hint="eastAsia" w:ascii="宋体" w:hAnsi="宋体" w:eastAsia="宋体" w:cs="宋体"/>
          <w:b/>
          <w:sz w:val="24"/>
          <w:szCs w:val="24"/>
        </w:rPr>
        <w:t>重新招标和不再招标</w:t>
      </w:r>
      <w:bookmarkEnd w:id="124"/>
      <w:bookmarkEnd w:id="125"/>
      <w:bookmarkEnd w:id="126"/>
      <w:bookmarkEnd w:id="127"/>
    </w:p>
    <w:p w14:paraId="3A5E889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28" w:name="_Toc38145809"/>
      <w:bookmarkStart w:id="129" w:name="_Toc38145633"/>
      <w:bookmarkStart w:id="130" w:name="_Toc38145734"/>
      <w:r>
        <w:rPr>
          <w:rFonts w:hint="eastAsia" w:ascii="宋体" w:hAnsi="宋体" w:eastAsia="宋体" w:cs="宋体"/>
          <w:b/>
          <w:bCs/>
          <w:sz w:val="24"/>
          <w:szCs w:val="24"/>
        </w:rPr>
        <w:t>8.1重新招标</w:t>
      </w:r>
      <w:bookmarkEnd w:id="128"/>
      <w:bookmarkEnd w:id="129"/>
      <w:bookmarkEnd w:id="130"/>
    </w:p>
    <w:p w14:paraId="1065B755">
      <w:pPr>
        <w:keepNext w:val="0"/>
        <w:keepLines w:val="0"/>
        <w:widowControl w:val="0"/>
        <w:kinsoku/>
        <w:wordWrap/>
        <w:overflowPunct w:val="0"/>
        <w:topLinePunct w:val="0"/>
        <w:autoSpaceDE/>
        <w:autoSpaceDN/>
        <w:bidi w:val="0"/>
        <w:adjustRightInd w:val="0"/>
        <w:snapToGrid w:val="0"/>
        <w:spacing w:line="24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有下列情形之一的，采购人将根据情况决定重新招标或采用其他方式选择中标人。</w:t>
      </w:r>
    </w:p>
    <w:p w14:paraId="2886A805">
      <w:pPr>
        <w:keepNext w:val="0"/>
        <w:keepLines w:val="0"/>
        <w:widowControl w:val="0"/>
        <w:kinsoku/>
        <w:wordWrap/>
        <w:overflowPunct w:val="0"/>
        <w:topLinePunct w:val="0"/>
        <w:autoSpaceDE/>
        <w:autoSpaceDN/>
        <w:bidi w:val="0"/>
        <w:adjustRightInd w:val="0"/>
        <w:snapToGrid w:val="0"/>
        <w:spacing w:line="24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（1）磋商截止时间止，</w:t>
      </w:r>
      <w:r>
        <w:rPr>
          <w:rFonts w:hint="eastAsia" w:ascii="宋体" w:hAnsi="宋体" w:cs="宋体"/>
          <w:sz w:val="24"/>
          <w:szCs w:val="24"/>
          <w:lang w:eastAsia="zh-CN"/>
        </w:rPr>
        <w:t>响应人</w:t>
      </w:r>
      <w:r>
        <w:rPr>
          <w:rFonts w:hint="eastAsia" w:ascii="宋体" w:hAnsi="宋体" w:eastAsia="宋体" w:cs="宋体"/>
          <w:sz w:val="24"/>
          <w:szCs w:val="24"/>
        </w:rPr>
        <w:t>不足3家的；</w:t>
      </w:r>
    </w:p>
    <w:p w14:paraId="171F7E11">
      <w:pPr>
        <w:keepNext w:val="0"/>
        <w:keepLines w:val="0"/>
        <w:widowControl w:val="0"/>
        <w:kinsoku/>
        <w:wordWrap/>
        <w:overflowPunct w:val="0"/>
        <w:topLinePunct w:val="0"/>
        <w:autoSpaceDE/>
        <w:autoSpaceDN/>
        <w:bidi w:val="0"/>
        <w:adjustRightInd w:val="0"/>
        <w:snapToGrid w:val="0"/>
        <w:spacing w:line="24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（2）经</w:t>
      </w:r>
      <w:r>
        <w:rPr>
          <w:rFonts w:hint="eastAsia" w:ascii="宋体" w:hAnsi="宋体" w:eastAsia="宋体" w:cs="宋体"/>
          <w:sz w:val="24"/>
          <w:szCs w:val="24"/>
          <w:lang w:eastAsia="zh-CN"/>
        </w:rPr>
        <w:t>磋商小组</w:t>
      </w:r>
      <w:r>
        <w:rPr>
          <w:rFonts w:hint="eastAsia" w:ascii="宋体" w:hAnsi="宋体" w:eastAsia="宋体" w:cs="宋体"/>
          <w:sz w:val="24"/>
          <w:szCs w:val="24"/>
        </w:rPr>
        <w:t>评标后否决所有投标的。</w:t>
      </w:r>
    </w:p>
    <w:p w14:paraId="37E180AF">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31" w:name="_Toc38145634"/>
      <w:bookmarkStart w:id="132" w:name="_Toc38145735"/>
      <w:bookmarkStart w:id="133" w:name="_Toc38145810"/>
      <w:r>
        <w:rPr>
          <w:rFonts w:hint="eastAsia" w:ascii="宋体" w:hAnsi="宋体" w:eastAsia="宋体" w:cs="宋体"/>
          <w:b/>
          <w:bCs/>
          <w:sz w:val="24"/>
          <w:szCs w:val="24"/>
        </w:rPr>
        <w:t>8.2不再招标</w:t>
      </w:r>
      <w:bookmarkEnd w:id="131"/>
      <w:bookmarkEnd w:id="132"/>
      <w:bookmarkEnd w:id="133"/>
    </w:p>
    <w:p w14:paraId="43984E4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重新招标后</w:t>
      </w:r>
      <w:r>
        <w:rPr>
          <w:rFonts w:hint="eastAsia" w:ascii="宋体" w:hAnsi="宋体" w:cs="宋体"/>
          <w:sz w:val="24"/>
          <w:szCs w:val="24"/>
          <w:lang w:eastAsia="zh-CN"/>
        </w:rPr>
        <w:t>响应人</w:t>
      </w:r>
      <w:r>
        <w:rPr>
          <w:rFonts w:hint="eastAsia" w:ascii="宋体" w:hAnsi="宋体" w:eastAsia="宋体" w:cs="宋体"/>
          <w:sz w:val="24"/>
          <w:szCs w:val="24"/>
        </w:rPr>
        <w:t>仍少于</w:t>
      </w:r>
      <w:r>
        <w:rPr>
          <w:rFonts w:hint="eastAsia" w:ascii="宋体" w:hAnsi="宋体" w:eastAsia="宋体" w:cs="宋体"/>
          <w:sz w:val="24"/>
          <w:szCs w:val="24"/>
          <w:lang w:val="en-US" w:eastAsia="zh-CN"/>
        </w:rPr>
        <w:t>3</w:t>
      </w:r>
      <w:r>
        <w:rPr>
          <w:rFonts w:hint="eastAsia" w:ascii="宋体" w:hAnsi="宋体" w:eastAsia="宋体" w:cs="宋体"/>
          <w:sz w:val="24"/>
          <w:szCs w:val="24"/>
        </w:rPr>
        <w:t>个或者所有投标被否决的，属于按照国家规定需要政府审批的项目，报项目审批或核准部门批准后可以不再进行招标。</w:t>
      </w:r>
      <w:bookmarkStart w:id="134" w:name="_Toc38145635"/>
      <w:bookmarkStart w:id="135" w:name="_Toc21276_WPSOffice_Level2"/>
      <w:bookmarkStart w:id="136" w:name="_Toc38145811"/>
      <w:bookmarkStart w:id="137" w:name="_Toc38145736"/>
    </w:p>
    <w:p w14:paraId="3FA693F7">
      <w:pPr>
        <w:keepNext w:val="0"/>
        <w:keepLines w:val="0"/>
        <w:widowControl w:val="0"/>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b/>
          <w:sz w:val="24"/>
          <w:szCs w:val="24"/>
          <w:lang w:eastAsia="zh-CN"/>
        </w:rPr>
        <w:t>、</w:t>
      </w:r>
      <w:r>
        <w:rPr>
          <w:rFonts w:hint="eastAsia" w:ascii="宋体" w:hAnsi="宋体" w:eastAsia="宋体" w:cs="宋体"/>
          <w:b/>
          <w:sz w:val="24"/>
          <w:szCs w:val="24"/>
        </w:rPr>
        <w:t>纪律和监督</w:t>
      </w:r>
      <w:bookmarkEnd w:id="134"/>
      <w:bookmarkEnd w:id="135"/>
      <w:bookmarkEnd w:id="136"/>
      <w:bookmarkEnd w:id="137"/>
      <w:bookmarkStart w:id="138" w:name="_Toc38145636"/>
      <w:bookmarkStart w:id="139" w:name="_Toc38145737"/>
      <w:bookmarkStart w:id="140" w:name="_Toc38145812"/>
    </w:p>
    <w:p w14:paraId="7FB7E64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9.1对采购人的纪律要求</w:t>
      </w:r>
      <w:bookmarkEnd w:id="138"/>
      <w:bookmarkEnd w:id="139"/>
      <w:bookmarkEnd w:id="140"/>
    </w:p>
    <w:p w14:paraId="0398D12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采购人不得泄漏招标活动中应当保密的情况和资料，不得与</w:t>
      </w:r>
      <w:r>
        <w:rPr>
          <w:rFonts w:hint="eastAsia" w:ascii="宋体" w:hAnsi="宋体" w:cs="宋体"/>
          <w:sz w:val="24"/>
          <w:szCs w:val="24"/>
          <w:lang w:eastAsia="zh-CN"/>
        </w:rPr>
        <w:t>响应人</w:t>
      </w:r>
      <w:r>
        <w:rPr>
          <w:rFonts w:hint="eastAsia" w:ascii="宋体" w:hAnsi="宋体" w:eastAsia="宋体" w:cs="宋体"/>
          <w:sz w:val="24"/>
          <w:szCs w:val="24"/>
        </w:rPr>
        <w:t>串通损害国家利益、社会公共利益或者他人合法权益。</w:t>
      </w:r>
    </w:p>
    <w:p w14:paraId="0790E51D">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41" w:name="_Toc38145813"/>
      <w:bookmarkStart w:id="142" w:name="_Toc38145738"/>
      <w:bookmarkStart w:id="143" w:name="_Toc38145637"/>
      <w:r>
        <w:rPr>
          <w:rFonts w:hint="eastAsia" w:ascii="宋体" w:hAnsi="宋体" w:eastAsia="宋体" w:cs="宋体"/>
          <w:b/>
          <w:bCs/>
          <w:sz w:val="24"/>
          <w:szCs w:val="24"/>
        </w:rPr>
        <w:t>9.2对</w:t>
      </w:r>
      <w:r>
        <w:rPr>
          <w:rFonts w:hint="eastAsia" w:ascii="宋体" w:hAnsi="宋体" w:cs="宋体"/>
          <w:b/>
          <w:bCs/>
          <w:sz w:val="24"/>
          <w:szCs w:val="24"/>
          <w:lang w:eastAsia="zh-CN"/>
        </w:rPr>
        <w:t>响应人</w:t>
      </w:r>
      <w:r>
        <w:rPr>
          <w:rFonts w:hint="eastAsia" w:ascii="宋体" w:hAnsi="宋体" w:eastAsia="宋体" w:cs="宋体"/>
          <w:b/>
          <w:bCs/>
          <w:sz w:val="24"/>
          <w:szCs w:val="24"/>
        </w:rPr>
        <w:t>的纪律要求</w:t>
      </w:r>
      <w:bookmarkEnd w:id="141"/>
      <w:bookmarkEnd w:id="142"/>
      <w:bookmarkEnd w:id="143"/>
    </w:p>
    <w:p w14:paraId="6288CD3F">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cs="宋体"/>
          <w:sz w:val="24"/>
          <w:szCs w:val="24"/>
          <w:lang w:eastAsia="zh-CN"/>
        </w:rPr>
        <w:t>响应人</w:t>
      </w:r>
      <w:r>
        <w:rPr>
          <w:rFonts w:hint="eastAsia" w:ascii="宋体" w:hAnsi="宋体" w:eastAsia="宋体" w:cs="宋体"/>
          <w:sz w:val="24"/>
          <w:szCs w:val="24"/>
        </w:rPr>
        <w:t>不得相互串通投标或者与采购人串通投标，不得向采购人或者</w:t>
      </w:r>
      <w:r>
        <w:rPr>
          <w:rFonts w:hint="eastAsia" w:ascii="宋体" w:hAnsi="宋体" w:eastAsia="宋体" w:cs="宋体"/>
          <w:sz w:val="24"/>
          <w:szCs w:val="24"/>
          <w:lang w:eastAsia="zh-CN"/>
        </w:rPr>
        <w:t>磋商小组</w:t>
      </w:r>
      <w:r>
        <w:rPr>
          <w:rFonts w:hint="eastAsia" w:ascii="宋体" w:hAnsi="宋体" w:eastAsia="宋体" w:cs="宋体"/>
          <w:sz w:val="24"/>
          <w:szCs w:val="24"/>
        </w:rPr>
        <w:t>成员行贿谋取中不得以他人名义投标或者以其他方式弄虚作假骗取中标；</w:t>
      </w:r>
      <w:r>
        <w:rPr>
          <w:rFonts w:hint="eastAsia" w:ascii="宋体" w:hAnsi="宋体" w:cs="宋体"/>
          <w:sz w:val="24"/>
          <w:szCs w:val="24"/>
          <w:lang w:eastAsia="zh-CN"/>
        </w:rPr>
        <w:t>响应人</w:t>
      </w:r>
      <w:r>
        <w:rPr>
          <w:rFonts w:hint="eastAsia" w:ascii="宋体" w:hAnsi="宋体" w:eastAsia="宋体" w:cs="宋体"/>
          <w:sz w:val="24"/>
          <w:szCs w:val="24"/>
        </w:rPr>
        <w:t>不得以任何方式干扰、影响评标工作。</w:t>
      </w:r>
    </w:p>
    <w:p w14:paraId="4723BC1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44" w:name="_Toc38145638"/>
      <w:bookmarkStart w:id="145" w:name="_Toc38145814"/>
      <w:bookmarkStart w:id="146" w:name="_Toc38145739"/>
      <w:r>
        <w:rPr>
          <w:rFonts w:hint="eastAsia" w:ascii="宋体" w:hAnsi="宋体" w:eastAsia="宋体" w:cs="宋体"/>
          <w:b/>
          <w:bCs/>
          <w:sz w:val="24"/>
          <w:szCs w:val="24"/>
        </w:rPr>
        <w:t>9.3对</w:t>
      </w:r>
      <w:r>
        <w:rPr>
          <w:rFonts w:hint="eastAsia" w:ascii="宋体" w:hAnsi="宋体" w:eastAsia="宋体" w:cs="宋体"/>
          <w:b/>
          <w:bCs/>
          <w:sz w:val="24"/>
          <w:szCs w:val="24"/>
          <w:lang w:eastAsia="zh-CN"/>
        </w:rPr>
        <w:t>磋商小组</w:t>
      </w:r>
      <w:r>
        <w:rPr>
          <w:rFonts w:hint="eastAsia" w:ascii="宋体" w:hAnsi="宋体" w:eastAsia="宋体" w:cs="宋体"/>
          <w:b/>
          <w:bCs/>
          <w:sz w:val="24"/>
          <w:szCs w:val="24"/>
        </w:rPr>
        <w:t>成员的纪律要求</w:t>
      </w:r>
      <w:bookmarkEnd w:id="144"/>
      <w:bookmarkEnd w:id="145"/>
      <w:bookmarkEnd w:id="146"/>
    </w:p>
    <w:p w14:paraId="7115F9AC">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磋商小组</w:t>
      </w:r>
      <w:r>
        <w:rPr>
          <w:rFonts w:hint="eastAsia" w:ascii="宋体" w:hAnsi="宋体" w:eastAsia="宋体" w:cs="宋体"/>
          <w:sz w:val="24"/>
          <w:szCs w:val="24"/>
        </w:rPr>
        <w:t>成员不得收受他人的财物或者其他好处，不得向他人透漏对响应文件的评标和比较、中标候选人的推荐情况以及评标有关的其他情况。在评标活动中，</w:t>
      </w:r>
      <w:r>
        <w:rPr>
          <w:rFonts w:hint="eastAsia" w:ascii="宋体" w:hAnsi="宋体" w:eastAsia="宋体" w:cs="宋体"/>
          <w:sz w:val="24"/>
          <w:szCs w:val="24"/>
          <w:lang w:eastAsia="zh-CN"/>
        </w:rPr>
        <w:t>磋商小组</w:t>
      </w:r>
      <w:r>
        <w:rPr>
          <w:rFonts w:hint="eastAsia" w:ascii="宋体" w:hAnsi="宋体" w:eastAsia="宋体" w:cs="宋体"/>
          <w:sz w:val="24"/>
          <w:szCs w:val="24"/>
        </w:rPr>
        <w:t>成员不得擅离职守，影响评标程序正常进行，不得使用第三章“评标办法”没有规定的评标因素和标准进行评标。</w:t>
      </w:r>
    </w:p>
    <w:p w14:paraId="79EF698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47" w:name="_Toc38145815"/>
      <w:bookmarkStart w:id="148" w:name="_Toc38145639"/>
      <w:bookmarkStart w:id="149" w:name="_Toc38145740"/>
      <w:r>
        <w:rPr>
          <w:rFonts w:hint="eastAsia" w:ascii="宋体" w:hAnsi="宋体" w:eastAsia="宋体" w:cs="宋体"/>
          <w:b/>
          <w:bCs/>
          <w:sz w:val="24"/>
          <w:szCs w:val="24"/>
        </w:rPr>
        <w:t>9.4对与评标活动有关的工作人员的纪律要求</w:t>
      </w:r>
      <w:bookmarkEnd w:id="147"/>
      <w:bookmarkEnd w:id="148"/>
      <w:bookmarkEnd w:id="149"/>
    </w:p>
    <w:p w14:paraId="19FD620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漏对响应文件的评标和比较、中标候选人的推荐情况以及评标有关的其他情况。在评标活动中，与评标活动有关的工作人员不得擅离职守，影响评标程序正常进行。</w:t>
      </w:r>
    </w:p>
    <w:p w14:paraId="21FA4461">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50" w:name="_Toc38145640"/>
      <w:bookmarkStart w:id="151" w:name="_Toc38145816"/>
      <w:bookmarkStart w:id="152" w:name="_Toc38145741"/>
      <w:r>
        <w:rPr>
          <w:rFonts w:hint="eastAsia" w:ascii="宋体" w:hAnsi="宋体" w:eastAsia="宋体" w:cs="宋体"/>
          <w:b/>
          <w:bCs/>
          <w:sz w:val="24"/>
          <w:szCs w:val="24"/>
        </w:rPr>
        <w:t>9.5投诉</w:t>
      </w:r>
      <w:bookmarkEnd w:id="150"/>
      <w:bookmarkEnd w:id="151"/>
      <w:bookmarkEnd w:id="152"/>
    </w:p>
    <w:p w14:paraId="471CC814">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和其他利害关系人认为本次采购活动违反法律、法规和规章规定的，有权向有关行政监督部门投诉。</w:t>
      </w:r>
      <w:bookmarkStart w:id="153" w:name="_Toc38145743"/>
      <w:bookmarkStart w:id="154" w:name="_Toc38145642"/>
      <w:bookmarkStart w:id="155" w:name="_Toc38145818"/>
      <w:bookmarkStart w:id="156" w:name="_Toc8983_WPSOffice_Level2"/>
    </w:p>
    <w:bookmarkEnd w:id="153"/>
    <w:bookmarkEnd w:id="154"/>
    <w:bookmarkEnd w:id="155"/>
    <w:bookmarkEnd w:id="156"/>
    <w:p w14:paraId="34CC3178">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rPr>
          <w:rFonts w:hint="eastAsia" w:ascii="宋体" w:hAnsi="宋体" w:eastAsia="宋体" w:cs="宋体"/>
          <w:b/>
          <w:bCs/>
          <w:sz w:val="24"/>
          <w:szCs w:val="24"/>
        </w:rPr>
      </w:pPr>
    </w:p>
    <w:p w14:paraId="2B821D9C">
      <w:pPr>
        <w:pageBreakBefore w:val="0"/>
        <w:numPr>
          <w:ilvl w:val="0"/>
          <w:numId w:val="0"/>
        </w:numPr>
        <w:kinsoku/>
        <w:wordWrap w:val="0"/>
        <w:overflowPunct/>
        <w:topLinePunct/>
        <w:bidi w:val="0"/>
        <w:spacing w:line="460" w:lineRule="exact"/>
        <w:jc w:val="center"/>
        <w:textAlignment w:val="auto"/>
        <w:rPr>
          <w:rFonts w:ascii="宋体" w:hAnsi="宋体" w:eastAsia="宋体" w:cs="宋体"/>
          <w:b/>
          <w:bCs/>
          <w:sz w:val="30"/>
          <w:szCs w:val="30"/>
          <w:highlight w:val="none"/>
        </w:rPr>
      </w:pPr>
      <w:bookmarkStart w:id="157" w:name="_Toc23774436"/>
      <w:bookmarkStart w:id="158" w:name="_Toc1582"/>
      <w:r>
        <w:rPr>
          <w:rFonts w:hint="eastAsia" w:ascii="宋体" w:hAnsi="宋体" w:eastAsia="宋体" w:cs="宋体"/>
          <w:b/>
          <w:bCs/>
          <w:sz w:val="30"/>
          <w:szCs w:val="30"/>
          <w:highlight w:val="none"/>
        </w:rPr>
        <w:t>第三章   评审办法</w:t>
      </w:r>
      <w:bookmarkEnd w:id="157"/>
      <w:bookmarkEnd w:id="158"/>
    </w:p>
    <w:p w14:paraId="452B9B7C">
      <w:pPr>
        <w:keepNext/>
        <w:keepLines/>
        <w:wordWrap w:val="0"/>
        <w:topLinePunct/>
        <w:spacing w:line="360" w:lineRule="auto"/>
        <w:ind w:left="482"/>
        <w:jc w:val="center"/>
        <w:outlineLvl w:val="2"/>
        <w:rPr>
          <w:rFonts w:ascii="宋体" w:hAnsi="宋体" w:eastAsia="宋体" w:cs="Times New Roman"/>
          <w:b/>
          <w:bCs/>
          <w:sz w:val="28"/>
          <w:szCs w:val="28"/>
          <w:highlight w:val="none"/>
        </w:rPr>
      </w:pPr>
      <w:bookmarkStart w:id="159" w:name="_Toc16535"/>
      <w:bookmarkStart w:id="160" w:name="_Toc1534"/>
      <w:bookmarkStart w:id="161" w:name="_Toc16950"/>
      <w:bookmarkStart w:id="162" w:name="_Toc6633"/>
      <w:bookmarkStart w:id="163" w:name="_Toc22753"/>
      <w:bookmarkStart w:id="164" w:name="_Toc21398"/>
      <w:bookmarkStart w:id="165" w:name="_Toc14114"/>
      <w:bookmarkStart w:id="166" w:name="_Toc16256"/>
      <w:bookmarkStart w:id="167" w:name="_Toc23659"/>
      <w:bookmarkStart w:id="168" w:name="_Toc4734"/>
      <w:bookmarkStart w:id="169" w:name="_Toc12415"/>
      <w:bookmarkStart w:id="170" w:name="_Toc22649"/>
      <w:bookmarkStart w:id="171" w:name="_Toc9836"/>
      <w:r>
        <w:rPr>
          <w:rFonts w:hint="eastAsia" w:ascii="宋体" w:hAnsi="宋体" w:eastAsia="宋体" w:cs="Times New Roman"/>
          <w:b/>
          <w:bCs/>
          <w:sz w:val="28"/>
          <w:szCs w:val="28"/>
          <w:highlight w:val="none"/>
        </w:rPr>
        <w:t>评审办法前附表</w:t>
      </w:r>
      <w:bookmarkEnd w:id="159"/>
      <w:bookmarkEnd w:id="160"/>
      <w:bookmarkEnd w:id="161"/>
      <w:bookmarkEnd w:id="162"/>
      <w:bookmarkEnd w:id="163"/>
      <w:bookmarkEnd w:id="164"/>
      <w:bookmarkEnd w:id="165"/>
      <w:bookmarkEnd w:id="166"/>
      <w:bookmarkEnd w:id="167"/>
      <w:bookmarkEnd w:id="168"/>
      <w:bookmarkEnd w:id="169"/>
      <w:bookmarkEnd w:id="170"/>
    </w:p>
    <w:tbl>
      <w:tblPr>
        <w:tblStyle w:val="1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410"/>
        <w:gridCol w:w="5103"/>
      </w:tblGrid>
      <w:tr w14:paraId="390C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66" w:type="dxa"/>
            <w:gridSpan w:val="2"/>
            <w:vAlign w:val="center"/>
          </w:tcPr>
          <w:p w14:paraId="54C62C4F">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条款</w:t>
            </w:r>
          </w:p>
        </w:tc>
        <w:tc>
          <w:tcPr>
            <w:tcW w:w="2410" w:type="dxa"/>
            <w:vAlign w:val="center"/>
          </w:tcPr>
          <w:p w14:paraId="28CE260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评审因素</w:t>
            </w:r>
          </w:p>
        </w:tc>
        <w:tc>
          <w:tcPr>
            <w:tcW w:w="5103" w:type="dxa"/>
            <w:vAlign w:val="center"/>
          </w:tcPr>
          <w:p w14:paraId="49F97EBB">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1C8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90" w:type="dxa"/>
            <w:vMerge w:val="restart"/>
            <w:vAlign w:val="center"/>
          </w:tcPr>
          <w:p w14:paraId="78B7CAC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2.1.1</w:t>
            </w:r>
          </w:p>
        </w:tc>
        <w:tc>
          <w:tcPr>
            <w:tcW w:w="876" w:type="dxa"/>
            <w:vMerge w:val="restart"/>
            <w:vAlign w:val="center"/>
          </w:tcPr>
          <w:p w14:paraId="35AE467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符合性评审</w:t>
            </w:r>
          </w:p>
        </w:tc>
        <w:tc>
          <w:tcPr>
            <w:tcW w:w="2410" w:type="dxa"/>
            <w:vAlign w:val="center"/>
          </w:tcPr>
          <w:p w14:paraId="605755C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c>
          <w:tcPr>
            <w:tcW w:w="5103" w:type="dxa"/>
            <w:vAlign w:val="center"/>
          </w:tcPr>
          <w:p w14:paraId="1509AC22">
            <w:pPr>
              <w:keepNext w:val="0"/>
              <w:keepLines w:val="0"/>
              <w:widowControl/>
              <w:suppressLineNumbers w:val="0"/>
              <w:wordWrap w:val="0"/>
              <w:topLinePunct/>
              <w:spacing w:before="0" w:beforeAutospacing="0" w:after="0" w:afterAutospacing="0" w:line="360" w:lineRule="auto"/>
              <w:ind w:left="0" w:right="0"/>
              <w:jc w:val="left"/>
              <w:rPr>
                <w:rFonts w:hint="eastAsia" w:ascii="宋体" w:hAnsi="宋体" w:eastAsia="宋体" w:cs="宋体"/>
                <w:kern w:val="0"/>
                <w:sz w:val="24"/>
                <w:szCs w:val="24"/>
                <w:highlight w:val="none"/>
                <w:lang w:eastAsia="zh-CN"/>
              </w:rPr>
            </w:pPr>
            <w:r>
              <w:rPr>
                <w:rFonts w:hint="eastAsia" w:ascii="宋体" w:hAnsi="宋体" w:eastAsia="宋体" w:cs="宋体"/>
                <w:bCs/>
                <w:kern w:val="0"/>
                <w:sz w:val="24"/>
                <w:szCs w:val="24"/>
                <w:highlight w:val="none"/>
              </w:rPr>
              <w:t>与营业执照、资质证书一致</w:t>
            </w:r>
          </w:p>
        </w:tc>
      </w:tr>
      <w:tr w14:paraId="1FE4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0" w:type="dxa"/>
            <w:vMerge w:val="continue"/>
            <w:vAlign w:val="center"/>
          </w:tcPr>
          <w:p w14:paraId="58A7090A">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2BD3FA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54AE83C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响应文件签署、盖章</w:t>
            </w:r>
          </w:p>
        </w:tc>
        <w:tc>
          <w:tcPr>
            <w:tcW w:w="5103" w:type="dxa"/>
            <w:vAlign w:val="center"/>
          </w:tcPr>
          <w:p w14:paraId="1C445127">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rPr>
            </w:pPr>
            <w:r>
              <w:rPr>
                <w:rFonts w:hint="eastAsia" w:ascii="宋体" w:hAnsi="宋体" w:eastAsia="宋体" w:cs="宋体"/>
                <w:sz w:val="24"/>
                <w:szCs w:val="24"/>
                <w:highlight w:val="none"/>
              </w:rPr>
              <w:t>响应文件按竞争性磋商文件要求签署、盖章</w:t>
            </w:r>
            <w:bookmarkStart w:id="218" w:name="_GoBack"/>
            <w:bookmarkEnd w:id="218"/>
          </w:p>
        </w:tc>
      </w:tr>
      <w:tr w14:paraId="5794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90" w:type="dxa"/>
            <w:vMerge w:val="continue"/>
            <w:vAlign w:val="center"/>
          </w:tcPr>
          <w:p w14:paraId="39A2675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82EDD9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0520F31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报价唯一</w:t>
            </w:r>
          </w:p>
        </w:tc>
        <w:tc>
          <w:tcPr>
            <w:tcW w:w="5103" w:type="dxa"/>
            <w:vAlign w:val="center"/>
          </w:tcPr>
          <w:p w14:paraId="19E55525">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只能有一个有效报价</w:t>
            </w:r>
          </w:p>
        </w:tc>
      </w:tr>
      <w:tr w14:paraId="086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exact"/>
          <w:jc w:val="center"/>
        </w:trPr>
        <w:tc>
          <w:tcPr>
            <w:tcW w:w="990" w:type="dxa"/>
            <w:vMerge w:val="restart"/>
            <w:vAlign w:val="center"/>
          </w:tcPr>
          <w:p w14:paraId="3D24CB7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2.1.2</w:t>
            </w:r>
          </w:p>
        </w:tc>
        <w:tc>
          <w:tcPr>
            <w:tcW w:w="876" w:type="dxa"/>
            <w:vMerge w:val="restart"/>
            <w:vAlign w:val="center"/>
          </w:tcPr>
          <w:p w14:paraId="746D7AC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资格审查</w:t>
            </w:r>
            <w:r>
              <w:rPr>
                <w:rFonts w:hint="eastAsia" w:ascii="宋体" w:hAnsi="宋体" w:eastAsia="宋体" w:cs="宋体"/>
                <w:kern w:val="0"/>
                <w:sz w:val="24"/>
                <w:szCs w:val="24"/>
                <w:highlight w:val="none"/>
              </w:rPr>
              <w:t>标准</w:t>
            </w:r>
          </w:p>
        </w:tc>
        <w:tc>
          <w:tcPr>
            <w:tcW w:w="2410" w:type="dxa"/>
            <w:vAlign w:val="center"/>
          </w:tcPr>
          <w:p w14:paraId="3BD37173">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满足《中华人民共和国政府采购法》第二十二条规定</w:t>
            </w:r>
          </w:p>
        </w:tc>
        <w:tc>
          <w:tcPr>
            <w:tcW w:w="5103" w:type="dxa"/>
            <w:vAlign w:val="center"/>
          </w:tcPr>
          <w:p w14:paraId="5EBCE0EC">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提供承诺书；</w:t>
            </w:r>
          </w:p>
        </w:tc>
      </w:tr>
      <w:tr w14:paraId="140E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0" w:type="dxa"/>
            <w:vMerge w:val="continue"/>
            <w:vAlign w:val="center"/>
          </w:tcPr>
          <w:p w14:paraId="58559366">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kern w:val="0"/>
                <w:sz w:val="24"/>
                <w:szCs w:val="24"/>
                <w:highlight w:val="none"/>
              </w:rPr>
            </w:pPr>
          </w:p>
        </w:tc>
        <w:tc>
          <w:tcPr>
            <w:tcW w:w="876" w:type="dxa"/>
            <w:vMerge w:val="continue"/>
            <w:vAlign w:val="center"/>
          </w:tcPr>
          <w:p w14:paraId="2FB61FFE">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2410" w:type="dxa"/>
            <w:vAlign w:val="center"/>
          </w:tcPr>
          <w:p w14:paraId="6FD6E97D">
            <w:pPr>
              <w:keepNext w:val="0"/>
              <w:keepLines w:val="0"/>
              <w:widowControl/>
              <w:suppressLineNumbers w:val="0"/>
              <w:wordWrap w:val="0"/>
              <w:topLinePunct/>
              <w:spacing w:before="0" w:beforeAutospacing="0" w:after="0" w:afterAutospacing="0" w:line="360" w:lineRule="auto"/>
              <w:ind w:left="0" w:leftChars="0"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5103" w:type="dxa"/>
            <w:vAlign w:val="center"/>
          </w:tcPr>
          <w:p w14:paraId="6348035C">
            <w:pPr>
              <w:keepNext w:val="0"/>
              <w:keepLines w:val="0"/>
              <w:widowControl/>
              <w:suppressLineNumbers w:val="0"/>
              <w:wordWrap w:val="0"/>
              <w:topLinePunct/>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供应商须具有有效的营业执照</w:t>
            </w:r>
          </w:p>
        </w:tc>
      </w:tr>
      <w:tr w14:paraId="6E8B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990" w:type="dxa"/>
            <w:vMerge w:val="continue"/>
            <w:vAlign w:val="center"/>
          </w:tcPr>
          <w:p w14:paraId="27FBC07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3B7597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5451DC9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资质证书</w:t>
            </w:r>
          </w:p>
        </w:tc>
        <w:tc>
          <w:tcPr>
            <w:tcW w:w="5103" w:type="dxa"/>
            <w:vAlign w:val="center"/>
          </w:tcPr>
          <w:p w14:paraId="29E9D5F4">
            <w:pPr>
              <w:keepNext w:val="0"/>
              <w:keepLines w:val="0"/>
              <w:suppressLineNumbers w:val="0"/>
              <w:wordWrap w:val="0"/>
              <w:topLinePunct/>
              <w:autoSpaceDE w:val="0"/>
              <w:autoSpaceDN w:val="0"/>
              <w:adjustRightInd w:val="0"/>
              <w:spacing w:before="0" w:beforeAutospacing="0" w:after="0" w:afterAutospacing="0" w:line="360" w:lineRule="auto"/>
              <w:ind w:left="38" w:leftChars="18"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须具备工程监理综合资质或房屋建筑工程专业监理乙级及以上资质，并在人员、设备、资金等方面具有相应的监理服务能力</w:t>
            </w:r>
            <w:r>
              <w:rPr>
                <w:rFonts w:hint="eastAsia" w:ascii="宋体" w:hAnsi="宋体" w:eastAsia="宋体" w:cs="宋体"/>
                <w:sz w:val="24"/>
                <w:szCs w:val="24"/>
                <w:highlight w:val="none"/>
                <w:lang w:eastAsia="zh-CN"/>
              </w:rPr>
              <w:t>；</w:t>
            </w:r>
          </w:p>
        </w:tc>
      </w:tr>
      <w:tr w14:paraId="42B8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90" w:type="dxa"/>
            <w:vMerge w:val="continue"/>
            <w:vAlign w:val="center"/>
          </w:tcPr>
          <w:p w14:paraId="4D52911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9C2110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490A4B8E">
            <w:pPr>
              <w:keepNext w:val="0"/>
              <w:keepLines w:val="0"/>
              <w:suppressLineNumbers w:val="0"/>
              <w:autoSpaceDE w:val="0"/>
              <w:autoSpaceDN w:val="0"/>
              <w:snapToGrid w:val="0"/>
              <w:spacing w:before="0" w:beforeAutospacing="0" w:after="0" w:afterAutospacing="0" w:line="500" w:lineRule="exact"/>
              <w:ind w:left="0" w:right="0"/>
              <w:jc w:val="center"/>
              <w:rPr>
                <w:rFonts w:hint="eastAsia" w:ascii="宋体" w:hAnsi="宋体" w:eastAsia="宋体" w:cs="宋体"/>
                <w:kern w:val="0"/>
                <w:sz w:val="24"/>
                <w:szCs w:val="24"/>
                <w:highlight w:val="none"/>
                <w:lang w:val="en-US" w:eastAsia="zh-CN"/>
              </w:rPr>
            </w:pPr>
            <w:r>
              <w:rPr>
                <w:rFonts w:hint="eastAsia" w:ascii="宋体" w:hAnsi="宋体"/>
                <w:kern w:val="0"/>
                <w:sz w:val="24"/>
                <w:szCs w:val="24"/>
                <w:highlight w:val="none"/>
              </w:rPr>
              <w:t>项目总监理工程师资格</w:t>
            </w:r>
          </w:p>
        </w:tc>
        <w:tc>
          <w:tcPr>
            <w:tcW w:w="5103" w:type="dxa"/>
            <w:vAlign w:val="center"/>
          </w:tcPr>
          <w:p w14:paraId="6D2FA0CB">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供应商拟派项目总监理工程师具备国家建设行政主管部门颁发的房屋建筑专业注册监理工程师执业资格；</w:t>
            </w:r>
          </w:p>
        </w:tc>
      </w:tr>
      <w:tr w14:paraId="3C83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0" w:type="dxa"/>
            <w:vMerge w:val="continue"/>
            <w:vAlign w:val="center"/>
          </w:tcPr>
          <w:p w14:paraId="634F8C2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53EDA87F">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2ADFD5B1">
            <w:pPr>
              <w:keepNext w:val="0"/>
              <w:keepLines w:val="0"/>
              <w:suppressLineNumbers w:val="0"/>
              <w:snapToGrid w:val="0"/>
              <w:spacing w:before="0" w:beforeAutospacing="0" w:after="0" w:afterAutospacing="0" w:line="500" w:lineRule="exact"/>
              <w:ind w:left="0" w:right="0"/>
              <w:jc w:val="left"/>
              <w:rPr>
                <w:rFonts w:hint="default" w:ascii="宋体" w:hAnsi="宋体" w:eastAsia="宋体" w:cs="宋体"/>
                <w:sz w:val="24"/>
                <w:szCs w:val="24"/>
                <w:highlight w:val="none"/>
              </w:rPr>
            </w:pPr>
            <w:r>
              <w:rPr>
                <w:rFonts w:hint="eastAsia" w:ascii="宋体" w:hAnsi="宋体"/>
                <w:kern w:val="0"/>
                <w:sz w:val="24"/>
                <w:szCs w:val="24"/>
                <w:highlight w:val="none"/>
              </w:rPr>
              <w:t>无商业贿赂和不正当竞争行为承诺书</w:t>
            </w:r>
          </w:p>
        </w:tc>
        <w:tc>
          <w:tcPr>
            <w:tcW w:w="5103" w:type="dxa"/>
            <w:vAlign w:val="center"/>
          </w:tcPr>
          <w:p w14:paraId="672839FF">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供应商出具本企业的无商业贿赂和不正当竞争行为承诺书，格式自拟。</w:t>
            </w:r>
          </w:p>
        </w:tc>
      </w:tr>
      <w:tr w14:paraId="1FB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0" w:type="dxa"/>
            <w:vMerge w:val="continue"/>
            <w:vAlign w:val="center"/>
          </w:tcPr>
          <w:p w14:paraId="2AE4823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8AE07C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23A20113">
            <w:pPr>
              <w:keepNext w:val="0"/>
              <w:keepLines w:val="0"/>
              <w:suppressLineNumbers w:val="0"/>
              <w:snapToGrid w:val="0"/>
              <w:spacing w:before="0" w:beforeAutospacing="0" w:after="0" w:afterAutospacing="0" w:line="500" w:lineRule="exact"/>
              <w:ind w:left="0" w:right="0"/>
              <w:jc w:val="left"/>
              <w:rPr>
                <w:rFonts w:hint="eastAsia" w:ascii="宋体" w:hAnsi="宋体"/>
                <w:kern w:val="0"/>
                <w:sz w:val="24"/>
                <w:szCs w:val="24"/>
                <w:highlight w:val="none"/>
              </w:rPr>
            </w:pPr>
            <w:r>
              <w:rPr>
                <w:rFonts w:hint="eastAsia" w:ascii="宋体" w:hAnsi="宋体"/>
                <w:kern w:val="0"/>
                <w:sz w:val="24"/>
                <w:szCs w:val="24"/>
                <w:highlight w:val="none"/>
              </w:rPr>
              <w:t>无行贿犯罪记录</w:t>
            </w:r>
          </w:p>
        </w:tc>
        <w:tc>
          <w:tcPr>
            <w:tcW w:w="5103" w:type="dxa"/>
            <w:vAlign w:val="center"/>
          </w:tcPr>
          <w:p w14:paraId="59D7074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企业出具在中国裁判文书网（http://wenshu.court.gov.cn）自行查询的无行贿犯罪记录或自行承诺（对象：企业、法定代表人）。</w:t>
            </w:r>
          </w:p>
        </w:tc>
      </w:tr>
      <w:tr w14:paraId="24D6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1" w:hRule="atLeast"/>
          <w:jc w:val="center"/>
        </w:trPr>
        <w:tc>
          <w:tcPr>
            <w:tcW w:w="990" w:type="dxa"/>
            <w:vMerge w:val="continue"/>
            <w:vAlign w:val="center"/>
          </w:tcPr>
          <w:p w14:paraId="556DD26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D4F8A9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64458843">
            <w:pPr>
              <w:keepNext w:val="0"/>
              <w:keepLines w:val="0"/>
              <w:suppressLineNumbers w:val="0"/>
              <w:autoSpaceDE w:val="0"/>
              <w:autoSpaceDN w:val="0"/>
              <w:snapToGrid w:val="0"/>
              <w:spacing w:before="0" w:beforeAutospacing="0" w:after="0" w:afterAutospacing="0" w:line="500" w:lineRule="exact"/>
              <w:ind w:left="0" w:right="0"/>
              <w:jc w:val="center"/>
              <w:rPr>
                <w:rFonts w:hint="default" w:ascii="宋体" w:hAnsi="宋体" w:eastAsia="宋体" w:cs="宋体"/>
                <w:sz w:val="24"/>
                <w:szCs w:val="24"/>
                <w:highlight w:val="none"/>
              </w:rPr>
            </w:pPr>
            <w:r>
              <w:rPr>
                <w:rFonts w:hint="eastAsia" w:ascii="宋体" w:hAnsi="宋体" w:cs="仿宋_GB2312"/>
                <w:sz w:val="24"/>
                <w:szCs w:val="24"/>
                <w:highlight w:val="none"/>
              </w:rPr>
              <w:t>信用中国网站、中国政府采购网站</w:t>
            </w:r>
            <w:r>
              <w:rPr>
                <w:rFonts w:hint="eastAsia" w:ascii="宋体" w:hAnsi="宋体"/>
                <w:kern w:val="0"/>
                <w:sz w:val="24"/>
                <w:szCs w:val="24"/>
                <w:highlight w:val="none"/>
              </w:rPr>
              <w:t>查询截图</w:t>
            </w:r>
          </w:p>
        </w:tc>
        <w:tc>
          <w:tcPr>
            <w:tcW w:w="5103" w:type="dxa"/>
            <w:vAlign w:val="center"/>
          </w:tcPr>
          <w:p w14:paraId="447BF73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w:t>
            </w:r>
            <w:r>
              <w:rPr>
                <w:rFonts w:hint="eastAsia" w:ascii="宋体" w:hAnsi="宋体" w:eastAsia="宋体" w:cs="宋体"/>
                <w:kern w:val="0"/>
                <w:sz w:val="24"/>
                <w:szCs w:val="24"/>
                <w:highlight w:val="none"/>
                <w:lang w:eastAsia="zh-CN"/>
              </w:rPr>
              <w:t xml:space="preserve"> </w:t>
            </w:r>
            <w:r>
              <w:rPr>
                <w:rFonts w:hint="eastAsia" w:ascii="宋体" w:hAnsi="宋体" w:eastAsia="宋体" w:cs="宋体"/>
                <w:kern w:val="0"/>
                <w:sz w:val="24"/>
                <w:szCs w:val="24"/>
                <w:highlight w:val="none"/>
              </w:rPr>
              <w:t>（查询时间从磋商公告发布之后）</w:t>
            </w:r>
          </w:p>
        </w:tc>
      </w:tr>
      <w:tr w14:paraId="3BF4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5C63E37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81E5B6B">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44530671">
            <w:pPr>
              <w:keepNext w:val="0"/>
              <w:keepLines w:val="0"/>
              <w:suppressLineNumbers w:val="0"/>
              <w:autoSpaceDE w:val="0"/>
              <w:autoSpaceDN w:val="0"/>
              <w:snapToGrid w:val="0"/>
              <w:spacing w:before="0" w:beforeAutospacing="0" w:after="0" w:afterAutospacing="0" w:line="500" w:lineRule="exact"/>
              <w:ind w:left="0" w:right="0"/>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非联合体</w:t>
            </w:r>
          </w:p>
        </w:tc>
        <w:tc>
          <w:tcPr>
            <w:tcW w:w="5103" w:type="dxa"/>
            <w:vAlign w:val="center"/>
          </w:tcPr>
          <w:p w14:paraId="52AB158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本次磋商不接受联合体</w:t>
            </w:r>
          </w:p>
        </w:tc>
      </w:tr>
      <w:tr w14:paraId="2E46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90" w:type="dxa"/>
            <w:vMerge w:val="restart"/>
            <w:vAlign w:val="center"/>
          </w:tcPr>
          <w:p w14:paraId="62C7293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2.1.3</w:t>
            </w:r>
          </w:p>
        </w:tc>
        <w:tc>
          <w:tcPr>
            <w:tcW w:w="876" w:type="dxa"/>
            <w:vMerge w:val="restart"/>
            <w:vAlign w:val="center"/>
          </w:tcPr>
          <w:p w14:paraId="276C527A">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sz w:val="24"/>
                <w:szCs w:val="24"/>
                <w:highlight w:val="none"/>
              </w:rPr>
              <w:t>响应性审查</w:t>
            </w:r>
            <w:r>
              <w:rPr>
                <w:rFonts w:hint="eastAsia" w:ascii="宋体" w:hAnsi="宋体" w:eastAsia="宋体" w:cs="宋体"/>
                <w:kern w:val="0"/>
                <w:sz w:val="24"/>
                <w:szCs w:val="24"/>
                <w:highlight w:val="none"/>
              </w:rPr>
              <w:t>标准</w:t>
            </w:r>
          </w:p>
        </w:tc>
        <w:tc>
          <w:tcPr>
            <w:tcW w:w="2410" w:type="dxa"/>
            <w:vAlign w:val="center"/>
          </w:tcPr>
          <w:p w14:paraId="1F0409E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磋商报价</w:t>
            </w:r>
          </w:p>
        </w:tc>
        <w:tc>
          <w:tcPr>
            <w:tcW w:w="5103" w:type="dxa"/>
            <w:vAlign w:val="center"/>
          </w:tcPr>
          <w:p w14:paraId="05682435">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不超过</w:t>
            </w:r>
            <w:r>
              <w:rPr>
                <w:rFonts w:hint="default" w:ascii="宋体" w:hAnsi="宋体" w:eastAsia="宋体" w:cs="宋体"/>
                <w:kern w:val="0"/>
                <w:sz w:val="24"/>
                <w:szCs w:val="24"/>
                <w:highlight w:val="none"/>
              </w:rPr>
              <w:t>施工合同价的1.5%</w:t>
            </w:r>
          </w:p>
        </w:tc>
      </w:tr>
      <w:tr w14:paraId="1D05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0" w:type="dxa"/>
            <w:vMerge w:val="continue"/>
            <w:vAlign w:val="center"/>
          </w:tcPr>
          <w:p w14:paraId="14D125A8">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33EEF5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47F482C6">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eastAsia="宋体" w:cs="宋体"/>
                <w:kern w:val="0"/>
                <w:sz w:val="24"/>
                <w:szCs w:val="24"/>
                <w:highlight w:val="none"/>
                <w:lang w:val="en-US"/>
              </w:rPr>
            </w:pPr>
            <w:r>
              <w:rPr>
                <w:rFonts w:hint="eastAsia" w:ascii="宋体" w:hAnsi="宋体"/>
                <w:spacing w:val="1"/>
                <w:kern w:val="0"/>
                <w:sz w:val="24"/>
                <w:szCs w:val="24"/>
                <w:highlight w:val="none"/>
              </w:rPr>
              <w:t>监理</w:t>
            </w:r>
            <w:r>
              <w:rPr>
                <w:rFonts w:hint="eastAsia" w:ascii="宋体" w:hAnsi="宋体"/>
                <w:spacing w:val="1"/>
                <w:kern w:val="0"/>
                <w:sz w:val="24"/>
                <w:szCs w:val="24"/>
                <w:highlight w:val="none"/>
                <w:lang w:val="en-US" w:eastAsia="zh-CN"/>
              </w:rPr>
              <w:t>服务</w:t>
            </w:r>
            <w:r>
              <w:rPr>
                <w:rFonts w:hint="eastAsia" w:ascii="宋体" w:hAnsi="宋体"/>
                <w:spacing w:val="1"/>
                <w:kern w:val="0"/>
                <w:sz w:val="24"/>
                <w:szCs w:val="24"/>
                <w:highlight w:val="none"/>
              </w:rPr>
              <w:t>期限</w:t>
            </w:r>
          </w:p>
        </w:tc>
        <w:tc>
          <w:tcPr>
            <w:tcW w:w="5103" w:type="dxa"/>
            <w:vAlign w:val="center"/>
          </w:tcPr>
          <w:p w14:paraId="3C8B4350">
            <w:pPr>
              <w:keepNext w:val="0"/>
              <w:keepLines w:val="0"/>
              <w:suppressLineNumbers w:val="0"/>
              <w:snapToGrid w:val="0"/>
              <w:spacing w:before="0" w:beforeAutospacing="0" w:after="0" w:afterAutospacing="0" w:line="500" w:lineRule="exact"/>
              <w:ind w:left="0" w:right="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同施工工期及缺陷责任期</w:t>
            </w:r>
          </w:p>
        </w:tc>
      </w:tr>
      <w:tr w14:paraId="3EFD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0" w:type="dxa"/>
            <w:vMerge w:val="continue"/>
            <w:vAlign w:val="center"/>
          </w:tcPr>
          <w:p w14:paraId="5ABBA13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4973BFE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09231C30">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eastAsia" w:ascii="宋体" w:hAnsi="宋体" w:cs="宋体" w:eastAsiaTheme="minorEastAsia"/>
                <w:kern w:val="0"/>
                <w:sz w:val="24"/>
                <w:szCs w:val="24"/>
                <w:highlight w:val="none"/>
                <w:lang w:eastAsia="zh-CN"/>
              </w:rPr>
            </w:pPr>
            <w:r>
              <w:rPr>
                <w:rFonts w:hint="eastAsia" w:ascii="宋体" w:hAnsi="宋体"/>
                <w:spacing w:val="1"/>
                <w:kern w:val="0"/>
                <w:sz w:val="24"/>
                <w:szCs w:val="24"/>
                <w:highlight w:val="none"/>
              </w:rPr>
              <w:t>质量</w:t>
            </w:r>
            <w:r>
              <w:rPr>
                <w:rFonts w:hint="eastAsia" w:ascii="宋体" w:hAnsi="宋体"/>
                <w:spacing w:val="1"/>
                <w:kern w:val="0"/>
                <w:sz w:val="24"/>
                <w:szCs w:val="24"/>
                <w:highlight w:val="none"/>
                <w:lang w:val="en-US" w:eastAsia="zh-CN"/>
              </w:rPr>
              <w:t>要求</w:t>
            </w:r>
          </w:p>
        </w:tc>
        <w:tc>
          <w:tcPr>
            <w:tcW w:w="5103" w:type="dxa"/>
            <w:vAlign w:val="center"/>
          </w:tcPr>
          <w:p w14:paraId="64F20421">
            <w:pPr>
              <w:keepNext w:val="0"/>
              <w:keepLines w:val="0"/>
              <w:suppressLineNumbers w:val="0"/>
              <w:snapToGrid w:val="0"/>
              <w:spacing w:before="0" w:beforeAutospacing="0" w:after="0" w:afterAutospacing="0" w:line="500" w:lineRule="exact"/>
              <w:ind w:left="0" w:right="0"/>
              <w:jc w:val="left"/>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达到国家及地方现行工程施工质量验收规范合格标准</w:t>
            </w:r>
          </w:p>
        </w:tc>
      </w:tr>
      <w:tr w14:paraId="2F1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0" w:type="dxa"/>
            <w:vMerge w:val="continue"/>
            <w:vAlign w:val="center"/>
          </w:tcPr>
          <w:p w14:paraId="7A73F4B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4A547AF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5E228ED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安全控制目标</w:t>
            </w:r>
          </w:p>
        </w:tc>
        <w:tc>
          <w:tcPr>
            <w:tcW w:w="5103" w:type="dxa"/>
            <w:vAlign w:val="center"/>
          </w:tcPr>
          <w:p w14:paraId="1009BEF5">
            <w:pPr>
              <w:keepNext w:val="0"/>
              <w:keepLines w:val="0"/>
              <w:widowControl/>
              <w:suppressLineNumbers w:val="0"/>
              <w:wordWrap w:val="0"/>
              <w:topLinePunct/>
              <w:spacing w:before="0" w:beforeAutospacing="0" w:after="0" w:afterAutospacing="0" w:line="360" w:lineRule="auto"/>
              <w:ind w:left="0" w:right="0"/>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无安全事故</w:t>
            </w:r>
          </w:p>
        </w:tc>
      </w:tr>
      <w:tr w14:paraId="190C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0" w:type="dxa"/>
            <w:vMerge w:val="continue"/>
            <w:vAlign w:val="center"/>
          </w:tcPr>
          <w:p w14:paraId="3CD9596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bookmarkStart w:id="172" w:name="_Toc10297"/>
          </w:p>
        </w:tc>
        <w:tc>
          <w:tcPr>
            <w:tcW w:w="876" w:type="dxa"/>
            <w:vMerge w:val="continue"/>
            <w:vAlign w:val="center"/>
          </w:tcPr>
          <w:p w14:paraId="6B88A31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410" w:type="dxa"/>
            <w:vAlign w:val="center"/>
          </w:tcPr>
          <w:p w14:paraId="55268CEF">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103" w:type="dxa"/>
            <w:vAlign w:val="center"/>
          </w:tcPr>
          <w:p w14:paraId="6EFF2818">
            <w:pPr>
              <w:keepNext w:val="0"/>
              <w:keepLines w:val="0"/>
              <w:widowControl/>
              <w:suppressLineNumbers w:val="0"/>
              <w:wordWrap w:val="0"/>
              <w:topLinePunct/>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响应文件递交截止之日起 60日历天</w:t>
            </w:r>
          </w:p>
        </w:tc>
      </w:tr>
      <w:bookmarkEnd w:id="171"/>
    </w:tbl>
    <w:p w14:paraId="27C0C322">
      <w:pPr>
        <w:keepNext/>
        <w:keepLines/>
        <w:pageBreakBefore w:val="0"/>
        <w:widowControl w:val="0"/>
        <w:kinsoku/>
        <w:wordWrap w:val="0"/>
        <w:overflowPunct/>
        <w:topLinePunct/>
        <w:autoSpaceDE/>
        <w:autoSpaceDN/>
        <w:bidi w:val="0"/>
        <w:adjustRightInd/>
        <w:snapToGrid/>
        <w:spacing w:line="240" w:lineRule="auto"/>
        <w:jc w:val="both"/>
        <w:textAlignment w:val="auto"/>
        <w:outlineLvl w:val="2"/>
        <w:rPr>
          <w:rFonts w:hint="eastAsia" w:ascii="宋体" w:hAnsi="宋体" w:eastAsia="宋体" w:cs="宋体"/>
          <w:b/>
          <w:bCs w:val="0"/>
          <w:kern w:val="0"/>
          <w:sz w:val="36"/>
          <w:szCs w:val="36"/>
          <w:highlight w:val="none"/>
          <w:lang w:eastAsia="zh-CN"/>
        </w:rPr>
      </w:pPr>
    </w:p>
    <w:p w14:paraId="73654AB3">
      <w:pPr>
        <w:pStyle w:val="2"/>
        <w:rPr>
          <w:rFonts w:hint="eastAsia" w:ascii="宋体" w:hAnsi="宋体" w:eastAsia="宋体" w:cs="宋体"/>
          <w:b/>
          <w:bCs w:val="0"/>
          <w:kern w:val="0"/>
          <w:sz w:val="36"/>
          <w:szCs w:val="36"/>
          <w:highlight w:val="none"/>
          <w:lang w:eastAsia="zh-CN"/>
        </w:rPr>
      </w:pPr>
    </w:p>
    <w:p w14:paraId="704A5E88">
      <w:pPr>
        <w:rPr>
          <w:rFonts w:hint="eastAsia" w:ascii="宋体" w:hAnsi="宋体" w:eastAsia="宋体" w:cs="宋体"/>
          <w:b/>
          <w:bCs w:val="0"/>
          <w:kern w:val="0"/>
          <w:sz w:val="36"/>
          <w:szCs w:val="36"/>
          <w:highlight w:val="none"/>
          <w:lang w:eastAsia="zh-CN"/>
        </w:rPr>
      </w:pPr>
    </w:p>
    <w:p w14:paraId="28479DEF">
      <w:pPr>
        <w:pStyle w:val="2"/>
        <w:rPr>
          <w:rFonts w:hint="eastAsia" w:ascii="宋体" w:hAnsi="宋体" w:eastAsia="宋体" w:cs="宋体"/>
          <w:b/>
          <w:bCs w:val="0"/>
          <w:kern w:val="0"/>
          <w:sz w:val="36"/>
          <w:szCs w:val="36"/>
          <w:highlight w:val="none"/>
          <w:lang w:eastAsia="zh-CN"/>
        </w:rPr>
      </w:pPr>
    </w:p>
    <w:p w14:paraId="4F33663B">
      <w:pPr>
        <w:rPr>
          <w:rFonts w:hint="eastAsia" w:ascii="宋体" w:hAnsi="宋体" w:eastAsia="宋体" w:cs="宋体"/>
          <w:b/>
          <w:bCs w:val="0"/>
          <w:kern w:val="0"/>
          <w:sz w:val="36"/>
          <w:szCs w:val="36"/>
          <w:highlight w:val="none"/>
          <w:lang w:eastAsia="zh-CN"/>
        </w:rPr>
      </w:pPr>
    </w:p>
    <w:p w14:paraId="0F5BB96B">
      <w:pPr>
        <w:pStyle w:val="2"/>
        <w:rPr>
          <w:rFonts w:hint="eastAsia" w:ascii="宋体" w:hAnsi="宋体" w:eastAsia="宋体" w:cs="宋体"/>
          <w:b/>
          <w:bCs w:val="0"/>
          <w:kern w:val="0"/>
          <w:sz w:val="36"/>
          <w:szCs w:val="36"/>
          <w:highlight w:val="none"/>
          <w:lang w:eastAsia="zh-CN"/>
        </w:rPr>
      </w:pPr>
    </w:p>
    <w:p w14:paraId="5FA3124F">
      <w:pPr>
        <w:rPr>
          <w:rFonts w:hint="eastAsia" w:ascii="宋体" w:hAnsi="宋体" w:eastAsia="宋体" w:cs="宋体"/>
          <w:b/>
          <w:bCs w:val="0"/>
          <w:kern w:val="0"/>
          <w:sz w:val="36"/>
          <w:szCs w:val="36"/>
          <w:highlight w:val="none"/>
          <w:lang w:eastAsia="zh-CN"/>
        </w:rPr>
      </w:pPr>
    </w:p>
    <w:p w14:paraId="768B4F3D">
      <w:pPr>
        <w:pStyle w:val="2"/>
        <w:rPr>
          <w:rFonts w:hint="eastAsia" w:ascii="宋体" w:hAnsi="宋体" w:eastAsia="宋体" w:cs="宋体"/>
          <w:b/>
          <w:bCs w:val="0"/>
          <w:kern w:val="0"/>
          <w:sz w:val="36"/>
          <w:szCs w:val="36"/>
          <w:highlight w:val="none"/>
          <w:lang w:eastAsia="zh-CN"/>
        </w:rPr>
      </w:pPr>
    </w:p>
    <w:p w14:paraId="007F289C">
      <w:pPr>
        <w:rPr>
          <w:rFonts w:hint="eastAsia" w:ascii="宋体" w:hAnsi="宋体" w:eastAsia="宋体" w:cs="宋体"/>
          <w:b/>
          <w:bCs w:val="0"/>
          <w:kern w:val="0"/>
          <w:sz w:val="36"/>
          <w:szCs w:val="36"/>
          <w:highlight w:val="none"/>
          <w:lang w:eastAsia="zh-CN"/>
        </w:rPr>
      </w:pPr>
    </w:p>
    <w:p w14:paraId="5555FA72">
      <w:pPr>
        <w:keepNext/>
        <w:keepLines/>
        <w:pageBreakBefore w:val="0"/>
        <w:widowControl w:val="0"/>
        <w:kinsoku/>
        <w:wordWrap w:val="0"/>
        <w:overflowPunct/>
        <w:topLinePunct/>
        <w:autoSpaceDE/>
        <w:autoSpaceDN/>
        <w:bidi w:val="0"/>
        <w:adjustRightInd/>
        <w:snapToGrid/>
        <w:spacing w:line="240" w:lineRule="auto"/>
        <w:ind w:firstLine="3975" w:firstLineChars="1100"/>
        <w:jc w:val="both"/>
        <w:textAlignment w:val="auto"/>
        <w:outlineLvl w:val="2"/>
        <w:rPr>
          <w:rFonts w:hint="eastAsia" w:ascii="宋体" w:hAnsi="宋体" w:eastAsia="宋体" w:cs="Times New Roman"/>
          <w:b/>
          <w:bCs w:val="0"/>
          <w:sz w:val="36"/>
          <w:szCs w:val="36"/>
          <w:highlight w:val="none"/>
        </w:rPr>
      </w:pPr>
      <w:r>
        <w:rPr>
          <w:rFonts w:hint="eastAsia" w:ascii="宋体" w:hAnsi="宋体" w:eastAsia="宋体" w:cs="宋体"/>
          <w:b/>
          <w:bCs w:val="0"/>
          <w:kern w:val="0"/>
          <w:sz w:val="36"/>
          <w:szCs w:val="36"/>
          <w:highlight w:val="none"/>
          <w:lang w:eastAsia="zh-CN"/>
        </w:rPr>
        <w:t>详细评分标准</w:t>
      </w:r>
    </w:p>
    <w:tbl>
      <w:tblPr>
        <w:tblStyle w:val="1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1"/>
        <w:gridCol w:w="1283"/>
        <w:gridCol w:w="6744"/>
      </w:tblGrid>
      <w:tr w14:paraId="5BB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9568" w:type="dxa"/>
            <w:gridSpan w:val="3"/>
            <w:vAlign w:val="center"/>
          </w:tcPr>
          <w:p w14:paraId="215B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3C1A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0" w:hRule="atLeast"/>
          <w:jc w:val="center"/>
        </w:trPr>
        <w:tc>
          <w:tcPr>
            <w:tcW w:w="1541" w:type="dxa"/>
            <w:vAlign w:val="center"/>
          </w:tcPr>
          <w:p w14:paraId="558E95BC">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投标报价评分标准(30分)</w:t>
            </w:r>
          </w:p>
        </w:tc>
        <w:tc>
          <w:tcPr>
            <w:tcW w:w="1283" w:type="dxa"/>
            <w:vAlign w:val="center"/>
          </w:tcPr>
          <w:p w14:paraId="5C9C0665">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14:paraId="235F1A6F">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6744" w:type="dxa"/>
            <w:vAlign w:val="center"/>
          </w:tcPr>
          <w:p w14:paraId="0AAB5AD6">
            <w:pPr>
              <w:keepNext w:val="0"/>
              <w:keepLines w:val="0"/>
              <w:suppressLineNumbers w:val="0"/>
              <w:spacing w:before="0" w:beforeAutospacing="0" w:after="0" w:afterAutospacing="0" w:line="420" w:lineRule="exact"/>
              <w:ind w:left="0" w:right="0"/>
              <w:jc w:val="left"/>
              <w:rPr>
                <w:rFonts w:hint="default" w:ascii="宋体" w:hAnsi="宋体" w:eastAsia="宋体" w:cs="宋体"/>
                <w:sz w:val="24"/>
                <w:szCs w:val="24"/>
                <w:highlight w:val="none"/>
              </w:rPr>
            </w:pPr>
            <w:r>
              <w:rPr>
                <w:rFonts w:hint="eastAsia" w:ascii="宋体" w:hAnsi="宋体" w:eastAsia="宋体" w:cs="宋体"/>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14:paraId="6911A810">
            <w:pPr>
              <w:keepNext w:val="0"/>
              <w:keepLines w:val="0"/>
              <w:suppressLineNumbers w:val="0"/>
              <w:spacing w:before="0" w:beforeAutospacing="0" w:after="0" w:afterAutospacing="0" w:line="420" w:lineRule="exact"/>
              <w:ind w:left="0" w:right="0"/>
              <w:jc w:val="left"/>
              <w:rPr>
                <w:rFonts w:hint="eastAsia" w:ascii="宋体" w:hAnsi="宋体" w:eastAsia="宋体" w:cs="宋体"/>
                <w:sz w:val="24"/>
                <w:szCs w:val="24"/>
                <w:highlight w:val="none"/>
              </w:rPr>
            </w:pPr>
            <w:r>
              <w:rPr>
                <w:rFonts w:hint="eastAsia" w:ascii="宋体" w:hAnsi="宋体" w:eastAsia="宋体" w:cs="微软雅黑"/>
                <w:b/>
                <w:kern w:val="0"/>
                <w:sz w:val="24"/>
                <w:szCs w:val="24"/>
                <w:highlight w:val="none"/>
              </w:rPr>
              <w:t>根据《政府采购促进中小企业发展管理办法》（财库﹝</w:t>
            </w:r>
            <w:r>
              <w:rPr>
                <w:rFonts w:hint="eastAsia" w:ascii="宋体" w:hAnsi="宋体" w:eastAsia="宋体" w:cs="宋体"/>
                <w:b/>
                <w:kern w:val="0"/>
                <w:sz w:val="24"/>
                <w:szCs w:val="24"/>
                <w:highlight w:val="none"/>
              </w:rPr>
              <w:t>2020</w:t>
            </w:r>
            <w:r>
              <w:rPr>
                <w:rFonts w:hint="eastAsia" w:ascii="宋体" w:hAnsi="宋体" w:eastAsia="宋体" w:cs="微软雅黑"/>
                <w:b/>
                <w:kern w:val="0"/>
                <w:sz w:val="24"/>
                <w:szCs w:val="24"/>
                <w:highlight w:val="none"/>
              </w:rPr>
              <w:t>﹞</w:t>
            </w:r>
            <w:r>
              <w:rPr>
                <w:rFonts w:hint="eastAsia" w:ascii="宋体" w:hAnsi="宋体" w:eastAsia="宋体" w:cs="宋体"/>
                <w:b/>
                <w:kern w:val="0"/>
                <w:sz w:val="24"/>
                <w:szCs w:val="24"/>
                <w:highlight w:val="none"/>
              </w:rPr>
              <w:t xml:space="preserve">46 </w:t>
            </w:r>
            <w:r>
              <w:rPr>
                <w:rFonts w:hint="eastAsia" w:ascii="宋体" w:hAnsi="宋体" w:eastAsia="宋体" w:cs="微软雅黑"/>
                <w:b/>
                <w:kern w:val="0"/>
                <w:sz w:val="24"/>
                <w:szCs w:val="24"/>
                <w:highlight w:val="none"/>
              </w:rPr>
              <w:t>号）的规定，对小型和微型企业产品的价格给予10%～20%的扣除，用扣除后的价格参与评审。本项目的扣除比例为：小型企业扣除20%，微型企业扣除20%。</w:t>
            </w:r>
          </w:p>
        </w:tc>
      </w:tr>
      <w:tr w14:paraId="328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15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BD2B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1"/>
                <w:sz w:val="24"/>
                <w:szCs w:val="24"/>
                <w:lang w:val="en-US"/>
              </w:rPr>
            </w:pPr>
            <w:r>
              <w:rPr>
                <w:rFonts w:hint="eastAsia" w:ascii="宋体" w:hAnsi="宋体" w:eastAsia="宋体" w:cs="宋体"/>
                <w:kern w:val="1"/>
                <w:sz w:val="24"/>
                <w:szCs w:val="24"/>
                <w:lang w:val="en-US" w:eastAsia="zh-CN" w:bidi="ar"/>
              </w:rPr>
              <w:t>技术部分（50分）</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86F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组织机构</w:t>
            </w:r>
          </w:p>
          <w:p w14:paraId="5163E3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（8分）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886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1、有现场监理组织结构图的得1.5分，组织机构设置中考虑到公司对现场监理部监督管理的得1.5分。此项累计最多得3分，没有则不得分。 </w:t>
            </w:r>
          </w:p>
          <w:p w14:paraId="07B72F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2、有明确的各级监理人员（包括总监理工程师、总监代表、专业监理工程师、监理员、见证员）岗位职责，得5分，缺一个岗位职责扣1分，此项扣完为止。 </w:t>
            </w:r>
          </w:p>
        </w:tc>
      </w:tr>
      <w:tr w14:paraId="727F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559B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DA6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监理工作程序、方法和制度</w:t>
            </w:r>
          </w:p>
          <w:p w14:paraId="3DFDE2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（5分）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80E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1、监理工作程序规范有序、系统全面，工作方法合理合规，工作制度健全完善得5分；</w:t>
            </w:r>
          </w:p>
          <w:p w14:paraId="24C26C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2、监理工作程序基本规范、较为全面，工作方法基本合理合规，工作制度基本健全、较为完善得3分；</w:t>
            </w:r>
          </w:p>
          <w:p w14:paraId="39AEE8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3、监理工作程序不规范、不全面，工作方法不够合理合规，工作制度不健全、不完善得1分；</w:t>
            </w:r>
          </w:p>
          <w:p w14:paraId="7E4FF7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7432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614A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F4E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质量控制</w:t>
            </w:r>
          </w:p>
          <w:p w14:paraId="0CE8F6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措施</w:t>
            </w:r>
          </w:p>
          <w:p w14:paraId="468CA7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（6分）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FD5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提供事前、事中、事后质量控制措施：</w:t>
            </w:r>
          </w:p>
          <w:p w14:paraId="2353C9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1、质量控制措施合理完善、严谨有效、可行性高得6分；</w:t>
            </w:r>
          </w:p>
          <w:p w14:paraId="6FB175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2、质量控制措施基本合理、较为完善，具有基本的严谨性、有效性和可行性得4分；</w:t>
            </w:r>
          </w:p>
          <w:p w14:paraId="509DBA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3、质量控制措施不够合理、不完善，不严谨且低效，可行性较差得2分；</w:t>
            </w:r>
          </w:p>
          <w:p w14:paraId="0E27CE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3FCC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37AE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980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进度控制</w:t>
            </w:r>
          </w:p>
          <w:p w14:paraId="78E96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措施</w:t>
            </w:r>
          </w:p>
          <w:p w14:paraId="2864E3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（5分）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59F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1、进度控制措施合理有序、灵活高效得5分；</w:t>
            </w:r>
          </w:p>
          <w:p w14:paraId="5EE951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2、进度控制措施基本合理、较为有序、基本灵活、效率一般得3分；</w:t>
            </w:r>
          </w:p>
          <w:p w14:paraId="4C725C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3、进度控制措施不合理、混乱无序、僵化低效得1分；</w:t>
            </w:r>
          </w:p>
          <w:p w14:paraId="286992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5A85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CF19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B10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投资控制</w:t>
            </w:r>
          </w:p>
          <w:p w14:paraId="10BFBB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措施</w:t>
            </w:r>
          </w:p>
          <w:p w14:paraId="6B3317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D84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zh-CN"/>
              </w:rPr>
            </w:pPr>
            <w:r>
              <w:rPr>
                <w:rFonts w:hint="eastAsia" w:ascii="宋体" w:hAnsi="宋体" w:eastAsia="宋体" w:cs="宋体"/>
                <w:kern w:val="2"/>
                <w:sz w:val="24"/>
                <w:szCs w:val="24"/>
                <w:lang w:val="en-US" w:eastAsia="zh-CN" w:bidi="ar"/>
              </w:rPr>
              <w:t>提供整个项目实施</w:t>
            </w:r>
            <w:r>
              <w:rPr>
                <w:rFonts w:hint="eastAsia" w:ascii="宋体" w:hAnsi="宋体" w:eastAsia="宋体" w:cs="宋体"/>
                <w:kern w:val="2"/>
                <w:sz w:val="24"/>
                <w:szCs w:val="24"/>
                <w:lang w:val="zh-CN" w:eastAsia="zh-CN" w:bidi="ar"/>
              </w:rPr>
              <w:t>阶段投资控制措施：</w:t>
            </w:r>
          </w:p>
          <w:p w14:paraId="33DCD7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1、投资目标把控精准，投资控制全流程系统全面，控制措施规范，得5分；</w:t>
            </w:r>
          </w:p>
          <w:p w14:paraId="3A0929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2、投资目标把控基本准确，投资控制全流程较为系统、较全面，控制措施基本规范，得3分；</w:t>
            </w:r>
          </w:p>
          <w:p w14:paraId="0D6BC3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3、投资目标把控模糊粗略，投资控制全流程片面零散，控制措施不够规范，得1分；</w:t>
            </w:r>
          </w:p>
          <w:p w14:paraId="34F0D9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26C3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6BFD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5A7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合同、信息管理措施</w:t>
            </w:r>
          </w:p>
          <w:p w14:paraId="695598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DDA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1、合同、信息管理措施合理齐全、针对性强得3分；</w:t>
            </w:r>
          </w:p>
          <w:p w14:paraId="2D23C0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2、合同、信息管理措施基本合理、相对齐全、具有一定的针对性得2分；</w:t>
            </w:r>
          </w:p>
          <w:p w14:paraId="1D3A43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3、合同、信息管理措施不合理、片面、针对性较差得1分；</w:t>
            </w:r>
          </w:p>
          <w:p w14:paraId="35EF8E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39E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8D3D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E6C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安全文明施工及环境保护监理措施</w:t>
            </w:r>
          </w:p>
          <w:p w14:paraId="0CFCFF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D1C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1、措施详细全面、规范可行得3分；</w:t>
            </w:r>
          </w:p>
          <w:p w14:paraId="58BD2B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2、措施较为全面、基本规范、具有可行性得2分；</w:t>
            </w:r>
          </w:p>
          <w:p w14:paraId="30E422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3、措施简略片面、不够规范、可行性较差得1分；</w:t>
            </w:r>
          </w:p>
          <w:p w14:paraId="4F5138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3623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BDE0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316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组织协调的方法和措施</w:t>
            </w:r>
          </w:p>
          <w:p w14:paraId="0CC774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2D9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1、方法和措施合理全面、灵活专业得3分；</w:t>
            </w:r>
          </w:p>
          <w:p w14:paraId="477590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2、方法和措施基本合理全面、较为灵活、基本专业得2分；</w:t>
            </w:r>
          </w:p>
          <w:p w14:paraId="31C4EC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3、方法和措施不够合理、片面、僵化业余得1分；</w:t>
            </w:r>
          </w:p>
          <w:p w14:paraId="3F6DB0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31F6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83B4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94B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保证旁站监理措施</w:t>
            </w:r>
          </w:p>
          <w:p w14:paraId="325ECF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3D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1、旁站监理部位（过程）设置合理，措施详细全面、规范得3分；</w:t>
            </w:r>
          </w:p>
          <w:p w14:paraId="0B74DB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2、旁站监理部位（过程）设置基本合理，措施较为全面、基本规范得2分；</w:t>
            </w:r>
          </w:p>
          <w:p w14:paraId="505DF3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3、旁站监理部位（过程）设置不够合理，措施简略片面、不够规范得1分；</w:t>
            </w:r>
          </w:p>
          <w:p w14:paraId="0C0A5B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1C33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E16F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DA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监理工作重点与难点分析及对策</w:t>
            </w:r>
          </w:p>
          <w:p w14:paraId="3652B6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16F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1、重、难点分析合理全面、精准透彻，对策切实有效、预防性强，得6分；</w:t>
            </w:r>
          </w:p>
          <w:p w14:paraId="1E0151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2、重、难点分析基本合理、较为全面、准确，对策基本切合实际，有一定的效果和预防性，得4分；</w:t>
            </w:r>
          </w:p>
          <w:p w14:paraId="4F8C5F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3、重、难点分析不够合理、片面、含糊不清，对策不切实际、收效甚微、预防性较差，得2分；</w:t>
            </w:r>
          </w:p>
          <w:p w14:paraId="27EA2B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58E6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1"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266A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F2C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缺陷责任期监理方案与措施</w:t>
            </w:r>
          </w:p>
          <w:p w14:paraId="73A1A6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E93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1、方案具体完善，措施保障性强，得3分；</w:t>
            </w:r>
          </w:p>
          <w:p w14:paraId="21B6E0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2、方案较为具体、基本完善，措施有基本的保障性，得2分；</w:t>
            </w:r>
          </w:p>
          <w:p w14:paraId="66E8B26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3、方案简略、不完善，措施保障性较差，得1分；</w:t>
            </w:r>
          </w:p>
          <w:p w14:paraId="66C3E3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4B21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jc w:val="center"/>
        </w:trPr>
        <w:tc>
          <w:tcPr>
            <w:tcW w:w="15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103E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1"/>
                <w:sz w:val="24"/>
                <w:szCs w:val="24"/>
                <w:lang w:val="en-US"/>
              </w:rPr>
            </w:pPr>
            <w:r>
              <w:rPr>
                <w:rFonts w:hint="eastAsia" w:ascii="宋体" w:hAnsi="宋体" w:eastAsia="宋体" w:cs="宋体"/>
                <w:kern w:val="1"/>
                <w:sz w:val="24"/>
                <w:szCs w:val="24"/>
                <w:lang w:val="en-US" w:eastAsia="zh-CN" w:bidi="ar"/>
              </w:rPr>
              <w:t>商务部分（20分）</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C9D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企业业绩（6分）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BB9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自2022年1月1日以来完成的类似项目监理业绩的，每提供一项得3分，最多得6分。（以中标通知书或合同协议书为准，磋商响应文件附扫描件）</w:t>
            </w:r>
          </w:p>
        </w:tc>
      </w:tr>
      <w:tr w14:paraId="5869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57"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5DE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C2B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项目团队</w:t>
            </w:r>
          </w:p>
          <w:p w14:paraId="5D47E4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实力</w:t>
            </w:r>
          </w:p>
          <w:p w14:paraId="6611F4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5A1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除总监理工程师外，项目组成员具有注册监理工程师证书的，每提供一人得1.5分，最多得3分。（注：需提供身份证、注册监理工程师证书、养老保险等证明材料附于投标文件中）</w:t>
            </w:r>
          </w:p>
          <w:p w14:paraId="30DBD0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监理部成员（不包括总监理工程师）具有中级及以上职称的，每1人得1分，此项最多得3分。（需提供职称证书并提供社保证明，否则不得分）</w:t>
            </w:r>
          </w:p>
        </w:tc>
      </w:tr>
      <w:tr w14:paraId="5F54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3"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F0E3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9B2C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服务承诺</w:t>
            </w:r>
          </w:p>
          <w:p w14:paraId="2FE3E2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（8分）</w:t>
            </w: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CFB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一、提供①现场监理人员到位及不准兼职的承诺及措施；②监理单位未经建设单位同意，不得更换项目总监的承诺及措施：</w:t>
            </w:r>
          </w:p>
          <w:p w14:paraId="29E29E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1、以上要点承诺内容齐全且包含完善详细的保障措施，完全符合要求得5分；</w:t>
            </w:r>
          </w:p>
          <w:p w14:paraId="218179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2、以上要点承诺内容基本齐全，包含较为完善、基本详细的保障措施，大体符合要求得3分；</w:t>
            </w:r>
          </w:p>
          <w:p w14:paraId="3F5E48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3、以上要点承诺内容不够齐全，包含的保障措施不完善、简略，不够符合要求得1分；</w:t>
            </w:r>
          </w:p>
          <w:p w14:paraId="1C896D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3F41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3"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4758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EA99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E32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二、施工期、保修期及缺陷责任期的服务承诺：</w:t>
            </w:r>
          </w:p>
          <w:p w14:paraId="318AF3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1、承诺内容完善齐全、保障性强得3分；</w:t>
            </w:r>
          </w:p>
          <w:p w14:paraId="320221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2、承诺内容基本完善、较为齐全、具有基本的保障性得2分；</w:t>
            </w:r>
          </w:p>
          <w:p w14:paraId="2DFD04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3、承诺内容不够完善有欠缺、保障性较差得1分；</w:t>
            </w:r>
          </w:p>
          <w:p w14:paraId="259A15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4、不提供则不得分。</w:t>
            </w:r>
          </w:p>
        </w:tc>
      </w:tr>
      <w:tr w14:paraId="0F4B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6" w:hRule="atLeast"/>
          <w:jc w:val="center"/>
        </w:trPr>
        <w:tc>
          <w:tcPr>
            <w:tcW w:w="15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72D6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325552">
            <w:pPr>
              <w:keepNext w:val="0"/>
              <w:keepLines w:val="0"/>
              <w:widowControl w:val="0"/>
              <w:suppressLineNumbers w:val="0"/>
              <w:spacing w:before="0" w:beforeAutospacing="0" w:after="0" w:afterAutospacing="0" w:line="360" w:lineRule="auto"/>
              <w:ind w:left="0" w:right="0"/>
              <w:jc w:val="both"/>
              <w:outlineLvl w:val="3"/>
              <w:rPr>
                <w:rFonts w:hint="eastAsia" w:ascii="宋体" w:hAnsi="宋体" w:eastAsia="宋体" w:cs="宋体"/>
                <w:kern w:val="1"/>
                <w:sz w:val="24"/>
                <w:szCs w:val="24"/>
                <w:lang w:val="en-US"/>
              </w:rPr>
            </w:pPr>
            <w:r>
              <w:rPr>
                <w:rFonts w:hint="eastAsia" w:ascii="宋体" w:hAnsi="宋体" w:eastAsia="宋体" w:cs="宋体"/>
                <w:kern w:val="0"/>
                <w:sz w:val="24"/>
                <w:szCs w:val="24"/>
                <w:lang w:val="en-US" w:eastAsia="zh-CN" w:bidi="ar"/>
              </w:rPr>
              <w:t>上述各项如有缺项，则该项为0分。</w:t>
            </w:r>
          </w:p>
        </w:tc>
      </w:tr>
      <w:tr w14:paraId="0D73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3" w:hRule="atLeast"/>
          <w:jc w:val="center"/>
        </w:trPr>
        <w:tc>
          <w:tcPr>
            <w:tcW w:w="95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E952E4">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Calibri" w:hAnsi="Calibri" w:eastAsia="宋体" w:cs="宋体"/>
                <w:kern w:val="2"/>
                <w:sz w:val="21"/>
                <w:szCs w:val="21"/>
                <w:lang w:val="en-US" w:eastAsia="zh-CN" w:bidi="ar"/>
              </w:rPr>
              <w:t>响应人综合得分﹦报价得分</w:t>
            </w:r>
            <w:r>
              <w:rPr>
                <w:rFonts w:hint="default" w:ascii="Calibri" w:hAnsi="Calibri" w:eastAsia="宋体" w:cs="Times New Roman"/>
                <w:kern w:val="2"/>
                <w:sz w:val="21"/>
                <w:szCs w:val="21"/>
                <w:lang w:val="en-US" w:eastAsia="zh-CN" w:bidi="ar"/>
              </w:rPr>
              <w:t>+</w:t>
            </w:r>
            <w:r>
              <w:rPr>
                <w:rFonts w:hint="eastAsia" w:ascii="Calibri" w:hAnsi="Calibri" w:eastAsia="宋体" w:cs="宋体"/>
                <w:kern w:val="2"/>
                <w:sz w:val="21"/>
                <w:szCs w:val="21"/>
                <w:lang w:val="en-US" w:eastAsia="zh-CN" w:bidi="ar"/>
              </w:rPr>
              <w:t>技术标＋商务标</w:t>
            </w:r>
          </w:p>
          <w:p w14:paraId="1639BCED">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default" w:ascii="Calibri" w:hAnsi="Calibri" w:eastAsia="宋体" w:cs="Times New Roman"/>
                <w:kern w:val="2"/>
                <w:sz w:val="21"/>
                <w:szCs w:val="21"/>
                <w:lang w:val="en-US" w:eastAsia="zh-CN" w:bidi="ar"/>
              </w:rPr>
              <w:t>1</w:t>
            </w:r>
            <w:r>
              <w:rPr>
                <w:rFonts w:hint="eastAsia" w:ascii="Calibri" w:hAnsi="Calibri" w:eastAsia="宋体" w:cs="宋体"/>
                <w:kern w:val="2"/>
                <w:sz w:val="21"/>
                <w:szCs w:val="21"/>
                <w:lang w:val="en-US" w:eastAsia="zh-CN" w:bidi="ar"/>
              </w:rPr>
              <w:t>．磋商小组对所有评审项得分的算术平均值，作为该响应人的最终得分。</w:t>
            </w:r>
          </w:p>
          <w:p w14:paraId="627D5120">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default" w:ascii="Calibri" w:hAnsi="Calibri" w:eastAsia="宋体" w:cs="Times New Roman"/>
                <w:kern w:val="2"/>
                <w:sz w:val="21"/>
                <w:szCs w:val="21"/>
                <w:lang w:val="en-US" w:eastAsia="zh-CN" w:bidi="ar"/>
              </w:rPr>
              <w:t>2</w:t>
            </w:r>
            <w:r>
              <w:rPr>
                <w:rFonts w:hint="eastAsia" w:ascii="Calibri" w:hAnsi="Calibri" w:eastAsia="宋体" w:cs="宋体"/>
                <w:kern w:val="2"/>
                <w:sz w:val="21"/>
                <w:szCs w:val="21"/>
                <w:lang w:val="en-US" w:eastAsia="zh-CN" w:bidi="ar"/>
              </w:rPr>
              <w:t>．计分过程中按四舍五入的法则，取至小数点后</w:t>
            </w:r>
            <w:r>
              <w:rPr>
                <w:rFonts w:hint="default" w:ascii="Calibri" w:hAnsi="Calibri" w:eastAsia="宋体" w:cs="Times New Roman"/>
                <w:kern w:val="2"/>
                <w:sz w:val="21"/>
                <w:szCs w:val="21"/>
                <w:lang w:val="en-US" w:eastAsia="zh-CN" w:bidi="ar"/>
              </w:rPr>
              <w:t>3</w:t>
            </w:r>
            <w:r>
              <w:rPr>
                <w:rFonts w:hint="eastAsia" w:ascii="Calibri" w:hAnsi="Calibri" w:eastAsia="宋体" w:cs="宋体"/>
                <w:kern w:val="2"/>
                <w:sz w:val="21"/>
                <w:szCs w:val="21"/>
                <w:lang w:val="en-US" w:eastAsia="zh-CN" w:bidi="ar"/>
              </w:rPr>
              <w:t>位，最终结果取至小数点后</w:t>
            </w:r>
            <w:r>
              <w:rPr>
                <w:rFonts w:hint="default" w:ascii="Calibri" w:hAnsi="Calibri" w:eastAsia="宋体" w:cs="Times New Roman"/>
                <w:kern w:val="2"/>
                <w:sz w:val="21"/>
                <w:szCs w:val="21"/>
                <w:lang w:val="en-US" w:eastAsia="zh-CN" w:bidi="ar"/>
              </w:rPr>
              <w:t>2</w:t>
            </w:r>
            <w:r>
              <w:rPr>
                <w:rFonts w:hint="eastAsia" w:ascii="Calibri" w:hAnsi="Calibri" w:eastAsia="宋体" w:cs="宋体"/>
                <w:kern w:val="2"/>
                <w:sz w:val="21"/>
                <w:szCs w:val="21"/>
                <w:lang w:val="en-US" w:eastAsia="zh-CN" w:bidi="ar"/>
              </w:rPr>
              <w:t>位，磋商小组将按响应人得分高低排序向招标人推荐</w:t>
            </w:r>
            <w:r>
              <w:rPr>
                <w:rFonts w:hint="default" w:ascii="Calibri" w:hAnsi="Calibri" w:eastAsia="宋体" w:cs="Times New Roman"/>
                <w:kern w:val="2"/>
                <w:sz w:val="21"/>
                <w:szCs w:val="21"/>
                <w:lang w:val="en-US" w:eastAsia="zh-CN" w:bidi="ar"/>
              </w:rPr>
              <w:t>3</w:t>
            </w:r>
            <w:r>
              <w:rPr>
                <w:rFonts w:hint="eastAsia" w:ascii="Calibri" w:hAnsi="Calibri" w:eastAsia="宋体" w:cs="宋体"/>
                <w:kern w:val="2"/>
                <w:sz w:val="21"/>
                <w:szCs w:val="21"/>
                <w:lang w:val="en-US" w:eastAsia="zh-CN" w:bidi="ar"/>
              </w:rPr>
              <w:t>名成交候选人。</w:t>
            </w:r>
          </w:p>
          <w:p w14:paraId="3A9BC961">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default" w:ascii="Calibri" w:hAnsi="Calibri" w:eastAsia="宋体" w:cs="Times New Roman"/>
                <w:kern w:val="2"/>
                <w:sz w:val="21"/>
                <w:szCs w:val="21"/>
                <w:lang w:val="en-US" w:eastAsia="zh-CN" w:bidi="ar"/>
              </w:rPr>
              <w:t>3</w:t>
            </w:r>
            <w:r>
              <w:rPr>
                <w:rFonts w:hint="eastAsia" w:ascii="Calibri" w:hAnsi="Calibri" w:eastAsia="宋体" w:cs="宋体"/>
                <w:kern w:val="2"/>
                <w:sz w:val="21"/>
                <w:szCs w:val="21"/>
                <w:lang w:val="en-US" w:eastAsia="zh-CN" w:bidi="ar"/>
              </w:rPr>
              <w:t>、以上评分项若缺项的，该项为</w:t>
            </w:r>
            <w:r>
              <w:rPr>
                <w:rFonts w:hint="default" w:ascii="Calibri" w:hAnsi="Calibri" w:eastAsia="宋体" w:cs="Times New Roman"/>
                <w:kern w:val="2"/>
                <w:sz w:val="21"/>
                <w:szCs w:val="21"/>
                <w:lang w:val="en-US" w:eastAsia="zh-CN" w:bidi="ar"/>
              </w:rPr>
              <w:t xml:space="preserve"> 0 </w:t>
            </w:r>
            <w:r>
              <w:rPr>
                <w:rFonts w:hint="eastAsia" w:ascii="Calibri" w:hAnsi="Calibri" w:eastAsia="宋体" w:cs="宋体"/>
                <w:kern w:val="2"/>
                <w:sz w:val="21"/>
                <w:szCs w:val="21"/>
                <w:lang w:val="en-US" w:eastAsia="zh-CN" w:bidi="ar"/>
              </w:rPr>
              <w:t>分。</w:t>
            </w:r>
          </w:p>
        </w:tc>
      </w:tr>
    </w:tbl>
    <w:p w14:paraId="1FA5AA38">
      <w:pPr>
        <w:keepNext/>
        <w:keepLines/>
        <w:wordWrap w:val="0"/>
        <w:topLinePunct/>
        <w:spacing w:line="360" w:lineRule="auto"/>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1.评审办法</w:t>
      </w:r>
    </w:p>
    <w:p w14:paraId="34834B37">
      <w:pPr>
        <w:autoSpaceDE w:val="0"/>
        <w:autoSpaceDN w:val="0"/>
        <w:adjustRightInd w:val="0"/>
        <w:spacing w:line="360" w:lineRule="auto"/>
        <w:ind w:right="-23"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本次竞争性磋商采用综合评分法评审，磋商小组对满</w:t>
      </w:r>
      <w:r>
        <w:rPr>
          <w:rFonts w:hint="eastAsia" w:ascii="宋体" w:hAnsi="宋体" w:eastAsia="宋体" w:cs="宋体"/>
          <w:spacing w:val="-2"/>
          <w:kern w:val="0"/>
          <w:sz w:val="24"/>
          <w:szCs w:val="24"/>
          <w:highlight w:val="none"/>
        </w:rPr>
        <w:t>足</w:t>
      </w:r>
      <w:r>
        <w:rPr>
          <w:rFonts w:hint="eastAsia" w:ascii="宋体" w:hAnsi="宋体" w:eastAsia="宋体" w:cs="宋体"/>
          <w:kern w:val="0"/>
          <w:sz w:val="24"/>
          <w:szCs w:val="24"/>
          <w:highlight w:val="none"/>
        </w:rPr>
        <w:t>竞争性磋商文件实质性要求且最终确定采购需求和在规定时间提交最后报价的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件，且按照评审因素的量化指标评审得分最高的供应商为成交候选人的评审方法。</w:t>
      </w:r>
    </w:p>
    <w:p w14:paraId="1C8F57E9">
      <w:pPr>
        <w:keepNext/>
        <w:keepLines/>
        <w:numPr>
          <w:ilvl w:val="0"/>
          <w:numId w:val="2"/>
        </w:numPr>
        <w:wordWrap w:val="0"/>
        <w:topLinePunct/>
        <w:spacing w:line="360" w:lineRule="auto"/>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评审标准</w:t>
      </w:r>
    </w:p>
    <w:p w14:paraId="33453497">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初步评审标准</w:t>
      </w:r>
    </w:p>
    <w:p w14:paraId="1B975DD9">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24A3D232">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w:t>
      </w:r>
      <w:r>
        <w:rPr>
          <w:rFonts w:hint="eastAsia" w:ascii="宋体" w:hAnsi="宋体" w:eastAsia="宋体" w:cs="宋体"/>
          <w:spacing w:val="-2"/>
          <w:kern w:val="0"/>
          <w:sz w:val="24"/>
          <w:szCs w:val="24"/>
          <w:highlight w:val="none"/>
        </w:rPr>
        <w:t>格性</w:t>
      </w:r>
      <w:r>
        <w:rPr>
          <w:rFonts w:hint="eastAsia" w:ascii="宋体" w:hAnsi="宋体" w:eastAsia="宋体" w:cs="宋体"/>
          <w:kern w:val="0"/>
          <w:sz w:val="24"/>
          <w:szCs w:val="24"/>
          <w:highlight w:val="none"/>
        </w:rPr>
        <w:t>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05203762">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性</w:t>
      </w:r>
      <w:r>
        <w:rPr>
          <w:rFonts w:hint="eastAsia" w:ascii="宋体" w:hAnsi="宋体" w:eastAsia="宋体" w:cs="宋体"/>
          <w:spacing w:val="-2"/>
          <w:kern w:val="0"/>
          <w:sz w:val="24"/>
          <w:szCs w:val="24"/>
          <w:highlight w:val="none"/>
        </w:rPr>
        <w:t>评</w:t>
      </w:r>
      <w:r>
        <w:rPr>
          <w:rFonts w:hint="eastAsia" w:ascii="宋体" w:hAnsi="宋体" w:eastAsia="宋体" w:cs="宋体"/>
          <w:kern w:val="0"/>
          <w:sz w:val="24"/>
          <w:szCs w:val="24"/>
          <w:highlight w:val="none"/>
        </w:rPr>
        <w:t>审</w:t>
      </w:r>
      <w:r>
        <w:rPr>
          <w:rFonts w:hint="eastAsia" w:ascii="宋体" w:hAnsi="宋体" w:eastAsia="宋体" w:cs="宋体"/>
          <w:spacing w:val="-2"/>
          <w:kern w:val="0"/>
          <w:sz w:val="24"/>
          <w:szCs w:val="24"/>
          <w:highlight w:val="none"/>
        </w:rPr>
        <w:t>标</w:t>
      </w:r>
      <w:r>
        <w:rPr>
          <w:rFonts w:hint="eastAsia" w:ascii="宋体" w:hAnsi="宋体" w:eastAsia="宋体" w:cs="宋体"/>
          <w:kern w:val="0"/>
          <w:sz w:val="24"/>
          <w:szCs w:val="24"/>
          <w:highlight w:val="none"/>
        </w:rPr>
        <w:t>准</w:t>
      </w:r>
      <w:r>
        <w:rPr>
          <w:rFonts w:hint="eastAsia" w:ascii="宋体" w:hAnsi="宋体" w:eastAsia="宋体" w:cs="宋体"/>
          <w:spacing w:val="-2"/>
          <w:kern w:val="0"/>
          <w:sz w:val="24"/>
          <w:szCs w:val="24"/>
          <w:highlight w:val="none"/>
        </w:rPr>
        <w:t>：见</w:t>
      </w:r>
      <w:r>
        <w:rPr>
          <w:rFonts w:hint="eastAsia" w:ascii="宋体" w:hAnsi="宋体" w:eastAsia="宋体" w:cs="宋体"/>
          <w:kern w:val="0"/>
          <w:sz w:val="24"/>
          <w:szCs w:val="24"/>
          <w:highlight w:val="none"/>
        </w:rPr>
        <w:t>评审办法</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127976A4">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分值构成与评分标准</w:t>
      </w:r>
    </w:p>
    <w:p w14:paraId="11F780B1">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分值构成</w:t>
      </w:r>
    </w:p>
    <w:p w14:paraId="7B67FF90">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见评审办法前附表；</w:t>
      </w:r>
    </w:p>
    <w:p w14:paraId="7E7BA740">
      <w:pPr>
        <w:keepNext/>
        <w:keepLines/>
        <w:numPr>
          <w:ilvl w:val="0"/>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评审程序</w:t>
      </w:r>
    </w:p>
    <w:p w14:paraId="71E78CB9">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初步评审</w:t>
      </w:r>
    </w:p>
    <w:p w14:paraId="5D7322F6">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70F08A9F">
      <w:pPr>
        <w:numPr>
          <w:ilvl w:val="2"/>
          <w:numId w:val="2"/>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磋商报价有算术错误及其他错误的，磋商小组按以下原则要求供应商对磋商报价进行修正</w:t>
      </w:r>
    </w:p>
    <w:p w14:paraId="66BEB837">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大写金额和小写金额不一致的，以大写金额为准，但大写金额文字存在错误的，应当先对大写金额的文字错误进行澄清、说明或者更正，再行修正。</w:t>
      </w:r>
    </w:p>
    <w:p w14:paraId="62F54698">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总价金额与按单价汇总金额不一致的，以单价金额计算结果为准，但单价或者单价汇总金额存在数字或者文字错误的，应当先对数字或者文字错误进行澄清、说明或者更正，再行修正。</w:t>
      </w:r>
    </w:p>
    <w:p w14:paraId="2EE86EE1">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单价金额小数点或者百分比有明显错位的，以总价为准，修正单价。</w:t>
      </w:r>
    </w:p>
    <w:p w14:paraId="46ABAA42">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kern w:val="0"/>
          <w:sz w:val="24"/>
          <w:szCs w:val="24"/>
          <w:highlight w:val="none"/>
        </w:rPr>
      </w:pPr>
      <w:r>
        <w:rPr>
          <w:rFonts w:hint="eastAsia" w:ascii="宋体" w:hAnsi="宋体" w:eastAsia="宋体" w:cs="宋体"/>
          <w:sz w:val="24"/>
          <w:szCs w:val="24"/>
          <w:highlight w:val="none"/>
        </w:rPr>
        <w:t>同时出现两种以上不一致的，按照上述规定的顺序修正。</w:t>
      </w:r>
      <w:r>
        <w:rPr>
          <w:rFonts w:hint="eastAsia" w:ascii="宋体" w:hAnsi="宋体" w:eastAsia="宋体" w:cs="宋体"/>
          <w:kern w:val="0"/>
          <w:sz w:val="24"/>
          <w:szCs w:val="24"/>
          <w:highlight w:val="none"/>
        </w:rPr>
        <w:t>修正后的报价应当采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用书面形式，并加盖公章或者由法定代表人或其授权的代表签字，供应商不确认的，其投标无效。</w:t>
      </w:r>
    </w:p>
    <w:p w14:paraId="3BC83AE1">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详细磋商</w:t>
      </w:r>
    </w:p>
    <w:p w14:paraId="5BD76C30">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136DDFA4">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在磋商过程中，磋商小组可以根据</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磋商文件和磋商情况实质性变动采购需求中的技术、服务要求以及合同草案条款，但不得变动</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磋商文件中的其他内容。</w:t>
      </w:r>
    </w:p>
    <w:p w14:paraId="4CD1A367">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对</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磋商文件作出的实质性变动是</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磋商文件的有效组成部分，磋商小组应当以书面形式同时通知所有参加磋商的供应商。</w:t>
      </w:r>
    </w:p>
    <w:p w14:paraId="371C509F">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highlight w:val="none"/>
        </w:rPr>
        <w:t>。</w:t>
      </w:r>
    </w:p>
    <w:p w14:paraId="17EC5794">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szCs w:val="24"/>
          <w:highlight w:val="none"/>
        </w:rPr>
        <w:t>。</w:t>
      </w:r>
    </w:p>
    <w:p w14:paraId="1803E90E">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最后报价（二轮报价）是供应商响应文件的有效组成部分【</w:t>
      </w:r>
      <w:r>
        <w:rPr>
          <w:rFonts w:hint="eastAsia" w:ascii="宋体" w:hAnsi="宋体" w:eastAsia="宋体" w:cs="宋体"/>
          <w:b/>
          <w:bCs/>
          <w:sz w:val="24"/>
          <w:szCs w:val="24"/>
          <w:highlight w:val="none"/>
        </w:rPr>
        <w:t>注：1、最后报价不得超出</w:t>
      </w:r>
      <w:r>
        <w:rPr>
          <w:rFonts w:hint="eastAsia" w:ascii="宋体" w:hAnsi="宋体" w:eastAsia="宋体" w:cs="宋体"/>
          <w:b/>
          <w:bCs/>
          <w:sz w:val="24"/>
          <w:szCs w:val="24"/>
          <w:highlight w:val="none"/>
          <w:lang w:eastAsia="zh-CN"/>
        </w:rPr>
        <w:t xml:space="preserve"> 招标控制价</w:t>
      </w:r>
      <w:r>
        <w:rPr>
          <w:rFonts w:hint="eastAsia" w:ascii="宋体" w:hAnsi="宋体" w:eastAsia="宋体" w:cs="宋体"/>
          <w:b/>
          <w:bCs/>
          <w:sz w:val="24"/>
          <w:szCs w:val="24"/>
          <w:highlight w:val="none"/>
        </w:rPr>
        <w:t>；2、最后报价明显低于成本价的，供应商需做出合理说明，否则将承担不被接受的风险</w:t>
      </w:r>
      <w:r>
        <w:rPr>
          <w:rFonts w:hint="eastAsia" w:ascii="宋体" w:hAnsi="宋体" w:eastAsia="宋体" w:cs="宋体"/>
          <w:bCs/>
          <w:kern w:val="0"/>
          <w:sz w:val="24"/>
          <w:szCs w:val="24"/>
          <w:highlight w:val="none"/>
        </w:rPr>
        <w:t>】。</w:t>
      </w:r>
    </w:p>
    <w:p w14:paraId="6F96115C">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情况特殊,经磋商小组根据磋商现场情况，可以要求供应商适当进行多轮报价。</w:t>
      </w:r>
    </w:p>
    <w:p w14:paraId="5DFED9AC">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经磋商确定最终采购需求和提交最后报价的供应商后，由磋商小组采用综合评分法对提交最后报价的供应商的响应文件和最后报价进行综合评分。</w:t>
      </w:r>
    </w:p>
    <w:p w14:paraId="280F46D0">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详细评审</w:t>
      </w:r>
    </w:p>
    <w:p w14:paraId="02951BF4">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磋商小组按本章评审方法规定的量化因素和分值进行打分，并计算出综合得分。</w:t>
      </w:r>
    </w:p>
    <w:p w14:paraId="69D994BF">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2A4B5568">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响应文件的澄清</w:t>
      </w:r>
    </w:p>
    <w:p w14:paraId="0CEEA9BB">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6F9E3D78">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澄清、说明或补正不得超出响应文件的范围且不得改变响应文件的实质性内容，并构成响应文件的组成部分。</w:t>
      </w:r>
    </w:p>
    <w:p w14:paraId="4D927610">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磋商小组对供应商提交的澄清、说明或补正有疑问的，可以要求供应商进一步澄清、说明或补正，直至满足磋商小组的要求。</w:t>
      </w:r>
    </w:p>
    <w:p w14:paraId="42B3C4F1">
      <w:pPr>
        <w:keepNext/>
        <w:keepLines/>
        <w:numPr>
          <w:ilvl w:val="1"/>
          <w:numId w:val="2"/>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评审结果</w:t>
      </w:r>
    </w:p>
    <w:p w14:paraId="2F52800F">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除采购人授权直接确定成交人外，按照评审得分由高到低顺序推荐3名以上成交候选人，评审得分相同的，按照最后报价由低到高的顺序推荐。</w:t>
      </w:r>
    </w:p>
    <w:p w14:paraId="1D4F5D2A">
      <w:pPr>
        <w:numPr>
          <w:ilvl w:val="2"/>
          <w:numId w:val="2"/>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 xml:space="preserve"> 磋商小组完成评审后，应当向采购人提交书面评审报告和成交候选人名单</w:t>
      </w:r>
      <w:r>
        <w:rPr>
          <w:rFonts w:hint="eastAsia" w:ascii="宋体" w:hAnsi="宋体" w:eastAsia="宋体" w:cs="宋体"/>
          <w:bCs/>
          <w:kern w:val="0"/>
          <w:sz w:val="24"/>
          <w:szCs w:val="24"/>
          <w:highlight w:val="none"/>
        </w:rPr>
        <w:t>并编写评审报告。</w:t>
      </w:r>
    </w:p>
    <w:p w14:paraId="4B03F553">
      <w:pPr>
        <w:wordWrap w:val="0"/>
        <w:topLinePunct/>
        <w:spacing w:before="312" w:beforeLines="100" w:after="312" w:afterLines="100" w:line="360" w:lineRule="auto"/>
        <w:jc w:val="center"/>
        <w:outlineLvl w:val="0"/>
        <w:rPr>
          <w:rFonts w:ascii="宋体" w:hAnsi="宋体" w:eastAsia="宋体" w:cs="Courier New"/>
          <w:b/>
          <w:bCs/>
          <w:sz w:val="30"/>
          <w:szCs w:val="30"/>
          <w:highlight w:val="none"/>
        </w:rPr>
      </w:pPr>
      <w:r>
        <w:rPr>
          <w:rFonts w:hint="eastAsia" w:ascii="宋体" w:hAnsi="宋体" w:eastAsia="宋体" w:cs="Courier New"/>
          <w:b/>
          <w:bCs/>
          <w:sz w:val="32"/>
          <w:szCs w:val="32"/>
          <w:highlight w:val="none"/>
        </w:rPr>
        <w:br w:type="page"/>
      </w:r>
      <w:bookmarkStart w:id="173" w:name="_Toc23774437"/>
      <w:r>
        <w:rPr>
          <w:rFonts w:hint="eastAsia" w:ascii="宋体" w:hAnsi="宋体" w:eastAsia="宋体" w:cs="Courier New"/>
          <w:b/>
          <w:bCs/>
          <w:sz w:val="30"/>
          <w:szCs w:val="30"/>
          <w:highlight w:val="none"/>
        </w:rPr>
        <w:t>第四章  合同</w:t>
      </w:r>
      <w:bookmarkEnd w:id="172"/>
      <w:r>
        <w:rPr>
          <w:rFonts w:hint="eastAsia" w:ascii="宋体" w:hAnsi="宋体" w:eastAsia="宋体" w:cs="Courier New"/>
          <w:b/>
          <w:bCs/>
          <w:sz w:val="30"/>
          <w:szCs w:val="30"/>
          <w:highlight w:val="none"/>
        </w:rPr>
        <w:t>条款及格式</w:t>
      </w:r>
      <w:bookmarkEnd w:id="173"/>
    </w:p>
    <w:p w14:paraId="44F18779">
      <w:pPr>
        <w:spacing w:line="360" w:lineRule="auto"/>
        <w:ind w:firstLine="482" w:firstLineChars="200"/>
        <w:jc w:val="both"/>
        <w:rPr>
          <w:rFonts w:hint="eastAsia" w:ascii="宋体" w:hAnsi="宋体" w:eastAsiaTheme="minorEastAsia"/>
          <w:b/>
          <w:bCs/>
          <w:sz w:val="24"/>
          <w:highlight w:val="none"/>
          <w:lang w:eastAsia="zh-CN"/>
        </w:rPr>
      </w:pPr>
      <w:bookmarkStart w:id="174" w:name="_Toc23967"/>
      <w:r>
        <w:rPr>
          <w:rFonts w:hint="eastAsia" w:ascii="宋体" w:hAnsi="宋体"/>
          <w:b/>
          <w:bCs/>
          <w:sz w:val="24"/>
          <w:highlight w:val="none"/>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b/>
          <w:bCs/>
          <w:sz w:val="24"/>
          <w:highlight w:val="none"/>
          <w:lang w:eastAsia="zh-CN"/>
        </w:rPr>
        <w:t>（</w:t>
      </w:r>
      <w:r>
        <w:rPr>
          <w:rFonts w:hint="eastAsia" w:ascii="宋体" w:hAnsi="宋体"/>
          <w:b/>
          <w:bCs/>
          <w:sz w:val="24"/>
          <w:highlight w:val="none"/>
          <w:lang w:val="en-US" w:eastAsia="zh-CN"/>
        </w:rPr>
        <w:t>合同模板仅供参考</w:t>
      </w:r>
      <w:r>
        <w:rPr>
          <w:rFonts w:hint="eastAsia" w:ascii="宋体" w:hAnsi="宋体"/>
          <w:b/>
          <w:bCs/>
          <w:sz w:val="24"/>
          <w:highlight w:val="none"/>
          <w:lang w:eastAsia="zh-CN"/>
        </w:rPr>
        <w:t>）</w:t>
      </w:r>
    </w:p>
    <w:p w14:paraId="5CFF7ED3">
      <w:pPr>
        <w:spacing w:line="360" w:lineRule="auto"/>
        <w:ind w:firstLine="480" w:firstLineChars="200"/>
        <w:jc w:val="center"/>
        <w:rPr>
          <w:rFonts w:hint="eastAsia" w:ascii="宋体" w:hAnsi="宋体"/>
          <w:sz w:val="24"/>
          <w:highlight w:val="none"/>
        </w:rPr>
      </w:pPr>
    </w:p>
    <w:p w14:paraId="4EF4940C">
      <w:pPr>
        <w:pStyle w:val="2"/>
        <w:rPr>
          <w:rFonts w:hint="eastAsia" w:ascii="宋体" w:hAnsi="宋体"/>
          <w:sz w:val="24"/>
          <w:highlight w:val="none"/>
        </w:rPr>
      </w:pPr>
    </w:p>
    <w:p w14:paraId="5A2E33B2">
      <w:pPr>
        <w:rPr>
          <w:rFonts w:hint="eastAsia" w:ascii="宋体" w:hAnsi="宋体"/>
          <w:sz w:val="24"/>
          <w:highlight w:val="none"/>
        </w:rPr>
      </w:pPr>
    </w:p>
    <w:p w14:paraId="309270E1">
      <w:pPr>
        <w:pStyle w:val="2"/>
        <w:rPr>
          <w:rFonts w:hint="eastAsia" w:ascii="宋体" w:hAnsi="宋体"/>
          <w:sz w:val="24"/>
          <w:highlight w:val="none"/>
        </w:rPr>
      </w:pPr>
    </w:p>
    <w:p w14:paraId="5406B3CE">
      <w:pPr>
        <w:rPr>
          <w:rFonts w:hint="eastAsia" w:ascii="宋体" w:hAnsi="宋体"/>
          <w:sz w:val="24"/>
          <w:highlight w:val="none"/>
        </w:rPr>
      </w:pPr>
    </w:p>
    <w:p w14:paraId="7BA4AEA8">
      <w:pPr>
        <w:pStyle w:val="2"/>
        <w:rPr>
          <w:rFonts w:hint="eastAsia" w:ascii="宋体" w:hAnsi="宋体"/>
          <w:sz w:val="24"/>
          <w:highlight w:val="none"/>
        </w:rPr>
      </w:pPr>
    </w:p>
    <w:p w14:paraId="25578508">
      <w:pPr>
        <w:rPr>
          <w:rFonts w:hint="eastAsia" w:ascii="宋体" w:hAnsi="宋体"/>
          <w:sz w:val="24"/>
          <w:highlight w:val="none"/>
        </w:rPr>
      </w:pPr>
    </w:p>
    <w:p w14:paraId="4F8C5394">
      <w:pPr>
        <w:pStyle w:val="2"/>
        <w:rPr>
          <w:rFonts w:hint="eastAsia" w:ascii="宋体" w:hAnsi="宋体"/>
          <w:sz w:val="24"/>
          <w:highlight w:val="none"/>
        </w:rPr>
      </w:pPr>
    </w:p>
    <w:p w14:paraId="1F7F051E">
      <w:pPr>
        <w:rPr>
          <w:rFonts w:hint="eastAsia" w:ascii="宋体" w:hAnsi="宋体"/>
          <w:sz w:val="24"/>
          <w:highlight w:val="none"/>
        </w:rPr>
      </w:pPr>
    </w:p>
    <w:p w14:paraId="2B8DBF9E">
      <w:pPr>
        <w:pStyle w:val="2"/>
        <w:rPr>
          <w:rFonts w:hint="eastAsia" w:ascii="宋体" w:hAnsi="宋体"/>
          <w:sz w:val="24"/>
          <w:highlight w:val="none"/>
        </w:rPr>
      </w:pPr>
    </w:p>
    <w:p w14:paraId="77BE27FE">
      <w:pPr>
        <w:rPr>
          <w:rFonts w:hint="eastAsia" w:ascii="宋体" w:hAnsi="宋体"/>
          <w:sz w:val="24"/>
          <w:highlight w:val="none"/>
        </w:rPr>
      </w:pPr>
    </w:p>
    <w:p w14:paraId="332F4221">
      <w:pPr>
        <w:pStyle w:val="2"/>
        <w:rPr>
          <w:rFonts w:hint="eastAsia" w:ascii="宋体" w:hAnsi="宋体"/>
          <w:sz w:val="24"/>
          <w:highlight w:val="none"/>
        </w:rPr>
      </w:pPr>
    </w:p>
    <w:p w14:paraId="00E5B839">
      <w:pPr>
        <w:rPr>
          <w:rFonts w:hint="eastAsia" w:ascii="宋体" w:hAnsi="宋体"/>
          <w:sz w:val="24"/>
          <w:highlight w:val="none"/>
        </w:rPr>
      </w:pPr>
    </w:p>
    <w:p w14:paraId="55AF0878">
      <w:pPr>
        <w:pStyle w:val="2"/>
        <w:rPr>
          <w:rFonts w:hint="eastAsia" w:ascii="宋体" w:hAnsi="宋体"/>
          <w:sz w:val="24"/>
          <w:highlight w:val="none"/>
        </w:rPr>
      </w:pPr>
    </w:p>
    <w:p w14:paraId="09B599CE">
      <w:pPr>
        <w:rPr>
          <w:rFonts w:hint="eastAsia" w:ascii="宋体" w:hAnsi="宋体"/>
          <w:sz w:val="24"/>
          <w:highlight w:val="none"/>
        </w:rPr>
      </w:pPr>
    </w:p>
    <w:p w14:paraId="6DBB5590">
      <w:pPr>
        <w:pStyle w:val="2"/>
        <w:rPr>
          <w:rFonts w:hint="eastAsia" w:ascii="宋体" w:hAnsi="宋体"/>
          <w:sz w:val="24"/>
          <w:highlight w:val="none"/>
        </w:rPr>
      </w:pPr>
    </w:p>
    <w:p w14:paraId="27734482">
      <w:pPr>
        <w:rPr>
          <w:rFonts w:hint="eastAsia" w:ascii="宋体" w:hAnsi="宋体"/>
          <w:sz w:val="24"/>
          <w:highlight w:val="none"/>
        </w:rPr>
      </w:pPr>
    </w:p>
    <w:p w14:paraId="725B132A">
      <w:pPr>
        <w:pStyle w:val="2"/>
        <w:rPr>
          <w:rFonts w:hint="eastAsia" w:ascii="宋体" w:hAnsi="宋体"/>
          <w:sz w:val="24"/>
          <w:highlight w:val="none"/>
        </w:rPr>
      </w:pPr>
    </w:p>
    <w:p w14:paraId="29B7BEE2">
      <w:pPr>
        <w:rPr>
          <w:rFonts w:hint="eastAsia" w:ascii="宋体" w:hAnsi="宋体"/>
          <w:sz w:val="24"/>
          <w:highlight w:val="none"/>
        </w:rPr>
      </w:pPr>
    </w:p>
    <w:p w14:paraId="278FE4DA">
      <w:pPr>
        <w:pStyle w:val="2"/>
        <w:rPr>
          <w:rFonts w:hint="eastAsia" w:ascii="宋体" w:hAnsi="宋体"/>
          <w:sz w:val="24"/>
          <w:highlight w:val="none"/>
        </w:rPr>
      </w:pPr>
    </w:p>
    <w:p w14:paraId="6E716BD6">
      <w:pPr>
        <w:rPr>
          <w:rFonts w:hint="eastAsia" w:ascii="宋体" w:hAnsi="宋体"/>
          <w:sz w:val="24"/>
          <w:highlight w:val="none"/>
        </w:rPr>
      </w:pPr>
    </w:p>
    <w:p w14:paraId="0E88C9F7">
      <w:pPr>
        <w:pStyle w:val="2"/>
        <w:rPr>
          <w:rFonts w:hint="eastAsia" w:ascii="宋体" w:hAnsi="宋体"/>
          <w:sz w:val="24"/>
          <w:highlight w:val="none"/>
        </w:rPr>
      </w:pPr>
    </w:p>
    <w:p w14:paraId="7035AE9B">
      <w:pPr>
        <w:rPr>
          <w:rFonts w:hint="eastAsia" w:ascii="宋体" w:hAnsi="宋体"/>
          <w:sz w:val="24"/>
          <w:highlight w:val="none"/>
        </w:rPr>
      </w:pPr>
    </w:p>
    <w:p w14:paraId="008C9A48">
      <w:pPr>
        <w:pStyle w:val="2"/>
        <w:rPr>
          <w:rFonts w:hint="eastAsia" w:ascii="宋体" w:hAnsi="宋体"/>
          <w:sz w:val="24"/>
          <w:highlight w:val="none"/>
        </w:rPr>
      </w:pPr>
    </w:p>
    <w:p w14:paraId="45544A74">
      <w:pPr>
        <w:rPr>
          <w:rFonts w:hint="eastAsia" w:ascii="宋体" w:hAnsi="宋体"/>
          <w:sz w:val="24"/>
          <w:highlight w:val="none"/>
        </w:rPr>
      </w:pPr>
    </w:p>
    <w:p w14:paraId="616DA21F">
      <w:pPr>
        <w:pStyle w:val="2"/>
        <w:rPr>
          <w:rFonts w:hint="eastAsia"/>
        </w:rPr>
      </w:pPr>
    </w:p>
    <w:p w14:paraId="385A1021">
      <w:pPr>
        <w:spacing w:line="360" w:lineRule="auto"/>
        <w:ind w:firstLine="2891" w:firstLineChars="800"/>
        <w:jc w:val="both"/>
        <w:rPr>
          <w:rFonts w:hint="eastAsia" w:ascii="宋体" w:hAnsi="宋体"/>
          <w:b/>
          <w:sz w:val="36"/>
          <w:szCs w:val="36"/>
          <w:highlight w:val="none"/>
        </w:rPr>
      </w:pPr>
      <w:r>
        <w:rPr>
          <w:rFonts w:hint="eastAsia" w:ascii="宋体" w:hAnsi="宋体"/>
          <w:b/>
          <w:sz w:val="36"/>
          <w:szCs w:val="36"/>
          <w:highlight w:val="none"/>
          <w:lang w:val="en-US" w:eastAsia="zh-CN"/>
        </w:rPr>
        <w:t xml:space="preserve">  </w:t>
      </w:r>
      <w:r>
        <w:rPr>
          <w:rFonts w:hint="eastAsia" w:ascii="宋体" w:hAnsi="宋体"/>
          <w:b/>
          <w:sz w:val="36"/>
          <w:szCs w:val="36"/>
          <w:highlight w:val="none"/>
        </w:rPr>
        <w:t>合同条款及格式</w:t>
      </w:r>
    </w:p>
    <w:p w14:paraId="7E7B6CFC">
      <w:pPr>
        <w:jc w:val="center"/>
        <w:rPr>
          <w:rFonts w:ascii="宋体" w:hAnsi="宋体"/>
          <w:sz w:val="30"/>
          <w:szCs w:val="30"/>
          <w:highlight w:val="none"/>
        </w:rPr>
      </w:pPr>
    </w:p>
    <w:p w14:paraId="31AC964D">
      <w:pPr>
        <w:spacing w:line="360" w:lineRule="auto"/>
        <w:jc w:val="center"/>
        <w:rPr>
          <w:rFonts w:ascii="仿宋_GB2312" w:hAnsi="宋体"/>
          <w:b/>
          <w:bCs/>
          <w:sz w:val="30"/>
          <w:szCs w:val="30"/>
          <w:highlight w:val="none"/>
        </w:rPr>
      </w:pPr>
      <w:bookmarkStart w:id="175" w:name="_Toc351203652"/>
      <w:bookmarkStart w:id="176" w:name="_Toc246996340"/>
      <w:bookmarkStart w:id="177" w:name="_Toc296602587"/>
      <w:bookmarkStart w:id="178" w:name="_Toc247085855"/>
      <w:bookmarkStart w:id="179" w:name="_Toc152045772"/>
      <w:bookmarkStart w:id="180" w:name="_Toc144974834"/>
      <w:bookmarkStart w:id="181" w:name="_Toc152042554"/>
      <w:bookmarkStart w:id="182" w:name="_Toc179632789"/>
      <w:bookmarkStart w:id="183" w:name="_Toc246997083"/>
      <w:r>
        <w:rPr>
          <w:rFonts w:ascii="仿宋_GB2312" w:hAnsi="仿宋_GB2312"/>
          <w:b/>
          <w:bCs/>
          <w:sz w:val="32"/>
          <w:szCs w:val="32"/>
          <w:highlight w:val="none"/>
        </w:rPr>
        <w:t>（ＧＦ－2012－0202）</w:t>
      </w:r>
    </w:p>
    <w:p w14:paraId="4D02A0CB">
      <w:pPr>
        <w:spacing w:line="360" w:lineRule="auto"/>
        <w:jc w:val="center"/>
        <w:rPr>
          <w:rFonts w:ascii="华文中宋" w:hAnsi="华文中宋" w:eastAsia="华文中宋"/>
          <w:b/>
          <w:bCs/>
          <w:sz w:val="48"/>
          <w:szCs w:val="48"/>
          <w:highlight w:val="none"/>
        </w:rPr>
      </w:pPr>
    </w:p>
    <w:p w14:paraId="766CEDA0">
      <w:pPr>
        <w:spacing w:line="360" w:lineRule="auto"/>
        <w:jc w:val="center"/>
        <w:rPr>
          <w:rFonts w:ascii="华文中宋" w:hAnsi="华文中宋" w:eastAsia="华文中宋"/>
          <w:b/>
          <w:bCs/>
          <w:sz w:val="48"/>
          <w:szCs w:val="48"/>
          <w:highlight w:val="none"/>
        </w:rPr>
      </w:pPr>
    </w:p>
    <w:p w14:paraId="4B79D455">
      <w:pPr>
        <w:spacing w:line="360" w:lineRule="auto"/>
        <w:jc w:val="center"/>
        <w:rPr>
          <w:rFonts w:ascii="华文中宋" w:hAnsi="华文中宋" w:eastAsia="华文中宋"/>
          <w:b/>
          <w:bCs/>
          <w:sz w:val="52"/>
          <w:szCs w:val="52"/>
          <w:highlight w:val="none"/>
        </w:rPr>
      </w:pPr>
      <w:r>
        <w:rPr>
          <w:rFonts w:hint="eastAsia" w:ascii="华文中宋" w:hAnsi="华文中宋" w:eastAsia="华文中宋"/>
          <w:b/>
          <w:bCs/>
          <w:sz w:val="52"/>
          <w:szCs w:val="52"/>
          <w:highlight w:val="none"/>
        </w:rPr>
        <w:t>建设工程监理合同</w:t>
      </w:r>
    </w:p>
    <w:p w14:paraId="7700C96C">
      <w:pPr>
        <w:spacing w:line="360" w:lineRule="auto"/>
        <w:jc w:val="center"/>
        <w:rPr>
          <w:rFonts w:ascii="华文楷体" w:hAnsi="华文楷体" w:eastAsia="华文楷体"/>
          <w:b/>
          <w:bCs/>
          <w:sz w:val="52"/>
          <w:szCs w:val="52"/>
          <w:highlight w:val="none"/>
        </w:rPr>
      </w:pPr>
      <w:r>
        <w:rPr>
          <w:rFonts w:hint="eastAsia" w:ascii="华文楷体" w:hAnsi="华文楷体" w:eastAsia="华文楷体"/>
          <w:b/>
          <w:bCs/>
          <w:sz w:val="52"/>
          <w:szCs w:val="52"/>
          <w:highlight w:val="none"/>
        </w:rPr>
        <w:t>（示范文本）</w:t>
      </w:r>
    </w:p>
    <w:p w14:paraId="5EA376F5">
      <w:pPr>
        <w:spacing w:line="360" w:lineRule="auto"/>
        <w:jc w:val="center"/>
        <w:rPr>
          <w:rFonts w:ascii="仿宋_GB2312" w:hAnsi="宋体"/>
          <w:sz w:val="48"/>
          <w:szCs w:val="48"/>
          <w:highlight w:val="none"/>
        </w:rPr>
      </w:pPr>
    </w:p>
    <w:p w14:paraId="3A3DBCFF">
      <w:pPr>
        <w:spacing w:line="360" w:lineRule="auto"/>
        <w:jc w:val="center"/>
        <w:rPr>
          <w:rFonts w:ascii="仿宋_GB2312" w:hAnsi="宋体"/>
          <w:b/>
          <w:bCs/>
          <w:sz w:val="24"/>
          <w:szCs w:val="24"/>
          <w:highlight w:val="none"/>
        </w:rPr>
      </w:pPr>
    </w:p>
    <w:p w14:paraId="200AAC1E">
      <w:pPr>
        <w:spacing w:line="360" w:lineRule="auto"/>
        <w:rPr>
          <w:rFonts w:ascii="仿宋_GB2312" w:hAnsi="宋体"/>
          <w:b/>
          <w:bCs/>
          <w:sz w:val="24"/>
          <w:szCs w:val="24"/>
          <w:highlight w:val="none"/>
        </w:rPr>
      </w:pPr>
    </w:p>
    <w:p w14:paraId="40A2EB0C">
      <w:pPr>
        <w:spacing w:line="360" w:lineRule="auto"/>
        <w:rPr>
          <w:rFonts w:ascii="仿宋_GB2312" w:hAnsi="宋体"/>
          <w:b/>
          <w:bCs/>
          <w:sz w:val="24"/>
          <w:szCs w:val="24"/>
          <w:highlight w:val="none"/>
        </w:rPr>
      </w:pPr>
    </w:p>
    <w:p w14:paraId="538BCEED">
      <w:pPr>
        <w:spacing w:line="360" w:lineRule="auto"/>
        <w:rPr>
          <w:rFonts w:ascii="仿宋_GB2312" w:hAnsi="宋体"/>
          <w:b/>
          <w:bCs/>
          <w:sz w:val="24"/>
          <w:szCs w:val="24"/>
          <w:highlight w:val="none"/>
        </w:rPr>
      </w:pPr>
    </w:p>
    <w:p w14:paraId="5F47821B">
      <w:pPr>
        <w:spacing w:line="360" w:lineRule="auto"/>
        <w:rPr>
          <w:rFonts w:ascii="仿宋_GB2312" w:hAnsi="宋体"/>
          <w:b/>
          <w:bCs/>
          <w:sz w:val="24"/>
          <w:szCs w:val="24"/>
          <w:highlight w:val="none"/>
        </w:rPr>
      </w:pPr>
    </w:p>
    <w:p w14:paraId="421BCBBB">
      <w:pPr>
        <w:spacing w:line="360" w:lineRule="auto"/>
        <w:jc w:val="center"/>
        <w:rPr>
          <w:rFonts w:ascii="华文中宋" w:hAnsi="华文中宋" w:eastAsia="华文中宋"/>
          <w:b/>
          <w:bCs/>
          <w:sz w:val="32"/>
          <w:szCs w:val="32"/>
          <w:highlight w:val="none"/>
        </w:rPr>
      </w:pPr>
    </w:p>
    <w:p w14:paraId="2F60793B">
      <w:pPr>
        <w:pStyle w:val="16"/>
        <w:rPr>
          <w:color w:val="auto"/>
          <w:highlight w:val="none"/>
        </w:rPr>
      </w:pPr>
    </w:p>
    <w:p w14:paraId="35FF8873">
      <w:pPr>
        <w:spacing w:line="360" w:lineRule="auto"/>
        <w:jc w:val="center"/>
        <w:rPr>
          <w:rFonts w:ascii="华文中宋" w:hAnsi="华文中宋" w:eastAsia="华文中宋"/>
          <w:b/>
          <w:bCs/>
          <w:sz w:val="32"/>
          <w:szCs w:val="32"/>
          <w:highlight w:val="none"/>
        </w:rPr>
      </w:pPr>
    </w:p>
    <w:p w14:paraId="22913173">
      <w:pPr>
        <w:spacing w:line="360" w:lineRule="auto"/>
        <w:jc w:val="center"/>
        <w:rPr>
          <w:rFonts w:ascii="华文中宋" w:hAnsi="华文中宋" w:eastAsia="华文中宋"/>
          <w:b/>
          <w:bCs/>
          <w:sz w:val="32"/>
          <w:szCs w:val="32"/>
          <w:highlight w:val="none"/>
        </w:rPr>
      </w:pPr>
      <w:r>
        <w:rPr>
          <w:rFonts w:hint="eastAsia" w:ascii="华文中宋" w:hAnsi="华文中宋" w:eastAsia="华文中宋"/>
          <w:b/>
          <w:bCs/>
          <w:sz w:val="32"/>
          <w:szCs w:val="32"/>
          <w:highlight w:val="none"/>
        </w:rPr>
        <w:t>住房和城乡建设部制定</w:t>
      </w:r>
    </w:p>
    <w:p w14:paraId="00E91E3A">
      <w:pPr>
        <w:spacing w:line="360" w:lineRule="auto"/>
        <w:jc w:val="center"/>
        <w:rPr>
          <w:rFonts w:ascii="华文中宋" w:hAnsi="华文中宋" w:eastAsia="华文中宋"/>
          <w:b/>
          <w:bCs/>
          <w:sz w:val="32"/>
          <w:szCs w:val="32"/>
          <w:highlight w:val="none"/>
        </w:rPr>
      </w:pPr>
    </w:p>
    <w:p w14:paraId="31EB1448">
      <w:pPr>
        <w:spacing w:line="360" w:lineRule="auto"/>
        <w:jc w:val="center"/>
        <w:rPr>
          <w:rFonts w:ascii="华文中宋" w:hAnsi="华文中宋" w:eastAsia="华文中宋"/>
          <w:b/>
          <w:bCs/>
          <w:highlight w:val="none"/>
        </w:rPr>
      </w:pPr>
      <w:r>
        <w:rPr>
          <w:rFonts w:hint="eastAsia" w:ascii="华文中宋" w:hAnsi="华文中宋" w:eastAsia="华文中宋"/>
          <w:b/>
          <w:bCs/>
          <w:sz w:val="32"/>
          <w:szCs w:val="32"/>
          <w:highlight w:val="none"/>
        </w:rPr>
        <w:t xml:space="preserve"> 国家工商行政管理总局</w:t>
      </w:r>
    </w:p>
    <w:p w14:paraId="54955648">
      <w:pPr>
        <w:spacing w:before="312" w:beforeLines="100" w:line="360" w:lineRule="auto"/>
        <w:jc w:val="center"/>
        <w:rPr>
          <w:rFonts w:ascii="华文中宋" w:hAnsi="华文中宋" w:eastAsia="华文中宋"/>
          <w:b/>
          <w:bCs/>
          <w:sz w:val="32"/>
          <w:szCs w:val="32"/>
          <w:highlight w:val="none"/>
        </w:rPr>
      </w:pPr>
    </w:p>
    <w:p w14:paraId="0EF00232">
      <w:pPr>
        <w:spacing w:before="312" w:beforeLines="100" w:line="360" w:lineRule="auto"/>
        <w:jc w:val="center"/>
        <w:rPr>
          <w:rFonts w:ascii="华文中宋" w:hAnsi="华文中宋" w:eastAsia="华文中宋"/>
          <w:b/>
          <w:bCs/>
          <w:sz w:val="32"/>
          <w:szCs w:val="32"/>
          <w:highlight w:val="none"/>
        </w:rPr>
      </w:pPr>
      <w:r>
        <w:rPr>
          <w:rFonts w:hint="eastAsia" w:ascii="华文中宋" w:hAnsi="华文中宋" w:eastAsia="华文中宋"/>
          <w:b/>
          <w:bCs/>
          <w:sz w:val="32"/>
          <w:szCs w:val="32"/>
          <w:highlight w:val="none"/>
        </w:rPr>
        <w:t>第一部分  协议书</w:t>
      </w:r>
    </w:p>
    <w:p w14:paraId="5D41F9A0">
      <w:pPr>
        <w:spacing w:line="360" w:lineRule="auto"/>
        <w:jc w:val="center"/>
        <w:rPr>
          <w:rFonts w:ascii="华文中宋" w:hAnsi="华文中宋" w:eastAsia="华文中宋"/>
          <w:b/>
          <w:bCs/>
          <w:sz w:val="32"/>
          <w:szCs w:val="32"/>
          <w:highlight w:val="none"/>
        </w:rPr>
      </w:pPr>
    </w:p>
    <w:p w14:paraId="67118F6F">
      <w:pPr>
        <w:adjustRightInd w:val="0"/>
        <w:snapToGrid w:val="0"/>
        <w:spacing w:line="360" w:lineRule="auto"/>
        <w:ind w:firstLine="326" w:firstLineChars="250"/>
        <w:rPr>
          <w:rFonts w:ascii="仿宋_GB2312" w:hAnsi="宋体"/>
          <w:b/>
          <w:bCs/>
          <w:sz w:val="13"/>
          <w:szCs w:val="13"/>
          <w:highlight w:val="none"/>
        </w:rPr>
      </w:pPr>
    </w:p>
    <w:p w14:paraId="17B1A7C9">
      <w:pPr>
        <w:adjustRightInd w:val="0"/>
        <w:snapToGrid w:val="0"/>
        <w:spacing w:line="360" w:lineRule="auto"/>
        <w:ind w:firstLine="482" w:firstLineChars="200"/>
        <w:rPr>
          <w:rFonts w:hint="default" w:ascii="宋体" w:hAnsi="宋体" w:eastAsiaTheme="minorEastAsia"/>
          <w:b/>
          <w:bCs/>
          <w:sz w:val="24"/>
          <w:szCs w:val="24"/>
          <w:highlight w:val="none"/>
          <w:u w:val="single"/>
          <w:lang w:val="en-US" w:eastAsia="zh-CN"/>
        </w:rPr>
      </w:pPr>
      <w:r>
        <w:rPr>
          <w:rFonts w:hint="eastAsia" w:ascii="宋体" w:hAnsi="宋体"/>
          <w:b/>
          <w:bCs/>
          <w:sz w:val="24"/>
          <w:szCs w:val="24"/>
          <w:highlight w:val="none"/>
        </w:rPr>
        <w:t>委托人（全称）：</w:t>
      </w:r>
      <w:r>
        <w:rPr>
          <w:rFonts w:hint="eastAsia" w:ascii="宋体" w:hAnsi="宋体"/>
          <w:b/>
          <w:bCs/>
          <w:sz w:val="24"/>
          <w:szCs w:val="24"/>
          <w:highlight w:val="none"/>
          <w:u w:val="single"/>
          <w:lang w:val="en-US" w:eastAsia="zh-CN"/>
        </w:rPr>
        <w:t xml:space="preserve">          </w:t>
      </w:r>
    </w:p>
    <w:p w14:paraId="2D9FFC6D">
      <w:pPr>
        <w:adjustRightInd w:val="0"/>
        <w:snapToGrid w:val="0"/>
        <w:spacing w:line="360" w:lineRule="auto"/>
        <w:ind w:firstLine="482" w:firstLineChars="200"/>
        <w:rPr>
          <w:rFonts w:hint="default" w:ascii="宋体" w:hAnsi="宋体" w:eastAsiaTheme="minorEastAsia"/>
          <w:sz w:val="24"/>
          <w:szCs w:val="24"/>
          <w:highlight w:val="none"/>
          <w:u w:val="single"/>
          <w:lang w:val="en-US" w:eastAsia="zh-CN"/>
        </w:rPr>
      </w:pPr>
      <w:r>
        <w:rPr>
          <w:rFonts w:hint="eastAsia" w:ascii="宋体" w:hAnsi="宋体"/>
          <w:b/>
          <w:bCs/>
          <w:sz w:val="24"/>
          <w:szCs w:val="24"/>
          <w:highlight w:val="none"/>
        </w:rPr>
        <w:t>监理人（全称）：</w:t>
      </w:r>
      <w:r>
        <w:rPr>
          <w:rFonts w:hint="eastAsia" w:ascii="宋体" w:hAnsi="宋体"/>
          <w:b/>
          <w:bCs/>
          <w:sz w:val="24"/>
          <w:szCs w:val="24"/>
          <w:highlight w:val="none"/>
          <w:u w:val="single"/>
          <w:lang w:val="en-US" w:eastAsia="zh-CN"/>
        </w:rPr>
        <w:t xml:space="preserve">           </w:t>
      </w:r>
    </w:p>
    <w:p w14:paraId="054CCC8F">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根据《中华人民共和国合同法》、《中华人民共和国建筑法》及其他有关法律、法规，遵循平等、自愿、公平和诚信的原则，双方就下述工程委托监理与相关服务事项协商一致，订立本合同。</w:t>
      </w:r>
    </w:p>
    <w:p w14:paraId="04729CEB">
      <w:pPr>
        <w:pStyle w:val="40"/>
        <w:spacing w:line="360" w:lineRule="auto"/>
        <w:ind w:left="0" w:firstLine="0"/>
        <w:jc w:val="left"/>
        <w:rPr>
          <w:rFonts w:ascii="宋体" w:hAnsi="宋体"/>
          <w:highlight w:val="none"/>
        </w:rPr>
      </w:pPr>
      <w:bookmarkStart w:id="184" w:name="_Toc456102378"/>
      <w:bookmarkEnd w:id="184"/>
      <w:bookmarkStart w:id="185" w:name="_Toc32235"/>
      <w:r>
        <w:rPr>
          <w:rFonts w:hint="eastAsia" w:ascii="宋体" w:hAnsi="宋体"/>
          <w:highlight w:val="none"/>
        </w:rPr>
        <w:t>一、工程概况</w:t>
      </w:r>
      <w:bookmarkEnd w:id="185"/>
    </w:p>
    <w:p w14:paraId="436E81B9">
      <w:pPr>
        <w:spacing w:line="360" w:lineRule="auto"/>
        <w:rPr>
          <w:rFonts w:ascii="宋体" w:hAnsi="宋体"/>
          <w:sz w:val="24"/>
          <w:szCs w:val="24"/>
          <w:highlight w:val="none"/>
          <w:u w:val="single"/>
        </w:rPr>
      </w:pPr>
      <w:r>
        <w:rPr>
          <w:rFonts w:hint="eastAsia" w:ascii="宋体" w:hAnsi="宋体"/>
          <w:sz w:val="24"/>
          <w:szCs w:val="24"/>
          <w:highlight w:val="none"/>
        </w:rPr>
        <w:t xml:space="preserve">    1. 工程名称：</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w:t>
      </w:r>
    </w:p>
    <w:p w14:paraId="029618F5">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2. 工程地点：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3FC2409">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3. 工程规模：</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w:t>
      </w:r>
    </w:p>
    <w:p w14:paraId="4EDBB6F9">
      <w:pPr>
        <w:adjustRightInd w:val="0"/>
        <w:snapToGrid w:val="0"/>
        <w:spacing w:line="360" w:lineRule="auto"/>
        <w:ind w:firstLine="475" w:firstLineChars="198"/>
        <w:jc w:val="left"/>
        <w:rPr>
          <w:rFonts w:ascii="宋体" w:hAnsi="宋体"/>
          <w:sz w:val="24"/>
          <w:szCs w:val="24"/>
          <w:highlight w:val="none"/>
        </w:rPr>
      </w:pPr>
      <w:r>
        <w:rPr>
          <w:rFonts w:hint="eastAsia" w:ascii="宋体" w:hAnsi="宋体"/>
          <w:sz w:val="24"/>
          <w:szCs w:val="24"/>
          <w:highlight w:val="none"/>
        </w:rPr>
        <w:t>4. 工程</w:t>
      </w:r>
      <w:r>
        <w:rPr>
          <w:rFonts w:hint="eastAsia" w:ascii="宋体" w:hAnsi="宋体"/>
          <w:kern w:val="0"/>
          <w:sz w:val="24"/>
          <w:szCs w:val="24"/>
          <w:highlight w:val="none"/>
        </w:rPr>
        <w:t>概算投资额或建筑安装工程费</w:t>
      </w:r>
      <w:r>
        <w:rPr>
          <w:rFonts w:hint="eastAsia" w:ascii="宋体" w:hAnsi="宋体"/>
          <w:sz w:val="24"/>
          <w:szCs w:val="24"/>
          <w:highlight w:val="none"/>
        </w:rPr>
        <w:t>：</w:t>
      </w:r>
      <w:r>
        <w:rPr>
          <w:rFonts w:hint="eastAsia" w:ascii="宋体" w:hAnsi="宋体"/>
          <w:sz w:val="24"/>
          <w:szCs w:val="24"/>
          <w:highlight w:val="none"/>
          <w:u w:val="single"/>
        </w:rPr>
        <w:t xml:space="preserve">         万元 </w:t>
      </w:r>
      <w:r>
        <w:rPr>
          <w:rFonts w:hint="eastAsia" w:ascii="宋体" w:hAnsi="宋体"/>
          <w:sz w:val="24"/>
          <w:szCs w:val="24"/>
          <w:highlight w:val="none"/>
        </w:rPr>
        <w:t xml:space="preserve">。 </w:t>
      </w:r>
    </w:p>
    <w:p w14:paraId="148C8FEE">
      <w:pPr>
        <w:pStyle w:val="40"/>
        <w:spacing w:line="360" w:lineRule="auto"/>
        <w:ind w:left="0" w:firstLine="0"/>
        <w:jc w:val="left"/>
        <w:rPr>
          <w:rFonts w:ascii="宋体" w:hAnsi="宋体"/>
          <w:highlight w:val="none"/>
        </w:rPr>
      </w:pPr>
      <w:r>
        <w:rPr>
          <w:rFonts w:hint="eastAsia" w:ascii="宋体" w:hAnsi="宋体"/>
          <w:highlight w:val="none"/>
        </w:rPr>
        <w:t>二、词语限定</w:t>
      </w:r>
    </w:p>
    <w:p w14:paraId="06A1FB80">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协议书中相关词语的含义与通用条件中的定义与解释相同。</w:t>
      </w:r>
    </w:p>
    <w:p w14:paraId="3065FEFF">
      <w:pPr>
        <w:pStyle w:val="40"/>
        <w:spacing w:line="360" w:lineRule="auto"/>
        <w:ind w:left="0" w:firstLine="0"/>
        <w:jc w:val="left"/>
        <w:rPr>
          <w:rFonts w:ascii="宋体" w:hAnsi="宋体"/>
          <w:highlight w:val="none"/>
        </w:rPr>
      </w:pPr>
      <w:bookmarkStart w:id="186" w:name="_Toc456102379"/>
      <w:bookmarkEnd w:id="186"/>
      <w:bookmarkStart w:id="187" w:name="_Toc2701"/>
      <w:r>
        <w:rPr>
          <w:rFonts w:hint="eastAsia" w:ascii="宋体" w:hAnsi="宋体"/>
          <w:highlight w:val="none"/>
        </w:rPr>
        <w:t>三、组成本合同的文件</w:t>
      </w:r>
      <w:bookmarkEnd w:id="187"/>
    </w:p>
    <w:p w14:paraId="14CF9C24">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1. 协议书；</w:t>
      </w:r>
    </w:p>
    <w:p w14:paraId="5A690994">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2. 中标通知书；</w:t>
      </w:r>
    </w:p>
    <w:p w14:paraId="3391F2CB">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3. 投标文件；</w:t>
      </w:r>
    </w:p>
    <w:p w14:paraId="4EB5281C">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 专用条件；</w:t>
      </w:r>
    </w:p>
    <w:p w14:paraId="7EC86AA9">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5. 通用条件；</w:t>
      </w:r>
    </w:p>
    <w:p w14:paraId="3BC179A7">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6. 附录，即：</w:t>
      </w:r>
    </w:p>
    <w:p w14:paraId="7D44677F">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附录A  相关服务的范围和内容</w:t>
      </w:r>
    </w:p>
    <w:p w14:paraId="0FCEA11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附录B  委托人派遣的人员和提供的房屋、资料、设备</w:t>
      </w:r>
    </w:p>
    <w:p w14:paraId="776470FD">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本合同签订后，双方依法签订的补充协议也是本合同文件的组成部分。</w:t>
      </w:r>
    </w:p>
    <w:p w14:paraId="278578D5">
      <w:pPr>
        <w:pStyle w:val="40"/>
        <w:spacing w:line="360" w:lineRule="auto"/>
        <w:ind w:left="0" w:firstLine="0"/>
        <w:jc w:val="left"/>
        <w:rPr>
          <w:rFonts w:ascii="宋体" w:hAnsi="宋体"/>
          <w:highlight w:val="none"/>
        </w:rPr>
      </w:pPr>
      <w:bookmarkStart w:id="188" w:name="_Toc456102380"/>
      <w:bookmarkEnd w:id="188"/>
      <w:bookmarkStart w:id="189" w:name="_Toc19449"/>
      <w:r>
        <w:rPr>
          <w:rFonts w:hint="eastAsia" w:ascii="宋体" w:hAnsi="宋体"/>
          <w:highlight w:val="none"/>
        </w:rPr>
        <w:t>四、总监理工程师</w:t>
      </w:r>
      <w:bookmarkEnd w:id="189"/>
    </w:p>
    <w:p w14:paraId="09EA4872">
      <w:pPr>
        <w:adjustRightInd w:val="0"/>
        <w:snapToGrid w:val="0"/>
        <w:spacing w:line="360" w:lineRule="auto"/>
        <w:ind w:firstLine="475" w:firstLineChars="198"/>
        <w:rPr>
          <w:rFonts w:ascii="宋体" w:hAnsi="宋体"/>
          <w:kern w:val="0"/>
          <w:sz w:val="24"/>
          <w:szCs w:val="24"/>
          <w:highlight w:val="none"/>
        </w:rPr>
      </w:pPr>
      <w:r>
        <w:rPr>
          <w:rFonts w:hint="eastAsia" w:ascii="宋体" w:hAnsi="宋体"/>
          <w:kern w:val="0"/>
          <w:sz w:val="24"/>
          <w:szCs w:val="24"/>
          <w:highlight w:val="none"/>
        </w:rPr>
        <w:t>总监理工程师姓名：，身份证号码：，注册号：。</w:t>
      </w:r>
    </w:p>
    <w:p w14:paraId="0DA3D361">
      <w:pPr>
        <w:pStyle w:val="40"/>
        <w:spacing w:line="360" w:lineRule="auto"/>
        <w:ind w:left="0" w:firstLine="0"/>
        <w:jc w:val="left"/>
        <w:rPr>
          <w:rFonts w:ascii="宋体" w:hAnsi="宋体"/>
          <w:highlight w:val="none"/>
        </w:rPr>
      </w:pPr>
      <w:bookmarkStart w:id="190" w:name="_Toc456102381"/>
      <w:bookmarkEnd w:id="190"/>
      <w:bookmarkStart w:id="191" w:name="_Toc21994"/>
      <w:r>
        <w:rPr>
          <w:rFonts w:hint="eastAsia" w:ascii="宋体" w:hAnsi="宋体"/>
          <w:highlight w:val="none"/>
        </w:rPr>
        <w:t>五、签约酬金</w:t>
      </w:r>
      <w:bookmarkEnd w:id="191"/>
    </w:p>
    <w:p w14:paraId="371A9061">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签约酬金</w:t>
      </w:r>
    </w:p>
    <w:p w14:paraId="7CD5BD37">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按监理范围内全部</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（大写百分之         ）。</w:t>
      </w:r>
    </w:p>
    <w:p w14:paraId="4A62C237">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该费率为固定费率，固定费率中包括的风险范围为：投标人未考虑到或漏算的项目，合同执行期间人员费用、设备价格的变动；委托人提供的资料与现场实际情况不符；因各种原因施工工期延长；其他风险因素。</w:t>
      </w:r>
    </w:p>
    <w:p w14:paraId="3C3386BF">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包括：</w:t>
      </w:r>
    </w:p>
    <w:p w14:paraId="1C0A8487">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1. 监理酬金：。</w:t>
      </w:r>
    </w:p>
    <w:p w14:paraId="19D4D550">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2. 相关服务酬金：</w:t>
      </w:r>
      <w:r>
        <w:rPr>
          <w:rFonts w:hint="eastAsia" w:ascii="宋体" w:hAnsi="宋体"/>
          <w:sz w:val="24"/>
          <w:szCs w:val="24"/>
          <w:highlight w:val="none"/>
          <w:u w:val="single"/>
        </w:rPr>
        <w:t xml:space="preserve">         无              </w:t>
      </w:r>
      <w:r>
        <w:rPr>
          <w:rFonts w:hint="eastAsia" w:ascii="宋体" w:hAnsi="宋体"/>
          <w:sz w:val="24"/>
          <w:szCs w:val="24"/>
          <w:highlight w:val="none"/>
        </w:rPr>
        <w:t>。</w:t>
      </w:r>
    </w:p>
    <w:p w14:paraId="6B00DCF7">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其中：</w:t>
      </w:r>
    </w:p>
    <w:p w14:paraId="005DB192">
      <w:pPr>
        <w:adjustRightInd w:val="0"/>
        <w:snapToGrid w:val="0"/>
        <w:spacing w:line="360" w:lineRule="auto"/>
        <w:ind w:firstLine="960" w:firstLineChars="400"/>
        <w:rPr>
          <w:rFonts w:ascii="宋体" w:hAnsi="宋体"/>
          <w:sz w:val="24"/>
          <w:szCs w:val="24"/>
          <w:highlight w:val="none"/>
        </w:rPr>
      </w:pPr>
      <w:r>
        <w:rPr>
          <w:rFonts w:hint="eastAsia" w:ascii="宋体" w:hAnsi="宋体"/>
          <w:kern w:val="0"/>
          <w:sz w:val="24"/>
          <w:szCs w:val="24"/>
          <w:highlight w:val="none"/>
        </w:rPr>
        <w:t>（1）勘察阶段服务</w:t>
      </w:r>
      <w:r>
        <w:rPr>
          <w:rFonts w:hint="eastAsia" w:ascii="宋体" w:hAnsi="宋体"/>
          <w:sz w:val="24"/>
          <w:szCs w:val="24"/>
          <w:highlight w:val="none"/>
        </w:rPr>
        <w:t>酬金：</w:t>
      </w:r>
      <w:r>
        <w:rPr>
          <w:rFonts w:hint="eastAsia" w:ascii="宋体" w:hAnsi="宋体"/>
          <w:sz w:val="24"/>
          <w:szCs w:val="24"/>
          <w:highlight w:val="none"/>
          <w:u w:val="single"/>
        </w:rPr>
        <w:t xml:space="preserve">           无          </w:t>
      </w:r>
      <w:r>
        <w:rPr>
          <w:rFonts w:hint="eastAsia" w:ascii="宋体" w:hAnsi="宋体"/>
          <w:sz w:val="24"/>
          <w:szCs w:val="24"/>
          <w:highlight w:val="none"/>
        </w:rPr>
        <w:t>。</w:t>
      </w:r>
    </w:p>
    <w:p w14:paraId="57621E9A">
      <w:pPr>
        <w:adjustRightInd w:val="0"/>
        <w:snapToGrid w:val="0"/>
        <w:spacing w:line="360" w:lineRule="auto"/>
        <w:ind w:firstLine="960" w:firstLineChars="400"/>
        <w:rPr>
          <w:rFonts w:ascii="宋体" w:hAnsi="宋体"/>
          <w:sz w:val="24"/>
          <w:szCs w:val="24"/>
          <w:highlight w:val="none"/>
        </w:rPr>
      </w:pPr>
      <w:r>
        <w:rPr>
          <w:rFonts w:hint="eastAsia" w:ascii="宋体" w:hAnsi="宋体"/>
          <w:kern w:val="0"/>
          <w:sz w:val="24"/>
          <w:szCs w:val="24"/>
          <w:highlight w:val="none"/>
        </w:rPr>
        <w:t>（2）设计阶段服务</w:t>
      </w:r>
      <w:r>
        <w:rPr>
          <w:rFonts w:hint="eastAsia" w:ascii="宋体" w:hAnsi="宋体"/>
          <w:sz w:val="24"/>
          <w:szCs w:val="24"/>
          <w:highlight w:val="none"/>
        </w:rPr>
        <w:t>酬金：</w:t>
      </w:r>
      <w:r>
        <w:rPr>
          <w:rFonts w:hint="eastAsia" w:ascii="宋体" w:hAnsi="宋体"/>
          <w:sz w:val="24"/>
          <w:szCs w:val="24"/>
          <w:highlight w:val="none"/>
          <w:u w:val="single"/>
        </w:rPr>
        <w:t xml:space="preserve">           无          </w:t>
      </w:r>
      <w:r>
        <w:rPr>
          <w:rFonts w:hint="eastAsia" w:ascii="宋体" w:hAnsi="宋体"/>
          <w:sz w:val="24"/>
          <w:szCs w:val="24"/>
          <w:highlight w:val="none"/>
        </w:rPr>
        <w:t>。</w:t>
      </w:r>
    </w:p>
    <w:p w14:paraId="1CA1CA81">
      <w:pPr>
        <w:adjustRightInd w:val="0"/>
        <w:snapToGrid w:val="0"/>
        <w:spacing w:line="360" w:lineRule="auto"/>
        <w:ind w:firstLine="960" w:firstLineChars="400"/>
        <w:rPr>
          <w:rFonts w:ascii="宋体" w:hAnsi="宋体"/>
          <w:sz w:val="24"/>
          <w:szCs w:val="24"/>
          <w:highlight w:val="none"/>
        </w:rPr>
      </w:pPr>
      <w:r>
        <w:rPr>
          <w:rFonts w:hint="eastAsia" w:ascii="宋体" w:hAnsi="宋体"/>
          <w:kern w:val="0"/>
          <w:sz w:val="24"/>
          <w:szCs w:val="24"/>
          <w:highlight w:val="none"/>
        </w:rPr>
        <w:t>（3）保修阶段服务</w:t>
      </w:r>
      <w:r>
        <w:rPr>
          <w:rFonts w:hint="eastAsia" w:ascii="宋体" w:hAnsi="宋体"/>
          <w:sz w:val="24"/>
          <w:szCs w:val="24"/>
          <w:highlight w:val="none"/>
        </w:rPr>
        <w:t>酬金：</w:t>
      </w:r>
      <w:r>
        <w:rPr>
          <w:rFonts w:hint="eastAsia" w:ascii="宋体" w:hAnsi="宋体"/>
          <w:sz w:val="24"/>
          <w:szCs w:val="24"/>
          <w:highlight w:val="none"/>
          <w:u w:val="single"/>
        </w:rPr>
        <w:t xml:space="preserve">          已包括      </w:t>
      </w:r>
      <w:r>
        <w:rPr>
          <w:rFonts w:hint="eastAsia" w:ascii="宋体" w:hAnsi="宋体"/>
          <w:sz w:val="24"/>
          <w:szCs w:val="24"/>
          <w:highlight w:val="none"/>
        </w:rPr>
        <w:t>。</w:t>
      </w:r>
    </w:p>
    <w:p w14:paraId="436DD803">
      <w:pPr>
        <w:adjustRightInd w:val="0"/>
        <w:snapToGrid w:val="0"/>
        <w:spacing w:line="360" w:lineRule="auto"/>
        <w:ind w:firstLine="960" w:firstLineChars="400"/>
        <w:rPr>
          <w:rFonts w:ascii="宋体" w:hAnsi="宋体"/>
          <w:sz w:val="24"/>
          <w:szCs w:val="24"/>
          <w:highlight w:val="none"/>
        </w:rPr>
      </w:pPr>
      <w:r>
        <w:rPr>
          <w:rFonts w:hint="eastAsia" w:ascii="宋体" w:hAnsi="宋体"/>
          <w:kern w:val="0"/>
          <w:sz w:val="24"/>
          <w:szCs w:val="24"/>
          <w:highlight w:val="none"/>
        </w:rPr>
        <w:t>（4）</w:t>
      </w:r>
      <w:r>
        <w:rPr>
          <w:rFonts w:hint="eastAsia" w:ascii="宋体" w:hAnsi="宋体"/>
          <w:sz w:val="24"/>
          <w:szCs w:val="24"/>
          <w:highlight w:val="none"/>
        </w:rPr>
        <w:t>其他相关服务酬金：</w:t>
      </w:r>
      <w:r>
        <w:rPr>
          <w:rFonts w:hint="eastAsia" w:ascii="宋体" w:hAnsi="宋体"/>
          <w:sz w:val="24"/>
          <w:szCs w:val="24"/>
          <w:highlight w:val="none"/>
          <w:u w:val="single"/>
        </w:rPr>
        <w:t xml:space="preserve">            无         </w:t>
      </w:r>
      <w:r>
        <w:rPr>
          <w:rFonts w:hint="eastAsia" w:ascii="宋体" w:hAnsi="宋体"/>
          <w:sz w:val="24"/>
          <w:szCs w:val="24"/>
          <w:highlight w:val="none"/>
        </w:rPr>
        <w:t>。</w:t>
      </w:r>
    </w:p>
    <w:p w14:paraId="5C359872">
      <w:pPr>
        <w:pStyle w:val="40"/>
        <w:spacing w:line="360" w:lineRule="auto"/>
        <w:ind w:left="0" w:firstLine="0"/>
        <w:jc w:val="left"/>
        <w:rPr>
          <w:rFonts w:ascii="宋体" w:hAnsi="宋体"/>
          <w:highlight w:val="none"/>
        </w:rPr>
      </w:pPr>
      <w:bookmarkStart w:id="192" w:name="_Toc456102382"/>
      <w:bookmarkEnd w:id="192"/>
      <w:bookmarkStart w:id="193" w:name="_Toc230"/>
      <w:r>
        <w:rPr>
          <w:rFonts w:hint="eastAsia" w:ascii="宋体" w:hAnsi="宋体"/>
          <w:highlight w:val="none"/>
        </w:rPr>
        <w:t>六、期限</w:t>
      </w:r>
      <w:bookmarkEnd w:id="193"/>
    </w:p>
    <w:p w14:paraId="74AE0B4E">
      <w:pPr>
        <w:adjustRightInd w:val="0"/>
        <w:snapToGrid w:val="0"/>
        <w:spacing w:line="360" w:lineRule="auto"/>
        <w:ind w:firstLine="600" w:firstLineChars="250"/>
        <w:jc w:val="left"/>
        <w:rPr>
          <w:rFonts w:ascii="宋体" w:hAnsi="宋体"/>
          <w:sz w:val="24"/>
          <w:szCs w:val="24"/>
          <w:highlight w:val="none"/>
        </w:rPr>
      </w:pPr>
      <w:r>
        <w:rPr>
          <w:rFonts w:hint="eastAsia" w:ascii="宋体" w:hAnsi="宋体"/>
          <w:kern w:val="0"/>
          <w:sz w:val="24"/>
          <w:szCs w:val="24"/>
          <w:highlight w:val="none"/>
        </w:rPr>
        <w:t xml:space="preserve">1. </w:t>
      </w:r>
      <w:r>
        <w:rPr>
          <w:rFonts w:hint="eastAsia" w:ascii="宋体" w:hAnsi="宋体"/>
          <w:sz w:val="24"/>
          <w:szCs w:val="24"/>
          <w:highlight w:val="none"/>
        </w:rPr>
        <w:t>监理期限：。</w:t>
      </w:r>
    </w:p>
    <w:p w14:paraId="40AA202E">
      <w:pPr>
        <w:adjustRightInd w:val="0"/>
        <w:snapToGrid w:val="0"/>
        <w:spacing w:line="360" w:lineRule="auto"/>
        <w:ind w:firstLine="600" w:firstLineChars="250"/>
        <w:rPr>
          <w:rFonts w:ascii="宋体" w:hAnsi="宋体"/>
          <w:kern w:val="0"/>
          <w:sz w:val="24"/>
          <w:szCs w:val="24"/>
          <w:highlight w:val="none"/>
        </w:rPr>
      </w:pPr>
      <w:r>
        <w:rPr>
          <w:rFonts w:hint="eastAsia" w:ascii="宋体" w:hAnsi="宋体"/>
          <w:kern w:val="0"/>
          <w:sz w:val="24"/>
          <w:szCs w:val="24"/>
          <w:highlight w:val="none"/>
        </w:rPr>
        <w:t>2. 相关服务期限：</w:t>
      </w:r>
    </w:p>
    <w:p w14:paraId="166759B2">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（1）勘察阶段服务期限自年月日始，至年 月 日止；</w:t>
      </w:r>
    </w:p>
    <w:p w14:paraId="66318C19">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（2）设计阶段服务期限自年月日始，至年 月 日止；</w:t>
      </w:r>
    </w:p>
    <w:p w14:paraId="5AB316B0">
      <w:pPr>
        <w:adjustRightInd w:val="0"/>
        <w:snapToGrid w:val="0"/>
        <w:spacing w:line="360" w:lineRule="auto"/>
        <w:ind w:left="420" w:leftChars="200"/>
        <w:rPr>
          <w:rFonts w:ascii="宋体" w:hAnsi="宋体"/>
          <w:kern w:val="0"/>
          <w:sz w:val="24"/>
          <w:szCs w:val="24"/>
          <w:highlight w:val="none"/>
        </w:rPr>
      </w:pPr>
      <w:r>
        <w:rPr>
          <w:rFonts w:hint="eastAsia" w:ascii="宋体" w:hAnsi="宋体"/>
          <w:kern w:val="0"/>
          <w:sz w:val="24"/>
          <w:szCs w:val="24"/>
          <w:highlight w:val="none"/>
        </w:rPr>
        <w:t>（3）保修阶段服务期限自年月日始，至年 月 日止；（4）其他相关服务期限自年月日始，至年 月 日止。</w:t>
      </w:r>
    </w:p>
    <w:p w14:paraId="3A7BB008">
      <w:pPr>
        <w:pStyle w:val="40"/>
        <w:spacing w:line="360" w:lineRule="auto"/>
        <w:ind w:left="0" w:firstLine="0"/>
        <w:jc w:val="left"/>
        <w:rPr>
          <w:rFonts w:ascii="宋体" w:hAnsi="宋体"/>
          <w:highlight w:val="none"/>
        </w:rPr>
      </w:pPr>
      <w:bookmarkStart w:id="194" w:name="_Toc456102383"/>
      <w:bookmarkEnd w:id="194"/>
      <w:bookmarkStart w:id="195" w:name="_Toc19257"/>
      <w:r>
        <w:rPr>
          <w:rFonts w:hint="eastAsia" w:ascii="宋体" w:hAnsi="宋体"/>
          <w:highlight w:val="none"/>
        </w:rPr>
        <w:t>七、双方承诺</w:t>
      </w:r>
      <w:bookmarkEnd w:id="195"/>
    </w:p>
    <w:p w14:paraId="3EA79378">
      <w:pPr>
        <w:adjustRightInd w:val="0"/>
        <w:snapToGrid w:val="0"/>
        <w:spacing w:line="360" w:lineRule="auto"/>
        <w:rPr>
          <w:rFonts w:ascii="宋体" w:hAnsi="宋体"/>
          <w:kern w:val="0"/>
          <w:sz w:val="24"/>
          <w:szCs w:val="24"/>
          <w:highlight w:val="none"/>
        </w:rPr>
      </w:pPr>
      <w:bookmarkStart w:id="196" w:name="_Toc456102384"/>
      <w:bookmarkEnd w:id="196"/>
      <w:bookmarkStart w:id="197" w:name="_Toc22874"/>
      <w:r>
        <w:rPr>
          <w:rFonts w:hint="eastAsia" w:ascii="宋体" w:hAnsi="宋体"/>
          <w:kern w:val="0"/>
          <w:sz w:val="24"/>
          <w:szCs w:val="24"/>
          <w:highlight w:val="none"/>
        </w:rPr>
        <w:t>1. 监理人向委托人承诺，按照本合同约定提供监理与相关服务。</w:t>
      </w:r>
      <w:bookmarkEnd w:id="197"/>
    </w:p>
    <w:p w14:paraId="34590AB8">
      <w:pPr>
        <w:adjustRightInd w:val="0"/>
        <w:snapToGrid w:val="0"/>
        <w:spacing w:line="360" w:lineRule="auto"/>
        <w:rPr>
          <w:rFonts w:ascii="宋体" w:hAnsi="宋体"/>
          <w:kern w:val="0"/>
          <w:sz w:val="24"/>
          <w:szCs w:val="24"/>
          <w:highlight w:val="none"/>
        </w:rPr>
      </w:pPr>
      <w:bookmarkStart w:id="198" w:name="_Toc456102385"/>
      <w:bookmarkEnd w:id="198"/>
      <w:bookmarkStart w:id="199" w:name="_Toc15064"/>
      <w:r>
        <w:rPr>
          <w:rFonts w:hint="eastAsia" w:ascii="宋体" w:hAnsi="宋体"/>
          <w:kern w:val="0"/>
          <w:sz w:val="24"/>
          <w:szCs w:val="24"/>
          <w:highlight w:val="none"/>
        </w:rPr>
        <w:t>2. 委托人向监理人承诺，按照本合同约定派遣相应的人员，提供房屋、资料、设备，并按本合同约定支付酬金。</w:t>
      </w:r>
      <w:bookmarkEnd w:id="199"/>
    </w:p>
    <w:p w14:paraId="7F92FBB0">
      <w:pPr>
        <w:pStyle w:val="40"/>
        <w:spacing w:line="360" w:lineRule="auto"/>
        <w:ind w:left="0" w:firstLine="0"/>
        <w:jc w:val="left"/>
        <w:rPr>
          <w:rFonts w:ascii="宋体" w:hAnsi="宋体"/>
          <w:highlight w:val="none"/>
        </w:rPr>
      </w:pPr>
      <w:bookmarkStart w:id="200" w:name="_Toc456102386"/>
      <w:bookmarkEnd w:id="200"/>
      <w:bookmarkStart w:id="201" w:name="_Toc14641"/>
      <w:r>
        <w:rPr>
          <w:rFonts w:hint="eastAsia" w:ascii="宋体" w:hAnsi="宋体"/>
          <w:highlight w:val="none"/>
        </w:rPr>
        <w:t>八、合同订立</w:t>
      </w:r>
      <w:bookmarkEnd w:id="201"/>
    </w:p>
    <w:p w14:paraId="3344EE35">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1. 订立时间：年月日。</w:t>
      </w:r>
    </w:p>
    <w:p w14:paraId="0B36D625">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2. 订立地点：。</w:t>
      </w:r>
    </w:p>
    <w:p w14:paraId="5C27F0A3">
      <w:pPr>
        <w:adjustRightInd w:val="0"/>
        <w:snapToGrid w:val="0"/>
        <w:spacing w:line="360" w:lineRule="auto"/>
        <w:ind w:left="632" w:leftChars="301"/>
        <w:rPr>
          <w:rFonts w:ascii="宋体" w:hAnsi="宋体"/>
          <w:sz w:val="24"/>
          <w:szCs w:val="24"/>
          <w:highlight w:val="none"/>
        </w:rPr>
      </w:pPr>
      <w:r>
        <w:rPr>
          <w:rFonts w:hint="eastAsia" w:ascii="宋体" w:hAnsi="宋体"/>
          <w:sz w:val="24"/>
          <w:szCs w:val="24"/>
          <w:highlight w:val="none"/>
        </w:rPr>
        <w:t>3. 本合同一式份，具有同等法律效力，双方各执份。</w:t>
      </w:r>
    </w:p>
    <w:p w14:paraId="661EC0D1">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委托人：</w:t>
      </w:r>
      <w:r>
        <w:rPr>
          <w:rFonts w:hint="eastAsia" w:ascii="宋体" w:hAnsi="宋体"/>
          <w:sz w:val="24"/>
          <w:szCs w:val="24"/>
          <w:highlight w:val="none"/>
          <w:u w:val="single"/>
        </w:rPr>
        <w:t xml:space="preserve">   （盖章）     </w:t>
      </w:r>
      <w:r>
        <w:rPr>
          <w:rFonts w:hint="eastAsia" w:ascii="宋体" w:hAnsi="宋体"/>
          <w:sz w:val="24"/>
          <w:szCs w:val="24"/>
          <w:highlight w:val="none"/>
        </w:rPr>
        <w:t xml:space="preserve">            监理人：</w:t>
      </w:r>
      <w:r>
        <w:rPr>
          <w:rFonts w:hint="eastAsia" w:ascii="宋体" w:hAnsi="宋体"/>
          <w:sz w:val="24"/>
          <w:szCs w:val="24"/>
          <w:highlight w:val="none"/>
          <w:u w:val="single"/>
        </w:rPr>
        <w:t xml:space="preserve">   （盖章）    </w:t>
      </w:r>
    </w:p>
    <w:p w14:paraId="738AF2D6">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 xml:space="preserve">住所：     住所： </w:t>
      </w:r>
    </w:p>
    <w:p w14:paraId="76DD511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   邮政编码：</w:t>
      </w:r>
    </w:p>
    <w:p w14:paraId="7ABD302C">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法定代表人或其授权                  法定代表人或其授权</w:t>
      </w:r>
    </w:p>
    <w:p w14:paraId="583F677B">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的代理人：</w:t>
      </w:r>
      <w:r>
        <w:rPr>
          <w:rFonts w:hint="eastAsia" w:ascii="宋体" w:hAnsi="宋体"/>
          <w:sz w:val="24"/>
          <w:szCs w:val="24"/>
          <w:highlight w:val="none"/>
          <w:u w:val="single"/>
        </w:rPr>
        <w:t xml:space="preserve">（签字）       </w:t>
      </w:r>
      <w:r>
        <w:rPr>
          <w:rFonts w:hint="eastAsia" w:ascii="宋体" w:hAnsi="宋体"/>
          <w:sz w:val="24"/>
          <w:szCs w:val="24"/>
          <w:highlight w:val="none"/>
        </w:rPr>
        <w:t xml:space="preserve">           的代理人：</w:t>
      </w:r>
      <w:r>
        <w:rPr>
          <w:rFonts w:hint="eastAsia" w:ascii="宋体" w:hAnsi="宋体"/>
          <w:sz w:val="24"/>
          <w:szCs w:val="24"/>
          <w:highlight w:val="none"/>
          <w:u w:val="single"/>
        </w:rPr>
        <w:t xml:space="preserve">（签字）          </w:t>
      </w:r>
    </w:p>
    <w:p w14:paraId="31B20983">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开户银行：                          开户银行：</w:t>
      </w:r>
    </w:p>
    <w:p w14:paraId="2C97C1BD">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账号：                              账号：</w:t>
      </w:r>
    </w:p>
    <w:p w14:paraId="38F735B0">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电话：                              电话：</w:t>
      </w:r>
    </w:p>
    <w:p w14:paraId="3422B4FF">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传真：                              传真：</w:t>
      </w:r>
    </w:p>
    <w:p w14:paraId="235FFBC7">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rPr>
        <w:t>电子邮箱：                          电子邮箱：</w:t>
      </w:r>
    </w:p>
    <w:p w14:paraId="07E28354">
      <w:pPr>
        <w:spacing w:before="312" w:beforeLines="100" w:line="360" w:lineRule="auto"/>
        <w:jc w:val="center"/>
        <w:rPr>
          <w:rFonts w:ascii="华文中宋" w:hAnsi="华文中宋" w:eastAsia="华文中宋"/>
          <w:b/>
          <w:bCs/>
          <w:sz w:val="32"/>
          <w:szCs w:val="32"/>
          <w:highlight w:val="none"/>
        </w:rPr>
      </w:pPr>
    </w:p>
    <w:p w14:paraId="26C52CA7">
      <w:pPr>
        <w:spacing w:before="312" w:beforeLines="100" w:line="360" w:lineRule="auto"/>
        <w:jc w:val="center"/>
        <w:rPr>
          <w:rFonts w:ascii="华文中宋" w:hAnsi="华文中宋" w:eastAsia="华文中宋"/>
          <w:b/>
          <w:bCs/>
          <w:sz w:val="32"/>
          <w:szCs w:val="32"/>
          <w:highlight w:val="none"/>
        </w:rPr>
      </w:pPr>
    </w:p>
    <w:p w14:paraId="17035FFD">
      <w:pPr>
        <w:spacing w:before="312" w:beforeLines="100" w:line="360" w:lineRule="auto"/>
        <w:rPr>
          <w:rFonts w:ascii="华文中宋" w:hAnsi="华文中宋" w:eastAsia="华文中宋"/>
          <w:b/>
          <w:bCs/>
          <w:sz w:val="32"/>
          <w:szCs w:val="32"/>
          <w:highlight w:val="none"/>
        </w:rPr>
      </w:pPr>
    </w:p>
    <w:p w14:paraId="04DB4589">
      <w:pPr>
        <w:spacing w:before="312" w:beforeLines="100" w:line="360" w:lineRule="auto"/>
        <w:jc w:val="center"/>
        <w:rPr>
          <w:rFonts w:ascii="华文中宋" w:hAnsi="华文中宋" w:eastAsia="华文中宋"/>
          <w:b/>
          <w:bCs/>
          <w:sz w:val="32"/>
          <w:szCs w:val="32"/>
          <w:highlight w:val="none"/>
        </w:rPr>
      </w:pPr>
    </w:p>
    <w:p w14:paraId="49099C88">
      <w:pPr>
        <w:spacing w:before="312" w:beforeLines="100" w:line="360" w:lineRule="auto"/>
        <w:jc w:val="center"/>
        <w:rPr>
          <w:rFonts w:ascii="华文中宋" w:hAnsi="华文中宋" w:eastAsia="华文中宋"/>
          <w:b/>
          <w:bCs/>
          <w:sz w:val="32"/>
          <w:szCs w:val="32"/>
          <w:highlight w:val="none"/>
        </w:rPr>
      </w:pPr>
    </w:p>
    <w:p w14:paraId="3C319C47">
      <w:pPr>
        <w:spacing w:before="312" w:beforeLines="100" w:line="360" w:lineRule="auto"/>
        <w:jc w:val="center"/>
        <w:rPr>
          <w:rFonts w:ascii="华文中宋" w:hAnsi="华文中宋" w:eastAsia="华文中宋"/>
          <w:b/>
          <w:bCs/>
          <w:sz w:val="32"/>
          <w:szCs w:val="32"/>
          <w:highlight w:val="none"/>
        </w:rPr>
      </w:pPr>
    </w:p>
    <w:p w14:paraId="546E2F37">
      <w:pPr>
        <w:spacing w:before="312" w:beforeLines="100" w:line="360" w:lineRule="auto"/>
        <w:jc w:val="both"/>
        <w:rPr>
          <w:rFonts w:hint="eastAsia" w:ascii="华文中宋" w:hAnsi="华文中宋" w:eastAsia="华文中宋"/>
          <w:b/>
          <w:bCs/>
          <w:sz w:val="32"/>
          <w:szCs w:val="32"/>
          <w:highlight w:val="none"/>
        </w:rPr>
      </w:pPr>
    </w:p>
    <w:p w14:paraId="2EF6518C">
      <w:pPr>
        <w:spacing w:before="312" w:beforeLines="100" w:line="360" w:lineRule="auto"/>
        <w:jc w:val="center"/>
        <w:rPr>
          <w:rFonts w:hint="eastAsia" w:ascii="华文中宋" w:hAnsi="华文中宋" w:eastAsia="华文中宋"/>
          <w:b/>
          <w:bCs/>
          <w:sz w:val="32"/>
          <w:szCs w:val="32"/>
          <w:highlight w:val="none"/>
        </w:rPr>
      </w:pPr>
    </w:p>
    <w:p w14:paraId="11725978">
      <w:pPr>
        <w:spacing w:before="312" w:beforeLines="100" w:line="360" w:lineRule="auto"/>
        <w:jc w:val="center"/>
        <w:rPr>
          <w:rFonts w:ascii="华文中宋" w:hAnsi="华文中宋" w:eastAsia="华文中宋"/>
          <w:b/>
          <w:bCs/>
          <w:sz w:val="32"/>
          <w:szCs w:val="32"/>
          <w:highlight w:val="none"/>
        </w:rPr>
      </w:pPr>
      <w:r>
        <w:rPr>
          <w:rFonts w:hint="eastAsia" w:ascii="华文中宋" w:hAnsi="华文中宋" w:eastAsia="华文中宋"/>
          <w:b/>
          <w:bCs/>
          <w:sz w:val="32"/>
          <w:szCs w:val="32"/>
          <w:highlight w:val="none"/>
        </w:rPr>
        <w:t>第二部分  通用条件</w:t>
      </w:r>
    </w:p>
    <w:p w14:paraId="60F0D487">
      <w:pPr>
        <w:spacing w:line="360" w:lineRule="auto"/>
        <w:jc w:val="center"/>
        <w:rPr>
          <w:rFonts w:ascii="宋体" w:hAnsi="宋体"/>
          <w:b/>
          <w:bCs/>
          <w:sz w:val="24"/>
          <w:szCs w:val="24"/>
          <w:highlight w:val="none"/>
        </w:rPr>
      </w:pPr>
    </w:p>
    <w:p w14:paraId="0639D8E5">
      <w:pPr>
        <w:spacing w:line="360" w:lineRule="auto"/>
        <w:rPr>
          <w:rFonts w:ascii="宋体" w:hAnsi="宋体"/>
          <w:b/>
          <w:bCs/>
          <w:sz w:val="24"/>
          <w:szCs w:val="24"/>
          <w:highlight w:val="none"/>
        </w:rPr>
      </w:pPr>
      <w:r>
        <w:rPr>
          <w:rFonts w:hint="eastAsia" w:ascii="宋体" w:hAnsi="宋体"/>
          <w:b/>
          <w:bCs/>
          <w:sz w:val="24"/>
          <w:szCs w:val="24"/>
          <w:highlight w:val="none"/>
        </w:rPr>
        <w:t>1. 定义与解释</w:t>
      </w:r>
    </w:p>
    <w:p w14:paraId="11424207">
      <w:pPr>
        <w:spacing w:line="360" w:lineRule="auto"/>
        <w:ind w:left="210" w:leftChars="100"/>
        <w:rPr>
          <w:rFonts w:ascii="宋体" w:hAnsi="宋体"/>
          <w:sz w:val="24"/>
          <w:szCs w:val="24"/>
          <w:highlight w:val="none"/>
        </w:rPr>
      </w:pPr>
      <w:r>
        <w:rPr>
          <w:rFonts w:hint="eastAsia" w:ascii="宋体" w:hAnsi="宋体"/>
          <w:sz w:val="24"/>
          <w:szCs w:val="24"/>
          <w:highlight w:val="none"/>
        </w:rPr>
        <w:t>1.1 定义</w:t>
      </w:r>
    </w:p>
    <w:p w14:paraId="47B0C71E">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除根据上下文另有其意义外，组成本合同的全部文件中的下列名词和用语应具有本款所赋予的含义：</w:t>
      </w:r>
    </w:p>
    <w:p w14:paraId="467D0025">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 “工程”是指按照本合同约定实施监理与相关服务的建设工程。</w:t>
      </w:r>
    </w:p>
    <w:p w14:paraId="27E6936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1.1.2 “委托人”是指本合同中委托监理与相关服务的一方，及其合法的继承人或受让人。</w:t>
      </w:r>
    </w:p>
    <w:p w14:paraId="73EB750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1.1.3 “监理人”是指本合同中提供监理与相关服务的一方，及其合法的继承人。</w:t>
      </w:r>
    </w:p>
    <w:p w14:paraId="4062DEC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1.1.4 “承包人”是指在工程范围内与委托人签订勘察、设计、施工等有关合同的当事人，及其合法的继承人。</w:t>
      </w:r>
    </w:p>
    <w:p w14:paraId="12BD9F7E">
      <w:pPr>
        <w:pStyle w:val="11"/>
        <w:spacing w:line="360" w:lineRule="auto"/>
        <w:ind w:firstLine="480" w:firstLineChars="200"/>
        <w:rPr>
          <w:rFonts w:hAnsi="宋体"/>
          <w:sz w:val="24"/>
          <w:szCs w:val="24"/>
          <w:highlight w:val="none"/>
        </w:rPr>
      </w:pPr>
      <w:r>
        <w:rPr>
          <w:rFonts w:hint="eastAsia" w:ascii="宋体" w:hAnsi="宋体"/>
          <w:sz w:val="24"/>
          <w:szCs w:val="24"/>
          <w:highlight w:val="none"/>
        </w:rPr>
        <w:t>1.1.5 “监理”是指监理人受委托人的委托 ，依照法律法规、工程建设标准、勘察设计文件及合同，在施</w:t>
      </w:r>
      <w:r>
        <w:rPr>
          <w:rFonts w:hint="eastAsia" w:hAnsi="宋体"/>
          <w:sz w:val="24"/>
          <w:szCs w:val="24"/>
          <w:highlight w:val="none"/>
        </w:rPr>
        <w:t>工阶段对建设工程质量、进度、造价进行控制，对合同、信息进行管理，对工程建设相关方的关系进行协调，并履行建设工程安全生产管理法定职责的服务活动。</w:t>
      </w:r>
    </w:p>
    <w:p w14:paraId="1EDF1894">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1.1.6 “相关服务”是指监理人受委托人的委托 ，按照本合同约定，在勘察、设计、保修等阶段提供的服务活动。</w:t>
      </w:r>
    </w:p>
    <w:p w14:paraId="48A7520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1.1.7 “正常工作”指本合同订立时通用条件和专用条件中约定的监理人的工作。</w:t>
      </w:r>
    </w:p>
    <w:p w14:paraId="56E810B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1.1.8 “附加工作”是指本合同约定的正常工作以外监理人的工作。</w:t>
      </w:r>
    </w:p>
    <w:p w14:paraId="00881F4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1.1.9 “项目监理机构”是指监理人派驻工程负责履行本合同的组织机构。</w:t>
      </w:r>
    </w:p>
    <w:p w14:paraId="0F30A99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1.1.10 “总监理工程师”是指由监理人的法定代表人书面授权，全面负责履行本合同、主持项目监理机构工作的注册监理工程师。</w:t>
      </w:r>
    </w:p>
    <w:p w14:paraId="40F59210">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1.1.11 “酬金”是指监理人履行本合同义务，委托人按照本合同约定给付监理人的金额。</w:t>
      </w:r>
    </w:p>
    <w:p w14:paraId="6F07DC19">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1.1.12 “正常工作</w:t>
      </w:r>
      <w:r>
        <w:rPr>
          <w:rFonts w:hint="eastAsia" w:ascii="宋体" w:hAnsi="宋体"/>
          <w:kern w:val="0"/>
          <w:sz w:val="24"/>
          <w:szCs w:val="24"/>
          <w:highlight w:val="none"/>
        </w:rPr>
        <w:t>酬金”</w:t>
      </w:r>
      <w:r>
        <w:rPr>
          <w:rFonts w:hint="eastAsia" w:ascii="宋体" w:hAnsi="宋体"/>
          <w:sz w:val="24"/>
          <w:szCs w:val="24"/>
          <w:highlight w:val="none"/>
        </w:rPr>
        <w:t>是指监理人完成正常工作，委托人应给付监理人并在协议书中载明的签约</w:t>
      </w:r>
      <w:r>
        <w:rPr>
          <w:rFonts w:hint="eastAsia" w:ascii="宋体" w:hAnsi="宋体"/>
          <w:kern w:val="0"/>
          <w:sz w:val="24"/>
          <w:szCs w:val="24"/>
          <w:highlight w:val="none"/>
        </w:rPr>
        <w:t>酬金额</w:t>
      </w:r>
      <w:r>
        <w:rPr>
          <w:rFonts w:hint="eastAsia" w:ascii="宋体" w:hAnsi="宋体"/>
          <w:sz w:val="24"/>
          <w:szCs w:val="24"/>
          <w:highlight w:val="none"/>
        </w:rPr>
        <w:t>。</w:t>
      </w:r>
    </w:p>
    <w:p w14:paraId="214807BF">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1.1.13 “附加工作酬金”是指监理人完成附加工作，委托人应给付监理人的金额。</w:t>
      </w:r>
    </w:p>
    <w:p w14:paraId="0224D57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1.1.14 “一方”是指委托人或监理人；“双方”是指委托人和监理人；“第三方”是指除委托人和监理人以外的有关方。</w:t>
      </w:r>
    </w:p>
    <w:p w14:paraId="39484AD6">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1.1.15 “书面形式”是指合同书、信件和数据电文（包括电报、电传、传真、电子数据交换和电子邮件）等可以有形地表现所载内容的形式。</w:t>
      </w:r>
    </w:p>
    <w:p w14:paraId="31853BD3">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1.1.16 “天”是指第一天零时至第二天零时的时间。</w:t>
      </w:r>
    </w:p>
    <w:p w14:paraId="07F33D8E">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1.1.17“月”是指按公历从一个月中任何一天开始的一个公历月时间。</w:t>
      </w:r>
    </w:p>
    <w:p w14:paraId="6E791398">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6A73958">
      <w:pPr>
        <w:adjustRightInd w:val="0"/>
        <w:snapToGrid w:val="0"/>
        <w:spacing w:line="360" w:lineRule="auto"/>
        <w:ind w:left="210" w:leftChars="100"/>
        <w:rPr>
          <w:rFonts w:ascii="宋体" w:hAnsi="宋体"/>
          <w:sz w:val="24"/>
          <w:szCs w:val="24"/>
          <w:highlight w:val="none"/>
        </w:rPr>
      </w:pPr>
      <w:r>
        <w:rPr>
          <w:rFonts w:hint="eastAsia" w:ascii="宋体" w:hAnsi="宋体"/>
          <w:sz w:val="24"/>
          <w:szCs w:val="24"/>
          <w:highlight w:val="none"/>
        </w:rPr>
        <w:t>1.2 解释</w:t>
      </w:r>
    </w:p>
    <w:p w14:paraId="70D3BB0B">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1.2.1本合同使用中文书写、解释和说明。如专用条件约定使用两种及以上语言文字时，应以中文为准。</w:t>
      </w:r>
    </w:p>
    <w:p w14:paraId="08A30D0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1.2.2 组成本合同的下列文件彼此应能相互解释、互为说明。除专用条件另有约定外，本合同文件的解释顺序如下：</w:t>
      </w:r>
    </w:p>
    <w:p w14:paraId="5EA3378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（1）协议书；</w:t>
      </w:r>
    </w:p>
    <w:p w14:paraId="3E74F1A3">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（2）中标通知书（适用于招标工程）或委托书（适用于非招标工程）；</w:t>
      </w:r>
    </w:p>
    <w:p w14:paraId="4F8D9D2B">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（3）专用条件及附录A、附录B；</w:t>
      </w:r>
    </w:p>
    <w:p w14:paraId="05BA2D5E">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（4）通用条件；</w:t>
      </w:r>
    </w:p>
    <w:p w14:paraId="0AD03046">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（5）投标文件（适用于招标工程）或监理与相关服务建议书（适用于非招标工程）。</w:t>
      </w:r>
    </w:p>
    <w:p w14:paraId="1CE912A9">
      <w:pPr>
        <w:spacing w:line="360" w:lineRule="auto"/>
        <w:ind w:firstLine="480" w:firstLineChars="200"/>
        <w:rPr>
          <w:rFonts w:ascii="宋体" w:hAnsi="宋体"/>
          <w:sz w:val="24"/>
          <w:szCs w:val="24"/>
          <w:highlight w:val="none"/>
        </w:rPr>
      </w:pPr>
      <w:r>
        <w:rPr>
          <w:rFonts w:hint="eastAsia" w:ascii="宋体" w:hAnsi="宋体"/>
          <w:sz w:val="24"/>
          <w:szCs w:val="24"/>
          <w:highlight w:val="none"/>
        </w:rPr>
        <w:t>双方签订的补充协议与其他文件发生矛盾或歧义时，属于同一类内容的文件，应以最新签署的为准。</w:t>
      </w:r>
    </w:p>
    <w:p w14:paraId="3549DE82">
      <w:pPr>
        <w:spacing w:line="360" w:lineRule="auto"/>
        <w:rPr>
          <w:rFonts w:ascii="宋体" w:hAnsi="宋体"/>
          <w:b/>
          <w:bCs/>
          <w:sz w:val="24"/>
          <w:szCs w:val="24"/>
          <w:highlight w:val="none"/>
        </w:rPr>
      </w:pPr>
      <w:r>
        <w:rPr>
          <w:rFonts w:hint="eastAsia" w:ascii="宋体" w:hAnsi="宋体"/>
          <w:b/>
          <w:bCs/>
          <w:sz w:val="24"/>
          <w:szCs w:val="24"/>
          <w:highlight w:val="none"/>
        </w:rPr>
        <w:t>2. 监理人的义务</w:t>
      </w:r>
    </w:p>
    <w:p w14:paraId="084F16BC">
      <w:pPr>
        <w:adjustRightInd w:val="0"/>
        <w:snapToGrid w:val="0"/>
        <w:spacing w:line="360" w:lineRule="auto"/>
        <w:ind w:left="210" w:leftChars="100"/>
        <w:rPr>
          <w:rFonts w:ascii="宋体" w:hAnsi="宋体"/>
          <w:sz w:val="24"/>
          <w:szCs w:val="24"/>
          <w:highlight w:val="none"/>
        </w:rPr>
      </w:pPr>
      <w:r>
        <w:rPr>
          <w:rFonts w:hint="eastAsia" w:ascii="宋体" w:hAnsi="宋体"/>
          <w:sz w:val="24"/>
          <w:szCs w:val="24"/>
          <w:highlight w:val="none"/>
        </w:rPr>
        <w:t>2.1 监理的范围和工作内容</w:t>
      </w:r>
    </w:p>
    <w:p w14:paraId="22B1747D">
      <w:pPr>
        <w:adjustRightInd w:val="0"/>
        <w:snapToGrid w:val="0"/>
        <w:spacing w:line="360" w:lineRule="auto"/>
        <w:ind w:left="420" w:leftChars="200"/>
        <w:rPr>
          <w:rFonts w:ascii="宋体" w:hAnsi="宋体"/>
          <w:sz w:val="24"/>
          <w:szCs w:val="24"/>
          <w:highlight w:val="none"/>
        </w:rPr>
      </w:pPr>
      <w:r>
        <w:rPr>
          <w:rFonts w:hint="eastAsia" w:ascii="宋体" w:hAnsi="宋体"/>
          <w:sz w:val="24"/>
          <w:szCs w:val="24"/>
          <w:highlight w:val="none"/>
        </w:rPr>
        <w:t>2.1.1 监理范围在专用条件中约定。</w:t>
      </w:r>
    </w:p>
    <w:p w14:paraId="668F8977">
      <w:pPr>
        <w:adjustRightInd w:val="0"/>
        <w:snapToGrid w:val="0"/>
        <w:spacing w:line="360" w:lineRule="auto"/>
        <w:ind w:left="420" w:leftChars="200"/>
        <w:rPr>
          <w:rFonts w:ascii="宋体" w:hAnsi="宋体"/>
          <w:sz w:val="24"/>
          <w:szCs w:val="24"/>
          <w:highlight w:val="none"/>
        </w:rPr>
      </w:pPr>
      <w:r>
        <w:rPr>
          <w:rFonts w:hint="eastAsia" w:ascii="宋体" w:hAnsi="宋体"/>
          <w:sz w:val="24"/>
          <w:szCs w:val="24"/>
          <w:highlight w:val="none"/>
        </w:rPr>
        <w:t>2.1.2 除专用条件另有约定外，监理工作内容包括：</w:t>
      </w:r>
    </w:p>
    <w:p w14:paraId="734C48B6">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（1）收到工程设计文件后编制监理规划，并在第一次工地会议7天前报委托人。根据有关规定和监理工作需要，编制监理实施细则；</w:t>
      </w:r>
    </w:p>
    <w:p w14:paraId="6CD35252">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（2）熟悉工程设计文件，并参加由委托人主持的图纸会审和设计交底会议；</w:t>
      </w:r>
    </w:p>
    <w:p w14:paraId="6387909B">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（3）参加由委托人主持的第一次工地会议；主持监理例会并根据工程需要主持或参加专题会议；</w:t>
      </w:r>
    </w:p>
    <w:p w14:paraId="610034F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（4）审查施工承包人提交的施工组织设计，重点审查其中的质量安全技术措施、专项施工方案与工程建设强制性标准的符合性；</w:t>
      </w:r>
    </w:p>
    <w:p w14:paraId="3A4880E2">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（5）检查施工承包人工程质量、安全生产管理制度及组织机构和人员资格； </w:t>
      </w:r>
    </w:p>
    <w:p w14:paraId="1EA1189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（6）检查施工承包人专职安全生产管理人员的配备情况；</w:t>
      </w:r>
    </w:p>
    <w:p w14:paraId="609800C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（7）审查施工承包人提交的施工进度计划，核查承包人对施工进度计划的调整；</w:t>
      </w:r>
    </w:p>
    <w:p w14:paraId="47E9213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（8）检查施工承包人的试验室；</w:t>
      </w:r>
    </w:p>
    <w:p w14:paraId="02BB2C17">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（9）审核施工分包人资质条件；</w:t>
      </w:r>
    </w:p>
    <w:p w14:paraId="51EB9F68">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（10）查验施工承包人的施工测量放线成果；</w:t>
      </w:r>
    </w:p>
    <w:p w14:paraId="6856CC94">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（11）审查工程开工条件，对条件具备的签发开工令；</w:t>
      </w:r>
    </w:p>
    <w:p w14:paraId="3FC4ED02">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（12）审查施工承包人报送的工程材料、构配件、设备质量证明文件的有效性和符合性，并按规定对用于工程的材料采取平行检验或见证取样方式进行抽检；</w:t>
      </w:r>
    </w:p>
    <w:p w14:paraId="489AE406">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（13）审核施工承包人提交的工程款支付申请，签发或出具工程款支付证书，并报委托人审核、批准；</w:t>
      </w:r>
    </w:p>
    <w:p w14:paraId="7A98F16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（14）在巡视、旁站和检验过程中，发现工程质量、施工安全存在事故隐患的，要求施工承包人整改并报委托人；</w:t>
      </w:r>
    </w:p>
    <w:p w14:paraId="57687AEA">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（15）经委托人同意，签发工程暂停令和复工令；</w:t>
      </w:r>
    </w:p>
    <w:p w14:paraId="00DABE2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（16）审查施工承包人提交的采用新材料、新工艺、新技术、新设备的论证材料及相关验收标准；</w:t>
      </w:r>
    </w:p>
    <w:p w14:paraId="36BC8A1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（17）验收隐蔽工程、分部分项工程；</w:t>
      </w:r>
    </w:p>
    <w:p w14:paraId="7250ABA4">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（18）审查施工承包人提交的工程变更申请，协调处理施工进度调整、费用索赔、合同争议等事项；</w:t>
      </w:r>
    </w:p>
    <w:p w14:paraId="730BFEB7">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（19）审查施工承包人提交的竣工验收申请，编写工程质量评估报告；</w:t>
      </w:r>
    </w:p>
    <w:p w14:paraId="4BF04F24">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（20）参加工程竣工验收，签署竣工验收意见；</w:t>
      </w:r>
    </w:p>
    <w:p w14:paraId="62C4B612">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（21）审查施工承包人提交的竣工结算申请并报委托人；</w:t>
      </w:r>
    </w:p>
    <w:p w14:paraId="61115867">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（22）编制、整理工程监理归档文件并报委托人。</w:t>
      </w:r>
    </w:p>
    <w:p w14:paraId="601D1542">
      <w:pPr>
        <w:spacing w:line="360" w:lineRule="auto"/>
        <w:ind w:left="420" w:leftChars="200" w:firstLine="120" w:firstLineChars="50"/>
        <w:rPr>
          <w:rFonts w:ascii="宋体" w:hAnsi="宋体"/>
          <w:sz w:val="24"/>
          <w:szCs w:val="24"/>
          <w:highlight w:val="none"/>
        </w:rPr>
      </w:pPr>
      <w:r>
        <w:rPr>
          <w:rFonts w:hint="eastAsia" w:ascii="宋体" w:hAnsi="宋体"/>
          <w:sz w:val="24"/>
          <w:szCs w:val="24"/>
          <w:highlight w:val="none"/>
        </w:rPr>
        <w:t>2.1.3 相关服务的范围和内容在附录A中约定。</w:t>
      </w:r>
    </w:p>
    <w:p w14:paraId="4B835698">
      <w:pPr>
        <w:spacing w:line="360" w:lineRule="auto"/>
        <w:ind w:firstLine="240" w:firstLineChars="100"/>
        <w:rPr>
          <w:rFonts w:ascii="宋体" w:hAnsi="宋体"/>
          <w:sz w:val="24"/>
          <w:szCs w:val="24"/>
          <w:highlight w:val="none"/>
        </w:rPr>
      </w:pPr>
      <w:r>
        <w:rPr>
          <w:rFonts w:hint="eastAsia" w:ascii="宋体" w:hAnsi="宋体"/>
          <w:sz w:val="24"/>
          <w:szCs w:val="24"/>
          <w:highlight w:val="none"/>
        </w:rPr>
        <w:t>2.2 监理与相关服务依据</w:t>
      </w:r>
    </w:p>
    <w:p w14:paraId="146BEA9C">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2.2.1 监理依据包括：</w:t>
      </w:r>
    </w:p>
    <w:p w14:paraId="2273916A">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（1）适用的法律、行政法规及部门规章；</w:t>
      </w:r>
    </w:p>
    <w:p w14:paraId="4AEF8F58">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（2）与工程有关的标准；</w:t>
      </w:r>
    </w:p>
    <w:p w14:paraId="2619452F">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（3）工程设计及有关文件；</w:t>
      </w:r>
    </w:p>
    <w:p w14:paraId="7FC993ED">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（4）本合同及委托人与第三方签订的与实施工程有关的其他合同。</w:t>
      </w:r>
    </w:p>
    <w:p w14:paraId="6DBADA79">
      <w:pPr>
        <w:spacing w:line="360" w:lineRule="auto"/>
        <w:ind w:left="210" w:leftChars="100" w:firstLine="480" w:firstLineChars="200"/>
        <w:rPr>
          <w:rFonts w:ascii="宋体" w:hAnsi="宋体"/>
          <w:sz w:val="24"/>
          <w:szCs w:val="24"/>
          <w:highlight w:val="none"/>
        </w:rPr>
      </w:pPr>
      <w:r>
        <w:rPr>
          <w:rFonts w:hint="eastAsia" w:ascii="宋体" w:hAnsi="宋体"/>
          <w:sz w:val="24"/>
          <w:szCs w:val="24"/>
          <w:highlight w:val="none"/>
        </w:rPr>
        <w:t>双方根据工程的行业和地域特点，在专用条件中具体约定监理依据。</w:t>
      </w:r>
    </w:p>
    <w:p w14:paraId="5174A49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2.2.2 相关服务依据在专用条件中约定。</w:t>
      </w:r>
    </w:p>
    <w:p w14:paraId="528A78B9">
      <w:pPr>
        <w:spacing w:line="360" w:lineRule="auto"/>
        <w:ind w:firstLine="240" w:firstLineChars="100"/>
        <w:rPr>
          <w:rFonts w:ascii="宋体" w:hAnsi="宋体"/>
          <w:kern w:val="0"/>
          <w:sz w:val="24"/>
          <w:szCs w:val="24"/>
          <w:highlight w:val="none"/>
        </w:rPr>
      </w:pPr>
      <w:r>
        <w:rPr>
          <w:rFonts w:hint="eastAsia" w:ascii="宋体" w:hAnsi="宋体"/>
          <w:kern w:val="0"/>
          <w:sz w:val="24"/>
          <w:szCs w:val="24"/>
          <w:highlight w:val="none"/>
        </w:rPr>
        <w:t>2.3 项目监理机构和人员</w:t>
      </w:r>
    </w:p>
    <w:p w14:paraId="6C7D9494">
      <w:pPr>
        <w:adjustRightInd w:val="0"/>
        <w:snapToGrid w:val="0"/>
        <w:spacing w:line="360" w:lineRule="auto"/>
        <w:ind w:firstLine="645"/>
        <w:rPr>
          <w:rFonts w:ascii="宋体" w:hAnsi="宋体"/>
          <w:kern w:val="0"/>
          <w:sz w:val="24"/>
          <w:szCs w:val="24"/>
          <w:highlight w:val="none"/>
        </w:rPr>
      </w:pPr>
      <w:r>
        <w:rPr>
          <w:rFonts w:hint="eastAsia" w:ascii="宋体" w:hAnsi="宋体"/>
          <w:kern w:val="0"/>
          <w:sz w:val="24"/>
          <w:szCs w:val="24"/>
          <w:highlight w:val="none"/>
        </w:rPr>
        <w:t>2.3.1 监理人应组建满足工作需要的项目监理机构，配备必要的检测设备。项目监理机构的主要人员应具有相应的资格条件。</w:t>
      </w:r>
    </w:p>
    <w:p w14:paraId="7DB6E25B">
      <w:pPr>
        <w:adjustRightInd w:val="0"/>
        <w:snapToGrid w:val="0"/>
        <w:spacing w:line="360" w:lineRule="auto"/>
        <w:ind w:firstLine="645"/>
        <w:rPr>
          <w:rFonts w:ascii="宋体" w:hAnsi="宋体"/>
          <w:kern w:val="0"/>
          <w:sz w:val="24"/>
          <w:szCs w:val="24"/>
          <w:highlight w:val="none"/>
        </w:rPr>
      </w:pPr>
      <w:r>
        <w:rPr>
          <w:rFonts w:hint="eastAsia" w:ascii="宋体" w:hAnsi="宋体"/>
          <w:kern w:val="0"/>
          <w:sz w:val="24"/>
          <w:szCs w:val="24"/>
          <w:highlight w:val="none"/>
        </w:rPr>
        <w:t>2.3.2本合同履行过程中，总监理工程师及重要岗位监理人员应保持相对稳定，以保证监理工作正常进行。</w:t>
      </w:r>
    </w:p>
    <w:p w14:paraId="6B997072">
      <w:pPr>
        <w:adjustRightInd w:val="0"/>
        <w:snapToGrid w:val="0"/>
        <w:spacing w:line="360" w:lineRule="auto"/>
        <w:ind w:firstLine="645"/>
        <w:rPr>
          <w:rFonts w:ascii="宋体" w:hAnsi="宋体"/>
          <w:kern w:val="0"/>
          <w:sz w:val="24"/>
          <w:szCs w:val="24"/>
          <w:highlight w:val="none"/>
        </w:rPr>
      </w:pPr>
      <w:r>
        <w:rPr>
          <w:rFonts w:hint="eastAsia" w:ascii="宋体" w:hAnsi="宋体"/>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7E74724">
      <w:pPr>
        <w:adjustRightInd w:val="0"/>
        <w:snapToGrid w:val="0"/>
        <w:spacing w:line="360" w:lineRule="auto"/>
        <w:ind w:firstLine="645"/>
        <w:rPr>
          <w:rFonts w:ascii="宋体" w:hAnsi="宋体"/>
          <w:kern w:val="0"/>
          <w:sz w:val="24"/>
          <w:szCs w:val="24"/>
          <w:highlight w:val="none"/>
        </w:rPr>
      </w:pPr>
      <w:r>
        <w:rPr>
          <w:rFonts w:hint="eastAsia" w:ascii="宋体" w:hAnsi="宋体"/>
          <w:kern w:val="0"/>
          <w:sz w:val="24"/>
          <w:szCs w:val="24"/>
          <w:highlight w:val="none"/>
        </w:rPr>
        <w:t>2.3.4 监理人应及时更换有下列情形之一的监理人员：</w:t>
      </w:r>
    </w:p>
    <w:p w14:paraId="59449C2C">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（1）严重过失行为的；</w:t>
      </w:r>
    </w:p>
    <w:p w14:paraId="4AD5CC59">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（2）有违法行为不能履行职责的；</w:t>
      </w:r>
    </w:p>
    <w:p w14:paraId="18BF714A">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（3）涉嫌犯罪的；</w:t>
      </w:r>
    </w:p>
    <w:p w14:paraId="3C8AE833">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（4）不能胜任岗位职责的；</w:t>
      </w:r>
    </w:p>
    <w:p w14:paraId="45094876">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（5）严重违反职业道德的；</w:t>
      </w:r>
    </w:p>
    <w:p w14:paraId="1292F030">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（6）专用条件约定的其他情形。</w:t>
      </w:r>
    </w:p>
    <w:p w14:paraId="1E77D368">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2.3.5 委托人可要求监理人更换不能胜任本职工作的项目监理机构人员。</w:t>
      </w:r>
    </w:p>
    <w:p w14:paraId="26597259">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2.4 履行职责</w:t>
      </w:r>
    </w:p>
    <w:p w14:paraId="562C5713">
      <w:pPr>
        <w:adjustRightInd w:val="0"/>
        <w:snapToGrid w:val="0"/>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监理人应遵循职业道德准则和行为规范，严格按照法律法规、工程建设有关标准及本合同履行职责。</w:t>
      </w:r>
    </w:p>
    <w:p w14:paraId="20F1F8FB">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49A71BEE">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2.4.2 当委托人与承包人之间的合同争议提交仲裁机构仲裁或人民法院审理时，监理人应提供必要的证明资料。</w:t>
      </w:r>
    </w:p>
    <w:p w14:paraId="5877A1C3">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2.4.3 监理人应在专用条件约定的授权范围内，处理委托人与承包人所签订合同的变更事宜。如果变更超过授权范围，应以书面形式报委托人批准。</w:t>
      </w:r>
    </w:p>
    <w:p w14:paraId="55397B2A">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在紧急情况下，为了保护财产和人身安全，监理人所发出的指令未能事先报委托人批准时，应在发出指令后的24小时内以书面形式报委托人。</w:t>
      </w:r>
    </w:p>
    <w:p w14:paraId="4213DE7F">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2.4.4 除专用条件另有约定外，监理人发现承包人的人员不能胜任本职工作的，有权要求承包人予以调换。</w:t>
      </w:r>
    </w:p>
    <w:p w14:paraId="40A9507B">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2.5 提交报告</w:t>
      </w:r>
    </w:p>
    <w:p w14:paraId="570FD9D3">
      <w:pPr>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监理人应按专用条件约定的种类、时间和份数向委托人提交监理与相关服务的报告。</w:t>
      </w:r>
    </w:p>
    <w:p w14:paraId="5679995C">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2.6 文件资料</w:t>
      </w:r>
    </w:p>
    <w:p w14:paraId="0384F06C">
      <w:pPr>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在本合同履行期内，监理人应在现场保留工作所用的图纸、报告及记录监理工</w:t>
      </w:r>
      <w:r>
        <w:rPr>
          <w:rFonts w:hint="eastAsia" w:ascii="宋体" w:hAnsi="宋体"/>
          <w:sz w:val="24"/>
          <w:szCs w:val="24"/>
          <w:highlight w:val="none"/>
        </w:rPr>
        <w:t>作的相关文件。工程竣工后，应当按照档案管理规定将监理有关文件归档。</w:t>
      </w:r>
    </w:p>
    <w:p w14:paraId="30389B47">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2.7 使用委托人的财产</w:t>
      </w:r>
    </w:p>
    <w:p w14:paraId="46A466FC">
      <w:pPr>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51DAF13">
      <w:pPr>
        <w:spacing w:line="360" w:lineRule="auto"/>
        <w:rPr>
          <w:rFonts w:ascii="宋体" w:hAnsi="宋体"/>
          <w:b/>
          <w:bCs/>
          <w:kern w:val="0"/>
          <w:sz w:val="24"/>
          <w:szCs w:val="24"/>
          <w:highlight w:val="none"/>
        </w:rPr>
      </w:pPr>
      <w:r>
        <w:rPr>
          <w:rFonts w:hint="eastAsia" w:ascii="宋体" w:hAnsi="宋体"/>
          <w:b/>
          <w:bCs/>
          <w:kern w:val="0"/>
          <w:sz w:val="24"/>
          <w:szCs w:val="24"/>
          <w:highlight w:val="none"/>
        </w:rPr>
        <w:t>3．委托人的义务</w:t>
      </w:r>
    </w:p>
    <w:p w14:paraId="2DC4FDE1">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3.1 告知</w:t>
      </w:r>
    </w:p>
    <w:p w14:paraId="500FC28C">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委托人应在委托人与承包人签订的合同中明确监理人、总监理工程师和授予项目监理机构的权限。如有变更，应及时通知承包人。</w:t>
      </w:r>
    </w:p>
    <w:p w14:paraId="136B5975">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3.2 提供资料</w:t>
      </w:r>
    </w:p>
    <w:p w14:paraId="562D9AEE">
      <w:pPr>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委托人应按照附录B约定，无偿向监理人提供工程有关的资料。</w:t>
      </w:r>
      <w:r>
        <w:rPr>
          <w:rFonts w:hint="eastAsia" w:ascii="宋体" w:hAnsi="宋体"/>
          <w:sz w:val="24"/>
          <w:szCs w:val="24"/>
          <w:highlight w:val="none"/>
        </w:rPr>
        <w:t>在本合同履行过程中，委托人应及时向监理人提供最新的与工程有关的资料。</w:t>
      </w:r>
    </w:p>
    <w:p w14:paraId="7640985A">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3.3 提供工作条件</w:t>
      </w:r>
    </w:p>
    <w:p w14:paraId="217E9DB0">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委托人应为监理人完成监理与相关服务提供必要的条件。</w:t>
      </w:r>
    </w:p>
    <w:p w14:paraId="33140243">
      <w:pPr>
        <w:adjustRightInd w:val="0"/>
        <w:snapToGrid w:val="0"/>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 xml:space="preserve">3.3.1 </w:t>
      </w:r>
      <w:r>
        <w:rPr>
          <w:rFonts w:hint="eastAsia" w:ascii="宋体" w:hAnsi="宋体"/>
          <w:sz w:val="24"/>
          <w:szCs w:val="24"/>
          <w:highlight w:val="none"/>
        </w:rPr>
        <w:t>委托人应按照附录B约定，派遣相应的人员，提供房屋、设备，供监理人</w:t>
      </w:r>
      <w:r>
        <w:rPr>
          <w:rFonts w:hint="eastAsia" w:ascii="宋体" w:hAnsi="宋体"/>
          <w:kern w:val="0"/>
          <w:sz w:val="24"/>
          <w:szCs w:val="24"/>
          <w:highlight w:val="none"/>
        </w:rPr>
        <w:t>无偿</w:t>
      </w:r>
      <w:r>
        <w:rPr>
          <w:rFonts w:hint="eastAsia" w:ascii="宋体" w:hAnsi="宋体"/>
          <w:sz w:val="24"/>
          <w:szCs w:val="24"/>
          <w:highlight w:val="none"/>
        </w:rPr>
        <w:t>使用。</w:t>
      </w:r>
    </w:p>
    <w:p w14:paraId="11670540">
      <w:pPr>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 xml:space="preserve">3.3.2 </w:t>
      </w:r>
      <w:r>
        <w:rPr>
          <w:rFonts w:hint="eastAsia" w:ascii="宋体" w:hAnsi="宋体"/>
          <w:sz w:val="24"/>
          <w:szCs w:val="24"/>
          <w:highlight w:val="none"/>
        </w:rPr>
        <w:t>委托人应负责协调工程建设中所有外部关系，为监理人履行本合同提供必要的外部条件。</w:t>
      </w:r>
    </w:p>
    <w:p w14:paraId="19E9F5F3">
      <w:pPr>
        <w:snapToGrid w:val="0"/>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3.4 委托人代表</w:t>
      </w:r>
    </w:p>
    <w:p w14:paraId="0A02C5D0">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48FE5F54">
      <w:pPr>
        <w:snapToGrid w:val="0"/>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3.5 委托人意见或要求</w:t>
      </w:r>
    </w:p>
    <w:p w14:paraId="46FC0BCE">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在本合同约定的监理与相关服务工作范围内，委托人对承包人的任何意见或要求应通知监理人，由监理人向承包人发出相应指令。</w:t>
      </w:r>
    </w:p>
    <w:p w14:paraId="4F96B0BE">
      <w:pPr>
        <w:snapToGrid w:val="0"/>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3.6 答复</w:t>
      </w:r>
    </w:p>
    <w:p w14:paraId="3ECB140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委托人应在专用条件约定的时间内，对监理人以书面形式提交并要求作出决定的事宜，给予书面答复。逾期未答复的，视为委托人认可。</w:t>
      </w:r>
    </w:p>
    <w:p w14:paraId="7A8E8E84">
      <w:pPr>
        <w:snapToGrid w:val="0"/>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3.7 支付</w:t>
      </w:r>
    </w:p>
    <w:p w14:paraId="4ABDA9ED">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委托人应按本合同约定，向监理人支付酬金。</w:t>
      </w:r>
    </w:p>
    <w:p w14:paraId="1EAFB6B1">
      <w:pPr>
        <w:snapToGrid w:val="0"/>
        <w:spacing w:line="360" w:lineRule="auto"/>
        <w:rPr>
          <w:rFonts w:ascii="宋体" w:hAnsi="宋体"/>
          <w:b/>
          <w:bCs/>
          <w:sz w:val="24"/>
          <w:szCs w:val="24"/>
          <w:highlight w:val="none"/>
        </w:rPr>
      </w:pPr>
      <w:r>
        <w:rPr>
          <w:rFonts w:hint="eastAsia" w:ascii="宋体" w:hAnsi="宋体"/>
          <w:b/>
          <w:bCs/>
          <w:sz w:val="24"/>
          <w:szCs w:val="24"/>
          <w:highlight w:val="none"/>
        </w:rPr>
        <w:t>4. 违约责任</w:t>
      </w:r>
    </w:p>
    <w:p w14:paraId="4134175B">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4.1 监理人的违约责任</w:t>
      </w:r>
    </w:p>
    <w:p w14:paraId="44270E19">
      <w:pPr>
        <w:adjustRightInd w:val="0"/>
        <w:snapToGrid w:val="0"/>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监理人未履行本合同义务的，应承担相应的责任。</w:t>
      </w:r>
    </w:p>
    <w:p w14:paraId="10455A87">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4.1.1 因监理人违反本合同约定</w:t>
      </w:r>
      <w:r>
        <w:rPr>
          <w:rFonts w:hint="eastAsia" w:ascii="宋体" w:hAnsi="宋体"/>
          <w:sz w:val="24"/>
          <w:szCs w:val="24"/>
          <w:highlight w:val="none"/>
        </w:rPr>
        <w:t>给委托人造成损失的，监理人应当赔偿委托人损失</w:t>
      </w:r>
      <w:r>
        <w:rPr>
          <w:rFonts w:hint="eastAsia" w:ascii="宋体" w:hAnsi="宋体"/>
          <w:kern w:val="0"/>
          <w:sz w:val="24"/>
          <w:szCs w:val="24"/>
          <w:highlight w:val="none"/>
        </w:rPr>
        <w:t>。赔偿金额的确定方法在专用条件中约定。监理人承担部分赔偿责任的，其承担赔偿金额由双方协商确定。</w:t>
      </w:r>
    </w:p>
    <w:p w14:paraId="30FA8651">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4.1.2 监理人向委托人的索赔不成立时，监理人应赔偿委托人由此发生的费用。</w:t>
      </w:r>
    </w:p>
    <w:p w14:paraId="3333A8CE">
      <w:pPr>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4.2 委托人的违约责任</w:t>
      </w:r>
    </w:p>
    <w:p w14:paraId="2BE98003">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委托人未履行本合同义务的，应承担相应的责任。</w:t>
      </w:r>
    </w:p>
    <w:p w14:paraId="3A8AB1E4">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4.2.1 委托人违反本合同约定造成监理人损失的，委托人应予以赔偿。</w:t>
      </w:r>
    </w:p>
    <w:p w14:paraId="61497371">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4.2.2 委托人向监理人的索赔不成立时，应赔偿监理人由此引起的费用。</w:t>
      </w:r>
    </w:p>
    <w:p w14:paraId="31628F84">
      <w:pPr>
        <w:spacing w:line="360" w:lineRule="auto"/>
        <w:ind w:firstLine="480" w:firstLineChars="200"/>
        <w:rPr>
          <w:rFonts w:ascii="宋体" w:hAnsi="宋体"/>
          <w:kern w:val="0"/>
          <w:sz w:val="24"/>
          <w:szCs w:val="24"/>
          <w:highlight w:val="none"/>
        </w:rPr>
      </w:pPr>
      <w:r>
        <w:rPr>
          <w:rFonts w:hint="eastAsia" w:ascii="宋体" w:hAnsi="宋体"/>
          <w:sz w:val="24"/>
          <w:szCs w:val="24"/>
          <w:highlight w:val="none"/>
        </w:rPr>
        <w:t xml:space="preserve">4.2.3 </w:t>
      </w:r>
      <w:r>
        <w:rPr>
          <w:rFonts w:hint="eastAsia" w:ascii="宋体" w:hAnsi="宋体"/>
          <w:kern w:val="0"/>
          <w:sz w:val="24"/>
          <w:szCs w:val="24"/>
          <w:highlight w:val="none"/>
        </w:rPr>
        <w:t>委托人未能按期支付</w:t>
      </w:r>
      <w:r>
        <w:rPr>
          <w:rFonts w:hint="eastAsia" w:ascii="宋体" w:hAnsi="宋体"/>
          <w:sz w:val="24"/>
          <w:szCs w:val="24"/>
          <w:highlight w:val="none"/>
        </w:rPr>
        <w:t>酬金</w:t>
      </w:r>
      <w:r>
        <w:rPr>
          <w:rFonts w:hint="eastAsia" w:ascii="宋体" w:hAnsi="宋体"/>
          <w:kern w:val="0"/>
          <w:sz w:val="24"/>
          <w:szCs w:val="24"/>
          <w:highlight w:val="none"/>
        </w:rPr>
        <w:t>超过28天，应按专用条件约定支付逾期付款利息。</w:t>
      </w:r>
    </w:p>
    <w:p w14:paraId="2C0A56B3">
      <w:pPr>
        <w:spacing w:line="360" w:lineRule="auto"/>
        <w:ind w:firstLine="240" w:firstLineChars="100"/>
        <w:rPr>
          <w:rFonts w:ascii="宋体" w:hAnsi="宋体"/>
          <w:kern w:val="0"/>
          <w:sz w:val="24"/>
          <w:szCs w:val="24"/>
          <w:highlight w:val="none"/>
        </w:rPr>
      </w:pPr>
      <w:r>
        <w:rPr>
          <w:rFonts w:hint="eastAsia" w:ascii="宋体" w:hAnsi="宋体"/>
          <w:kern w:val="0"/>
          <w:sz w:val="24"/>
          <w:szCs w:val="24"/>
          <w:highlight w:val="none"/>
        </w:rPr>
        <w:t>4.3 除外责任</w:t>
      </w:r>
    </w:p>
    <w:p w14:paraId="7B8F7FAB">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因非监理人的原因，且监理人无过错，发生工程质量事故、安全事故、工期延误等造成的损失，监理人不承担赔偿责任。</w:t>
      </w:r>
    </w:p>
    <w:p w14:paraId="4A0ED859">
      <w:pPr>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因不可抗力导致本合同全部或部分不能履行时，双方各自承担其因此而造成的损失、损害。</w:t>
      </w:r>
    </w:p>
    <w:p w14:paraId="62882A2E">
      <w:pPr>
        <w:snapToGrid w:val="0"/>
        <w:spacing w:line="360" w:lineRule="auto"/>
        <w:rPr>
          <w:rFonts w:ascii="宋体" w:hAnsi="宋体"/>
          <w:b/>
          <w:bCs/>
          <w:sz w:val="24"/>
          <w:szCs w:val="24"/>
          <w:highlight w:val="none"/>
        </w:rPr>
      </w:pPr>
      <w:r>
        <w:rPr>
          <w:rFonts w:hint="eastAsia" w:ascii="宋体" w:hAnsi="宋体"/>
          <w:b/>
          <w:bCs/>
          <w:sz w:val="24"/>
          <w:szCs w:val="24"/>
          <w:highlight w:val="none"/>
        </w:rPr>
        <w:t>5. 支付</w:t>
      </w:r>
    </w:p>
    <w:p w14:paraId="65B76A56">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5.1 支付货币</w:t>
      </w:r>
    </w:p>
    <w:p w14:paraId="009DB993">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除专用条件另有约定外，酬金均以人民币支付。涉及外币支付的，所采用的货币种类、比例和汇率在专用条件中约定。</w:t>
      </w:r>
    </w:p>
    <w:p w14:paraId="3E5B1D50">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5.2 支付申请</w:t>
      </w:r>
    </w:p>
    <w:p w14:paraId="14F8066F">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监理人应在本合同约定的每次应付款时间的7天前，向委托人提交支付申请书。支付申请书应当说明当期应付款总额，并列出当期应支付的款项及其金额。</w:t>
      </w:r>
    </w:p>
    <w:p w14:paraId="0F85D299">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5.3 支付酬金</w:t>
      </w:r>
    </w:p>
    <w:p w14:paraId="05333899">
      <w:pPr>
        <w:snapToGrid w:val="0"/>
        <w:spacing w:line="360" w:lineRule="auto"/>
        <w:ind w:firstLine="480"/>
        <w:rPr>
          <w:rFonts w:ascii="宋体" w:hAnsi="宋体"/>
          <w:sz w:val="24"/>
          <w:szCs w:val="24"/>
          <w:highlight w:val="none"/>
        </w:rPr>
      </w:pPr>
      <w:r>
        <w:rPr>
          <w:rFonts w:hint="eastAsia" w:ascii="宋体" w:hAnsi="宋体"/>
          <w:sz w:val="24"/>
          <w:szCs w:val="24"/>
          <w:highlight w:val="none"/>
        </w:rPr>
        <w:t>支付的酬金包括正常工作酬金、附加工作酬金、合理化建议奖励金额及费用。</w:t>
      </w:r>
    </w:p>
    <w:p w14:paraId="71F0E40A">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5.4 有争议部分的付款</w:t>
      </w:r>
    </w:p>
    <w:p w14:paraId="2819E11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4E8599A5">
      <w:pPr>
        <w:snapToGrid w:val="0"/>
        <w:spacing w:line="360" w:lineRule="auto"/>
        <w:rPr>
          <w:rFonts w:ascii="宋体" w:hAnsi="宋体"/>
          <w:b/>
          <w:bCs/>
          <w:sz w:val="24"/>
          <w:szCs w:val="24"/>
          <w:highlight w:val="none"/>
        </w:rPr>
      </w:pPr>
      <w:r>
        <w:rPr>
          <w:rFonts w:hint="eastAsia" w:ascii="宋体" w:hAnsi="宋体"/>
          <w:b/>
          <w:bCs/>
          <w:sz w:val="24"/>
          <w:szCs w:val="24"/>
          <w:highlight w:val="none"/>
        </w:rPr>
        <w:t>6. 合同生效、变更、暂停、解除与终止</w:t>
      </w:r>
    </w:p>
    <w:p w14:paraId="0733F89B">
      <w:pPr>
        <w:spacing w:line="360" w:lineRule="auto"/>
        <w:ind w:left="210" w:leftChars="100"/>
        <w:rPr>
          <w:rFonts w:ascii="宋体" w:hAnsi="宋体"/>
          <w:sz w:val="24"/>
          <w:szCs w:val="24"/>
          <w:highlight w:val="none"/>
        </w:rPr>
      </w:pPr>
      <w:r>
        <w:rPr>
          <w:rFonts w:hint="eastAsia" w:ascii="宋体" w:hAnsi="宋体"/>
          <w:sz w:val="24"/>
          <w:szCs w:val="24"/>
          <w:highlight w:val="none"/>
        </w:rPr>
        <w:t>6.1生效</w:t>
      </w:r>
    </w:p>
    <w:p w14:paraId="55D589AD">
      <w:pPr>
        <w:spacing w:line="360" w:lineRule="auto"/>
        <w:ind w:firstLine="480" w:firstLineChars="200"/>
        <w:rPr>
          <w:rFonts w:ascii="宋体" w:hAnsi="宋体"/>
          <w:sz w:val="24"/>
          <w:szCs w:val="24"/>
          <w:highlight w:val="none"/>
        </w:rPr>
      </w:pPr>
      <w:r>
        <w:rPr>
          <w:rFonts w:hint="eastAsia" w:ascii="宋体" w:hAnsi="宋体"/>
          <w:sz w:val="24"/>
          <w:szCs w:val="24"/>
          <w:highlight w:val="none"/>
        </w:rPr>
        <w:t>除法律另有规定或者专用条件另有约定外，委托人和监理人的法定代表人或其授权代理人在协议书上签字并盖单位章后本合同生效。</w:t>
      </w:r>
    </w:p>
    <w:p w14:paraId="4CEBA861">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6.2变更</w:t>
      </w:r>
    </w:p>
    <w:p w14:paraId="5D4D6380">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6.2.1 任何一方提出变更请求时，双方经协商一致后可进行变更。</w:t>
      </w:r>
    </w:p>
    <w:p w14:paraId="41B5523A">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D30EC80">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C958BD2">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6.2.4合同签订后，遇有与工程相关的法律法规、标准颁布或修订的，双方应遵照执行。由此引起监理与相关服务的范围、时间、酬金变化的，双方应通过协商进行相应调整。</w:t>
      </w:r>
    </w:p>
    <w:p w14:paraId="1FA9732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6.2.5 因非监理人原因造成工程概算投资额或建筑安装工程费增加时，正常工作酬金应作相应调整。调整方法在专用条件中约定。</w:t>
      </w:r>
    </w:p>
    <w:p w14:paraId="4DD0C973">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6.2.6 因工程规模、监理范围的变化导致监理人的正常工作量减少时，正常工作酬金应作相应调整。调整方法在专用条件中约定。</w:t>
      </w:r>
    </w:p>
    <w:p w14:paraId="2B3484B9">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6.3 暂停与解除</w:t>
      </w:r>
    </w:p>
    <w:p w14:paraId="773527C8">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除双方协商一致可以解除本合同外，当一方无正当理由未履行本合同约定的义务时，另一方可以根据本合同约定暂停履行本合同直至解除本合同。</w:t>
      </w:r>
    </w:p>
    <w:p w14:paraId="373A50BC">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DBD644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因解除本合同或解除监理人的部分义务导致监理人遭受的损失，除依法可以免除责任的情况外，应由委托人予以补偿，补偿金额由双方协商确定。</w:t>
      </w:r>
    </w:p>
    <w:p w14:paraId="07FFE8BB">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解除本合同的协议必须采取书面形式，协议未达成之前，本合同仍然有效。</w:t>
      </w:r>
    </w:p>
    <w:p w14:paraId="51821DA1">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C9A380E">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 w:val="24"/>
          <w:szCs w:val="24"/>
          <w:highlight w:val="none"/>
        </w:rPr>
        <w:t>的</w:t>
      </w:r>
      <w:r>
        <w:rPr>
          <w:rFonts w:hint="eastAsia" w:ascii="宋体" w:hAnsi="宋体"/>
          <w:sz w:val="24"/>
          <w:szCs w:val="24"/>
          <w:highlight w:val="none"/>
        </w:rPr>
        <w:t>酬金支付至本合同解除日，且应承担第4.2款约定的责任。</w:t>
      </w:r>
    </w:p>
    <w:p w14:paraId="23875B0A">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 w:val="24"/>
          <w:szCs w:val="24"/>
          <w:highlight w:val="none"/>
        </w:rPr>
        <w:t>的</w:t>
      </w:r>
      <w:r>
        <w:rPr>
          <w:rFonts w:hint="eastAsia" w:ascii="宋体" w:hAnsi="宋体"/>
          <w:sz w:val="24"/>
          <w:szCs w:val="24"/>
          <w:highlight w:val="none"/>
        </w:rPr>
        <w:t>酬金支付至</w:t>
      </w:r>
      <w:r>
        <w:rPr>
          <w:rFonts w:hint="eastAsia" w:ascii="宋体" w:hAnsi="宋体"/>
          <w:kern w:val="0"/>
          <w:sz w:val="24"/>
          <w:szCs w:val="24"/>
          <w:highlight w:val="none"/>
        </w:rPr>
        <w:t>限期改正通知到达监理人之日</w:t>
      </w:r>
      <w:r>
        <w:rPr>
          <w:rFonts w:hint="eastAsia" w:ascii="宋体" w:hAnsi="宋体"/>
          <w:sz w:val="24"/>
          <w:szCs w:val="24"/>
          <w:highlight w:val="none"/>
        </w:rPr>
        <w:t>，但监理人应承担第4.1款约定的责任。</w:t>
      </w:r>
    </w:p>
    <w:p w14:paraId="21D3236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48DA65BA">
      <w:pPr>
        <w:snapToGrid w:val="0"/>
        <w:spacing w:line="360" w:lineRule="auto"/>
        <w:ind w:firstLine="480" w:firstLineChars="200"/>
        <w:rPr>
          <w:rFonts w:ascii="宋体" w:hAnsi="宋体"/>
          <w:kern w:val="0"/>
          <w:sz w:val="24"/>
          <w:szCs w:val="24"/>
          <w:highlight w:val="none"/>
        </w:rPr>
      </w:pPr>
      <w:r>
        <w:rPr>
          <w:rFonts w:hint="eastAsia" w:ascii="宋体" w:hAnsi="宋体"/>
          <w:sz w:val="24"/>
          <w:szCs w:val="24"/>
          <w:highlight w:val="none"/>
        </w:rPr>
        <w:t>6.3.5 因不可抗力致使本合同部分或全部不能履行时，一方应立即通知另一方，可暂停或解除本合同。</w:t>
      </w:r>
    </w:p>
    <w:p w14:paraId="359677A7">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6.3.6 本合同解除后，本合同约定的有关结算、清理、争议解决方式的条件仍然有效。</w:t>
      </w:r>
    </w:p>
    <w:p w14:paraId="68C9DFAD">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6.4 终止</w:t>
      </w:r>
    </w:p>
    <w:p w14:paraId="0A86C7B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以下条件全部满足时，本合同即告终止：</w:t>
      </w:r>
    </w:p>
    <w:p w14:paraId="62E47F2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（1）监理人完成本合同约定的全部工作；</w:t>
      </w:r>
    </w:p>
    <w:p w14:paraId="105BCEC1">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（2）委托人与监理人结清并支付全部酬金。</w:t>
      </w:r>
    </w:p>
    <w:p w14:paraId="54333870">
      <w:pPr>
        <w:snapToGrid w:val="0"/>
        <w:spacing w:line="360" w:lineRule="auto"/>
        <w:rPr>
          <w:rFonts w:ascii="宋体" w:hAnsi="宋体"/>
          <w:b/>
          <w:bCs/>
          <w:sz w:val="24"/>
          <w:szCs w:val="24"/>
          <w:highlight w:val="none"/>
        </w:rPr>
      </w:pPr>
      <w:r>
        <w:rPr>
          <w:rFonts w:hint="eastAsia" w:ascii="宋体" w:hAnsi="宋体"/>
          <w:b/>
          <w:bCs/>
          <w:sz w:val="24"/>
          <w:szCs w:val="24"/>
          <w:highlight w:val="none"/>
        </w:rPr>
        <w:t>7. 争议解决</w:t>
      </w:r>
    </w:p>
    <w:p w14:paraId="7A722042">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7.1协商</w:t>
      </w:r>
    </w:p>
    <w:p w14:paraId="72EFF0F6">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双方应本着诚信原则协商解决彼此间的争议。</w:t>
      </w:r>
    </w:p>
    <w:p w14:paraId="1F2D6710">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7.2调解</w:t>
      </w:r>
    </w:p>
    <w:p w14:paraId="7BE59C1F">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如果双方不能在14天内或双方商定的其他时间内解决本合同争议，可以将其提交给专用条件约定的或事后达成协议的调解人进行调解。</w:t>
      </w:r>
    </w:p>
    <w:p w14:paraId="74363E8C">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7.3仲裁或诉讼</w:t>
      </w:r>
    </w:p>
    <w:p w14:paraId="4E340361">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双方均有权不经调解直接向专用条件约定的仲裁机构申请仲裁或向有管辖权的人民法院提起诉讼。</w:t>
      </w:r>
    </w:p>
    <w:p w14:paraId="6646564B">
      <w:pPr>
        <w:snapToGrid w:val="0"/>
        <w:spacing w:line="360" w:lineRule="auto"/>
        <w:rPr>
          <w:rFonts w:ascii="宋体" w:hAnsi="宋体"/>
          <w:b/>
          <w:bCs/>
          <w:sz w:val="24"/>
          <w:szCs w:val="24"/>
          <w:highlight w:val="none"/>
        </w:rPr>
      </w:pPr>
      <w:r>
        <w:rPr>
          <w:rFonts w:hint="eastAsia" w:ascii="宋体" w:hAnsi="宋体"/>
          <w:b/>
          <w:bCs/>
          <w:sz w:val="24"/>
          <w:szCs w:val="24"/>
          <w:highlight w:val="none"/>
        </w:rPr>
        <w:t>8. 其他</w:t>
      </w:r>
    </w:p>
    <w:p w14:paraId="31312215">
      <w:pPr>
        <w:spacing w:line="360" w:lineRule="auto"/>
        <w:ind w:left="210" w:leftChars="100"/>
        <w:rPr>
          <w:rFonts w:ascii="宋体" w:hAnsi="宋体"/>
          <w:sz w:val="24"/>
          <w:szCs w:val="24"/>
          <w:highlight w:val="none"/>
        </w:rPr>
      </w:pPr>
      <w:r>
        <w:rPr>
          <w:rFonts w:hint="eastAsia" w:ascii="宋体" w:hAnsi="宋体"/>
          <w:sz w:val="24"/>
          <w:szCs w:val="24"/>
          <w:highlight w:val="none"/>
        </w:rPr>
        <w:t>8.1 外出考察费用</w:t>
      </w:r>
    </w:p>
    <w:p w14:paraId="799147BE">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经委托人同意，监理人员外出考察发生的费用由委托人审核后支付。</w:t>
      </w:r>
    </w:p>
    <w:p w14:paraId="2316B38B">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8.2 检测费用</w:t>
      </w:r>
    </w:p>
    <w:p w14:paraId="3508EC17">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委托人要求监理人进行的材料和设备检测所发生的费用，由委托人支付，支付时间在专用条件中约定。</w:t>
      </w:r>
    </w:p>
    <w:p w14:paraId="471F6CB0">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8.3 咨询费用</w:t>
      </w:r>
    </w:p>
    <w:p w14:paraId="326EAEAB">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经委托人同意，根据工程需要由监理人组织的相关咨询论证会以及聘请相关专家等发生的费用由委托人支付，支付时间在专用条件中约定。</w:t>
      </w:r>
    </w:p>
    <w:p w14:paraId="77302DE3">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8.4 奖励</w:t>
      </w:r>
    </w:p>
    <w:p w14:paraId="287F1E8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F56BBF2">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8.5 守法诚信</w:t>
      </w:r>
    </w:p>
    <w:p w14:paraId="26753DC6">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监理人及其工作人员不得从与实施工程有关的第三方处获得任何经济利益。</w:t>
      </w:r>
    </w:p>
    <w:p w14:paraId="2AC47754">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8.6 保密</w:t>
      </w:r>
    </w:p>
    <w:p w14:paraId="04519EA3">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双方不得泄露对方申明的保密资料，亦不得泄露与实施工程有关的第三方所提供的保密资料，保密事项在专用条件中约定。</w:t>
      </w:r>
    </w:p>
    <w:p w14:paraId="15C43B9E">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8.7 通知</w:t>
      </w:r>
    </w:p>
    <w:p w14:paraId="3B135A9B">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本合同涉及的通知均应当采用书面形式，并在送达对方时生效，收件人应书面签收。</w:t>
      </w:r>
    </w:p>
    <w:p w14:paraId="0C0E726D">
      <w:pPr>
        <w:snapToGrid w:val="0"/>
        <w:spacing w:line="360" w:lineRule="auto"/>
        <w:ind w:left="210" w:leftChars="100"/>
        <w:rPr>
          <w:rFonts w:ascii="宋体" w:hAnsi="宋体"/>
          <w:sz w:val="24"/>
          <w:szCs w:val="24"/>
          <w:highlight w:val="none"/>
        </w:rPr>
      </w:pPr>
      <w:r>
        <w:rPr>
          <w:rFonts w:hint="eastAsia" w:ascii="宋体" w:hAnsi="宋体"/>
          <w:sz w:val="24"/>
          <w:szCs w:val="24"/>
          <w:highlight w:val="none"/>
        </w:rPr>
        <w:t>8.8 著作权</w:t>
      </w:r>
    </w:p>
    <w:p w14:paraId="5A8CD88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监理人对其编制的文件拥有著作权。</w:t>
      </w:r>
    </w:p>
    <w:p w14:paraId="5E9892F0">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9F79334">
      <w:pPr>
        <w:snapToGrid w:val="0"/>
        <w:spacing w:line="360" w:lineRule="auto"/>
        <w:ind w:firstLine="480" w:firstLineChars="200"/>
        <w:rPr>
          <w:rFonts w:ascii="宋体" w:hAnsi="宋体"/>
          <w:sz w:val="24"/>
          <w:szCs w:val="24"/>
          <w:highlight w:val="none"/>
        </w:rPr>
      </w:pPr>
    </w:p>
    <w:p w14:paraId="54193390">
      <w:pPr>
        <w:snapToGrid w:val="0"/>
        <w:spacing w:line="360" w:lineRule="auto"/>
        <w:ind w:firstLine="480" w:firstLineChars="200"/>
        <w:rPr>
          <w:rFonts w:ascii="宋体" w:hAnsi="宋体"/>
          <w:sz w:val="24"/>
          <w:szCs w:val="24"/>
          <w:highlight w:val="none"/>
        </w:rPr>
      </w:pPr>
    </w:p>
    <w:p w14:paraId="2A957B36">
      <w:pPr>
        <w:snapToGrid w:val="0"/>
        <w:spacing w:line="360" w:lineRule="auto"/>
        <w:ind w:firstLine="480" w:firstLineChars="200"/>
        <w:rPr>
          <w:rFonts w:ascii="宋体" w:hAnsi="宋体"/>
          <w:sz w:val="24"/>
          <w:szCs w:val="24"/>
          <w:highlight w:val="none"/>
        </w:rPr>
      </w:pPr>
    </w:p>
    <w:p w14:paraId="389B747C">
      <w:pPr>
        <w:widowControl/>
        <w:jc w:val="center"/>
        <w:rPr>
          <w:rFonts w:ascii="华文中宋" w:hAnsi="华文中宋" w:eastAsia="华文中宋"/>
          <w:b/>
          <w:bCs/>
          <w:sz w:val="32"/>
          <w:szCs w:val="32"/>
          <w:highlight w:val="none"/>
        </w:rPr>
      </w:pPr>
      <w:r>
        <w:rPr>
          <w:rFonts w:ascii="华文中宋" w:hAnsi="华文中宋" w:eastAsia="华文中宋"/>
          <w:b/>
          <w:bCs/>
          <w:sz w:val="32"/>
          <w:szCs w:val="32"/>
          <w:highlight w:val="none"/>
        </w:rPr>
        <w:br w:type="page"/>
      </w:r>
      <w:r>
        <w:rPr>
          <w:rFonts w:hint="eastAsia" w:ascii="华文中宋" w:hAnsi="华文中宋" w:eastAsia="华文中宋"/>
          <w:b/>
          <w:bCs/>
          <w:sz w:val="32"/>
          <w:szCs w:val="32"/>
          <w:highlight w:val="none"/>
        </w:rPr>
        <w:t>第三部分  专用条件</w:t>
      </w:r>
    </w:p>
    <w:p w14:paraId="3244B54B">
      <w:pPr>
        <w:adjustRightInd w:val="0"/>
        <w:snapToGrid w:val="0"/>
        <w:spacing w:line="360" w:lineRule="auto"/>
        <w:rPr>
          <w:rFonts w:ascii="宋体" w:hAnsi="宋体"/>
          <w:b/>
          <w:bCs/>
          <w:sz w:val="24"/>
          <w:szCs w:val="24"/>
          <w:highlight w:val="none"/>
        </w:rPr>
      </w:pPr>
      <w:r>
        <w:rPr>
          <w:rFonts w:hint="eastAsia" w:ascii="宋体" w:hAnsi="宋体"/>
          <w:b/>
          <w:bCs/>
          <w:sz w:val="24"/>
          <w:szCs w:val="24"/>
          <w:highlight w:val="none"/>
        </w:rPr>
        <w:t>1. 定义与解释</w:t>
      </w:r>
    </w:p>
    <w:p w14:paraId="5684414C">
      <w:pPr>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1.2  解释</w:t>
      </w:r>
    </w:p>
    <w:p w14:paraId="6AB42C38">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1.2.1 本合同文件除使用中文外，还可用</w:t>
      </w:r>
      <w:r>
        <w:rPr>
          <w:rFonts w:hint="eastAsia" w:ascii="宋体" w:hAnsi="宋体"/>
          <w:sz w:val="24"/>
          <w:szCs w:val="24"/>
          <w:highlight w:val="none"/>
          <w:u w:val="single"/>
        </w:rPr>
        <w:t xml:space="preserve">  无  </w:t>
      </w:r>
      <w:r>
        <w:rPr>
          <w:rFonts w:hint="eastAsia" w:ascii="宋体" w:hAnsi="宋体"/>
          <w:sz w:val="24"/>
          <w:szCs w:val="24"/>
          <w:highlight w:val="none"/>
        </w:rPr>
        <w:t>。</w:t>
      </w:r>
    </w:p>
    <w:p w14:paraId="7799FC52">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1.2.2 约定本合同文件的解释顺序为：</w:t>
      </w:r>
    </w:p>
    <w:p w14:paraId="4AA29285">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1. 协议书；</w:t>
      </w:r>
    </w:p>
    <w:p w14:paraId="77659BB0">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2. 中标通知书</w:t>
      </w:r>
    </w:p>
    <w:p w14:paraId="0B048655">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3. 专用条件；</w:t>
      </w:r>
    </w:p>
    <w:p w14:paraId="26E9FB3C">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4. 通用条件；</w:t>
      </w:r>
    </w:p>
    <w:p w14:paraId="3D64E6EC">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 xml:space="preserve">5. </w:t>
      </w:r>
      <w:r>
        <w:rPr>
          <w:rFonts w:hint="eastAsia" w:ascii="宋体" w:hAnsi="宋体"/>
          <w:sz w:val="24"/>
          <w:szCs w:val="24"/>
          <w:highlight w:val="none"/>
          <w:u w:val="single"/>
          <w:lang w:eastAsia="zh-CN"/>
        </w:rPr>
        <w:t>磋商</w:t>
      </w:r>
      <w:r>
        <w:rPr>
          <w:rFonts w:hint="eastAsia" w:ascii="宋体" w:hAnsi="宋体"/>
          <w:sz w:val="24"/>
          <w:szCs w:val="24"/>
          <w:highlight w:val="none"/>
          <w:u w:val="single"/>
        </w:rPr>
        <w:t>文件</w:t>
      </w:r>
    </w:p>
    <w:p w14:paraId="55B51309">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 xml:space="preserve">6. </w:t>
      </w:r>
      <w:r>
        <w:rPr>
          <w:rFonts w:hint="eastAsia" w:ascii="宋体" w:hAnsi="宋体"/>
          <w:sz w:val="24"/>
          <w:szCs w:val="24"/>
          <w:highlight w:val="none"/>
          <w:u w:val="single"/>
          <w:lang w:eastAsia="zh-CN"/>
        </w:rPr>
        <w:t>响应</w:t>
      </w:r>
      <w:r>
        <w:rPr>
          <w:rFonts w:hint="eastAsia" w:ascii="宋体" w:hAnsi="宋体"/>
          <w:sz w:val="24"/>
          <w:szCs w:val="24"/>
          <w:highlight w:val="none"/>
          <w:u w:val="single"/>
        </w:rPr>
        <w:t>文件</w:t>
      </w:r>
    </w:p>
    <w:p w14:paraId="4E1CA1BD">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7.附录，即：</w:t>
      </w:r>
    </w:p>
    <w:p w14:paraId="33698829">
      <w:pPr>
        <w:adjustRightInd w:val="0"/>
        <w:snapToGrid w:val="0"/>
        <w:spacing w:line="360" w:lineRule="auto"/>
        <w:ind w:firstLine="475" w:firstLineChars="198"/>
        <w:rPr>
          <w:rFonts w:ascii="宋体" w:hAnsi="宋体"/>
          <w:sz w:val="24"/>
          <w:szCs w:val="24"/>
          <w:highlight w:val="none"/>
          <w:u w:val="single"/>
        </w:rPr>
      </w:pPr>
      <w:r>
        <w:rPr>
          <w:rFonts w:hint="eastAsia" w:ascii="宋体" w:hAnsi="宋体"/>
          <w:sz w:val="24"/>
          <w:szCs w:val="24"/>
          <w:highlight w:val="none"/>
          <w:u w:val="single"/>
        </w:rPr>
        <w:t>附录A  相关服务的范围和内容</w:t>
      </w:r>
    </w:p>
    <w:p w14:paraId="3C34223F">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附录B  委托人派遣的人员和提供的房屋、资料、设备</w:t>
      </w:r>
    </w:p>
    <w:p w14:paraId="7CA5D23C">
      <w:pPr>
        <w:adjustRightInd w:val="0"/>
        <w:snapToGrid w:val="0"/>
        <w:spacing w:line="360" w:lineRule="auto"/>
        <w:rPr>
          <w:rFonts w:ascii="宋体" w:hAnsi="宋体"/>
          <w:b/>
          <w:bCs/>
          <w:sz w:val="24"/>
          <w:szCs w:val="24"/>
          <w:highlight w:val="none"/>
        </w:rPr>
      </w:pPr>
      <w:r>
        <w:rPr>
          <w:rFonts w:hint="eastAsia" w:ascii="宋体" w:hAnsi="宋体"/>
          <w:b/>
          <w:bCs/>
          <w:sz w:val="24"/>
          <w:szCs w:val="24"/>
          <w:highlight w:val="none"/>
        </w:rPr>
        <w:t>2. 监理人义务</w:t>
      </w:r>
    </w:p>
    <w:p w14:paraId="57AF593D">
      <w:pPr>
        <w:adjustRightInd w:val="0"/>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2.1 监理的范围和内容</w:t>
      </w:r>
    </w:p>
    <w:p w14:paraId="004608A8">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2.1.1 监理范围包括：</w:t>
      </w:r>
    </w:p>
    <w:p w14:paraId="3E0D81EF">
      <w:pPr>
        <w:snapToGrid w:val="0"/>
        <w:spacing w:line="544" w:lineRule="atLeast"/>
        <w:ind w:firstLine="480" w:firstLineChars="200"/>
        <w:textAlignment w:val="baseline"/>
        <w:rPr>
          <w:rFonts w:hint="default" w:ascii="宋体" w:hAnsi="宋体" w:eastAsiaTheme="minorEastAsia"/>
          <w:sz w:val="24"/>
          <w:szCs w:val="24"/>
          <w:highlight w:val="none"/>
          <w:u w:val="single"/>
          <w:lang w:val="en-US" w:eastAsia="zh-CN"/>
        </w:rPr>
      </w:pPr>
      <w:r>
        <w:rPr>
          <w:rFonts w:hint="eastAsia" w:ascii="宋体" w:hAnsi="宋体"/>
          <w:sz w:val="24"/>
          <w:szCs w:val="24"/>
          <w:highlight w:val="none"/>
          <w:u w:val="single"/>
          <w:lang w:val="en-US" w:eastAsia="zh-CN"/>
        </w:rPr>
        <w:t xml:space="preserve">                        </w:t>
      </w:r>
    </w:p>
    <w:p w14:paraId="6241DC72">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包括工程质量、安全文明施工、工程进度及工程投资等方面控制。</w:t>
      </w:r>
    </w:p>
    <w:p w14:paraId="01B40446">
      <w:pPr>
        <w:adjustRightInd w:val="0"/>
        <w:snapToGrid w:val="0"/>
        <w:spacing w:line="580" w:lineRule="exact"/>
        <w:ind w:firstLine="480" w:firstLineChars="200"/>
        <w:rPr>
          <w:rFonts w:hint="default" w:ascii="宋体" w:hAnsi="宋体" w:eastAsiaTheme="minorEastAsia"/>
          <w:sz w:val="24"/>
          <w:szCs w:val="24"/>
          <w:highlight w:val="none"/>
          <w:lang w:val="en-US" w:eastAsia="zh-CN"/>
        </w:rPr>
      </w:pPr>
      <w:r>
        <w:rPr>
          <w:rFonts w:hint="eastAsia" w:ascii="宋体" w:hAnsi="宋体"/>
          <w:sz w:val="24"/>
          <w:szCs w:val="24"/>
          <w:highlight w:val="none"/>
        </w:rPr>
        <w:t>2.1.2 监理工作内容还包括：</w:t>
      </w:r>
      <w:r>
        <w:rPr>
          <w:rFonts w:hint="eastAsia" w:ascii="宋体" w:hAnsi="宋体"/>
          <w:sz w:val="24"/>
          <w:szCs w:val="24"/>
          <w:highlight w:val="none"/>
          <w:u w:val="single"/>
          <w:lang w:val="en-US" w:eastAsia="zh-CN"/>
        </w:rPr>
        <w:t xml:space="preserve">             </w:t>
      </w:r>
    </w:p>
    <w:p w14:paraId="4084FE14">
      <w:pPr>
        <w:spacing w:line="360" w:lineRule="auto"/>
        <w:ind w:firstLine="235" w:firstLineChars="98"/>
        <w:rPr>
          <w:rFonts w:ascii="宋体" w:hAnsi="宋体"/>
          <w:sz w:val="24"/>
          <w:szCs w:val="24"/>
          <w:highlight w:val="none"/>
        </w:rPr>
      </w:pPr>
      <w:r>
        <w:rPr>
          <w:rFonts w:hint="eastAsia" w:ascii="宋体" w:hAnsi="宋体"/>
          <w:sz w:val="24"/>
          <w:szCs w:val="24"/>
          <w:highlight w:val="none"/>
        </w:rPr>
        <w:t>2.2 监理与相关服务依据</w:t>
      </w:r>
    </w:p>
    <w:p w14:paraId="7BD552FB">
      <w:pPr>
        <w:spacing w:line="360" w:lineRule="auto"/>
        <w:ind w:firstLine="480" w:firstLineChars="200"/>
        <w:rPr>
          <w:rFonts w:ascii="宋体" w:hAnsi="宋体"/>
          <w:sz w:val="24"/>
          <w:szCs w:val="24"/>
          <w:highlight w:val="none"/>
        </w:rPr>
      </w:pPr>
      <w:r>
        <w:rPr>
          <w:rFonts w:hint="eastAsia" w:ascii="宋体" w:hAnsi="宋体"/>
          <w:sz w:val="24"/>
          <w:szCs w:val="24"/>
          <w:highlight w:val="none"/>
        </w:rPr>
        <w:t>2.2.1 监理依据包括：</w:t>
      </w:r>
    </w:p>
    <w:p w14:paraId="00685C5A">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1、《建设工程监理规范》</w:t>
      </w:r>
    </w:p>
    <w:p w14:paraId="04B4F280">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2、国家和地方现行的有关法律、法规和政策</w:t>
      </w:r>
    </w:p>
    <w:p w14:paraId="6A52A068">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3、现行的房屋建筑工程施工规范、质量标准</w:t>
      </w:r>
    </w:p>
    <w:p w14:paraId="098BE306">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4、经批准的设计文件及图纸</w:t>
      </w:r>
    </w:p>
    <w:p w14:paraId="445422B1">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5、业主与承包商签订的施工合同</w:t>
      </w:r>
    </w:p>
    <w:p w14:paraId="7D9162E8">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6、业主批准的施工组织设计</w:t>
      </w:r>
    </w:p>
    <w:p w14:paraId="682F72AC">
      <w:pPr>
        <w:adjustRightInd w:val="0"/>
        <w:snapToGrid w:val="0"/>
        <w:spacing w:line="360" w:lineRule="auto"/>
        <w:ind w:firstLine="240" w:firstLineChars="100"/>
        <w:rPr>
          <w:rFonts w:ascii="宋体" w:hAnsi="宋体"/>
          <w:dstrike/>
          <w:sz w:val="24"/>
          <w:szCs w:val="24"/>
          <w:highlight w:val="none"/>
        </w:rPr>
      </w:pPr>
      <w:r>
        <w:rPr>
          <w:rFonts w:hint="eastAsia" w:ascii="宋体" w:hAnsi="宋体"/>
          <w:sz w:val="24"/>
          <w:szCs w:val="24"/>
          <w:highlight w:val="none"/>
        </w:rPr>
        <w:t>2.2.2 相关服务依据包括：</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60FC04D5">
      <w:pPr>
        <w:spacing w:line="360" w:lineRule="auto"/>
        <w:rPr>
          <w:rFonts w:ascii="宋体" w:hAnsi="宋体"/>
          <w:sz w:val="24"/>
          <w:szCs w:val="24"/>
          <w:highlight w:val="none"/>
        </w:rPr>
      </w:pPr>
      <w:r>
        <w:rPr>
          <w:rFonts w:hint="eastAsia" w:ascii="宋体" w:hAnsi="宋体"/>
          <w:sz w:val="24"/>
          <w:szCs w:val="24"/>
          <w:highlight w:val="none"/>
        </w:rPr>
        <w:t xml:space="preserve">  2.3</w:t>
      </w:r>
      <w:r>
        <w:rPr>
          <w:rFonts w:hint="eastAsia" w:ascii="宋体" w:hAnsi="宋体"/>
          <w:kern w:val="0"/>
          <w:sz w:val="24"/>
          <w:szCs w:val="24"/>
          <w:highlight w:val="none"/>
        </w:rPr>
        <w:t>项目监理机构和人员</w:t>
      </w:r>
    </w:p>
    <w:p w14:paraId="2422B24F">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2.3.4 </w:t>
      </w:r>
      <w:r>
        <w:rPr>
          <w:rFonts w:hint="eastAsia" w:ascii="宋体" w:hAnsi="宋体"/>
          <w:kern w:val="0"/>
          <w:sz w:val="24"/>
          <w:szCs w:val="24"/>
          <w:highlight w:val="none"/>
        </w:rPr>
        <w:t>更换监理人员的其他情形：</w:t>
      </w:r>
      <w:r>
        <w:rPr>
          <w:rFonts w:hint="eastAsia" w:ascii="宋体" w:hAnsi="宋体"/>
          <w:kern w:val="0"/>
          <w:sz w:val="24"/>
          <w:szCs w:val="24"/>
          <w:highlight w:val="none"/>
          <w:u w:val="single"/>
        </w:rPr>
        <w:t xml:space="preserve">       /             </w:t>
      </w:r>
      <w:r>
        <w:rPr>
          <w:rFonts w:hint="eastAsia" w:ascii="宋体" w:hAnsi="宋体"/>
          <w:kern w:val="0"/>
          <w:sz w:val="24"/>
          <w:szCs w:val="24"/>
          <w:highlight w:val="none"/>
        </w:rPr>
        <w:t>。</w:t>
      </w:r>
    </w:p>
    <w:p w14:paraId="77741610">
      <w:pPr>
        <w:spacing w:line="360" w:lineRule="auto"/>
        <w:ind w:firstLine="235" w:firstLineChars="98"/>
        <w:rPr>
          <w:rFonts w:ascii="宋体" w:hAnsi="宋体"/>
          <w:sz w:val="24"/>
          <w:szCs w:val="24"/>
          <w:highlight w:val="none"/>
        </w:rPr>
      </w:pPr>
      <w:r>
        <w:rPr>
          <w:rFonts w:hint="eastAsia" w:ascii="宋体" w:hAnsi="宋体"/>
          <w:sz w:val="24"/>
          <w:szCs w:val="24"/>
          <w:highlight w:val="none"/>
        </w:rPr>
        <w:t xml:space="preserve">2.4 </w:t>
      </w:r>
      <w:r>
        <w:rPr>
          <w:rFonts w:hint="eastAsia" w:ascii="宋体" w:hAnsi="宋体"/>
          <w:kern w:val="0"/>
          <w:sz w:val="24"/>
          <w:szCs w:val="24"/>
          <w:highlight w:val="none"/>
        </w:rPr>
        <w:t>履行职责</w:t>
      </w:r>
    </w:p>
    <w:p w14:paraId="42791EF4">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2.4.3 对监理人的授权范围：</w:t>
      </w:r>
    </w:p>
    <w:p w14:paraId="5CC56001">
      <w:pPr>
        <w:pStyle w:val="41"/>
        <w:spacing w:line="360" w:lineRule="auto"/>
        <w:ind w:firstLine="480" w:firstLineChars="200"/>
        <w:rPr>
          <w:sz w:val="24"/>
          <w:szCs w:val="24"/>
          <w:highlight w:val="none"/>
          <w:u w:val="single"/>
        </w:rPr>
      </w:pPr>
      <w:r>
        <w:rPr>
          <w:rFonts w:hint="eastAsia"/>
          <w:sz w:val="24"/>
          <w:szCs w:val="24"/>
          <w:highlight w:val="none"/>
          <w:u w:val="single"/>
        </w:rPr>
        <w:t>工程质量、安全文明施工、工程进度及工程投资等方面控制。</w:t>
      </w:r>
    </w:p>
    <w:p w14:paraId="12EF17C7">
      <w:pPr>
        <w:pStyle w:val="41"/>
        <w:spacing w:line="360" w:lineRule="auto"/>
        <w:ind w:firstLine="480" w:firstLineChars="200"/>
        <w:rPr>
          <w:sz w:val="24"/>
          <w:szCs w:val="24"/>
          <w:highlight w:val="none"/>
          <w:u w:val="single"/>
        </w:rPr>
      </w:pPr>
      <w:r>
        <w:rPr>
          <w:rFonts w:hint="eastAsia"/>
          <w:sz w:val="24"/>
          <w:szCs w:val="24"/>
          <w:highlight w:val="none"/>
          <w:u w:val="single"/>
        </w:rPr>
        <w:t>工程开工、停工及设计变更、工程量签证需要取得发包人批准。</w:t>
      </w:r>
    </w:p>
    <w:p w14:paraId="5AE5FAAE">
      <w:pPr>
        <w:adjustRightInd w:val="0"/>
        <w:snapToGrid w:val="0"/>
        <w:spacing w:line="360" w:lineRule="auto"/>
        <w:ind w:firstLine="480" w:firstLineChars="200"/>
        <w:rPr>
          <w:rFonts w:ascii="宋体" w:hAnsi="宋体"/>
          <w:kern w:val="0"/>
          <w:sz w:val="24"/>
          <w:szCs w:val="24"/>
          <w:highlight w:val="none"/>
        </w:rPr>
      </w:pPr>
      <w:bookmarkStart w:id="202" w:name="_Toc456102387"/>
      <w:bookmarkEnd w:id="202"/>
      <w:bookmarkStart w:id="203" w:name="_Toc16986"/>
      <w:r>
        <w:rPr>
          <w:rFonts w:hint="eastAsia" w:ascii="宋体" w:hAnsi="宋体"/>
          <w:kern w:val="0"/>
          <w:sz w:val="24"/>
          <w:szCs w:val="24"/>
          <w:highlight w:val="none"/>
        </w:rPr>
        <w:t>在涉及工程延期1 天内和（或）金额  1000元内的变更，监理人不需请示委托人即可向承包人发布变更通知。</w:t>
      </w:r>
      <w:bookmarkEnd w:id="203"/>
    </w:p>
    <w:p w14:paraId="47B2AAF4">
      <w:pPr>
        <w:adjustRightInd w:val="0"/>
        <w:snapToGrid w:val="0"/>
        <w:spacing w:line="360" w:lineRule="auto"/>
        <w:ind w:left="599" w:leftChars="228" w:hanging="120" w:hangingChars="50"/>
        <w:rPr>
          <w:rFonts w:ascii="宋体" w:hAnsi="宋体"/>
          <w:sz w:val="24"/>
          <w:szCs w:val="24"/>
          <w:highlight w:val="none"/>
        </w:rPr>
      </w:pPr>
      <w:r>
        <w:rPr>
          <w:rFonts w:hint="eastAsia" w:ascii="宋体" w:hAnsi="宋体"/>
          <w:kern w:val="0"/>
          <w:sz w:val="24"/>
          <w:szCs w:val="24"/>
          <w:highlight w:val="none"/>
        </w:rPr>
        <w:t>2.4.4 监理人有权要求承包人调换其人员</w:t>
      </w:r>
      <w:r>
        <w:rPr>
          <w:rFonts w:hint="eastAsia" w:ascii="宋体" w:hAnsi="宋体"/>
          <w:sz w:val="24"/>
          <w:szCs w:val="24"/>
          <w:highlight w:val="none"/>
        </w:rPr>
        <w:t>的限制条件：</w:t>
      </w:r>
      <w:r>
        <w:rPr>
          <w:rFonts w:hint="eastAsia" w:ascii="宋体" w:hAnsi="宋体"/>
          <w:sz w:val="24"/>
          <w:szCs w:val="24"/>
          <w:highlight w:val="none"/>
          <w:u w:val="single"/>
        </w:rPr>
        <w:t xml:space="preserve">  经委托人书面批准   </w:t>
      </w:r>
      <w:r>
        <w:rPr>
          <w:rFonts w:hint="eastAsia" w:ascii="宋体" w:hAnsi="宋体"/>
          <w:sz w:val="24"/>
          <w:szCs w:val="24"/>
          <w:highlight w:val="none"/>
        </w:rPr>
        <w:t xml:space="preserve">。  </w:t>
      </w:r>
    </w:p>
    <w:p w14:paraId="38D17D88">
      <w:pPr>
        <w:adjustRightInd w:val="0"/>
        <w:snapToGrid w:val="0"/>
        <w:spacing w:line="360" w:lineRule="auto"/>
        <w:ind w:firstLine="120" w:firstLineChars="50"/>
        <w:rPr>
          <w:rFonts w:ascii="宋体" w:hAnsi="宋体"/>
          <w:sz w:val="24"/>
          <w:szCs w:val="24"/>
          <w:highlight w:val="none"/>
        </w:rPr>
      </w:pPr>
      <w:r>
        <w:rPr>
          <w:rFonts w:hint="eastAsia" w:ascii="宋体" w:hAnsi="宋体"/>
          <w:kern w:val="0"/>
          <w:sz w:val="24"/>
          <w:szCs w:val="24"/>
          <w:highlight w:val="none"/>
        </w:rPr>
        <w:t xml:space="preserve">2.5 </w:t>
      </w:r>
      <w:r>
        <w:rPr>
          <w:rFonts w:hint="eastAsia" w:ascii="宋体" w:hAnsi="宋体"/>
          <w:sz w:val="24"/>
          <w:szCs w:val="24"/>
          <w:highlight w:val="none"/>
        </w:rPr>
        <w:t>提交</w:t>
      </w:r>
      <w:r>
        <w:rPr>
          <w:rFonts w:hint="eastAsia" w:ascii="宋体" w:hAnsi="宋体"/>
          <w:kern w:val="0"/>
          <w:sz w:val="24"/>
          <w:szCs w:val="24"/>
          <w:highlight w:val="none"/>
        </w:rPr>
        <w:t>报告</w:t>
      </w:r>
    </w:p>
    <w:p w14:paraId="377F11EE">
      <w:pPr>
        <w:adjustRightInd w:val="0"/>
        <w:snapToGrid w:val="0"/>
        <w:spacing w:line="360" w:lineRule="auto"/>
        <w:ind w:firstLine="525"/>
        <w:rPr>
          <w:rFonts w:ascii="宋体" w:hAnsi="宋体"/>
          <w:kern w:val="0"/>
          <w:sz w:val="24"/>
          <w:szCs w:val="24"/>
          <w:highlight w:val="none"/>
        </w:rPr>
      </w:pPr>
      <w:r>
        <w:rPr>
          <w:rFonts w:hint="eastAsia" w:ascii="宋体" w:hAnsi="宋体"/>
          <w:sz w:val="24"/>
          <w:szCs w:val="24"/>
          <w:highlight w:val="none"/>
        </w:rPr>
        <w:t>监理人应提交报告的种类(</w:t>
      </w:r>
      <w:r>
        <w:rPr>
          <w:rFonts w:hint="eastAsia" w:ascii="宋体" w:hAnsi="宋体"/>
          <w:kern w:val="0"/>
          <w:sz w:val="24"/>
          <w:szCs w:val="24"/>
          <w:highlight w:val="none"/>
        </w:rPr>
        <w:t>包括监理规划、监理月报及约定的专项报告)</w:t>
      </w:r>
      <w:r>
        <w:rPr>
          <w:rFonts w:hint="eastAsia" w:ascii="宋体" w:hAnsi="宋体"/>
          <w:sz w:val="24"/>
          <w:szCs w:val="24"/>
          <w:highlight w:val="none"/>
        </w:rPr>
        <w:t>、时间和份数</w:t>
      </w:r>
      <w:r>
        <w:rPr>
          <w:rFonts w:hint="eastAsia" w:ascii="宋体" w:hAnsi="宋体"/>
          <w:kern w:val="0"/>
          <w:sz w:val="24"/>
          <w:szCs w:val="24"/>
          <w:highlight w:val="none"/>
        </w:rPr>
        <w:t>：</w:t>
      </w:r>
    </w:p>
    <w:p w14:paraId="694E8FDC">
      <w:pPr>
        <w:adjustRightInd w:val="0"/>
        <w:snapToGrid w:val="0"/>
        <w:spacing w:line="360" w:lineRule="auto"/>
        <w:ind w:firstLine="525"/>
        <w:rPr>
          <w:rFonts w:ascii="宋体" w:hAnsi="宋体"/>
          <w:sz w:val="24"/>
          <w:szCs w:val="24"/>
          <w:highlight w:val="none"/>
          <w:u w:val="single"/>
        </w:rPr>
      </w:pPr>
      <w:r>
        <w:rPr>
          <w:rFonts w:hint="eastAsia" w:ascii="宋体" w:hAnsi="宋体"/>
          <w:sz w:val="24"/>
          <w:szCs w:val="24"/>
          <w:highlight w:val="none"/>
          <w:u w:val="single"/>
        </w:rPr>
        <w:t xml:space="preserve">工程开工前提交监理规划 </w:t>
      </w:r>
    </w:p>
    <w:p w14:paraId="16BF0169">
      <w:pPr>
        <w:adjustRightInd w:val="0"/>
        <w:snapToGrid w:val="0"/>
        <w:spacing w:line="360" w:lineRule="auto"/>
        <w:ind w:firstLine="600" w:firstLineChars="250"/>
        <w:rPr>
          <w:rFonts w:ascii="宋体" w:hAnsi="宋体"/>
          <w:sz w:val="24"/>
          <w:szCs w:val="24"/>
          <w:highlight w:val="none"/>
          <w:u w:val="single"/>
        </w:rPr>
      </w:pPr>
      <w:r>
        <w:rPr>
          <w:rFonts w:hint="eastAsia" w:ascii="宋体" w:hAnsi="宋体"/>
          <w:kern w:val="0"/>
          <w:sz w:val="24"/>
          <w:szCs w:val="24"/>
          <w:highlight w:val="none"/>
          <w:u w:val="single"/>
        </w:rPr>
        <w:t xml:space="preserve"> 每月5日前提交上月监理月报</w:t>
      </w:r>
    </w:p>
    <w:p w14:paraId="7AF93644">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 xml:space="preserve">  单项工程完工提交单项工程质量评估报告    </w:t>
      </w:r>
      <w:r>
        <w:rPr>
          <w:rFonts w:hint="eastAsia" w:ascii="宋体" w:hAnsi="宋体"/>
          <w:sz w:val="24"/>
          <w:szCs w:val="24"/>
          <w:highlight w:val="none"/>
        </w:rPr>
        <w:t>。</w:t>
      </w:r>
    </w:p>
    <w:p w14:paraId="71874AF8">
      <w:pPr>
        <w:spacing w:line="360" w:lineRule="auto"/>
        <w:rPr>
          <w:rFonts w:ascii="宋体" w:hAnsi="宋体"/>
          <w:kern w:val="0"/>
          <w:sz w:val="24"/>
          <w:szCs w:val="24"/>
          <w:highlight w:val="none"/>
        </w:rPr>
      </w:pPr>
      <w:r>
        <w:rPr>
          <w:rFonts w:hint="eastAsia" w:ascii="宋体" w:hAnsi="宋体"/>
          <w:kern w:val="0"/>
          <w:sz w:val="24"/>
          <w:szCs w:val="24"/>
          <w:highlight w:val="none"/>
        </w:rPr>
        <w:t xml:space="preserve"> 2.7 使用委托人的财产</w:t>
      </w:r>
    </w:p>
    <w:p w14:paraId="18C6D1E2">
      <w:pPr>
        <w:spacing w:line="360" w:lineRule="auto"/>
        <w:ind w:left="600" w:hanging="600" w:hangingChars="250"/>
        <w:rPr>
          <w:rFonts w:ascii="宋体" w:hAnsi="宋体"/>
          <w:kern w:val="0"/>
          <w:sz w:val="24"/>
          <w:szCs w:val="24"/>
          <w:highlight w:val="none"/>
        </w:rPr>
      </w:pPr>
      <w:r>
        <w:rPr>
          <w:rFonts w:hint="eastAsia" w:ascii="宋体" w:hAnsi="宋体"/>
          <w:sz w:val="24"/>
          <w:szCs w:val="24"/>
          <w:highlight w:val="none"/>
        </w:rPr>
        <w:t>附录B中由委托人无偿提供的房屋、设备的所有权属于：</w:t>
      </w:r>
      <w:r>
        <w:rPr>
          <w:rFonts w:hint="eastAsia" w:ascii="宋体" w:hAnsi="宋体"/>
          <w:sz w:val="24"/>
          <w:szCs w:val="24"/>
          <w:highlight w:val="none"/>
          <w:u w:val="single"/>
        </w:rPr>
        <w:t xml:space="preserve"> 委托人     </w:t>
      </w:r>
      <w:r>
        <w:rPr>
          <w:rFonts w:hint="eastAsia" w:ascii="宋体" w:hAnsi="宋体"/>
          <w:sz w:val="24"/>
          <w:szCs w:val="24"/>
          <w:highlight w:val="none"/>
        </w:rPr>
        <w:t>。</w:t>
      </w:r>
    </w:p>
    <w:p w14:paraId="12BD02A0">
      <w:pPr>
        <w:spacing w:line="360" w:lineRule="auto"/>
        <w:ind w:firstLine="480" w:firstLineChars="200"/>
        <w:rPr>
          <w:rFonts w:ascii="宋体" w:hAnsi="宋体"/>
          <w:kern w:val="0"/>
          <w:sz w:val="24"/>
          <w:szCs w:val="24"/>
          <w:highlight w:val="none"/>
        </w:rPr>
      </w:pPr>
      <w:r>
        <w:rPr>
          <w:rFonts w:hint="eastAsia" w:ascii="宋体" w:hAnsi="宋体"/>
          <w:sz w:val="24"/>
          <w:szCs w:val="24"/>
          <w:highlight w:val="none"/>
        </w:rPr>
        <w:t>监理人应在本合同终止后</w:t>
      </w:r>
      <w:r>
        <w:rPr>
          <w:rFonts w:hint="eastAsia" w:ascii="宋体" w:hAnsi="宋体"/>
          <w:sz w:val="24"/>
          <w:szCs w:val="24"/>
          <w:highlight w:val="none"/>
          <w:u w:val="single"/>
        </w:rPr>
        <w:t xml:space="preserve"> 15 </w:t>
      </w:r>
      <w:r>
        <w:rPr>
          <w:rFonts w:hint="eastAsia" w:ascii="宋体" w:hAnsi="宋体"/>
          <w:sz w:val="24"/>
          <w:szCs w:val="24"/>
          <w:highlight w:val="none"/>
        </w:rPr>
        <w:t>天内移交委托人无偿提供的房屋、设备，移交的时间和方式为：</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4FB1B274">
      <w:pPr>
        <w:adjustRightInd w:val="0"/>
        <w:snapToGrid w:val="0"/>
        <w:spacing w:line="360" w:lineRule="auto"/>
        <w:rPr>
          <w:rFonts w:ascii="宋体" w:hAnsi="宋体"/>
          <w:b/>
          <w:bCs/>
          <w:sz w:val="24"/>
          <w:szCs w:val="24"/>
          <w:highlight w:val="none"/>
        </w:rPr>
      </w:pPr>
      <w:r>
        <w:rPr>
          <w:rFonts w:hint="eastAsia" w:ascii="宋体" w:hAnsi="宋体"/>
          <w:b/>
          <w:bCs/>
          <w:kern w:val="0"/>
          <w:sz w:val="24"/>
          <w:szCs w:val="24"/>
          <w:highlight w:val="none"/>
        </w:rPr>
        <w:t xml:space="preserve">3. 委托人义务  </w:t>
      </w:r>
    </w:p>
    <w:p w14:paraId="4F075A40">
      <w:pPr>
        <w:snapToGrid w:val="0"/>
        <w:spacing w:line="360" w:lineRule="auto"/>
        <w:rPr>
          <w:rFonts w:ascii="宋体" w:hAnsi="宋体"/>
          <w:sz w:val="24"/>
          <w:szCs w:val="24"/>
          <w:highlight w:val="none"/>
        </w:rPr>
      </w:pPr>
      <w:r>
        <w:rPr>
          <w:rFonts w:hint="eastAsia" w:ascii="宋体" w:hAnsi="宋体"/>
          <w:kern w:val="0"/>
          <w:sz w:val="24"/>
          <w:szCs w:val="24"/>
          <w:highlight w:val="none"/>
        </w:rPr>
        <w:t>3.4 委托人代表</w:t>
      </w:r>
    </w:p>
    <w:p w14:paraId="5D389F14">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委托人代表为：。</w:t>
      </w:r>
    </w:p>
    <w:p w14:paraId="2B0B2253">
      <w:pPr>
        <w:adjustRightInd w:val="0"/>
        <w:snapToGrid w:val="0"/>
        <w:spacing w:line="360" w:lineRule="auto"/>
        <w:ind w:firstLine="235" w:firstLineChars="98"/>
        <w:rPr>
          <w:rFonts w:ascii="宋体" w:hAnsi="宋体"/>
          <w:kern w:val="0"/>
          <w:sz w:val="24"/>
          <w:szCs w:val="24"/>
          <w:highlight w:val="none"/>
        </w:rPr>
      </w:pPr>
      <w:r>
        <w:rPr>
          <w:rFonts w:hint="eastAsia" w:ascii="宋体" w:hAnsi="宋体"/>
          <w:kern w:val="0"/>
          <w:sz w:val="24"/>
          <w:szCs w:val="24"/>
          <w:highlight w:val="none"/>
        </w:rPr>
        <w:t>3.6 答复</w:t>
      </w:r>
    </w:p>
    <w:p w14:paraId="3F127405">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委托人同意在</w:t>
      </w:r>
      <w:r>
        <w:rPr>
          <w:rFonts w:hint="eastAsia" w:ascii="宋体" w:hAnsi="宋体"/>
          <w:sz w:val="24"/>
          <w:szCs w:val="24"/>
          <w:highlight w:val="none"/>
          <w:u w:val="single"/>
        </w:rPr>
        <w:t xml:space="preserve">  30 </w:t>
      </w:r>
      <w:r>
        <w:rPr>
          <w:rFonts w:hint="eastAsia" w:ascii="宋体" w:hAnsi="宋体"/>
          <w:sz w:val="24"/>
          <w:szCs w:val="24"/>
          <w:highlight w:val="none"/>
        </w:rPr>
        <w:t>天内，对监理人书面提交并要求做出决定的事宜给予书面答复。</w:t>
      </w:r>
    </w:p>
    <w:p w14:paraId="7A5772D8">
      <w:pPr>
        <w:snapToGrid w:val="0"/>
        <w:spacing w:line="360" w:lineRule="auto"/>
        <w:rPr>
          <w:rFonts w:ascii="宋体" w:hAnsi="宋体"/>
          <w:b/>
          <w:bCs/>
          <w:sz w:val="24"/>
          <w:szCs w:val="24"/>
          <w:highlight w:val="none"/>
        </w:rPr>
      </w:pPr>
      <w:r>
        <w:rPr>
          <w:rFonts w:hint="eastAsia" w:ascii="宋体" w:hAnsi="宋体"/>
          <w:b/>
          <w:bCs/>
          <w:sz w:val="24"/>
          <w:szCs w:val="24"/>
          <w:highlight w:val="none"/>
        </w:rPr>
        <w:t>4. 违约责任</w:t>
      </w:r>
    </w:p>
    <w:p w14:paraId="56571233">
      <w:pPr>
        <w:spacing w:line="360" w:lineRule="auto"/>
        <w:ind w:left="210" w:leftChars="100"/>
        <w:rPr>
          <w:rFonts w:ascii="宋体" w:hAnsi="宋体"/>
          <w:kern w:val="0"/>
          <w:sz w:val="24"/>
          <w:szCs w:val="24"/>
          <w:highlight w:val="none"/>
        </w:rPr>
      </w:pPr>
      <w:r>
        <w:rPr>
          <w:rFonts w:hint="eastAsia" w:ascii="宋体" w:hAnsi="宋体"/>
          <w:kern w:val="0"/>
          <w:sz w:val="24"/>
          <w:szCs w:val="24"/>
          <w:highlight w:val="none"/>
        </w:rPr>
        <w:t>4.1 监理人的违约责任</w:t>
      </w:r>
    </w:p>
    <w:p w14:paraId="0B01C964">
      <w:pPr>
        <w:adjustRightInd w:val="0"/>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4.1.1监理人赔偿金额按下列方法确定：</w:t>
      </w:r>
    </w:p>
    <w:p w14:paraId="63F24478">
      <w:pPr>
        <w:adjustRightInd w:val="0"/>
        <w:snapToGrid w:val="0"/>
        <w:spacing w:line="360" w:lineRule="auto"/>
        <w:ind w:firstLine="480" w:firstLineChars="200"/>
        <w:rPr>
          <w:rFonts w:ascii="宋体" w:hAnsi="宋体"/>
          <w:kern w:val="0"/>
          <w:sz w:val="24"/>
          <w:szCs w:val="24"/>
          <w:highlight w:val="none"/>
        </w:rPr>
      </w:pPr>
      <w:r>
        <w:rPr>
          <w:rFonts w:hint="eastAsia" w:ascii="宋体" w:hAnsi="宋体"/>
          <w:sz w:val="24"/>
          <w:szCs w:val="24"/>
          <w:highlight w:val="none"/>
        </w:rPr>
        <w:t>赔偿金＝直接经济损失×5%</w:t>
      </w:r>
    </w:p>
    <w:p w14:paraId="3B8FA6BA">
      <w:pPr>
        <w:snapToGrid w:val="0"/>
        <w:spacing w:line="360" w:lineRule="auto"/>
        <w:ind w:firstLine="240" w:firstLineChars="100"/>
        <w:rPr>
          <w:rFonts w:ascii="宋体" w:hAnsi="宋体"/>
          <w:kern w:val="0"/>
          <w:sz w:val="24"/>
          <w:szCs w:val="24"/>
          <w:highlight w:val="none"/>
        </w:rPr>
      </w:pPr>
      <w:r>
        <w:rPr>
          <w:rFonts w:hint="eastAsia" w:ascii="宋体" w:hAnsi="宋体"/>
          <w:kern w:val="0"/>
          <w:sz w:val="24"/>
          <w:szCs w:val="24"/>
          <w:highlight w:val="none"/>
        </w:rPr>
        <w:t>4.2 委托人的违约责任</w:t>
      </w:r>
    </w:p>
    <w:p w14:paraId="3AD38BD4">
      <w:pPr>
        <w:spacing w:line="360" w:lineRule="auto"/>
        <w:ind w:firstLine="480" w:firstLineChars="200"/>
        <w:rPr>
          <w:rFonts w:ascii="宋体" w:hAnsi="宋体"/>
          <w:kern w:val="0"/>
          <w:sz w:val="24"/>
          <w:szCs w:val="24"/>
          <w:highlight w:val="none"/>
        </w:rPr>
      </w:pPr>
      <w:r>
        <w:rPr>
          <w:rFonts w:hint="eastAsia" w:ascii="宋体" w:hAnsi="宋体"/>
          <w:sz w:val="24"/>
          <w:szCs w:val="24"/>
          <w:highlight w:val="none"/>
        </w:rPr>
        <w:t>4.2.3 委托人</w:t>
      </w:r>
      <w:r>
        <w:rPr>
          <w:rFonts w:hint="eastAsia" w:ascii="宋体" w:hAnsi="宋体"/>
          <w:kern w:val="0"/>
          <w:sz w:val="24"/>
          <w:szCs w:val="24"/>
          <w:highlight w:val="none"/>
        </w:rPr>
        <w:t>逾期付款利息按下列方法确定：</w:t>
      </w:r>
    </w:p>
    <w:p w14:paraId="3A4B964F">
      <w:pPr>
        <w:spacing w:line="360" w:lineRule="auto"/>
        <w:ind w:firstLine="480" w:firstLineChars="200"/>
        <w:rPr>
          <w:rFonts w:ascii="宋体" w:hAnsi="宋体"/>
          <w:sz w:val="24"/>
          <w:szCs w:val="24"/>
          <w:highlight w:val="none"/>
        </w:rPr>
      </w:pPr>
      <w:r>
        <w:rPr>
          <w:rFonts w:hint="eastAsia" w:ascii="宋体" w:hAnsi="宋体"/>
          <w:sz w:val="24"/>
          <w:szCs w:val="24"/>
          <w:highlight w:val="none"/>
        </w:rPr>
        <w:t>逾期付款利息＝当期应付款总额×银行同期贷款利率×拖延支付天数</w:t>
      </w:r>
    </w:p>
    <w:p w14:paraId="6C70840B">
      <w:pPr>
        <w:snapToGrid w:val="0"/>
        <w:spacing w:line="360" w:lineRule="auto"/>
        <w:rPr>
          <w:rFonts w:ascii="宋体" w:hAnsi="宋体"/>
          <w:b/>
          <w:bCs/>
          <w:sz w:val="24"/>
          <w:szCs w:val="24"/>
          <w:highlight w:val="none"/>
        </w:rPr>
      </w:pPr>
      <w:r>
        <w:rPr>
          <w:rFonts w:hint="eastAsia" w:ascii="宋体" w:hAnsi="宋体"/>
          <w:b/>
          <w:bCs/>
          <w:sz w:val="24"/>
          <w:szCs w:val="24"/>
          <w:highlight w:val="none"/>
        </w:rPr>
        <w:t>5. 支付</w:t>
      </w:r>
    </w:p>
    <w:p w14:paraId="1BA3F2B3">
      <w:pPr>
        <w:snapToGrid w:val="0"/>
        <w:spacing w:line="360" w:lineRule="auto"/>
        <w:rPr>
          <w:rFonts w:ascii="宋体" w:hAnsi="宋体"/>
          <w:sz w:val="24"/>
          <w:szCs w:val="24"/>
          <w:highlight w:val="none"/>
        </w:rPr>
      </w:pPr>
      <w:r>
        <w:rPr>
          <w:rFonts w:hint="eastAsia" w:ascii="宋体" w:hAnsi="宋体"/>
          <w:sz w:val="24"/>
          <w:szCs w:val="24"/>
          <w:highlight w:val="none"/>
        </w:rPr>
        <w:t xml:space="preserve">  5.1 支付货币</w:t>
      </w:r>
    </w:p>
    <w:p w14:paraId="1DEF5AFD">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币种为：</w:t>
      </w:r>
      <w:r>
        <w:rPr>
          <w:rFonts w:hint="eastAsia" w:ascii="宋体" w:hAnsi="宋体"/>
          <w:sz w:val="24"/>
          <w:szCs w:val="24"/>
          <w:highlight w:val="none"/>
          <w:u w:val="single"/>
        </w:rPr>
        <w:t xml:space="preserve"> 人民币  </w:t>
      </w:r>
      <w:r>
        <w:rPr>
          <w:rFonts w:hint="eastAsia" w:ascii="宋体" w:hAnsi="宋体"/>
          <w:sz w:val="24"/>
          <w:szCs w:val="24"/>
          <w:highlight w:val="none"/>
        </w:rPr>
        <w:t>，比例为：</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，汇率为：</w:t>
      </w:r>
      <w:r>
        <w:rPr>
          <w:rFonts w:hint="eastAsia" w:ascii="宋体" w:hAnsi="宋体"/>
          <w:sz w:val="24"/>
          <w:szCs w:val="24"/>
          <w:highlight w:val="none"/>
          <w:u w:val="single"/>
        </w:rPr>
        <w:t xml:space="preserve">  /  </w:t>
      </w:r>
      <w:r>
        <w:rPr>
          <w:rFonts w:hint="eastAsia" w:ascii="宋体" w:hAnsi="宋体"/>
          <w:sz w:val="24"/>
          <w:szCs w:val="24"/>
          <w:highlight w:val="none"/>
        </w:rPr>
        <w:t xml:space="preserve">。 </w:t>
      </w:r>
    </w:p>
    <w:p w14:paraId="15375A4E">
      <w:pPr>
        <w:snapToGrid w:val="0"/>
        <w:spacing w:line="360" w:lineRule="auto"/>
        <w:ind w:firstLine="240" w:firstLineChars="100"/>
        <w:rPr>
          <w:rFonts w:ascii="宋体" w:hAnsi="宋体"/>
          <w:kern w:val="0"/>
          <w:sz w:val="24"/>
          <w:szCs w:val="24"/>
          <w:highlight w:val="none"/>
        </w:rPr>
      </w:pPr>
      <w:r>
        <w:rPr>
          <w:rFonts w:hint="eastAsia" w:ascii="宋体" w:hAnsi="宋体"/>
          <w:kern w:val="0"/>
          <w:sz w:val="24"/>
          <w:szCs w:val="24"/>
          <w:highlight w:val="none"/>
        </w:rPr>
        <w:t>5.3 支付酬金</w:t>
      </w:r>
    </w:p>
    <w:p w14:paraId="506E884B">
      <w:pPr>
        <w:snapToGrid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正常工作</w:t>
      </w:r>
      <w:r>
        <w:rPr>
          <w:rFonts w:hint="eastAsia" w:ascii="宋体" w:hAnsi="宋体"/>
          <w:sz w:val="24"/>
          <w:szCs w:val="24"/>
          <w:highlight w:val="none"/>
        </w:rPr>
        <w:t>酬金的</w:t>
      </w:r>
      <w:r>
        <w:rPr>
          <w:rFonts w:hint="eastAsia" w:ascii="宋体" w:hAnsi="宋体"/>
          <w:kern w:val="0"/>
          <w:sz w:val="24"/>
          <w:szCs w:val="24"/>
          <w:highlight w:val="none"/>
        </w:rPr>
        <w:t>支付</w:t>
      </w:r>
      <w:r>
        <w:rPr>
          <w:rFonts w:hint="eastAsia" w:ascii="宋体" w:hAnsi="宋体"/>
          <w:sz w:val="24"/>
          <w:szCs w:val="24"/>
          <w:highlight w:val="none"/>
        </w:rPr>
        <w:t>：</w:t>
      </w:r>
    </w:p>
    <w:p w14:paraId="3FA9B57E">
      <w:pPr>
        <w:snapToGrid w:val="0"/>
        <w:spacing w:line="660" w:lineRule="exact"/>
        <w:ind w:firstLine="480" w:firstLineChars="200"/>
        <w:rPr>
          <w:rFonts w:ascii="宋体" w:hAnsi="宋体"/>
          <w:sz w:val="24"/>
          <w:szCs w:val="24"/>
          <w:highlight w:val="none"/>
          <w:u w:val="single"/>
        </w:rPr>
      </w:pP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7C118E0E">
      <w:pPr>
        <w:snapToGrid w:val="0"/>
        <w:spacing w:line="660" w:lineRule="exact"/>
        <w:rPr>
          <w:rFonts w:ascii="宋体" w:hAnsi="宋体"/>
          <w:b/>
          <w:bCs/>
          <w:sz w:val="24"/>
          <w:szCs w:val="24"/>
          <w:highlight w:val="none"/>
        </w:rPr>
      </w:pPr>
      <w:r>
        <w:rPr>
          <w:rFonts w:hint="eastAsia" w:ascii="宋体" w:hAnsi="宋体"/>
          <w:sz w:val="24"/>
          <w:szCs w:val="24"/>
          <w:highlight w:val="none"/>
        </w:rPr>
        <w:t>6</w:t>
      </w:r>
      <w:r>
        <w:rPr>
          <w:rFonts w:hint="eastAsia" w:ascii="宋体" w:hAnsi="宋体"/>
          <w:b/>
          <w:bCs/>
          <w:sz w:val="24"/>
          <w:szCs w:val="24"/>
          <w:highlight w:val="none"/>
        </w:rPr>
        <w:t>. 合同生效、变更、暂停、解除与终止</w:t>
      </w:r>
    </w:p>
    <w:p w14:paraId="1B7E2FC9">
      <w:pPr>
        <w:adjustRightInd w:val="0"/>
        <w:snapToGrid w:val="0"/>
        <w:spacing w:line="660" w:lineRule="exact"/>
        <w:ind w:firstLine="240" w:firstLineChars="100"/>
        <w:rPr>
          <w:rFonts w:ascii="宋体" w:hAnsi="宋体"/>
          <w:sz w:val="24"/>
          <w:szCs w:val="24"/>
          <w:highlight w:val="none"/>
        </w:rPr>
      </w:pPr>
      <w:r>
        <w:rPr>
          <w:rFonts w:hint="eastAsia" w:ascii="宋体" w:hAnsi="宋体"/>
          <w:sz w:val="24"/>
          <w:szCs w:val="24"/>
          <w:highlight w:val="none"/>
        </w:rPr>
        <w:t>6.1 生效</w:t>
      </w:r>
    </w:p>
    <w:p w14:paraId="4C7F5B5E">
      <w:pPr>
        <w:adjustRightInd w:val="0"/>
        <w:snapToGrid w:val="0"/>
        <w:spacing w:line="360" w:lineRule="auto"/>
        <w:ind w:firstLine="480"/>
        <w:rPr>
          <w:rFonts w:ascii="宋体" w:hAnsi="宋体"/>
          <w:sz w:val="24"/>
          <w:szCs w:val="24"/>
          <w:highlight w:val="none"/>
        </w:rPr>
      </w:pPr>
      <w:r>
        <w:rPr>
          <w:rFonts w:hint="eastAsia" w:ascii="宋体" w:hAnsi="宋体"/>
          <w:sz w:val="24"/>
          <w:szCs w:val="24"/>
          <w:highlight w:val="none"/>
        </w:rPr>
        <w:t>本合同生效条件：</w:t>
      </w:r>
      <w:r>
        <w:rPr>
          <w:rFonts w:hint="eastAsia" w:ascii="宋体" w:hAnsi="宋体"/>
          <w:sz w:val="24"/>
          <w:szCs w:val="24"/>
          <w:highlight w:val="none"/>
          <w:u w:val="single"/>
        </w:rPr>
        <w:t xml:space="preserve">   双方签字盖章后生效  </w:t>
      </w:r>
      <w:r>
        <w:rPr>
          <w:rFonts w:hint="eastAsia" w:ascii="宋体" w:hAnsi="宋体"/>
          <w:sz w:val="24"/>
          <w:szCs w:val="24"/>
          <w:highlight w:val="none"/>
        </w:rPr>
        <w:t>。</w:t>
      </w:r>
    </w:p>
    <w:p w14:paraId="38FCF011">
      <w:pPr>
        <w:adjustRightInd w:val="0"/>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6.2 变更</w:t>
      </w:r>
    </w:p>
    <w:p w14:paraId="6C5742A5">
      <w:pPr>
        <w:adjustRightInd w:val="0"/>
        <w:snapToGrid w:val="0"/>
        <w:spacing w:line="360" w:lineRule="auto"/>
        <w:ind w:firstLine="480" w:firstLineChars="200"/>
        <w:rPr>
          <w:rFonts w:ascii="宋体" w:hAnsi="宋体"/>
          <w:kern w:val="0"/>
          <w:sz w:val="24"/>
          <w:szCs w:val="24"/>
          <w:highlight w:val="none"/>
          <w:u w:val="single"/>
        </w:rPr>
      </w:pPr>
      <w:r>
        <w:rPr>
          <w:rFonts w:hint="eastAsia" w:ascii="宋体" w:hAnsi="宋体"/>
          <w:sz w:val="24"/>
          <w:szCs w:val="24"/>
          <w:highlight w:val="none"/>
        </w:rPr>
        <w:t>6.2.2 除不可抗力外， 因非监理人原因导致本合同期限延长时，附加工作酬金按下列方法确定：</w:t>
      </w:r>
      <w:r>
        <w:rPr>
          <w:rFonts w:hint="eastAsia" w:ascii="宋体" w:hAnsi="宋体"/>
          <w:kern w:val="0"/>
          <w:sz w:val="24"/>
          <w:szCs w:val="24"/>
          <w:highlight w:val="none"/>
          <w:u w:val="single"/>
        </w:rPr>
        <w:t>不增加工作酬金</w:t>
      </w:r>
    </w:p>
    <w:p w14:paraId="4ED9D09B">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6.2.3附加工作酬金按下列方法确定：</w:t>
      </w:r>
      <w:r>
        <w:rPr>
          <w:rFonts w:hint="eastAsia" w:ascii="宋体" w:hAnsi="宋体"/>
          <w:sz w:val="24"/>
          <w:szCs w:val="24"/>
          <w:highlight w:val="none"/>
          <w:u w:val="single"/>
        </w:rPr>
        <w:t>无</w:t>
      </w:r>
    </w:p>
    <w:p w14:paraId="141BB074">
      <w:pPr>
        <w:adjustRightInd w:val="0"/>
        <w:snapToGrid w:val="0"/>
        <w:spacing w:line="360" w:lineRule="auto"/>
        <w:ind w:firstLine="480" w:firstLineChars="200"/>
        <w:rPr>
          <w:rFonts w:ascii="宋体" w:hAnsi="宋体"/>
          <w:kern w:val="0"/>
          <w:sz w:val="24"/>
          <w:szCs w:val="24"/>
          <w:highlight w:val="none"/>
          <w:u w:val="single"/>
        </w:rPr>
      </w:pPr>
      <w:r>
        <w:rPr>
          <w:rFonts w:hint="eastAsia" w:ascii="宋体" w:hAnsi="宋体"/>
          <w:sz w:val="24"/>
          <w:szCs w:val="24"/>
          <w:highlight w:val="none"/>
        </w:rPr>
        <w:t>6.2.5 正常工作酬金增加额按下列方法确定：</w:t>
      </w:r>
      <w:r>
        <w:rPr>
          <w:rFonts w:hint="eastAsia" w:ascii="宋体" w:hAnsi="宋体"/>
          <w:sz w:val="24"/>
          <w:szCs w:val="24"/>
          <w:highlight w:val="none"/>
          <w:u w:val="single"/>
        </w:rPr>
        <w:t>无</w:t>
      </w:r>
    </w:p>
    <w:p w14:paraId="76BD6CAB">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6.2.6 因工程规模、监理范围的变化导致监理人的正常工作量减少时，按减少工作量的比例从协议书约定的正常工作酬金中扣减相同比例的酬金。</w:t>
      </w:r>
    </w:p>
    <w:p w14:paraId="40A1FA6C">
      <w:pPr>
        <w:snapToGrid w:val="0"/>
        <w:spacing w:line="360" w:lineRule="auto"/>
        <w:rPr>
          <w:rFonts w:ascii="宋体" w:hAnsi="宋体"/>
          <w:b/>
          <w:bCs/>
          <w:sz w:val="24"/>
          <w:szCs w:val="24"/>
          <w:highlight w:val="none"/>
        </w:rPr>
      </w:pPr>
      <w:r>
        <w:rPr>
          <w:rFonts w:hint="eastAsia" w:ascii="宋体" w:hAnsi="宋体"/>
          <w:b/>
          <w:bCs/>
          <w:sz w:val="24"/>
          <w:szCs w:val="24"/>
          <w:highlight w:val="none"/>
        </w:rPr>
        <w:t>7. 争议解决</w:t>
      </w:r>
    </w:p>
    <w:p w14:paraId="3E48BE31">
      <w:pPr>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7.2 调解</w:t>
      </w:r>
    </w:p>
    <w:p w14:paraId="3D5AE227">
      <w:pPr>
        <w:snapToGrid w:val="0"/>
        <w:spacing w:line="360" w:lineRule="auto"/>
        <w:ind w:firstLine="470" w:firstLineChars="196"/>
        <w:rPr>
          <w:rFonts w:ascii="宋体" w:hAnsi="宋体"/>
          <w:sz w:val="24"/>
          <w:szCs w:val="24"/>
          <w:highlight w:val="none"/>
        </w:rPr>
      </w:pPr>
      <w:r>
        <w:rPr>
          <w:rFonts w:hint="eastAsia" w:ascii="宋体" w:hAnsi="宋体"/>
          <w:sz w:val="24"/>
          <w:szCs w:val="24"/>
          <w:highlight w:val="none"/>
        </w:rPr>
        <w:t>本合同争议进行调解时，可提交进行调解。</w:t>
      </w:r>
    </w:p>
    <w:p w14:paraId="52EB3FF5">
      <w:pPr>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7.3 仲裁或诉讼</w:t>
      </w:r>
    </w:p>
    <w:p w14:paraId="69EB2A86">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合同争议的最终解决方式为下列第</w:t>
      </w:r>
      <w:r>
        <w:rPr>
          <w:rFonts w:hint="eastAsia" w:ascii="宋体" w:hAnsi="宋体"/>
          <w:sz w:val="24"/>
          <w:szCs w:val="24"/>
          <w:highlight w:val="none"/>
          <w:u w:val="single"/>
        </w:rPr>
        <w:t>（1）</w:t>
      </w:r>
      <w:r>
        <w:rPr>
          <w:rFonts w:hint="eastAsia" w:ascii="宋体" w:hAnsi="宋体"/>
          <w:sz w:val="24"/>
          <w:szCs w:val="24"/>
          <w:highlight w:val="none"/>
        </w:rPr>
        <w:t>种方式：</w:t>
      </w:r>
    </w:p>
    <w:p w14:paraId="426830C8">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（1）提请</w:t>
      </w:r>
      <w:r>
        <w:rPr>
          <w:rFonts w:hint="eastAsia" w:ascii="宋体" w:hAnsi="宋体"/>
          <w:sz w:val="24"/>
          <w:szCs w:val="24"/>
          <w:highlight w:val="none"/>
          <w:u w:val="single"/>
        </w:rPr>
        <w:t xml:space="preserve"> 三门峡市 </w:t>
      </w:r>
      <w:r>
        <w:rPr>
          <w:rFonts w:hint="eastAsia" w:ascii="宋体" w:hAnsi="宋体"/>
          <w:sz w:val="24"/>
          <w:szCs w:val="24"/>
          <w:highlight w:val="none"/>
        </w:rPr>
        <w:t>仲裁委员会进行仲裁。</w:t>
      </w:r>
    </w:p>
    <w:p w14:paraId="2BE4686C">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（2）向</w:t>
      </w:r>
      <w:r>
        <w:rPr>
          <w:rFonts w:hint="eastAsia" w:ascii="宋体" w:hAnsi="宋体"/>
          <w:sz w:val="24"/>
          <w:szCs w:val="24"/>
          <w:highlight w:val="none"/>
          <w:u w:val="single"/>
        </w:rPr>
        <w:t xml:space="preserve">     /   </w:t>
      </w:r>
      <w:r>
        <w:rPr>
          <w:rFonts w:hint="eastAsia" w:ascii="宋体" w:hAnsi="宋体"/>
          <w:sz w:val="24"/>
          <w:szCs w:val="24"/>
          <w:highlight w:val="none"/>
        </w:rPr>
        <w:t>人民法院提起诉讼。</w:t>
      </w:r>
    </w:p>
    <w:p w14:paraId="52614D12">
      <w:pPr>
        <w:adjustRightInd w:val="0"/>
        <w:snapToGrid w:val="0"/>
        <w:spacing w:line="360" w:lineRule="auto"/>
        <w:rPr>
          <w:rFonts w:ascii="宋体" w:hAnsi="宋体"/>
          <w:b/>
          <w:bCs/>
          <w:sz w:val="24"/>
          <w:szCs w:val="24"/>
          <w:highlight w:val="none"/>
        </w:rPr>
      </w:pPr>
      <w:r>
        <w:rPr>
          <w:rFonts w:hint="eastAsia" w:ascii="宋体" w:hAnsi="宋体"/>
          <w:b/>
          <w:bCs/>
          <w:sz w:val="24"/>
          <w:szCs w:val="24"/>
          <w:highlight w:val="none"/>
        </w:rPr>
        <w:t>8. 其他</w:t>
      </w:r>
    </w:p>
    <w:p w14:paraId="792783D5">
      <w:pPr>
        <w:adjustRightInd w:val="0"/>
        <w:snapToGrid w:val="0"/>
        <w:spacing w:line="360" w:lineRule="auto"/>
        <w:rPr>
          <w:rFonts w:ascii="宋体" w:hAnsi="宋体"/>
          <w:sz w:val="24"/>
          <w:szCs w:val="24"/>
          <w:highlight w:val="none"/>
        </w:rPr>
      </w:pPr>
      <w:r>
        <w:rPr>
          <w:rFonts w:hint="eastAsia" w:ascii="宋体" w:hAnsi="宋体"/>
          <w:sz w:val="24"/>
          <w:szCs w:val="24"/>
          <w:highlight w:val="none"/>
        </w:rPr>
        <w:t>8.2 检测费用</w:t>
      </w:r>
    </w:p>
    <w:p w14:paraId="556D4CDD">
      <w:pPr>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委托人应在检测工作完成后</w:t>
      </w:r>
      <w:r>
        <w:rPr>
          <w:rFonts w:hint="eastAsia" w:ascii="宋体" w:hAnsi="宋体"/>
          <w:sz w:val="24"/>
          <w:szCs w:val="24"/>
          <w:highlight w:val="none"/>
          <w:u w:val="single"/>
        </w:rPr>
        <w:t xml:space="preserve">   /  </w:t>
      </w:r>
      <w:r>
        <w:rPr>
          <w:rFonts w:hint="eastAsia" w:ascii="宋体" w:hAnsi="宋体"/>
          <w:sz w:val="24"/>
          <w:szCs w:val="24"/>
          <w:highlight w:val="none"/>
        </w:rPr>
        <w:t>天内支付检测费用。</w:t>
      </w:r>
    </w:p>
    <w:p w14:paraId="724AE4D7">
      <w:pPr>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8.3 咨询费用</w:t>
      </w:r>
    </w:p>
    <w:p w14:paraId="32FE6F96">
      <w:pPr>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委托人应在咨询工作完成后</w:t>
      </w:r>
      <w:r>
        <w:rPr>
          <w:rFonts w:hint="eastAsia" w:ascii="宋体" w:hAnsi="宋体"/>
          <w:sz w:val="24"/>
          <w:szCs w:val="24"/>
          <w:highlight w:val="none"/>
          <w:u w:val="single"/>
        </w:rPr>
        <w:t xml:space="preserve">  /   </w:t>
      </w:r>
      <w:r>
        <w:rPr>
          <w:rFonts w:hint="eastAsia" w:ascii="宋体" w:hAnsi="宋体"/>
          <w:sz w:val="24"/>
          <w:szCs w:val="24"/>
          <w:highlight w:val="none"/>
        </w:rPr>
        <w:t>天内支付咨询费用。</w:t>
      </w:r>
    </w:p>
    <w:p w14:paraId="49F41DF7">
      <w:pPr>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8.4 奖励</w:t>
      </w:r>
    </w:p>
    <w:p w14:paraId="77219164">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合理化建议的奖励金额按下列方法确定为：</w:t>
      </w:r>
    </w:p>
    <w:p w14:paraId="5178BB2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奖励金额＝工程投资节省额×奖励金额的比率；</w:t>
      </w:r>
    </w:p>
    <w:p w14:paraId="04688997">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奖励金额的比率为</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510B2EF7">
      <w:pPr>
        <w:adjustRightInd w:val="0"/>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8.6 保密</w:t>
      </w:r>
    </w:p>
    <w:p w14:paraId="72364142">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委托人申明的保密事项和期限：</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4636B986">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监理人申明的保密事项和期限：</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3BB64B4C">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第三方申明的保密事项和期限：</w:t>
      </w:r>
      <w:r>
        <w:rPr>
          <w:rFonts w:hint="eastAsia" w:ascii="宋体" w:hAnsi="宋体"/>
          <w:sz w:val="24"/>
          <w:szCs w:val="24"/>
          <w:highlight w:val="none"/>
          <w:u w:val="single"/>
        </w:rPr>
        <w:t xml:space="preserve">            /             </w:t>
      </w:r>
      <w:r>
        <w:rPr>
          <w:rFonts w:hint="eastAsia" w:ascii="宋体" w:hAnsi="宋体"/>
          <w:sz w:val="24"/>
          <w:szCs w:val="24"/>
          <w:highlight w:val="none"/>
        </w:rPr>
        <w:t>。</w:t>
      </w:r>
    </w:p>
    <w:p w14:paraId="159B1D75">
      <w:pPr>
        <w:snapToGrid w:val="0"/>
        <w:spacing w:line="360" w:lineRule="auto"/>
        <w:ind w:firstLine="235" w:firstLineChars="98"/>
        <w:rPr>
          <w:rFonts w:ascii="宋体" w:hAnsi="宋体"/>
          <w:sz w:val="24"/>
          <w:szCs w:val="24"/>
          <w:highlight w:val="none"/>
        </w:rPr>
      </w:pPr>
      <w:r>
        <w:rPr>
          <w:rFonts w:hint="eastAsia" w:ascii="宋体" w:hAnsi="宋体"/>
          <w:sz w:val="24"/>
          <w:szCs w:val="24"/>
          <w:highlight w:val="none"/>
        </w:rPr>
        <w:t>8.8著作权</w:t>
      </w:r>
    </w:p>
    <w:p w14:paraId="0C495BCF">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监理人在本合同履行期间及本合同终止后两年内出版涉及本工程的有关监理与相关服务的资料的限制条件：</w:t>
      </w:r>
    </w:p>
    <w:p w14:paraId="03E2A4D4">
      <w:pPr>
        <w:adjustRightInd w:val="0"/>
        <w:snapToGrid w:val="0"/>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经委托人书面同意         </w:t>
      </w:r>
      <w:r>
        <w:rPr>
          <w:rFonts w:hint="eastAsia" w:ascii="宋体" w:hAnsi="宋体"/>
          <w:sz w:val="24"/>
          <w:szCs w:val="24"/>
          <w:highlight w:val="none"/>
        </w:rPr>
        <w:t>。</w:t>
      </w:r>
    </w:p>
    <w:p w14:paraId="0D8B580F">
      <w:pPr>
        <w:adjustRightInd w:val="0"/>
        <w:snapToGrid w:val="0"/>
        <w:spacing w:before="156" w:beforeLines="50" w:after="156" w:afterLines="50" w:line="360" w:lineRule="auto"/>
        <w:ind w:firstLine="240" w:firstLineChars="100"/>
        <w:rPr>
          <w:rFonts w:ascii="宋体" w:hAnsi="宋体"/>
          <w:sz w:val="24"/>
          <w:szCs w:val="24"/>
          <w:highlight w:val="none"/>
        </w:rPr>
      </w:pPr>
      <w:r>
        <w:rPr>
          <w:rFonts w:hint="eastAsia" w:ascii="宋体" w:hAnsi="宋体"/>
          <w:sz w:val="24"/>
          <w:szCs w:val="24"/>
          <w:highlight w:val="none"/>
        </w:rPr>
        <w:t>9. 补充条款</w:t>
      </w:r>
    </w:p>
    <w:p w14:paraId="7182B567">
      <w:pPr>
        <w:snapToGrid w:val="0"/>
        <w:spacing w:line="544" w:lineRule="atLeast"/>
        <w:textAlignment w:val="baseline"/>
        <w:rPr>
          <w:rFonts w:ascii="宋体" w:hAnsi="宋体"/>
          <w:sz w:val="24"/>
          <w:szCs w:val="24"/>
          <w:highlight w:val="none"/>
          <w:u w:val="single"/>
        </w:rPr>
      </w:pPr>
      <w:r>
        <w:rPr>
          <w:rFonts w:hint="eastAsia" w:ascii="宋体" w:hAnsi="宋体"/>
          <w:sz w:val="24"/>
          <w:szCs w:val="24"/>
          <w:highlight w:val="none"/>
          <w:u w:val="single"/>
        </w:rPr>
        <w:t xml:space="preserve">  9.1、投标书中载明的项目总监及其他监理人员未经建设单位同意不得更换或缺席，否则委托人有权终止合同。</w:t>
      </w:r>
    </w:p>
    <w:p w14:paraId="2DD81C6B">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9.2、工地现场实行签到制度，施工期间项目总监每周在现场工作时间不得少于5天，未经建设单位同意每缺席一天支付违约金800元；</w:t>
      </w:r>
    </w:p>
    <w:p w14:paraId="051171D6">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其他监理人员每周在现场工作时间不得少于6天；未经建设单位同意每人每缺席一天支付违约金600元。</w:t>
      </w:r>
    </w:p>
    <w:p w14:paraId="1643983A">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9.3、如发现监理人员对施工单位有吃拿卡要行为，委托方每发现一次将对监理方处以一万元罚金，罚金从监理费中扣除。</w:t>
      </w:r>
    </w:p>
    <w:p w14:paraId="5089731E">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9.4、如监理人在工程量签证时虚增工程量，委托人将对监理人处以虚增工程量2倍的罚款，罚款从监理费中扣除，同时取消监理人今后参加委托人所有工程监理的投标资格。</w:t>
      </w:r>
    </w:p>
    <w:p w14:paraId="4AC1A4BF">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9.5、如果工程质量达不到合同要求，扣除不合格部分的全部监理费用，并处以相同数额的罚款。</w:t>
      </w:r>
    </w:p>
    <w:p w14:paraId="42D49FE5">
      <w:pPr>
        <w:snapToGrid w:val="0"/>
        <w:spacing w:line="544" w:lineRule="atLeast"/>
        <w:ind w:firstLine="480" w:firstLineChars="200"/>
        <w:textAlignment w:val="baseline"/>
        <w:rPr>
          <w:rFonts w:ascii="宋体" w:hAnsi="宋体"/>
          <w:sz w:val="24"/>
          <w:szCs w:val="24"/>
          <w:highlight w:val="none"/>
          <w:u w:val="single"/>
        </w:rPr>
      </w:pPr>
      <w:r>
        <w:rPr>
          <w:rFonts w:hint="eastAsia" w:ascii="宋体" w:hAnsi="宋体"/>
          <w:sz w:val="24"/>
          <w:szCs w:val="24"/>
          <w:highlight w:val="none"/>
          <w:u w:val="single"/>
        </w:rPr>
        <w:t>9.6、发现施工单位使用不合格材料而监理人未阻止的，每次处罚监理人2000元。</w:t>
      </w:r>
    </w:p>
    <w:p w14:paraId="7AC0CD31">
      <w:pPr>
        <w:adjustRightInd w:val="0"/>
        <w:snapToGrid w:val="0"/>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u w:val="single"/>
        </w:rPr>
        <w:t>9.7、因为安全防护措施不符合要求造成施工过程中发生损失10000元以上安全事故的，每次处罚监理人5000—20000元。</w:t>
      </w:r>
    </w:p>
    <w:p w14:paraId="50B56F76">
      <w:pPr>
        <w:pageBreakBefore/>
        <w:spacing w:line="360" w:lineRule="auto"/>
        <w:jc w:val="center"/>
        <w:rPr>
          <w:rFonts w:ascii="宋体" w:hAnsi="宋体"/>
          <w:b/>
          <w:bCs/>
          <w:sz w:val="24"/>
          <w:szCs w:val="24"/>
          <w:highlight w:val="none"/>
        </w:rPr>
      </w:pPr>
      <w:r>
        <w:rPr>
          <w:rFonts w:hint="eastAsia" w:ascii="宋体" w:hAnsi="宋体"/>
          <w:b/>
          <w:bCs/>
          <w:sz w:val="24"/>
          <w:szCs w:val="24"/>
          <w:highlight w:val="none"/>
        </w:rPr>
        <w:t>附录A  相关服务的范围和内容</w:t>
      </w:r>
    </w:p>
    <w:p w14:paraId="4EBB95E2">
      <w:pPr>
        <w:snapToGrid w:val="0"/>
        <w:spacing w:before="156" w:beforeLines="50" w:after="156" w:afterLines="50" w:line="360" w:lineRule="auto"/>
        <w:ind w:firstLine="960" w:firstLineChars="400"/>
        <w:rPr>
          <w:rFonts w:ascii="宋体" w:hAnsi="宋体"/>
          <w:kern w:val="0"/>
          <w:sz w:val="24"/>
          <w:szCs w:val="24"/>
          <w:highlight w:val="none"/>
        </w:rPr>
      </w:pPr>
      <w:r>
        <w:rPr>
          <w:rFonts w:hint="eastAsia" w:ascii="宋体" w:hAnsi="宋体"/>
          <w:kern w:val="0"/>
          <w:sz w:val="24"/>
          <w:szCs w:val="24"/>
          <w:highlight w:val="none"/>
        </w:rPr>
        <w:t>A-1 勘察阶段：</w:t>
      </w:r>
      <w:r>
        <w:rPr>
          <w:rFonts w:hint="eastAsia" w:ascii="宋体" w:hAnsi="宋体"/>
          <w:sz w:val="24"/>
          <w:szCs w:val="24"/>
          <w:highlight w:val="none"/>
          <w:u w:val="single"/>
        </w:rPr>
        <w:t xml:space="preserve">         /                               </w:t>
      </w:r>
    </w:p>
    <w:p w14:paraId="4F238DDC">
      <w:pPr>
        <w:snapToGrid w:val="0"/>
        <w:spacing w:before="156" w:beforeLines="50" w:after="156" w:afterLines="50" w:line="360" w:lineRule="auto"/>
        <w:ind w:firstLine="960" w:firstLineChars="400"/>
        <w:rPr>
          <w:rFonts w:ascii="宋体" w:hAnsi="宋体"/>
          <w:kern w:val="0"/>
          <w:sz w:val="24"/>
          <w:szCs w:val="24"/>
          <w:highlight w:val="none"/>
        </w:rPr>
      </w:pPr>
      <w:r>
        <w:rPr>
          <w:rFonts w:hint="eastAsia" w:ascii="宋体" w:hAnsi="宋体"/>
          <w:kern w:val="0"/>
          <w:sz w:val="24"/>
          <w:szCs w:val="24"/>
          <w:highlight w:val="none"/>
        </w:rPr>
        <w:t>A-2 设计阶段：</w:t>
      </w:r>
      <w:r>
        <w:rPr>
          <w:rFonts w:hint="eastAsia" w:ascii="宋体" w:hAnsi="宋体"/>
          <w:sz w:val="24"/>
          <w:szCs w:val="24"/>
          <w:highlight w:val="none"/>
          <w:u w:val="single"/>
        </w:rPr>
        <w:t xml:space="preserve">           /                     </w:t>
      </w:r>
    </w:p>
    <w:p w14:paraId="51A5AAD6">
      <w:pPr>
        <w:snapToGrid w:val="0"/>
        <w:spacing w:before="156" w:beforeLines="50" w:after="156" w:afterLines="50"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A-3 保修阶段：</w:t>
      </w:r>
    </w:p>
    <w:p w14:paraId="78524CB2">
      <w:pPr>
        <w:snapToGrid w:val="0"/>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审核批准维修方案，维修完成后进行验收  </w:t>
      </w:r>
      <w:r>
        <w:rPr>
          <w:rFonts w:hint="eastAsia" w:ascii="宋体" w:hAnsi="宋体"/>
          <w:sz w:val="24"/>
          <w:szCs w:val="24"/>
          <w:highlight w:val="none"/>
        </w:rPr>
        <w:t>。</w:t>
      </w:r>
    </w:p>
    <w:p w14:paraId="66D7EE36">
      <w:pPr>
        <w:snapToGrid w:val="0"/>
        <w:spacing w:before="156" w:beforeLines="50" w:after="156" w:afterLines="50" w:line="360" w:lineRule="auto"/>
        <w:ind w:firstLine="960" w:firstLineChars="400"/>
        <w:rPr>
          <w:rFonts w:ascii="宋体" w:hAnsi="宋体"/>
          <w:sz w:val="24"/>
          <w:szCs w:val="24"/>
          <w:highlight w:val="none"/>
          <w:u w:val="single"/>
        </w:rPr>
      </w:pPr>
      <w:r>
        <w:rPr>
          <w:rFonts w:hint="eastAsia" w:ascii="宋体" w:hAnsi="宋体"/>
          <w:kern w:val="0"/>
          <w:sz w:val="24"/>
          <w:szCs w:val="24"/>
          <w:highlight w:val="none"/>
        </w:rPr>
        <w:t xml:space="preserve">A-4 </w:t>
      </w:r>
      <w:r>
        <w:rPr>
          <w:rFonts w:hint="eastAsia" w:ascii="宋体" w:hAnsi="宋体"/>
          <w:sz w:val="24"/>
          <w:szCs w:val="24"/>
          <w:highlight w:val="none"/>
        </w:rPr>
        <w:t>其他（专业技术咨询、外部协调工作等）：</w:t>
      </w:r>
    </w:p>
    <w:p w14:paraId="74C27D58">
      <w:pPr>
        <w:snapToGrid w:val="0"/>
        <w:spacing w:before="156" w:beforeLines="50" w:after="156" w:afterLines="50" w:line="360" w:lineRule="auto"/>
        <w:ind w:firstLine="960" w:firstLineChars="400"/>
        <w:rPr>
          <w:rFonts w:ascii="宋体" w:hAnsi="宋体"/>
          <w:sz w:val="24"/>
          <w:szCs w:val="24"/>
          <w:highlight w:val="none"/>
        </w:rPr>
      </w:pPr>
      <w:r>
        <w:rPr>
          <w:rFonts w:hint="eastAsia" w:ascii="宋体" w:hAnsi="宋体"/>
          <w:sz w:val="24"/>
          <w:szCs w:val="24"/>
          <w:highlight w:val="none"/>
          <w:u w:val="single"/>
        </w:rPr>
        <w:t xml:space="preserve">     /    </w:t>
      </w:r>
      <w:r>
        <w:rPr>
          <w:rFonts w:hint="eastAsia" w:ascii="宋体" w:hAnsi="宋体"/>
          <w:sz w:val="24"/>
          <w:szCs w:val="24"/>
          <w:highlight w:val="none"/>
        </w:rPr>
        <w:t>。</w:t>
      </w:r>
    </w:p>
    <w:p w14:paraId="7239726B">
      <w:pPr>
        <w:snapToGrid w:val="0"/>
        <w:spacing w:before="156" w:beforeLines="50" w:after="156" w:afterLines="50" w:line="360" w:lineRule="auto"/>
        <w:ind w:firstLine="480" w:firstLineChars="200"/>
        <w:rPr>
          <w:rFonts w:ascii="宋体" w:hAnsi="宋体"/>
          <w:sz w:val="24"/>
          <w:szCs w:val="24"/>
          <w:highlight w:val="none"/>
        </w:rPr>
      </w:pPr>
    </w:p>
    <w:p w14:paraId="00162EB0">
      <w:pPr>
        <w:spacing w:line="360" w:lineRule="auto"/>
        <w:rPr>
          <w:rFonts w:ascii="宋体" w:hAnsi="宋体"/>
          <w:sz w:val="24"/>
          <w:szCs w:val="24"/>
          <w:highlight w:val="none"/>
        </w:rPr>
      </w:pPr>
    </w:p>
    <w:p w14:paraId="27340F5B">
      <w:pPr>
        <w:pageBreakBefore/>
        <w:spacing w:line="360" w:lineRule="auto"/>
        <w:jc w:val="center"/>
        <w:rPr>
          <w:rFonts w:ascii="宋体" w:hAnsi="宋体"/>
          <w:b/>
          <w:bCs/>
          <w:sz w:val="24"/>
          <w:szCs w:val="24"/>
          <w:highlight w:val="none"/>
        </w:rPr>
      </w:pPr>
      <w:r>
        <w:rPr>
          <w:rFonts w:hint="eastAsia" w:ascii="宋体" w:hAnsi="宋体"/>
          <w:b/>
          <w:bCs/>
          <w:sz w:val="24"/>
          <w:szCs w:val="24"/>
          <w:highlight w:val="none"/>
        </w:rPr>
        <w:t>附录B  委托人派遣的人员和提供的房屋、资料、设备</w:t>
      </w:r>
    </w:p>
    <w:p w14:paraId="46D225EB">
      <w:pPr>
        <w:spacing w:before="156" w:beforeLines="50" w:line="360" w:lineRule="auto"/>
        <w:rPr>
          <w:rFonts w:ascii="宋体" w:hAnsi="宋体"/>
          <w:b/>
          <w:bCs/>
          <w:kern w:val="0"/>
          <w:sz w:val="24"/>
          <w:szCs w:val="24"/>
          <w:highlight w:val="none"/>
        </w:rPr>
      </w:pPr>
      <w:r>
        <w:rPr>
          <w:rFonts w:hint="eastAsia" w:ascii="宋体" w:hAnsi="宋体"/>
          <w:b/>
          <w:bCs/>
          <w:kern w:val="0"/>
          <w:sz w:val="24"/>
          <w:szCs w:val="24"/>
          <w:highlight w:val="none"/>
        </w:rPr>
        <w:t>B-1  委托人派遣的人员</w:t>
      </w:r>
    </w:p>
    <w:tbl>
      <w:tblPr>
        <w:tblStyle w:val="18"/>
        <w:tblW w:w="0" w:type="auto"/>
        <w:tblInd w:w="0" w:type="dxa"/>
        <w:tblLayout w:type="fixed"/>
        <w:tblCellMar>
          <w:top w:w="0" w:type="dxa"/>
          <w:left w:w="108" w:type="dxa"/>
          <w:bottom w:w="0" w:type="dxa"/>
          <w:right w:w="108" w:type="dxa"/>
        </w:tblCellMar>
      </w:tblPr>
      <w:tblGrid>
        <w:gridCol w:w="2808"/>
        <w:gridCol w:w="1770"/>
        <w:gridCol w:w="2130"/>
        <w:gridCol w:w="1860"/>
      </w:tblGrid>
      <w:tr w14:paraId="62FC9D5D">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2F5BF6B7">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名称</w:t>
            </w:r>
          </w:p>
        </w:tc>
        <w:tc>
          <w:tcPr>
            <w:tcW w:w="1770" w:type="dxa"/>
            <w:tcBorders>
              <w:top w:val="single" w:color="auto" w:sz="4" w:space="0"/>
              <w:left w:val="nil"/>
              <w:bottom w:val="single" w:color="auto" w:sz="4" w:space="0"/>
              <w:right w:val="single" w:color="auto" w:sz="4" w:space="0"/>
            </w:tcBorders>
            <w:noWrap w:val="0"/>
            <w:vAlign w:val="top"/>
          </w:tcPr>
          <w:p w14:paraId="0FBA7C32">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数量</w:t>
            </w:r>
          </w:p>
        </w:tc>
        <w:tc>
          <w:tcPr>
            <w:tcW w:w="2130" w:type="dxa"/>
            <w:tcBorders>
              <w:top w:val="single" w:color="auto" w:sz="4" w:space="0"/>
              <w:left w:val="nil"/>
              <w:bottom w:val="single" w:color="auto" w:sz="4" w:space="0"/>
              <w:right w:val="single" w:color="auto" w:sz="4" w:space="0"/>
            </w:tcBorders>
            <w:noWrap w:val="0"/>
            <w:vAlign w:val="top"/>
          </w:tcPr>
          <w:p w14:paraId="1BDCA437">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工作要求</w:t>
            </w:r>
          </w:p>
        </w:tc>
        <w:tc>
          <w:tcPr>
            <w:tcW w:w="1860" w:type="dxa"/>
            <w:tcBorders>
              <w:top w:val="single" w:color="auto" w:sz="4" w:space="0"/>
              <w:left w:val="nil"/>
              <w:bottom w:val="single" w:color="auto" w:sz="4" w:space="0"/>
              <w:right w:val="single" w:color="auto" w:sz="4" w:space="0"/>
            </w:tcBorders>
            <w:noWrap w:val="0"/>
            <w:vAlign w:val="top"/>
          </w:tcPr>
          <w:p w14:paraId="7FBF0EB5">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提供时间</w:t>
            </w:r>
          </w:p>
        </w:tc>
      </w:tr>
      <w:tr w14:paraId="6FF9BE64">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26E1C3C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 xml:space="preserve">1. 工程技术人员 </w:t>
            </w:r>
          </w:p>
        </w:tc>
        <w:tc>
          <w:tcPr>
            <w:tcW w:w="1770" w:type="dxa"/>
            <w:tcBorders>
              <w:top w:val="single" w:color="auto" w:sz="4" w:space="0"/>
              <w:left w:val="nil"/>
              <w:bottom w:val="single" w:color="auto" w:sz="4" w:space="0"/>
              <w:right w:val="single" w:color="auto" w:sz="4" w:space="0"/>
            </w:tcBorders>
            <w:noWrap w:val="0"/>
            <w:vAlign w:val="top"/>
          </w:tcPr>
          <w:p w14:paraId="77F1EB0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130" w:type="dxa"/>
            <w:tcBorders>
              <w:top w:val="single" w:color="auto" w:sz="4" w:space="0"/>
              <w:left w:val="nil"/>
              <w:bottom w:val="single" w:color="auto" w:sz="4" w:space="0"/>
              <w:right w:val="single" w:color="auto" w:sz="4" w:space="0"/>
            </w:tcBorders>
            <w:noWrap w:val="0"/>
            <w:vAlign w:val="top"/>
          </w:tcPr>
          <w:p w14:paraId="3E3ADAB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37C4E57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382BCC3">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688B524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2. 辅助工作人员</w:t>
            </w:r>
          </w:p>
        </w:tc>
        <w:tc>
          <w:tcPr>
            <w:tcW w:w="1770" w:type="dxa"/>
            <w:tcBorders>
              <w:top w:val="single" w:color="auto" w:sz="4" w:space="0"/>
              <w:left w:val="nil"/>
              <w:bottom w:val="single" w:color="auto" w:sz="4" w:space="0"/>
              <w:right w:val="single" w:color="auto" w:sz="4" w:space="0"/>
            </w:tcBorders>
            <w:noWrap w:val="0"/>
            <w:vAlign w:val="top"/>
          </w:tcPr>
          <w:p w14:paraId="69C72AA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130" w:type="dxa"/>
            <w:tcBorders>
              <w:top w:val="single" w:color="auto" w:sz="4" w:space="0"/>
              <w:left w:val="nil"/>
              <w:bottom w:val="single" w:color="auto" w:sz="4" w:space="0"/>
              <w:right w:val="single" w:color="auto" w:sz="4" w:space="0"/>
            </w:tcBorders>
            <w:noWrap w:val="0"/>
            <w:vAlign w:val="top"/>
          </w:tcPr>
          <w:p w14:paraId="0BA2A87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13D366E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63CC8EC9">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12C7A9A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3. 其他人员</w:t>
            </w:r>
          </w:p>
        </w:tc>
        <w:tc>
          <w:tcPr>
            <w:tcW w:w="1770" w:type="dxa"/>
            <w:tcBorders>
              <w:top w:val="single" w:color="auto" w:sz="4" w:space="0"/>
              <w:left w:val="nil"/>
              <w:bottom w:val="single" w:color="auto" w:sz="4" w:space="0"/>
              <w:right w:val="single" w:color="auto" w:sz="4" w:space="0"/>
            </w:tcBorders>
            <w:noWrap w:val="0"/>
            <w:vAlign w:val="top"/>
          </w:tcPr>
          <w:p w14:paraId="5AAC78F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130" w:type="dxa"/>
            <w:tcBorders>
              <w:top w:val="single" w:color="auto" w:sz="4" w:space="0"/>
              <w:left w:val="nil"/>
              <w:bottom w:val="single" w:color="auto" w:sz="4" w:space="0"/>
              <w:right w:val="single" w:color="auto" w:sz="4" w:space="0"/>
            </w:tcBorders>
            <w:noWrap w:val="0"/>
            <w:vAlign w:val="top"/>
          </w:tcPr>
          <w:p w14:paraId="47AC96E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20B8F91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02071D7">
        <w:tblPrEx>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noWrap w:val="0"/>
            <w:vAlign w:val="top"/>
          </w:tcPr>
          <w:p w14:paraId="473D5E8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770" w:type="dxa"/>
            <w:tcBorders>
              <w:top w:val="single" w:color="auto" w:sz="4" w:space="0"/>
              <w:left w:val="nil"/>
              <w:bottom w:val="single" w:color="auto" w:sz="4" w:space="0"/>
              <w:right w:val="single" w:color="auto" w:sz="4" w:space="0"/>
            </w:tcBorders>
            <w:noWrap w:val="0"/>
            <w:vAlign w:val="top"/>
          </w:tcPr>
          <w:p w14:paraId="629B9C8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130" w:type="dxa"/>
            <w:tcBorders>
              <w:top w:val="single" w:color="auto" w:sz="4" w:space="0"/>
              <w:left w:val="nil"/>
              <w:bottom w:val="single" w:color="auto" w:sz="4" w:space="0"/>
              <w:right w:val="single" w:color="auto" w:sz="4" w:space="0"/>
            </w:tcBorders>
            <w:noWrap w:val="0"/>
            <w:vAlign w:val="top"/>
          </w:tcPr>
          <w:p w14:paraId="705EE92B">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26BD309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18E38D4E">
      <w:pPr>
        <w:spacing w:before="156" w:beforeLines="50" w:line="360" w:lineRule="auto"/>
        <w:rPr>
          <w:rFonts w:ascii="宋体" w:hAnsi="宋体"/>
          <w:b/>
          <w:bCs/>
          <w:kern w:val="0"/>
          <w:sz w:val="24"/>
          <w:szCs w:val="24"/>
          <w:highlight w:val="none"/>
        </w:rPr>
      </w:pPr>
      <w:bookmarkStart w:id="204" w:name="_Toc456102388"/>
      <w:bookmarkEnd w:id="204"/>
      <w:bookmarkStart w:id="205" w:name="_Toc5167"/>
      <w:r>
        <w:rPr>
          <w:rFonts w:hint="eastAsia" w:ascii="宋体" w:hAnsi="宋体"/>
          <w:b/>
          <w:bCs/>
          <w:kern w:val="0"/>
          <w:sz w:val="24"/>
          <w:szCs w:val="24"/>
          <w:highlight w:val="none"/>
        </w:rPr>
        <w:t>B-2  委托人提供的房屋</w:t>
      </w:r>
      <w:bookmarkEnd w:id="205"/>
    </w:p>
    <w:tbl>
      <w:tblPr>
        <w:tblStyle w:val="18"/>
        <w:tblW w:w="0" w:type="auto"/>
        <w:tblInd w:w="0" w:type="dxa"/>
        <w:tblLayout w:type="fixed"/>
        <w:tblCellMar>
          <w:top w:w="0" w:type="dxa"/>
          <w:left w:w="108" w:type="dxa"/>
          <w:bottom w:w="0" w:type="dxa"/>
          <w:right w:w="108" w:type="dxa"/>
        </w:tblCellMar>
      </w:tblPr>
      <w:tblGrid>
        <w:gridCol w:w="2448"/>
        <w:gridCol w:w="1771"/>
        <w:gridCol w:w="2268"/>
        <w:gridCol w:w="2081"/>
      </w:tblGrid>
      <w:tr w14:paraId="4A9BD257">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62C29FAC">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名称</w:t>
            </w:r>
          </w:p>
        </w:tc>
        <w:tc>
          <w:tcPr>
            <w:tcW w:w="1771" w:type="dxa"/>
            <w:tcBorders>
              <w:top w:val="single" w:color="auto" w:sz="4" w:space="0"/>
              <w:left w:val="nil"/>
              <w:bottom w:val="single" w:color="auto" w:sz="4" w:space="0"/>
              <w:right w:val="single" w:color="auto" w:sz="4" w:space="0"/>
            </w:tcBorders>
            <w:noWrap w:val="0"/>
            <w:vAlign w:val="top"/>
          </w:tcPr>
          <w:p w14:paraId="13B3371E">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数量</w:t>
            </w:r>
          </w:p>
        </w:tc>
        <w:tc>
          <w:tcPr>
            <w:tcW w:w="2268" w:type="dxa"/>
            <w:tcBorders>
              <w:top w:val="single" w:color="auto" w:sz="4" w:space="0"/>
              <w:left w:val="nil"/>
              <w:bottom w:val="single" w:color="auto" w:sz="4" w:space="0"/>
              <w:right w:val="single" w:color="auto" w:sz="4" w:space="0"/>
            </w:tcBorders>
            <w:noWrap w:val="0"/>
            <w:vAlign w:val="top"/>
          </w:tcPr>
          <w:p w14:paraId="3966A478">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面积</w:t>
            </w:r>
          </w:p>
        </w:tc>
        <w:tc>
          <w:tcPr>
            <w:tcW w:w="2081" w:type="dxa"/>
            <w:tcBorders>
              <w:top w:val="single" w:color="auto" w:sz="4" w:space="0"/>
              <w:left w:val="nil"/>
              <w:bottom w:val="single" w:color="auto" w:sz="4" w:space="0"/>
              <w:right w:val="single" w:color="auto" w:sz="4" w:space="0"/>
            </w:tcBorders>
            <w:noWrap w:val="0"/>
            <w:vAlign w:val="top"/>
          </w:tcPr>
          <w:p w14:paraId="6FCD59AC">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提供时间</w:t>
            </w:r>
          </w:p>
        </w:tc>
      </w:tr>
      <w:tr w14:paraId="2AF71042">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0EBA33F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1. 办公用房</w:t>
            </w:r>
          </w:p>
        </w:tc>
        <w:tc>
          <w:tcPr>
            <w:tcW w:w="1771" w:type="dxa"/>
            <w:tcBorders>
              <w:top w:val="single" w:color="auto" w:sz="4" w:space="0"/>
              <w:left w:val="nil"/>
              <w:bottom w:val="single" w:color="auto" w:sz="4" w:space="0"/>
              <w:right w:val="single" w:color="auto" w:sz="4" w:space="0"/>
            </w:tcBorders>
            <w:noWrap w:val="0"/>
            <w:vAlign w:val="top"/>
          </w:tcPr>
          <w:p w14:paraId="1D98D26A">
            <w:pPr>
              <w:keepNext w:val="0"/>
              <w:keepLines w:val="0"/>
              <w:suppressLineNumbers w:val="0"/>
              <w:spacing w:before="0" w:beforeAutospacing="0" w:after="0" w:afterAutospacing="0" w:line="360" w:lineRule="auto"/>
              <w:ind w:left="0" w:right="0" w:firstLine="360" w:firstLineChars="150"/>
              <w:rPr>
                <w:rFonts w:hint="default" w:ascii="宋体" w:hAnsi="宋体"/>
                <w:sz w:val="24"/>
                <w:szCs w:val="24"/>
                <w:highlight w:val="none"/>
              </w:rPr>
            </w:pPr>
            <w:r>
              <w:rPr>
                <w:rFonts w:hint="eastAsia" w:ascii="宋体" w:hAnsi="宋体"/>
                <w:sz w:val="24"/>
                <w:szCs w:val="24"/>
                <w:highlight w:val="none"/>
              </w:rPr>
              <w:t xml:space="preserve">1间 </w:t>
            </w:r>
          </w:p>
        </w:tc>
        <w:tc>
          <w:tcPr>
            <w:tcW w:w="2268" w:type="dxa"/>
            <w:tcBorders>
              <w:top w:val="single" w:color="auto" w:sz="4" w:space="0"/>
              <w:left w:val="nil"/>
              <w:bottom w:val="single" w:color="auto" w:sz="4" w:space="0"/>
              <w:right w:val="single" w:color="auto" w:sz="4" w:space="0"/>
            </w:tcBorders>
            <w:noWrap w:val="0"/>
            <w:vAlign w:val="top"/>
          </w:tcPr>
          <w:p w14:paraId="2C9C5500">
            <w:pPr>
              <w:keepNext w:val="0"/>
              <w:keepLines w:val="0"/>
              <w:suppressLineNumbers w:val="0"/>
              <w:spacing w:before="0" w:beforeAutospacing="0" w:after="0" w:afterAutospacing="0" w:line="360" w:lineRule="auto"/>
              <w:ind w:left="0" w:right="0" w:firstLine="240" w:firstLineChars="100"/>
              <w:rPr>
                <w:rFonts w:hint="default" w:ascii="宋体" w:hAnsi="宋体"/>
                <w:sz w:val="24"/>
                <w:szCs w:val="24"/>
                <w:highlight w:val="none"/>
              </w:rPr>
            </w:pPr>
            <w:r>
              <w:rPr>
                <w:rFonts w:hint="eastAsia" w:ascii="宋体" w:hAnsi="宋体"/>
                <w:sz w:val="24"/>
                <w:szCs w:val="24"/>
                <w:highlight w:val="none"/>
              </w:rPr>
              <w:t xml:space="preserve"> 12平方米以上</w:t>
            </w:r>
          </w:p>
        </w:tc>
        <w:tc>
          <w:tcPr>
            <w:tcW w:w="2081" w:type="dxa"/>
            <w:tcBorders>
              <w:top w:val="single" w:color="auto" w:sz="4" w:space="0"/>
              <w:left w:val="nil"/>
              <w:bottom w:val="single" w:color="auto" w:sz="4" w:space="0"/>
              <w:right w:val="single" w:color="auto" w:sz="4" w:space="0"/>
            </w:tcBorders>
            <w:noWrap w:val="0"/>
            <w:vAlign w:val="top"/>
          </w:tcPr>
          <w:p w14:paraId="65B2652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工程开工至工程竣工</w:t>
            </w:r>
          </w:p>
        </w:tc>
      </w:tr>
      <w:tr w14:paraId="5039BEC6">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7904EB0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2. 生活用房</w:t>
            </w:r>
          </w:p>
        </w:tc>
        <w:tc>
          <w:tcPr>
            <w:tcW w:w="1771" w:type="dxa"/>
            <w:tcBorders>
              <w:top w:val="single" w:color="auto" w:sz="4" w:space="0"/>
              <w:left w:val="nil"/>
              <w:bottom w:val="single" w:color="auto" w:sz="4" w:space="0"/>
              <w:right w:val="single" w:color="auto" w:sz="4" w:space="0"/>
            </w:tcBorders>
            <w:noWrap w:val="0"/>
            <w:vAlign w:val="top"/>
          </w:tcPr>
          <w:p w14:paraId="53D9B7AF">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268" w:type="dxa"/>
            <w:tcBorders>
              <w:top w:val="single" w:color="auto" w:sz="4" w:space="0"/>
              <w:left w:val="nil"/>
              <w:bottom w:val="single" w:color="auto" w:sz="4" w:space="0"/>
              <w:right w:val="single" w:color="auto" w:sz="4" w:space="0"/>
            </w:tcBorders>
            <w:noWrap w:val="0"/>
            <w:vAlign w:val="top"/>
          </w:tcPr>
          <w:p w14:paraId="378BFF1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081" w:type="dxa"/>
            <w:tcBorders>
              <w:top w:val="single" w:color="auto" w:sz="4" w:space="0"/>
              <w:left w:val="nil"/>
              <w:bottom w:val="single" w:color="auto" w:sz="4" w:space="0"/>
              <w:right w:val="single" w:color="auto" w:sz="4" w:space="0"/>
            </w:tcBorders>
            <w:noWrap w:val="0"/>
            <w:vAlign w:val="top"/>
          </w:tcPr>
          <w:p w14:paraId="204D4F4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12AE3416">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646E8638">
            <w:pPr>
              <w:keepNext w:val="0"/>
              <w:keepLines w:val="0"/>
              <w:suppressLineNumbers w:val="0"/>
              <w:spacing w:before="0" w:beforeAutospacing="0" w:after="0" w:afterAutospacing="0" w:line="360" w:lineRule="auto"/>
              <w:ind w:left="0" w:right="0"/>
              <w:rPr>
                <w:rFonts w:hint="default" w:ascii="宋体" w:hAnsi="宋体"/>
                <w:dstrike/>
                <w:sz w:val="24"/>
                <w:szCs w:val="24"/>
                <w:highlight w:val="none"/>
              </w:rPr>
            </w:pPr>
            <w:r>
              <w:rPr>
                <w:rFonts w:hint="eastAsia" w:ascii="宋体" w:hAnsi="宋体"/>
                <w:sz w:val="24"/>
                <w:szCs w:val="24"/>
                <w:highlight w:val="none"/>
              </w:rPr>
              <w:t>3. 试验用房</w:t>
            </w:r>
          </w:p>
        </w:tc>
        <w:tc>
          <w:tcPr>
            <w:tcW w:w="1771" w:type="dxa"/>
            <w:tcBorders>
              <w:top w:val="single" w:color="auto" w:sz="4" w:space="0"/>
              <w:left w:val="nil"/>
              <w:bottom w:val="single" w:color="auto" w:sz="4" w:space="0"/>
              <w:right w:val="single" w:color="auto" w:sz="4" w:space="0"/>
            </w:tcBorders>
            <w:noWrap w:val="0"/>
            <w:vAlign w:val="top"/>
          </w:tcPr>
          <w:p w14:paraId="4C855CA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268" w:type="dxa"/>
            <w:tcBorders>
              <w:top w:val="single" w:color="auto" w:sz="4" w:space="0"/>
              <w:left w:val="nil"/>
              <w:bottom w:val="single" w:color="auto" w:sz="4" w:space="0"/>
              <w:right w:val="single" w:color="auto" w:sz="4" w:space="0"/>
            </w:tcBorders>
            <w:noWrap w:val="0"/>
            <w:vAlign w:val="top"/>
          </w:tcPr>
          <w:p w14:paraId="6496B7CF">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081" w:type="dxa"/>
            <w:tcBorders>
              <w:top w:val="single" w:color="auto" w:sz="4" w:space="0"/>
              <w:left w:val="nil"/>
              <w:bottom w:val="single" w:color="auto" w:sz="4" w:space="0"/>
              <w:right w:val="single" w:color="auto" w:sz="4" w:space="0"/>
            </w:tcBorders>
            <w:noWrap w:val="0"/>
            <w:vAlign w:val="top"/>
          </w:tcPr>
          <w:p w14:paraId="3A4A30A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7F8EC7D8">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196BF95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4. 样品用房</w:t>
            </w:r>
          </w:p>
        </w:tc>
        <w:tc>
          <w:tcPr>
            <w:tcW w:w="1771" w:type="dxa"/>
            <w:tcBorders>
              <w:top w:val="single" w:color="auto" w:sz="4" w:space="0"/>
              <w:left w:val="nil"/>
              <w:bottom w:val="single" w:color="auto" w:sz="4" w:space="0"/>
              <w:right w:val="single" w:color="auto" w:sz="4" w:space="0"/>
            </w:tcBorders>
            <w:noWrap w:val="0"/>
            <w:vAlign w:val="top"/>
          </w:tcPr>
          <w:p w14:paraId="37BE647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268" w:type="dxa"/>
            <w:tcBorders>
              <w:top w:val="single" w:color="auto" w:sz="4" w:space="0"/>
              <w:left w:val="nil"/>
              <w:bottom w:val="single" w:color="auto" w:sz="4" w:space="0"/>
              <w:right w:val="single" w:color="auto" w:sz="4" w:space="0"/>
            </w:tcBorders>
            <w:noWrap w:val="0"/>
            <w:vAlign w:val="top"/>
          </w:tcPr>
          <w:p w14:paraId="0EA7BE7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081" w:type="dxa"/>
            <w:tcBorders>
              <w:top w:val="single" w:color="auto" w:sz="4" w:space="0"/>
              <w:left w:val="nil"/>
              <w:bottom w:val="single" w:color="auto" w:sz="4" w:space="0"/>
              <w:right w:val="single" w:color="auto" w:sz="4" w:space="0"/>
            </w:tcBorders>
            <w:noWrap w:val="0"/>
            <w:vAlign w:val="top"/>
          </w:tcPr>
          <w:p w14:paraId="1ED5EA9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2BFCC8FD">
        <w:tblPrEx>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top"/>
          </w:tcPr>
          <w:p w14:paraId="4F1E1B5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用餐及其他生活条件</w:t>
            </w:r>
          </w:p>
        </w:tc>
        <w:tc>
          <w:tcPr>
            <w:tcW w:w="6120" w:type="dxa"/>
            <w:gridSpan w:val="3"/>
            <w:tcBorders>
              <w:top w:val="single" w:color="auto" w:sz="4" w:space="0"/>
              <w:left w:val="nil"/>
              <w:bottom w:val="single" w:color="auto" w:sz="4" w:space="0"/>
              <w:right w:val="single" w:color="auto" w:sz="4" w:space="0"/>
            </w:tcBorders>
            <w:noWrap w:val="0"/>
            <w:vAlign w:val="top"/>
          </w:tcPr>
          <w:p w14:paraId="3D07F62F">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r>
    </w:tbl>
    <w:p w14:paraId="481BA746">
      <w:pPr>
        <w:spacing w:before="156" w:beforeLines="50" w:line="360" w:lineRule="auto"/>
        <w:rPr>
          <w:rFonts w:ascii="宋体" w:hAnsi="宋体"/>
          <w:b/>
          <w:bCs/>
          <w:kern w:val="0"/>
          <w:sz w:val="24"/>
          <w:szCs w:val="24"/>
          <w:highlight w:val="none"/>
        </w:rPr>
      </w:pPr>
      <w:bookmarkStart w:id="206" w:name="_Toc456102389"/>
      <w:bookmarkEnd w:id="206"/>
      <w:bookmarkStart w:id="207" w:name="_Toc10483"/>
      <w:r>
        <w:rPr>
          <w:rFonts w:hint="eastAsia" w:ascii="宋体" w:hAnsi="宋体"/>
          <w:b/>
          <w:bCs/>
          <w:kern w:val="0"/>
          <w:sz w:val="24"/>
          <w:szCs w:val="24"/>
          <w:highlight w:val="none"/>
        </w:rPr>
        <w:t>B-3  委托人提供的资料</w:t>
      </w:r>
      <w:bookmarkEnd w:id="207"/>
    </w:p>
    <w:tbl>
      <w:tblPr>
        <w:tblStyle w:val="18"/>
        <w:tblW w:w="0" w:type="auto"/>
        <w:tblInd w:w="0" w:type="dxa"/>
        <w:tblLayout w:type="fixed"/>
        <w:tblCellMar>
          <w:top w:w="0" w:type="dxa"/>
          <w:left w:w="108" w:type="dxa"/>
          <w:bottom w:w="0" w:type="dxa"/>
          <w:right w:w="108" w:type="dxa"/>
        </w:tblCellMar>
      </w:tblPr>
      <w:tblGrid>
        <w:gridCol w:w="2802"/>
        <w:gridCol w:w="1491"/>
        <w:gridCol w:w="2147"/>
        <w:gridCol w:w="2082"/>
      </w:tblGrid>
      <w:tr w14:paraId="6832469F">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5A86A54A">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名称</w:t>
            </w:r>
          </w:p>
        </w:tc>
        <w:tc>
          <w:tcPr>
            <w:tcW w:w="1491" w:type="dxa"/>
            <w:tcBorders>
              <w:top w:val="single" w:color="auto" w:sz="4" w:space="0"/>
              <w:left w:val="nil"/>
              <w:bottom w:val="single" w:color="auto" w:sz="4" w:space="0"/>
              <w:right w:val="single" w:color="auto" w:sz="4" w:space="0"/>
            </w:tcBorders>
            <w:noWrap w:val="0"/>
            <w:vAlign w:val="top"/>
          </w:tcPr>
          <w:p w14:paraId="366391B0">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份数</w:t>
            </w:r>
          </w:p>
        </w:tc>
        <w:tc>
          <w:tcPr>
            <w:tcW w:w="2147" w:type="dxa"/>
            <w:tcBorders>
              <w:top w:val="single" w:color="auto" w:sz="4" w:space="0"/>
              <w:left w:val="nil"/>
              <w:bottom w:val="single" w:color="auto" w:sz="4" w:space="0"/>
              <w:right w:val="single" w:color="auto" w:sz="4" w:space="0"/>
            </w:tcBorders>
            <w:noWrap w:val="0"/>
            <w:vAlign w:val="top"/>
          </w:tcPr>
          <w:p w14:paraId="043D45DD">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提供时间</w:t>
            </w:r>
          </w:p>
        </w:tc>
        <w:tc>
          <w:tcPr>
            <w:tcW w:w="2082" w:type="dxa"/>
            <w:tcBorders>
              <w:top w:val="single" w:color="auto" w:sz="4" w:space="0"/>
              <w:left w:val="nil"/>
              <w:bottom w:val="single" w:color="auto" w:sz="4" w:space="0"/>
              <w:right w:val="single" w:color="auto" w:sz="4" w:space="0"/>
            </w:tcBorders>
            <w:noWrap w:val="0"/>
            <w:vAlign w:val="top"/>
          </w:tcPr>
          <w:p w14:paraId="0D67D286">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备注</w:t>
            </w:r>
          </w:p>
        </w:tc>
      </w:tr>
      <w:tr w14:paraId="19385453">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36FF7967">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1. 工程立项文件</w:t>
            </w:r>
          </w:p>
        </w:tc>
        <w:tc>
          <w:tcPr>
            <w:tcW w:w="1491" w:type="dxa"/>
            <w:tcBorders>
              <w:top w:val="single" w:color="auto" w:sz="4" w:space="0"/>
              <w:left w:val="nil"/>
              <w:bottom w:val="single" w:color="auto" w:sz="4" w:space="0"/>
              <w:right w:val="single" w:color="auto" w:sz="4" w:space="0"/>
            </w:tcBorders>
            <w:noWrap w:val="0"/>
            <w:vAlign w:val="top"/>
          </w:tcPr>
          <w:p w14:paraId="190A50D4">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76F6455F">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348C1830">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66EDBCCA">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41CC0C53">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2. 工程勘察文件</w:t>
            </w:r>
          </w:p>
        </w:tc>
        <w:tc>
          <w:tcPr>
            <w:tcW w:w="1491" w:type="dxa"/>
            <w:tcBorders>
              <w:top w:val="single" w:color="auto" w:sz="4" w:space="0"/>
              <w:left w:val="nil"/>
              <w:bottom w:val="single" w:color="auto" w:sz="4" w:space="0"/>
              <w:right w:val="single" w:color="auto" w:sz="4" w:space="0"/>
            </w:tcBorders>
            <w:noWrap w:val="0"/>
            <w:vAlign w:val="top"/>
          </w:tcPr>
          <w:p w14:paraId="2F44C56B">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0D73CDC8">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524BEC5E">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057C068F">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674C74AF">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3. 工程设计及施工图纸</w:t>
            </w:r>
          </w:p>
        </w:tc>
        <w:tc>
          <w:tcPr>
            <w:tcW w:w="1491" w:type="dxa"/>
            <w:tcBorders>
              <w:top w:val="single" w:color="auto" w:sz="4" w:space="0"/>
              <w:left w:val="nil"/>
              <w:bottom w:val="single" w:color="auto" w:sz="4" w:space="0"/>
              <w:right w:val="single" w:color="auto" w:sz="4" w:space="0"/>
            </w:tcBorders>
            <w:noWrap w:val="0"/>
            <w:vAlign w:val="top"/>
          </w:tcPr>
          <w:p w14:paraId="082A5C82">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7AE4EFE5">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31D76225">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4B9CE5A3">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62EECEAC">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4. 工程承包合同及其他相关合同</w:t>
            </w:r>
          </w:p>
        </w:tc>
        <w:tc>
          <w:tcPr>
            <w:tcW w:w="1491" w:type="dxa"/>
            <w:tcBorders>
              <w:top w:val="single" w:color="auto" w:sz="4" w:space="0"/>
              <w:left w:val="nil"/>
              <w:bottom w:val="single" w:color="auto" w:sz="4" w:space="0"/>
              <w:right w:val="single" w:color="auto" w:sz="4" w:space="0"/>
            </w:tcBorders>
            <w:noWrap w:val="0"/>
            <w:vAlign w:val="top"/>
          </w:tcPr>
          <w:p w14:paraId="76EDB0CA">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1295222C">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2DCD96F6">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3FEA403D">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32DF0D3C">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5. 施工许可文件</w:t>
            </w:r>
          </w:p>
        </w:tc>
        <w:tc>
          <w:tcPr>
            <w:tcW w:w="1491" w:type="dxa"/>
            <w:tcBorders>
              <w:top w:val="single" w:color="auto" w:sz="4" w:space="0"/>
              <w:left w:val="nil"/>
              <w:bottom w:val="single" w:color="auto" w:sz="4" w:space="0"/>
              <w:right w:val="single" w:color="auto" w:sz="4" w:space="0"/>
            </w:tcBorders>
            <w:noWrap w:val="0"/>
            <w:vAlign w:val="top"/>
          </w:tcPr>
          <w:p w14:paraId="0DAF2284">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6B31DB62">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62651EB6">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5AFC0BB4">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1E94E505">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r>
              <w:rPr>
                <w:rFonts w:hint="eastAsia" w:ascii="宋体" w:hAnsi="宋体"/>
                <w:kern w:val="0"/>
                <w:sz w:val="24"/>
                <w:szCs w:val="24"/>
                <w:highlight w:val="none"/>
              </w:rPr>
              <w:t>6. 其他文件</w:t>
            </w:r>
          </w:p>
        </w:tc>
        <w:tc>
          <w:tcPr>
            <w:tcW w:w="1491" w:type="dxa"/>
            <w:tcBorders>
              <w:top w:val="single" w:color="auto" w:sz="4" w:space="0"/>
              <w:left w:val="nil"/>
              <w:bottom w:val="single" w:color="auto" w:sz="4" w:space="0"/>
              <w:right w:val="single" w:color="auto" w:sz="4" w:space="0"/>
            </w:tcBorders>
            <w:noWrap w:val="0"/>
            <w:vAlign w:val="top"/>
          </w:tcPr>
          <w:p w14:paraId="3484F48F">
            <w:pPr>
              <w:keepNext w:val="0"/>
              <w:keepLines w:val="0"/>
              <w:suppressLineNumbers w:val="0"/>
              <w:spacing w:before="0" w:beforeAutospacing="0" w:after="0" w:afterAutospacing="0" w:line="360" w:lineRule="auto"/>
              <w:ind w:left="0" w:right="0"/>
              <w:jc w:val="center"/>
              <w:rPr>
                <w:rFonts w:hint="default" w:ascii="宋体" w:hAnsi="宋体"/>
                <w:kern w:val="0"/>
                <w:sz w:val="24"/>
                <w:szCs w:val="24"/>
                <w:highlight w:val="none"/>
              </w:rPr>
            </w:pPr>
            <w:r>
              <w:rPr>
                <w:rFonts w:hint="eastAsia" w:ascii="宋体" w:hAnsi="宋体"/>
                <w:kern w:val="0"/>
                <w:sz w:val="24"/>
                <w:szCs w:val="24"/>
                <w:highlight w:val="none"/>
              </w:rPr>
              <w:t>1</w:t>
            </w:r>
          </w:p>
        </w:tc>
        <w:tc>
          <w:tcPr>
            <w:tcW w:w="2147" w:type="dxa"/>
            <w:tcBorders>
              <w:top w:val="single" w:color="auto" w:sz="4" w:space="0"/>
              <w:left w:val="nil"/>
              <w:bottom w:val="single" w:color="auto" w:sz="4" w:space="0"/>
              <w:right w:val="single" w:color="auto" w:sz="4" w:space="0"/>
            </w:tcBorders>
            <w:noWrap w:val="0"/>
            <w:vAlign w:val="top"/>
          </w:tcPr>
          <w:p w14:paraId="17E4DC43">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3BFE6837">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r w14:paraId="5A44FC34">
        <w:tblPrEx>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noWrap w:val="0"/>
            <w:vAlign w:val="top"/>
          </w:tcPr>
          <w:p w14:paraId="30D85706">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1491" w:type="dxa"/>
            <w:tcBorders>
              <w:top w:val="single" w:color="auto" w:sz="4" w:space="0"/>
              <w:left w:val="nil"/>
              <w:bottom w:val="single" w:color="auto" w:sz="4" w:space="0"/>
              <w:right w:val="single" w:color="auto" w:sz="4" w:space="0"/>
            </w:tcBorders>
            <w:noWrap w:val="0"/>
            <w:vAlign w:val="top"/>
          </w:tcPr>
          <w:p w14:paraId="4578669F">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147" w:type="dxa"/>
            <w:tcBorders>
              <w:top w:val="single" w:color="auto" w:sz="4" w:space="0"/>
              <w:left w:val="nil"/>
              <w:bottom w:val="single" w:color="auto" w:sz="4" w:space="0"/>
              <w:right w:val="single" w:color="auto" w:sz="4" w:space="0"/>
            </w:tcBorders>
            <w:noWrap w:val="0"/>
            <w:vAlign w:val="top"/>
          </w:tcPr>
          <w:p w14:paraId="7FFB2BFB">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c>
          <w:tcPr>
            <w:tcW w:w="2082" w:type="dxa"/>
            <w:tcBorders>
              <w:top w:val="single" w:color="auto" w:sz="4" w:space="0"/>
              <w:left w:val="nil"/>
              <w:bottom w:val="single" w:color="auto" w:sz="4" w:space="0"/>
              <w:right w:val="single" w:color="auto" w:sz="4" w:space="0"/>
            </w:tcBorders>
            <w:noWrap w:val="0"/>
            <w:vAlign w:val="top"/>
          </w:tcPr>
          <w:p w14:paraId="0B5DB624">
            <w:pPr>
              <w:keepNext w:val="0"/>
              <w:keepLines w:val="0"/>
              <w:suppressLineNumbers w:val="0"/>
              <w:spacing w:before="0" w:beforeAutospacing="0" w:after="0" w:afterAutospacing="0" w:line="360" w:lineRule="auto"/>
              <w:ind w:left="0" w:right="0"/>
              <w:rPr>
                <w:rFonts w:hint="default" w:ascii="宋体" w:hAnsi="宋体"/>
                <w:kern w:val="0"/>
                <w:sz w:val="24"/>
                <w:szCs w:val="24"/>
                <w:highlight w:val="none"/>
              </w:rPr>
            </w:pPr>
          </w:p>
        </w:tc>
      </w:tr>
    </w:tbl>
    <w:p w14:paraId="64B1F32B">
      <w:pPr>
        <w:spacing w:before="156" w:beforeLines="50" w:line="360" w:lineRule="auto"/>
        <w:rPr>
          <w:rFonts w:ascii="宋体" w:hAnsi="宋体"/>
          <w:b/>
          <w:bCs/>
          <w:kern w:val="0"/>
          <w:sz w:val="24"/>
          <w:szCs w:val="24"/>
          <w:highlight w:val="none"/>
        </w:rPr>
      </w:pPr>
    </w:p>
    <w:p w14:paraId="1442D86A">
      <w:pPr>
        <w:spacing w:before="156" w:beforeLines="50" w:line="360" w:lineRule="auto"/>
        <w:rPr>
          <w:rFonts w:ascii="宋体" w:hAnsi="宋体"/>
          <w:b/>
          <w:bCs/>
          <w:kern w:val="0"/>
          <w:sz w:val="24"/>
          <w:szCs w:val="24"/>
          <w:highlight w:val="none"/>
        </w:rPr>
      </w:pPr>
    </w:p>
    <w:p w14:paraId="219CFD98">
      <w:pPr>
        <w:spacing w:before="156" w:beforeLines="50" w:line="360" w:lineRule="auto"/>
        <w:rPr>
          <w:rFonts w:hint="eastAsia" w:ascii="宋体" w:hAnsi="宋体"/>
          <w:b/>
          <w:bCs/>
          <w:kern w:val="0"/>
          <w:sz w:val="24"/>
          <w:szCs w:val="24"/>
          <w:highlight w:val="none"/>
        </w:rPr>
      </w:pPr>
    </w:p>
    <w:p w14:paraId="3BF73C05">
      <w:pPr>
        <w:spacing w:before="156" w:beforeLines="50" w:line="360" w:lineRule="auto"/>
        <w:rPr>
          <w:rFonts w:hint="eastAsia" w:ascii="宋体" w:hAnsi="宋体"/>
          <w:b/>
          <w:bCs/>
          <w:kern w:val="0"/>
          <w:sz w:val="24"/>
          <w:szCs w:val="24"/>
          <w:highlight w:val="none"/>
        </w:rPr>
      </w:pPr>
    </w:p>
    <w:p w14:paraId="73CB7947">
      <w:pPr>
        <w:spacing w:before="156" w:beforeLines="50" w:line="360" w:lineRule="auto"/>
        <w:rPr>
          <w:rFonts w:ascii="宋体" w:hAnsi="宋体"/>
          <w:b/>
          <w:bCs/>
          <w:kern w:val="0"/>
          <w:sz w:val="24"/>
          <w:szCs w:val="24"/>
          <w:highlight w:val="none"/>
        </w:rPr>
      </w:pPr>
      <w:r>
        <w:rPr>
          <w:rFonts w:hint="eastAsia" w:ascii="宋体" w:hAnsi="宋体"/>
          <w:b/>
          <w:bCs/>
          <w:kern w:val="0"/>
          <w:sz w:val="24"/>
          <w:szCs w:val="24"/>
          <w:highlight w:val="none"/>
        </w:rPr>
        <w:t>B-4 委托人提供的设备</w:t>
      </w:r>
    </w:p>
    <w:tbl>
      <w:tblPr>
        <w:tblStyle w:val="18"/>
        <w:tblW w:w="0" w:type="auto"/>
        <w:tblInd w:w="0" w:type="dxa"/>
        <w:tblLayout w:type="fixed"/>
        <w:tblCellMar>
          <w:top w:w="0" w:type="dxa"/>
          <w:left w:w="108" w:type="dxa"/>
          <w:bottom w:w="0" w:type="dxa"/>
          <w:right w:w="108" w:type="dxa"/>
        </w:tblCellMar>
      </w:tblPr>
      <w:tblGrid>
        <w:gridCol w:w="2988"/>
        <w:gridCol w:w="1590"/>
        <w:gridCol w:w="2130"/>
        <w:gridCol w:w="1860"/>
      </w:tblGrid>
      <w:tr w14:paraId="44B1F3D7">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7611446C">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名称</w:t>
            </w:r>
          </w:p>
        </w:tc>
        <w:tc>
          <w:tcPr>
            <w:tcW w:w="1590" w:type="dxa"/>
            <w:tcBorders>
              <w:top w:val="single" w:color="auto" w:sz="4" w:space="0"/>
              <w:left w:val="nil"/>
              <w:bottom w:val="single" w:color="auto" w:sz="4" w:space="0"/>
              <w:right w:val="single" w:color="auto" w:sz="4" w:space="0"/>
            </w:tcBorders>
            <w:noWrap w:val="0"/>
            <w:vAlign w:val="top"/>
          </w:tcPr>
          <w:p w14:paraId="780EB520">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数量</w:t>
            </w:r>
          </w:p>
        </w:tc>
        <w:tc>
          <w:tcPr>
            <w:tcW w:w="2130" w:type="dxa"/>
            <w:tcBorders>
              <w:top w:val="single" w:color="auto" w:sz="4" w:space="0"/>
              <w:left w:val="nil"/>
              <w:bottom w:val="single" w:color="auto" w:sz="4" w:space="0"/>
              <w:right w:val="single" w:color="auto" w:sz="4" w:space="0"/>
            </w:tcBorders>
            <w:noWrap w:val="0"/>
            <w:vAlign w:val="top"/>
          </w:tcPr>
          <w:p w14:paraId="61325C83">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型号与规格</w:t>
            </w:r>
          </w:p>
        </w:tc>
        <w:tc>
          <w:tcPr>
            <w:tcW w:w="1860" w:type="dxa"/>
            <w:tcBorders>
              <w:top w:val="single" w:color="auto" w:sz="4" w:space="0"/>
              <w:left w:val="nil"/>
              <w:bottom w:val="single" w:color="auto" w:sz="4" w:space="0"/>
              <w:right w:val="single" w:color="auto" w:sz="4" w:space="0"/>
            </w:tcBorders>
            <w:noWrap w:val="0"/>
            <w:vAlign w:val="top"/>
          </w:tcPr>
          <w:p w14:paraId="68D5DB16">
            <w:pPr>
              <w:keepNext w:val="0"/>
              <w:keepLines w:val="0"/>
              <w:suppressLineNumbers w:val="0"/>
              <w:spacing w:before="0" w:beforeAutospacing="0" w:after="0" w:afterAutospacing="0" w:line="360" w:lineRule="auto"/>
              <w:ind w:left="0" w:right="0"/>
              <w:jc w:val="center"/>
              <w:rPr>
                <w:rFonts w:hint="default" w:ascii="宋体" w:hAnsi="宋体"/>
                <w:sz w:val="24"/>
                <w:szCs w:val="24"/>
                <w:highlight w:val="none"/>
              </w:rPr>
            </w:pPr>
            <w:r>
              <w:rPr>
                <w:rFonts w:hint="eastAsia" w:ascii="宋体" w:hAnsi="宋体"/>
                <w:sz w:val="24"/>
                <w:szCs w:val="24"/>
                <w:highlight w:val="none"/>
              </w:rPr>
              <w:t>提供时间</w:t>
            </w:r>
          </w:p>
        </w:tc>
      </w:tr>
      <w:tr w14:paraId="6F634254">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4C86AC3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1. 通讯设备</w:t>
            </w:r>
          </w:p>
        </w:tc>
        <w:tc>
          <w:tcPr>
            <w:tcW w:w="1590" w:type="dxa"/>
            <w:tcBorders>
              <w:top w:val="single" w:color="auto" w:sz="4" w:space="0"/>
              <w:left w:val="nil"/>
              <w:bottom w:val="single" w:color="auto" w:sz="4" w:space="0"/>
              <w:right w:val="single" w:color="auto" w:sz="4" w:space="0"/>
            </w:tcBorders>
            <w:noWrap w:val="0"/>
            <w:vAlign w:val="top"/>
          </w:tcPr>
          <w:p w14:paraId="52B29F2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130" w:type="dxa"/>
            <w:tcBorders>
              <w:top w:val="single" w:color="auto" w:sz="4" w:space="0"/>
              <w:left w:val="nil"/>
              <w:bottom w:val="single" w:color="auto" w:sz="4" w:space="0"/>
              <w:right w:val="single" w:color="auto" w:sz="4" w:space="0"/>
            </w:tcBorders>
            <w:noWrap w:val="0"/>
            <w:vAlign w:val="top"/>
          </w:tcPr>
          <w:p w14:paraId="3B8411CD">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61AA382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0775B6A">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6FE1032D">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2. 办公设备</w:t>
            </w:r>
          </w:p>
        </w:tc>
        <w:tc>
          <w:tcPr>
            <w:tcW w:w="1590" w:type="dxa"/>
            <w:tcBorders>
              <w:top w:val="single" w:color="auto" w:sz="4" w:space="0"/>
              <w:left w:val="nil"/>
              <w:bottom w:val="single" w:color="auto" w:sz="4" w:space="0"/>
              <w:right w:val="single" w:color="auto" w:sz="4" w:space="0"/>
            </w:tcBorders>
            <w:noWrap w:val="0"/>
            <w:vAlign w:val="top"/>
          </w:tcPr>
          <w:p w14:paraId="7970A2A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130" w:type="dxa"/>
            <w:tcBorders>
              <w:top w:val="single" w:color="auto" w:sz="4" w:space="0"/>
              <w:left w:val="nil"/>
              <w:bottom w:val="single" w:color="auto" w:sz="4" w:space="0"/>
              <w:right w:val="single" w:color="auto" w:sz="4" w:space="0"/>
            </w:tcBorders>
            <w:noWrap w:val="0"/>
            <w:vAlign w:val="top"/>
          </w:tcPr>
          <w:p w14:paraId="357E2AB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443E016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12090F1B">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74815E2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3. 交通工具</w:t>
            </w:r>
          </w:p>
        </w:tc>
        <w:tc>
          <w:tcPr>
            <w:tcW w:w="1590" w:type="dxa"/>
            <w:tcBorders>
              <w:top w:val="single" w:color="auto" w:sz="4" w:space="0"/>
              <w:left w:val="nil"/>
              <w:bottom w:val="single" w:color="auto" w:sz="4" w:space="0"/>
              <w:right w:val="single" w:color="auto" w:sz="4" w:space="0"/>
            </w:tcBorders>
            <w:noWrap w:val="0"/>
            <w:vAlign w:val="top"/>
          </w:tcPr>
          <w:p w14:paraId="11CD02DB">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130" w:type="dxa"/>
            <w:tcBorders>
              <w:top w:val="single" w:color="auto" w:sz="4" w:space="0"/>
              <w:left w:val="nil"/>
              <w:bottom w:val="single" w:color="auto" w:sz="4" w:space="0"/>
              <w:right w:val="single" w:color="auto" w:sz="4" w:space="0"/>
            </w:tcBorders>
            <w:noWrap w:val="0"/>
            <w:vAlign w:val="top"/>
          </w:tcPr>
          <w:p w14:paraId="3C0428E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6BB26E8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0C7AA64D">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3DD6D40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4. 检测和试验设备</w:t>
            </w:r>
          </w:p>
        </w:tc>
        <w:tc>
          <w:tcPr>
            <w:tcW w:w="1590" w:type="dxa"/>
            <w:tcBorders>
              <w:top w:val="single" w:color="auto" w:sz="4" w:space="0"/>
              <w:left w:val="nil"/>
              <w:bottom w:val="single" w:color="auto" w:sz="4" w:space="0"/>
              <w:right w:val="single" w:color="auto" w:sz="4" w:space="0"/>
            </w:tcBorders>
            <w:noWrap w:val="0"/>
            <w:vAlign w:val="top"/>
          </w:tcPr>
          <w:p w14:paraId="1F074A4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r>
              <w:rPr>
                <w:rFonts w:hint="eastAsia" w:ascii="宋体" w:hAnsi="宋体"/>
                <w:sz w:val="24"/>
                <w:szCs w:val="24"/>
                <w:highlight w:val="none"/>
              </w:rPr>
              <w:t>无</w:t>
            </w:r>
          </w:p>
        </w:tc>
        <w:tc>
          <w:tcPr>
            <w:tcW w:w="2130" w:type="dxa"/>
            <w:tcBorders>
              <w:top w:val="single" w:color="auto" w:sz="4" w:space="0"/>
              <w:left w:val="nil"/>
              <w:bottom w:val="single" w:color="auto" w:sz="4" w:space="0"/>
              <w:right w:val="single" w:color="auto" w:sz="4" w:space="0"/>
            </w:tcBorders>
            <w:noWrap w:val="0"/>
            <w:vAlign w:val="top"/>
          </w:tcPr>
          <w:p w14:paraId="0998B68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32F1AF8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14D1D5E7">
        <w:tblPrEx>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noWrap w:val="0"/>
            <w:vAlign w:val="top"/>
          </w:tcPr>
          <w:p w14:paraId="3D0E8FB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90" w:type="dxa"/>
            <w:tcBorders>
              <w:top w:val="single" w:color="auto" w:sz="4" w:space="0"/>
              <w:left w:val="nil"/>
              <w:bottom w:val="single" w:color="auto" w:sz="4" w:space="0"/>
              <w:right w:val="single" w:color="auto" w:sz="4" w:space="0"/>
            </w:tcBorders>
            <w:noWrap w:val="0"/>
            <w:vAlign w:val="top"/>
          </w:tcPr>
          <w:p w14:paraId="340B40EB">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130" w:type="dxa"/>
            <w:tcBorders>
              <w:top w:val="single" w:color="auto" w:sz="4" w:space="0"/>
              <w:left w:val="nil"/>
              <w:bottom w:val="single" w:color="auto" w:sz="4" w:space="0"/>
              <w:right w:val="single" w:color="auto" w:sz="4" w:space="0"/>
            </w:tcBorders>
            <w:noWrap w:val="0"/>
            <w:vAlign w:val="top"/>
          </w:tcPr>
          <w:p w14:paraId="7CB7A5F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860" w:type="dxa"/>
            <w:tcBorders>
              <w:top w:val="single" w:color="auto" w:sz="4" w:space="0"/>
              <w:left w:val="nil"/>
              <w:bottom w:val="single" w:color="auto" w:sz="4" w:space="0"/>
              <w:right w:val="single" w:color="auto" w:sz="4" w:space="0"/>
            </w:tcBorders>
            <w:noWrap w:val="0"/>
            <w:vAlign w:val="top"/>
          </w:tcPr>
          <w:p w14:paraId="54882182">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4DC725AB">
      <w:pPr>
        <w:pStyle w:val="3"/>
        <w:spacing w:line="360" w:lineRule="auto"/>
        <w:rPr>
          <w:rFonts w:ascii="宋体" w:hAnsi="宋体" w:cs="宋体"/>
          <w:b w:val="0"/>
          <w:bCs w:val="0"/>
          <w:sz w:val="24"/>
          <w:szCs w:val="24"/>
          <w:highlight w:val="none"/>
        </w:rPr>
      </w:pPr>
    </w:p>
    <w:bookmarkEnd w:id="175"/>
    <w:p w14:paraId="2989320C">
      <w:pPr>
        <w:rPr>
          <w:highlight w:val="none"/>
        </w:rPr>
      </w:pPr>
    </w:p>
    <w:p w14:paraId="05834B3F">
      <w:pPr>
        <w:pStyle w:val="16"/>
        <w:rPr>
          <w:color w:val="auto"/>
          <w:highlight w:val="none"/>
        </w:rPr>
      </w:pPr>
    </w:p>
    <w:p w14:paraId="1A8072AF">
      <w:pPr>
        <w:pStyle w:val="17"/>
        <w:rPr>
          <w:color w:val="auto"/>
          <w:highlight w:val="none"/>
        </w:rPr>
      </w:pPr>
    </w:p>
    <w:p w14:paraId="31958DAB">
      <w:pPr>
        <w:pStyle w:val="17"/>
        <w:rPr>
          <w:color w:val="auto"/>
          <w:highlight w:val="none"/>
        </w:rPr>
      </w:pPr>
    </w:p>
    <w:p w14:paraId="6617D92A">
      <w:pPr>
        <w:pStyle w:val="17"/>
        <w:rPr>
          <w:color w:val="auto"/>
          <w:highlight w:val="none"/>
        </w:rPr>
      </w:pPr>
    </w:p>
    <w:p w14:paraId="4C457BF9">
      <w:pPr>
        <w:pStyle w:val="17"/>
        <w:rPr>
          <w:color w:val="auto"/>
          <w:highlight w:val="none"/>
        </w:rPr>
      </w:pPr>
    </w:p>
    <w:p w14:paraId="1777BF81">
      <w:pPr>
        <w:pStyle w:val="17"/>
        <w:rPr>
          <w:color w:val="auto"/>
          <w:highlight w:val="none"/>
        </w:rPr>
      </w:pPr>
    </w:p>
    <w:bookmarkEnd w:id="176"/>
    <w:bookmarkEnd w:id="177"/>
    <w:bookmarkEnd w:id="178"/>
    <w:bookmarkEnd w:id="179"/>
    <w:bookmarkEnd w:id="180"/>
    <w:bookmarkEnd w:id="181"/>
    <w:bookmarkEnd w:id="182"/>
    <w:bookmarkEnd w:id="183"/>
    <w:p w14:paraId="051C6FD2">
      <w:pPr>
        <w:jc w:val="center"/>
        <w:rPr>
          <w:rFonts w:ascii="宋体" w:hAnsi="宋体"/>
          <w:b/>
          <w:sz w:val="32"/>
          <w:szCs w:val="32"/>
          <w:highlight w:val="none"/>
        </w:rPr>
      </w:pPr>
    </w:p>
    <w:p w14:paraId="7A7284D3">
      <w:pPr>
        <w:jc w:val="center"/>
        <w:rPr>
          <w:rFonts w:ascii="宋体" w:hAnsi="宋体"/>
          <w:b/>
          <w:sz w:val="32"/>
          <w:szCs w:val="32"/>
          <w:highlight w:val="none"/>
        </w:rPr>
      </w:pPr>
    </w:p>
    <w:p w14:paraId="463C329B">
      <w:pPr>
        <w:jc w:val="center"/>
        <w:rPr>
          <w:rFonts w:ascii="宋体" w:hAnsi="宋体"/>
          <w:b/>
          <w:sz w:val="32"/>
          <w:szCs w:val="32"/>
          <w:highlight w:val="none"/>
        </w:rPr>
      </w:pPr>
    </w:p>
    <w:p w14:paraId="46C534B4">
      <w:pPr>
        <w:jc w:val="center"/>
        <w:rPr>
          <w:rFonts w:ascii="宋体" w:hAnsi="宋体"/>
          <w:b/>
          <w:sz w:val="32"/>
          <w:szCs w:val="32"/>
          <w:highlight w:val="none"/>
        </w:rPr>
      </w:pPr>
    </w:p>
    <w:p w14:paraId="58E6AE19">
      <w:pPr>
        <w:jc w:val="center"/>
        <w:rPr>
          <w:rFonts w:ascii="宋体" w:hAnsi="宋体"/>
          <w:b/>
          <w:sz w:val="32"/>
          <w:szCs w:val="32"/>
          <w:highlight w:val="none"/>
        </w:rPr>
      </w:pPr>
    </w:p>
    <w:p w14:paraId="07984D9D">
      <w:pPr>
        <w:jc w:val="center"/>
        <w:rPr>
          <w:rFonts w:ascii="宋体" w:hAnsi="宋体"/>
          <w:b/>
          <w:sz w:val="32"/>
          <w:szCs w:val="32"/>
          <w:highlight w:val="none"/>
        </w:rPr>
      </w:pPr>
    </w:p>
    <w:p w14:paraId="59762FB1">
      <w:pPr>
        <w:jc w:val="center"/>
        <w:rPr>
          <w:rFonts w:ascii="宋体" w:hAnsi="宋体"/>
          <w:b/>
          <w:sz w:val="32"/>
          <w:szCs w:val="32"/>
          <w:highlight w:val="none"/>
        </w:rPr>
      </w:pPr>
    </w:p>
    <w:p w14:paraId="7E798344">
      <w:pPr>
        <w:spacing w:line="360" w:lineRule="auto"/>
        <w:ind w:firstLine="480" w:firstLineChars="200"/>
        <w:jc w:val="left"/>
        <w:rPr>
          <w:rFonts w:ascii="宋体" w:hAnsi="宋体"/>
          <w:sz w:val="24"/>
          <w:highlight w:val="none"/>
        </w:rPr>
        <w:sectPr>
          <w:headerReference r:id="rId5" w:type="default"/>
          <w:footerReference r:id="rId6" w:type="default"/>
          <w:pgSz w:w="11900" w:h="16840"/>
          <w:pgMar w:top="1440" w:right="1835" w:bottom="456" w:left="1420" w:header="0" w:footer="0" w:gutter="0"/>
          <w:pgNumType w:fmt="decimal"/>
          <w:cols w:space="720" w:num="1"/>
          <w:docGrid w:linePitch="360" w:charSpace="0"/>
        </w:sectPr>
      </w:pPr>
    </w:p>
    <w:p w14:paraId="06627F13">
      <w:pPr>
        <w:keepNext w:val="0"/>
        <w:keepLines w:val="0"/>
        <w:pageBreakBefore w:val="0"/>
        <w:widowControl w:val="0"/>
        <w:kinsoku/>
        <w:wordWrap/>
        <w:overflowPunct/>
        <w:topLinePunct w:val="0"/>
        <w:autoSpaceDE/>
        <w:autoSpaceDN/>
        <w:bidi w:val="0"/>
        <w:adjustRightInd/>
        <w:snapToGrid/>
        <w:spacing w:line="500" w:lineRule="exact"/>
        <w:ind w:firstLine="2409" w:firstLineChars="800"/>
        <w:textAlignment w:val="auto"/>
        <w:rPr>
          <w:rFonts w:hint="eastAsia" w:ascii="宋体" w:hAnsi="宋体" w:eastAsia="宋体" w:cs="Courier New"/>
          <w:b/>
          <w:bCs/>
          <w:sz w:val="32"/>
          <w:szCs w:val="32"/>
          <w:highlight w:val="none"/>
        </w:rPr>
      </w:pPr>
      <w:bookmarkStart w:id="208" w:name="_Toc23774490"/>
      <w:r>
        <w:rPr>
          <w:rFonts w:hint="eastAsia" w:ascii="宋体" w:hAnsi="宋体" w:eastAsia="宋体" w:cs="Courier New"/>
          <w:b/>
          <w:bCs/>
          <w:sz w:val="30"/>
          <w:szCs w:val="30"/>
          <w:highlight w:val="none"/>
        </w:rPr>
        <w:t>第</w:t>
      </w:r>
      <w:r>
        <w:rPr>
          <w:rFonts w:hint="eastAsia" w:ascii="宋体" w:hAnsi="宋体" w:eastAsia="宋体" w:cs="Courier New"/>
          <w:b/>
          <w:bCs/>
          <w:sz w:val="30"/>
          <w:szCs w:val="30"/>
          <w:highlight w:val="none"/>
          <w:lang w:eastAsia="zh-CN"/>
        </w:rPr>
        <w:t>五</w:t>
      </w:r>
      <w:r>
        <w:rPr>
          <w:rFonts w:hint="eastAsia" w:ascii="宋体" w:hAnsi="宋体" w:eastAsia="宋体" w:cs="Courier New"/>
          <w:b/>
          <w:bCs/>
          <w:sz w:val="30"/>
          <w:szCs w:val="30"/>
          <w:highlight w:val="none"/>
        </w:rPr>
        <w:t xml:space="preserve">章  </w:t>
      </w:r>
      <w:bookmarkEnd w:id="174"/>
      <w:bookmarkEnd w:id="208"/>
      <w:bookmarkStart w:id="209" w:name="_Toc3615"/>
      <w:bookmarkStart w:id="210" w:name="_Toc23774491"/>
      <w:r>
        <w:rPr>
          <w:rFonts w:hint="eastAsia" w:ascii="宋体" w:hAnsi="宋体" w:eastAsia="宋体" w:cs="宋体"/>
          <w:b/>
          <w:bCs/>
          <w:color w:val="auto"/>
          <w:kern w:val="44"/>
          <w:sz w:val="32"/>
          <w:szCs w:val="44"/>
          <w:highlight w:val="none"/>
        </w:rPr>
        <w:t>监理任务范围及监理大纲</w:t>
      </w:r>
    </w:p>
    <w:p w14:paraId="75DB98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（一）监理任务范围</w:t>
      </w:r>
    </w:p>
    <w:p w14:paraId="6F9C39A5">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本工程建设监理的主要内容是控制工程建设的投资、工程质量、安全和建设工期。进行工程建设合同管理和信息管理，协调有关单位间的工作关系。监理单位受项目法人委托服务范围如下：</w:t>
      </w:r>
    </w:p>
    <w:p w14:paraId="218DA316">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1、施工监理</w:t>
      </w:r>
    </w:p>
    <w:p w14:paraId="3FB20A8D">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参与分项、分部工程、关键工序和隐蔽工程的质量检查和验收。</w:t>
      </w:r>
    </w:p>
    <w:p w14:paraId="68BFB890">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审查施工单位选择的分包单位、试验单位的资质并认可。</w:t>
      </w:r>
    </w:p>
    <w:p w14:paraId="0789B12C">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审查施工单位提交的施工组织设计、施工技术方案。</w:t>
      </w:r>
    </w:p>
    <w:p w14:paraId="42BFAED9">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审查施工单位制定的网络计划，定期检查网络计划执行情况。根据实际情况督促审查施工单位调整网络计划，使其能够按期完工。</w:t>
      </w:r>
    </w:p>
    <w:p w14:paraId="68E5D7F5">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审查施工单位开工申请报告。</w:t>
      </w:r>
    </w:p>
    <w:p w14:paraId="5B681DBF">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审查施工单位质保体系和质保手册并监督实施。</w:t>
      </w:r>
    </w:p>
    <w:p w14:paraId="2B525505">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检查现场施工人员中特殊工种持证上岗情况。</w:t>
      </w:r>
    </w:p>
    <w:p w14:paraId="2946D4F6">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检查施工现场原材料、构件的采购、入库、保管、领用等管理制度及其执行情况。</w:t>
      </w:r>
    </w:p>
    <w:p w14:paraId="2658693C">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参加主要设备的现场开箱检查。对设备保管提出监理意见。</w:t>
      </w:r>
    </w:p>
    <w:p w14:paraId="5D1B608C">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 遇到威胁安全的重大问题时,有权下达“暂停施工”的通知,并通报业主.</w:t>
      </w:r>
    </w:p>
    <w:p w14:paraId="10698696">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审查施工单位工程结算书.工程付款必须有总监理工程师签字.</w:t>
      </w:r>
    </w:p>
    <w:p w14:paraId="147E4DF1">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监督施工合同的履行,维护业主和施工单位的正当权益.</w:t>
      </w:r>
    </w:p>
    <w:p w14:paraId="689AA83A">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当发现工程设计不符合国家颁布的建设工程质量标准时,应书面报告业主并提出建议.</w:t>
      </w:r>
    </w:p>
    <w:p w14:paraId="092BA34D">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2、监理资料的整理</w:t>
      </w:r>
    </w:p>
    <w:p w14:paraId="52A6F64B">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编制整理监理工作的各种文件、通知、记录、检测资料、图纸等,合同完成或终止时移交给业主. </w:t>
      </w:r>
    </w:p>
    <w:p w14:paraId="6F756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211" w:name="_Toc76438890"/>
      <w:bookmarkEnd w:id="211"/>
      <w:bookmarkStart w:id="212" w:name="_Toc148782776"/>
      <w:bookmarkEnd w:id="212"/>
      <w:bookmarkStart w:id="213" w:name="_Toc287171997"/>
      <w:r>
        <w:rPr>
          <w:rFonts w:hint="eastAsia" w:ascii="宋体" w:hAnsi="宋体" w:eastAsia="宋体" w:cs="宋体"/>
          <w:b/>
          <w:bCs/>
          <w:color w:val="auto"/>
          <w:sz w:val="24"/>
          <w:szCs w:val="24"/>
          <w:highlight w:val="none"/>
        </w:rPr>
        <w:t>（二）监理工作大纲</w:t>
      </w:r>
      <w:bookmarkEnd w:id="213"/>
    </w:p>
    <w:p w14:paraId="4625D195">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1、工程质量控制：</w:t>
      </w:r>
    </w:p>
    <w:p w14:paraId="57C2654A">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监理单位必须对工程质量进行严格控制。要求从原材料进场到成品完成全过程的进程质量控制。对材料、设备、施工工艺、施工技术等方面进行全面检查，杜绝不合格产品出现。</w:t>
      </w:r>
    </w:p>
    <w:p w14:paraId="431950CC">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2、工程工期控制：</w:t>
      </w:r>
    </w:p>
    <w:p w14:paraId="409C24E7">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严格按合同工期控制工程施工工期，负责审查施工单位制定的网络计划，定期检查网络计划执行情况。根据实际情况督促审查施工单位调整网络计划，使其能够按期完工。</w:t>
      </w:r>
    </w:p>
    <w:p w14:paraId="2F565415">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3、工程投资控制：</w:t>
      </w:r>
    </w:p>
    <w:p w14:paraId="78731D93">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严格控制各项工程变更，审查工程变更的合理性。一般不得突破工程预算，负责合格项目的验收签证，以此作为业主审查承包商工程量支付其工程款的基本依据。</w:t>
      </w:r>
    </w:p>
    <w:p w14:paraId="0DEBFAC3">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4、工程安全控制：</w:t>
      </w:r>
    </w:p>
    <w:p w14:paraId="0C4C8BD8">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工程安全控制措施得力，不留隐患。</w:t>
      </w:r>
    </w:p>
    <w:p w14:paraId="674696A0">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5、工程合同管理、信息管理及协调有关单位的工作关系：</w:t>
      </w:r>
    </w:p>
    <w:p w14:paraId="795925AD">
      <w:pPr>
        <w:keepNext w:val="0"/>
        <w:keepLines w:val="0"/>
        <w:pageBreakBefore w:val="0"/>
        <w:widowControl w:val="0"/>
        <w:kinsoku/>
        <w:wordWrap/>
        <w:overflowPunct/>
        <w:topLinePunct w:val="0"/>
        <w:autoSpaceDE/>
        <w:autoSpaceDN/>
        <w:bidi w:val="0"/>
        <w:adjustRightInd/>
        <w:snapToGrid/>
        <w:spacing w:line="500" w:lineRule="exact"/>
        <w:ind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工程现场的施工单位必须接受监理单位的监督管理。要求监理单位协调好现场各有关单位的关系，处理解决各单位之间因工程施工而出现的矛盾和问题，协助业主办理与工程相关的所有手续。</w:t>
      </w:r>
    </w:p>
    <w:p w14:paraId="23545301">
      <w:p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p>
    <w:p w14:paraId="07309288">
      <w:p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p>
    <w:p w14:paraId="1E892547">
      <w:p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p>
    <w:p w14:paraId="729ECFCE">
      <w:p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p>
    <w:p w14:paraId="09D51D77">
      <w:p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p>
    <w:p w14:paraId="5944EC0F">
      <w:pPr>
        <w:pStyle w:val="2"/>
        <w:rPr>
          <w:rFonts w:hint="eastAsia"/>
        </w:rPr>
      </w:pPr>
    </w:p>
    <w:p w14:paraId="498B6A78">
      <w:pPr>
        <w:rPr>
          <w:rFonts w:hint="eastAsia"/>
        </w:rPr>
      </w:pPr>
    </w:p>
    <w:p w14:paraId="011B1361">
      <w:pPr>
        <w:numPr>
          <w:ilvl w:val="0"/>
          <w:numId w:val="3"/>
        </w:numPr>
        <w:wordWrap w:val="0"/>
        <w:topLinePunct/>
        <w:spacing w:before="312" w:beforeLines="100" w:after="312" w:afterLines="100" w:line="360" w:lineRule="auto"/>
        <w:jc w:val="center"/>
        <w:outlineLvl w:val="0"/>
        <w:rPr>
          <w:rFonts w:hint="eastAsia" w:ascii="宋体" w:hAnsi="宋体" w:eastAsia="宋体" w:cs="Courier New"/>
          <w:b/>
          <w:bCs/>
          <w:sz w:val="32"/>
          <w:szCs w:val="32"/>
          <w:highlight w:val="none"/>
        </w:rPr>
      </w:pPr>
      <w:r>
        <w:rPr>
          <w:rFonts w:hint="eastAsia" w:ascii="宋体" w:hAnsi="宋体" w:eastAsia="宋体" w:cs="Courier New"/>
          <w:b/>
          <w:bCs/>
          <w:sz w:val="32"/>
          <w:szCs w:val="32"/>
          <w:highlight w:val="none"/>
        </w:rPr>
        <w:t xml:space="preserve"> 响应文件格式</w:t>
      </w:r>
      <w:bookmarkEnd w:id="209"/>
      <w:bookmarkEnd w:id="210"/>
      <w:r>
        <w:rPr>
          <w:rFonts w:hint="eastAsia" w:ascii="宋体" w:hAnsi="宋体" w:eastAsia="宋体" w:cs="Courier New"/>
          <w:b/>
          <w:bCs/>
          <w:sz w:val="32"/>
          <w:szCs w:val="32"/>
          <w:highlight w:val="none"/>
        </w:rPr>
        <w:t xml:space="preserve"> </w:t>
      </w:r>
    </w:p>
    <w:p w14:paraId="1BF6A852">
      <w:pPr>
        <w:keepNext/>
        <w:keepLines/>
        <w:wordWrap w:val="0"/>
        <w:topLinePunct/>
        <w:spacing w:line="416" w:lineRule="auto"/>
        <w:jc w:val="both"/>
        <w:outlineLvl w:val="1"/>
        <w:rPr>
          <w:rFonts w:hint="eastAsia" w:ascii="宋体" w:hAnsi="宋体" w:eastAsia="宋体" w:cs="宋体"/>
          <w:b/>
          <w:bCs/>
          <w:sz w:val="44"/>
          <w:szCs w:val="44"/>
          <w:highlight w:val="none"/>
        </w:rPr>
      </w:pPr>
    </w:p>
    <w:p w14:paraId="21A6B7EB">
      <w:pPr>
        <w:keepNext/>
        <w:keepLines/>
        <w:wordWrap w:val="0"/>
        <w:topLinePunct/>
        <w:spacing w:line="416" w:lineRule="auto"/>
        <w:jc w:val="center"/>
        <w:outlineLvl w:val="1"/>
        <w:rPr>
          <w:rFonts w:hint="eastAsia" w:ascii="宋体" w:hAnsi="宋体" w:eastAsia="宋体" w:cs="宋体"/>
          <w:b/>
          <w:bCs/>
          <w:sz w:val="44"/>
          <w:szCs w:val="44"/>
          <w:highlight w:val="none"/>
        </w:rPr>
      </w:pPr>
    </w:p>
    <w:p w14:paraId="15FBF4C6">
      <w:pPr>
        <w:keepNext/>
        <w:keepLines/>
        <w:wordWrap w:val="0"/>
        <w:topLinePunct/>
        <w:spacing w:line="416" w:lineRule="auto"/>
        <w:jc w:val="center"/>
        <w:outlineLvl w:val="1"/>
        <w:rPr>
          <w:rFonts w:hint="default" w:eastAsia="宋体"/>
          <w:lang w:val="en-US" w:eastAsia="zh-CN"/>
        </w:rPr>
      </w:pPr>
      <w:r>
        <w:rPr>
          <w:rFonts w:hint="eastAsia" w:ascii="宋体" w:hAnsi="宋体" w:eastAsia="宋体" w:cs="宋体"/>
          <w:b/>
          <w:bCs/>
          <w:sz w:val="44"/>
          <w:szCs w:val="44"/>
          <w:highlight w:val="none"/>
        </w:rPr>
        <w:t>（项目名称）</w:t>
      </w:r>
      <w:r>
        <w:rPr>
          <w:rFonts w:hint="eastAsia" w:ascii="宋体" w:hAnsi="宋体" w:eastAsia="宋体" w:cs="宋体"/>
          <w:b/>
          <w:bCs/>
          <w:sz w:val="44"/>
          <w:szCs w:val="44"/>
          <w:highlight w:val="none"/>
          <w:u w:val="single"/>
          <w:lang w:val="en-US" w:eastAsia="zh-CN"/>
        </w:rPr>
        <w:t xml:space="preserve">    </w:t>
      </w:r>
      <w:r>
        <w:rPr>
          <w:rFonts w:hint="eastAsia" w:ascii="宋体" w:hAnsi="宋体" w:cs="宋体"/>
          <w:b/>
          <w:bCs/>
          <w:sz w:val="44"/>
          <w:szCs w:val="44"/>
          <w:highlight w:val="none"/>
          <w:lang w:val="en-US" w:eastAsia="zh-CN"/>
        </w:rPr>
        <w:t>标段</w:t>
      </w:r>
    </w:p>
    <w:p w14:paraId="55D7B07E">
      <w:pPr>
        <w:wordWrap w:val="0"/>
        <w:topLinePunct/>
        <w:spacing w:before="312" w:beforeLines="100" w:after="312" w:afterLines="100" w:line="360" w:lineRule="auto"/>
        <w:jc w:val="center"/>
        <w:rPr>
          <w:rFonts w:ascii="宋体" w:hAnsi="宋体" w:eastAsia="宋体" w:cs="Courier New"/>
          <w:b/>
          <w:bCs/>
          <w:sz w:val="84"/>
          <w:szCs w:val="84"/>
          <w:highlight w:val="none"/>
        </w:rPr>
      </w:pPr>
    </w:p>
    <w:p w14:paraId="79FB3F46">
      <w:pPr>
        <w:wordWrap w:val="0"/>
        <w:topLinePunct/>
        <w:spacing w:before="312" w:beforeLines="100" w:after="312" w:afterLines="100" w:line="360" w:lineRule="auto"/>
        <w:jc w:val="center"/>
        <w:rPr>
          <w:rFonts w:ascii="宋体" w:hAnsi="宋体" w:eastAsia="宋体" w:cs="Courier New"/>
          <w:b/>
          <w:bCs/>
          <w:sz w:val="84"/>
          <w:szCs w:val="84"/>
          <w:highlight w:val="none"/>
        </w:rPr>
      </w:pPr>
      <w:r>
        <w:rPr>
          <w:rFonts w:hint="eastAsia" w:ascii="宋体" w:hAnsi="宋体" w:eastAsia="宋体" w:cs="Courier New"/>
          <w:b/>
          <w:bCs/>
          <w:sz w:val="84"/>
          <w:szCs w:val="84"/>
          <w:highlight w:val="none"/>
        </w:rPr>
        <w:t>响应文件</w:t>
      </w:r>
    </w:p>
    <w:p w14:paraId="5E4FCAFD">
      <w:pPr>
        <w:wordWrap w:val="0"/>
        <w:topLinePunct/>
        <w:spacing w:before="312" w:beforeLines="100" w:after="312" w:afterLines="100" w:line="360" w:lineRule="auto"/>
        <w:ind w:firstLine="2940" w:firstLineChars="1050"/>
        <w:rPr>
          <w:rFonts w:ascii="宋体" w:hAnsi="宋体" w:eastAsia="宋体" w:cs="Courier New"/>
          <w:b/>
          <w:bCs/>
          <w:sz w:val="32"/>
          <w:szCs w:val="21"/>
          <w:highlight w:val="none"/>
          <w:u w:val="single"/>
        </w:rPr>
      </w:pPr>
      <w:r>
        <w:rPr>
          <w:rFonts w:hint="eastAsia" w:ascii="宋体" w:hAnsi="宋体" w:eastAsia="宋体" w:cs="Courier New"/>
          <w:sz w:val="28"/>
          <w:szCs w:val="28"/>
          <w:highlight w:val="none"/>
        </w:rPr>
        <w:t>项目编号：</w:t>
      </w:r>
    </w:p>
    <w:p w14:paraId="166B52F1">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p>
    <w:p w14:paraId="5F0DF536">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p>
    <w:p w14:paraId="5F032103">
      <w:pPr>
        <w:pStyle w:val="2"/>
      </w:pPr>
    </w:p>
    <w:p w14:paraId="3A4230B7">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r>
        <w:rPr>
          <w:rFonts w:hint="eastAsia" w:ascii="宋体" w:hAnsi="宋体" w:eastAsia="宋体" w:cs="Courier New"/>
          <w:b/>
          <w:bCs/>
          <w:sz w:val="32"/>
          <w:szCs w:val="21"/>
          <w:highlight w:val="none"/>
        </w:rPr>
        <w:t>供  应  商：</w:t>
      </w:r>
      <w:r>
        <w:rPr>
          <w:rFonts w:hint="eastAsia" w:ascii="宋体" w:hAnsi="宋体" w:eastAsia="宋体" w:cs="Courier New"/>
          <w:b/>
          <w:bCs/>
          <w:sz w:val="32"/>
          <w:szCs w:val="21"/>
          <w:highlight w:val="none"/>
          <w:u w:val="single"/>
        </w:rPr>
        <w:t xml:space="preserve">                 </w:t>
      </w:r>
      <w:r>
        <w:rPr>
          <w:rFonts w:hint="eastAsia" w:ascii="宋体" w:hAnsi="宋体" w:eastAsia="宋体" w:cs="Courier New"/>
          <w:b/>
          <w:bCs/>
          <w:sz w:val="32"/>
          <w:szCs w:val="21"/>
          <w:highlight w:val="none"/>
        </w:rPr>
        <w:t>（盖单位章）</w:t>
      </w:r>
    </w:p>
    <w:p w14:paraId="34B271DF">
      <w:pPr>
        <w:wordWrap w:val="0"/>
        <w:topLinePunct/>
        <w:spacing w:before="312" w:beforeLines="100" w:after="312"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法定代表人：</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（签字或盖章）</w:t>
      </w:r>
    </w:p>
    <w:p w14:paraId="7124B96F">
      <w:pPr>
        <w:wordWrap w:val="0"/>
        <w:topLinePunct/>
        <w:spacing w:before="312" w:beforeLines="100" w:after="312"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日      期：</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 xml:space="preserve"> 年 </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月</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日</w:t>
      </w:r>
    </w:p>
    <w:p w14:paraId="065C5096">
      <w:pPr>
        <w:widowControl/>
        <w:jc w:val="left"/>
        <w:rPr>
          <w:rFonts w:ascii="宋体" w:hAnsi="宋体" w:eastAsia="宋体" w:cs="Courier New"/>
          <w:b/>
          <w:bCs/>
          <w:sz w:val="30"/>
          <w:szCs w:val="30"/>
          <w:highlight w:val="none"/>
        </w:rPr>
      </w:pPr>
      <w:r>
        <w:rPr>
          <w:rFonts w:ascii="宋体" w:hAnsi="宋体" w:eastAsia="宋体" w:cs="Courier New"/>
          <w:b/>
          <w:bCs/>
          <w:sz w:val="30"/>
          <w:szCs w:val="30"/>
          <w:highlight w:val="none"/>
        </w:rPr>
        <w:br w:type="page"/>
      </w:r>
    </w:p>
    <w:p w14:paraId="7A70C908">
      <w:pPr>
        <w:widowControl/>
        <w:jc w:val="center"/>
        <w:rPr>
          <w:rFonts w:hint="eastAsia" w:ascii="宋体" w:hAnsi="宋体" w:eastAsia="宋体" w:cs="Courier New"/>
          <w:b/>
          <w:bCs/>
          <w:sz w:val="28"/>
          <w:szCs w:val="30"/>
          <w:highlight w:val="none"/>
          <w:lang w:val="en-US" w:eastAsia="zh-CN"/>
        </w:rPr>
      </w:pPr>
      <w:r>
        <w:rPr>
          <w:rFonts w:hint="eastAsia" w:ascii="宋体" w:hAnsi="宋体" w:eastAsia="宋体" w:cs="Courier New"/>
          <w:b/>
          <w:bCs/>
          <w:sz w:val="28"/>
          <w:szCs w:val="30"/>
          <w:highlight w:val="none"/>
          <w:lang w:val="en-US" w:eastAsia="zh-CN"/>
        </w:rPr>
        <w:t>目录</w:t>
      </w:r>
    </w:p>
    <w:p w14:paraId="6BA66126">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一、报价函及报价函附录</w:t>
      </w:r>
    </w:p>
    <w:p w14:paraId="3B70E20F">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二、法定代表人身份证明</w:t>
      </w:r>
    </w:p>
    <w:p w14:paraId="61022953">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三、</w:t>
      </w:r>
      <w:r>
        <w:rPr>
          <w:rFonts w:ascii="宋体" w:hAnsi="宋体" w:eastAsia="宋体" w:cs="Courier New"/>
          <w:b/>
          <w:bCs/>
          <w:sz w:val="28"/>
          <w:szCs w:val="30"/>
          <w:highlight w:val="none"/>
        </w:rPr>
        <w:t>授权委托书</w:t>
      </w:r>
    </w:p>
    <w:p w14:paraId="275DB7F7">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四、供应商基本情况</w:t>
      </w:r>
    </w:p>
    <w:p w14:paraId="093E891B">
      <w:pPr>
        <w:widowControl/>
        <w:jc w:val="left"/>
        <w:rPr>
          <w:rFonts w:hint="eastAsia" w:ascii="宋体" w:hAnsi="宋体" w:eastAsia="宋体" w:cs="Courier New"/>
          <w:b/>
          <w:bCs/>
          <w:sz w:val="28"/>
          <w:szCs w:val="30"/>
          <w:highlight w:val="none"/>
          <w:lang w:eastAsia="zh-CN"/>
        </w:rPr>
      </w:pPr>
      <w:r>
        <w:rPr>
          <w:rFonts w:hint="eastAsia" w:ascii="宋体" w:hAnsi="宋体" w:eastAsia="宋体" w:cs="Courier New"/>
          <w:b/>
          <w:bCs/>
          <w:sz w:val="28"/>
          <w:szCs w:val="30"/>
          <w:highlight w:val="none"/>
          <w:lang w:eastAsia="zh-CN"/>
        </w:rPr>
        <w:t>五</w:t>
      </w:r>
      <w:r>
        <w:rPr>
          <w:rFonts w:hint="eastAsia" w:ascii="宋体" w:hAnsi="宋体" w:eastAsia="宋体" w:cs="Courier New"/>
          <w:b/>
          <w:bCs/>
          <w:sz w:val="28"/>
          <w:szCs w:val="30"/>
          <w:highlight w:val="none"/>
        </w:rPr>
        <w:t>、</w:t>
      </w:r>
      <w:r>
        <w:rPr>
          <w:rFonts w:hint="eastAsia" w:ascii="宋体" w:hAnsi="宋体" w:eastAsia="宋体" w:cs="Courier New"/>
          <w:b/>
          <w:bCs/>
          <w:sz w:val="28"/>
          <w:szCs w:val="30"/>
          <w:highlight w:val="none"/>
          <w:lang w:eastAsia="zh-CN"/>
        </w:rPr>
        <w:t>监理大纲</w:t>
      </w:r>
    </w:p>
    <w:p w14:paraId="735FE10B">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lang w:eastAsia="zh-CN"/>
        </w:rPr>
        <w:t>六</w:t>
      </w:r>
      <w:r>
        <w:rPr>
          <w:rFonts w:hint="eastAsia" w:ascii="宋体" w:hAnsi="宋体" w:eastAsia="宋体" w:cs="Courier New"/>
          <w:b/>
          <w:bCs/>
          <w:sz w:val="28"/>
          <w:szCs w:val="30"/>
          <w:highlight w:val="none"/>
        </w:rPr>
        <w:t>、</w:t>
      </w:r>
      <w:r>
        <w:rPr>
          <w:rFonts w:ascii="宋体" w:hAnsi="宋体" w:eastAsia="宋体" w:cs="Courier New"/>
          <w:b/>
          <w:bCs/>
          <w:sz w:val="28"/>
          <w:szCs w:val="30"/>
          <w:highlight w:val="none"/>
        </w:rPr>
        <w:t>项目管理机构</w:t>
      </w:r>
    </w:p>
    <w:p w14:paraId="48D6F30F">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lang w:eastAsia="zh-CN"/>
        </w:rPr>
        <w:t>七</w:t>
      </w:r>
      <w:r>
        <w:rPr>
          <w:rFonts w:hint="eastAsia" w:ascii="宋体" w:hAnsi="宋体" w:eastAsia="宋体" w:cs="Courier New"/>
          <w:b/>
          <w:bCs/>
          <w:sz w:val="28"/>
          <w:szCs w:val="30"/>
          <w:highlight w:val="none"/>
        </w:rPr>
        <w:t>、</w:t>
      </w:r>
      <w:r>
        <w:rPr>
          <w:rFonts w:ascii="宋体" w:hAnsi="宋体" w:eastAsia="宋体" w:cs="Courier New"/>
          <w:b/>
          <w:bCs/>
          <w:sz w:val="28"/>
          <w:szCs w:val="30"/>
          <w:highlight w:val="none"/>
        </w:rPr>
        <w:t>近年完成的类似项目清单</w:t>
      </w:r>
    </w:p>
    <w:p w14:paraId="150DADED">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lang w:eastAsia="zh-CN"/>
        </w:rPr>
        <w:t>八</w:t>
      </w:r>
      <w:r>
        <w:rPr>
          <w:rFonts w:hint="eastAsia" w:ascii="宋体" w:hAnsi="宋体" w:eastAsia="宋体" w:cs="Courier New"/>
          <w:b/>
          <w:bCs/>
          <w:sz w:val="28"/>
          <w:szCs w:val="30"/>
          <w:highlight w:val="none"/>
        </w:rPr>
        <w:t>、</w:t>
      </w:r>
      <w:r>
        <w:rPr>
          <w:rFonts w:ascii="宋体" w:hAnsi="宋体" w:eastAsia="宋体" w:cs="Courier New"/>
          <w:b/>
          <w:bCs/>
          <w:sz w:val="28"/>
          <w:szCs w:val="30"/>
          <w:highlight w:val="none"/>
        </w:rPr>
        <w:t>磋商文件要求提供的其它资料</w:t>
      </w:r>
    </w:p>
    <w:p w14:paraId="734DCA9F">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lang w:eastAsia="zh-CN"/>
        </w:rPr>
        <w:t>九</w:t>
      </w:r>
      <w:r>
        <w:rPr>
          <w:rFonts w:hint="eastAsia" w:ascii="宋体" w:hAnsi="宋体" w:eastAsia="宋体" w:cs="Courier New"/>
          <w:b/>
          <w:bCs/>
          <w:sz w:val="28"/>
          <w:szCs w:val="30"/>
          <w:highlight w:val="none"/>
        </w:rPr>
        <w:t>、</w:t>
      </w:r>
      <w:r>
        <w:rPr>
          <w:rFonts w:ascii="宋体" w:hAnsi="宋体" w:eastAsia="宋体" w:cs="Courier New"/>
          <w:b/>
          <w:bCs/>
          <w:sz w:val="28"/>
          <w:szCs w:val="30"/>
          <w:highlight w:val="none"/>
        </w:rPr>
        <w:t>供应商认为有必要提供的其它资料</w:t>
      </w:r>
    </w:p>
    <w:p w14:paraId="7856EB54">
      <w:pPr>
        <w:widowControl/>
        <w:jc w:val="left"/>
        <w:rPr>
          <w:rFonts w:hint="eastAsia" w:ascii="宋体" w:hAnsi="宋体" w:eastAsia="宋体" w:cs="Times New Roman"/>
          <w:b/>
          <w:sz w:val="28"/>
          <w:szCs w:val="28"/>
          <w:highlight w:val="none"/>
          <w:lang w:val="zh-CN"/>
        </w:rPr>
      </w:pPr>
      <w:r>
        <w:rPr>
          <w:rFonts w:ascii="宋体" w:hAnsi="宋体" w:eastAsia="宋体" w:cs="Courier New"/>
          <w:b/>
          <w:bCs/>
          <w:sz w:val="30"/>
          <w:szCs w:val="30"/>
          <w:highlight w:val="none"/>
        </w:rPr>
        <w:br w:type="page"/>
      </w:r>
    </w:p>
    <w:p w14:paraId="12220B77">
      <w:pPr>
        <w:keepNext/>
        <w:keepLines/>
        <w:numPr>
          <w:ilvl w:val="0"/>
          <w:numId w:val="0"/>
        </w:numPr>
        <w:tabs>
          <w:tab w:val="left" w:pos="840"/>
        </w:tabs>
        <w:wordWrap w:val="0"/>
        <w:topLinePunct/>
        <w:spacing w:line="360" w:lineRule="auto"/>
        <w:ind w:leftChars="0" w:firstLine="3373" w:firstLineChars="1200"/>
        <w:jc w:val="both"/>
        <w:outlineLvl w:val="1"/>
        <w:rPr>
          <w:rFonts w:ascii="宋体" w:hAnsi="宋体" w:eastAsia="宋体" w:cs="宋体"/>
          <w:bCs/>
          <w:sz w:val="28"/>
          <w:szCs w:val="28"/>
          <w:highlight w:val="none"/>
        </w:rPr>
      </w:pPr>
      <w:r>
        <w:rPr>
          <w:rFonts w:hint="eastAsia" w:ascii="宋体" w:hAnsi="宋体" w:eastAsia="宋体" w:cs="Times New Roman"/>
          <w:b/>
          <w:sz w:val="28"/>
          <w:szCs w:val="28"/>
          <w:highlight w:val="none"/>
          <w:lang w:val="zh-CN"/>
        </w:rPr>
        <w:t>一、报价函及报价函附录</w:t>
      </w:r>
    </w:p>
    <w:p w14:paraId="0D285E3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Times New Roman"/>
          <w:b/>
          <w:sz w:val="28"/>
          <w:szCs w:val="28"/>
          <w:highlight w:val="none"/>
          <w:lang w:val="zh-CN"/>
        </w:rPr>
        <w:t>报价函</w:t>
      </w:r>
    </w:p>
    <w:p w14:paraId="1351E4FC">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u w:val="single"/>
          <w:lang w:eastAsia="zh-CN"/>
        </w:rPr>
        <w:t>采购</w:t>
      </w:r>
      <w:r>
        <w:rPr>
          <w:rFonts w:hint="eastAsia" w:ascii="宋体" w:hAnsi="宋体" w:eastAsia="宋体" w:cs="宋体"/>
          <w:kern w:val="0"/>
          <w:sz w:val="28"/>
          <w:szCs w:val="28"/>
          <w:highlight w:val="none"/>
          <w:u w:val="single"/>
        </w:rPr>
        <w:t>人名称）</w:t>
      </w:r>
      <w:r>
        <w:rPr>
          <w:rFonts w:hint="eastAsia" w:ascii="宋体" w:hAnsi="宋体" w:eastAsia="宋体" w:cs="宋体"/>
          <w:kern w:val="0"/>
          <w:sz w:val="28"/>
          <w:szCs w:val="28"/>
          <w:highlight w:val="none"/>
        </w:rPr>
        <w:t>：</w:t>
      </w:r>
    </w:p>
    <w:p w14:paraId="27F4FF45">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1、我方已仔细研究了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（项目名称）</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（标段）</w:t>
      </w:r>
      <w:r>
        <w:rPr>
          <w:rFonts w:hint="eastAsia" w:ascii="宋体" w:hAnsi="宋体" w:eastAsia="宋体" w:cs="宋体"/>
          <w:kern w:val="0"/>
          <w:sz w:val="28"/>
          <w:szCs w:val="28"/>
          <w:highlight w:val="none"/>
          <w:lang w:eastAsia="zh-CN"/>
        </w:rPr>
        <w:t>磋商</w:t>
      </w:r>
      <w:r>
        <w:rPr>
          <w:rFonts w:hint="eastAsia" w:ascii="宋体" w:hAnsi="宋体" w:eastAsia="宋体" w:cs="宋体"/>
          <w:kern w:val="0"/>
          <w:sz w:val="28"/>
          <w:szCs w:val="28"/>
          <w:highlight w:val="none"/>
        </w:rPr>
        <w:t>文件的全部内容，我方愿意以</w:t>
      </w:r>
      <w:r>
        <w:rPr>
          <w:rFonts w:hint="eastAsia" w:ascii="宋体" w:hAnsi="宋体" w:eastAsia="宋体" w:cs="宋体"/>
          <w:kern w:val="0"/>
          <w:sz w:val="28"/>
          <w:szCs w:val="28"/>
          <w:highlight w:val="none"/>
          <w:u w:val="single"/>
          <w:lang w:val="en-US" w:eastAsia="zh-CN"/>
        </w:rPr>
        <w:t>施工合同价的      %</w:t>
      </w:r>
      <w:r>
        <w:rPr>
          <w:rFonts w:hint="eastAsia" w:ascii="宋体" w:hAnsi="宋体" w:eastAsia="宋体" w:cs="宋体"/>
          <w:kern w:val="0"/>
          <w:sz w:val="28"/>
          <w:szCs w:val="28"/>
          <w:highlight w:val="none"/>
        </w:rPr>
        <w:t>的报价，完成所有实施监理服务项目，监理</w:t>
      </w:r>
      <w:r>
        <w:rPr>
          <w:rFonts w:hint="eastAsia" w:ascii="宋体" w:hAnsi="宋体" w:eastAsia="宋体" w:cs="宋体"/>
          <w:kern w:val="0"/>
          <w:sz w:val="28"/>
          <w:szCs w:val="28"/>
          <w:highlight w:val="none"/>
          <w:lang w:val="en-US" w:eastAsia="zh-CN"/>
        </w:rPr>
        <w:t>服务</w:t>
      </w:r>
      <w:r>
        <w:rPr>
          <w:rFonts w:hint="eastAsia" w:ascii="宋体" w:hAnsi="宋体" w:eastAsia="宋体" w:cs="宋体"/>
          <w:kern w:val="0"/>
          <w:sz w:val="28"/>
          <w:szCs w:val="28"/>
          <w:highlight w:val="none"/>
        </w:rPr>
        <w:t>期限</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w:t>
      </w:r>
      <w:r>
        <w:rPr>
          <w:rFonts w:hint="eastAsia" w:ascii="宋体" w:hAnsi="宋体" w:eastAsia="宋体" w:cs="宋体"/>
          <w:sz w:val="28"/>
          <w:szCs w:val="28"/>
          <w:highlight w:val="none"/>
        </w:rPr>
        <w:t>质量</w:t>
      </w:r>
      <w:r>
        <w:rPr>
          <w:rFonts w:hint="eastAsia" w:ascii="宋体" w:hAnsi="宋体" w:eastAsia="宋体" w:cs="宋体"/>
          <w:sz w:val="28"/>
          <w:szCs w:val="28"/>
          <w:highlight w:val="none"/>
          <w:lang w:val="en-US" w:eastAsia="zh-CN"/>
        </w:rPr>
        <w:t>要求</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w:t>
      </w:r>
      <w:r>
        <w:rPr>
          <w:rFonts w:hint="eastAsia" w:ascii="宋体" w:hAnsi="宋体" w:eastAsia="宋体" w:cs="宋体"/>
          <w:kern w:val="0"/>
          <w:sz w:val="28"/>
          <w:szCs w:val="28"/>
          <w:highlight w:val="none"/>
        </w:rPr>
        <w:t>安全控制目标</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w:t>
      </w:r>
    </w:p>
    <w:p w14:paraId="54A29683">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2、我方承诺在</w:t>
      </w:r>
      <w:r>
        <w:rPr>
          <w:rFonts w:hint="eastAsia" w:ascii="宋体" w:hAnsi="宋体" w:eastAsia="宋体" w:cs="宋体"/>
          <w:kern w:val="0"/>
          <w:sz w:val="28"/>
          <w:szCs w:val="28"/>
          <w:highlight w:val="none"/>
          <w:lang w:eastAsia="zh-CN"/>
        </w:rPr>
        <w:t>磋商</w:t>
      </w:r>
      <w:r>
        <w:rPr>
          <w:rFonts w:hint="eastAsia" w:ascii="宋体" w:hAnsi="宋体" w:eastAsia="宋体" w:cs="宋体"/>
          <w:kern w:val="0"/>
          <w:sz w:val="28"/>
          <w:szCs w:val="28"/>
          <w:highlight w:val="none"/>
        </w:rPr>
        <w:t>效期内不修改、撤销</w:t>
      </w:r>
      <w:r>
        <w:rPr>
          <w:rFonts w:hint="eastAsia" w:ascii="宋体" w:hAnsi="宋体" w:eastAsia="宋体" w:cs="宋体"/>
          <w:kern w:val="0"/>
          <w:sz w:val="28"/>
          <w:szCs w:val="28"/>
          <w:highlight w:val="none"/>
          <w:lang w:eastAsia="zh-CN"/>
        </w:rPr>
        <w:t>响应</w:t>
      </w:r>
      <w:r>
        <w:rPr>
          <w:rFonts w:hint="eastAsia" w:ascii="宋体" w:hAnsi="宋体" w:eastAsia="宋体" w:cs="宋体"/>
          <w:kern w:val="0"/>
          <w:sz w:val="28"/>
          <w:szCs w:val="28"/>
          <w:highlight w:val="none"/>
        </w:rPr>
        <w:t>文件。</w:t>
      </w:r>
    </w:p>
    <w:p w14:paraId="7144B908">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3、如果我方成交：</w:t>
      </w:r>
    </w:p>
    <w:p w14:paraId="45F2E087">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（1）我方承诺在收到成交通知书后，在成交通知书规定的期限内与你方签订合同。</w:t>
      </w:r>
    </w:p>
    <w:p w14:paraId="42AFD7E8">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（2）随同本</w:t>
      </w:r>
      <w:r>
        <w:rPr>
          <w:rFonts w:hint="eastAsia" w:ascii="宋体" w:hAnsi="宋体" w:eastAsia="宋体" w:cs="宋体"/>
          <w:kern w:val="0"/>
          <w:sz w:val="28"/>
          <w:szCs w:val="28"/>
          <w:highlight w:val="none"/>
          <w:lang w:eastAsia="zh-CN"/>
        </w:rPr>
        <w:t>报价</w:t>
      </w:r>
      <w:r>
        <w:rPr>
          <w:rFonts w:hint="eastAsia" w:ascii="宋体" w:hAnsi="宋体" w:eastAsia="宋体" w:cs="宋体"/>
          <w:kern w:val="0"/>
          <w:sz w:val="28"/>
          <w:szCs w:val="28"/>
          <w:highlight w:val="none"/>
        </w:rPr>
        <w:t>函递交的</w:t>
      </w:r>
      <w:r>
        <w:rPr>
          <w:rFonts w:hint="eastAsia" w:ascii="宋体" w:hAnsi="宋体" w:eastAsia="宋体" w:cs="宋体"/>
          <w:kern w:val="0"/>
          <w:sz w:val="28"/>
          <w:szCs w:val="28"/>
          <w:highlight w:val="none"/>
          <w:lang w:eastAsia="zh-CN"/>
        </w:rPr>
        <w:t>报价</w:t>
      </w:r>
      <w:r>
        <w:rPr>
          <w:rFonts w:hint="eastAsia" w:ascii="宋体" w:hAnsi="宋体" w:eastAsia="宋体" w:cs="宋体"/>
          <w:kern w:val="0"/>
          <w:sz w:val="28"/>
          <w:szCs w:val="28"/>
          <w:highlight w:val="none"/>
        </w:rPr>
        <w:t>函附录属于合同文件的组成部分。</w:t>
      </w:r>
    </w:p>
    <w:p w14:paraId="1E095F1A">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（3）我方承诺在合同约定的期限内完成并移交全部合同工程。</w:t>
      </w:r>
    </w:p>
    <w:p w14:paraId="33B297DC">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（4）我方</w:t>
      </w:r>
      <w:r>
        <w:rPr>
          <w:rFonts w:hint="eastAsia" w:ascii="宋体" w:hAnsi="宋体" w:eastAsia="宋体" w:cs="宋体"/>
          <w:kern w:val="0"/>
          <w:sz w:val="28"/>
          <w:szCs w:val="28"/>
          <w:highlight w:val="none"/>
          <w:lang w:val="en-US" w:eastAsia="zh-CN"/>
        </w:rPr>
        <w:t>完全</w:t>
      </w:r>
      <w:r>
        <w:rPr>
          <w:rFonts w:hint="eastAsia" w:ascii="宋体" w:hAnsi="宋体" w:eastAsia="宋体" w:cs="宋体"/>
          <w:kern w:val="0"/>
          <w:sz w:val="28"/>
          <w:szCs w:val="28"/>
          <w:highlight w:val="none"/>
        </w:rPr>
        <w:t>理解并接受最低价不一定</w:t>
      </w:r>
      <w:r>
        <w:rPr>
          <w:rFonts w:hint="eastAsia" w:ascii="宋体" w:hAnsi="宋体" w:eastAsia="宋体" w:cs="宋体"/>
          <w:kern w:val="0"/>
          <w:sz w:val="28"/>
          <w:szCs w:val="28"/>
          <w:highlight w:val="none"/>
          <w:lang w:eastAsia="zh-CN"/>
        </w:rPr>
        <w:t>成交，也不需要</w:t>
      </w:r>
      <w:r>
        <w:rPr>
          <w:rFonts w:hint="eastAsia" w:ascii="宋体" w:hAnsi="宋体" w:eastAsia="宋体" w:cs="宋体"/>
          <w:kern w:val="0"/>
          <w:sz w:val="28"/>
          <w:szCs w:val="28"/>
          <w:highlight w:val="none"/>
          <w:lang w:val="en-US" w:eastAsia="zh-CN"/>
        </w:rPr>
        <w:t>采购人</w:t>
      </w:r>
      <w:r>
        <w:rPr>
          <w:rFonts w:hint="eastAsia" w:ascii="宋体" w:hAnsi="宋体" w:eastAsia="宋体" w:cs="宋体"/>
          <w:kern w:val="0"/>
          <w:sz w:val="28"/>
          <w:szCs w:val="28"/>
          <w:highlight w:val="none"/>
          <w:lang w:eastAsia="zh-CN"/>
        </w:rPr>
        <w:t>解释选择或否决任何</w:t>
      </w:r>
      <w:r>
        <w:rPr>
          <w:rFonts w:hint="eastAsia" w:ascii="宋体" w:hAnsi="宋体" w:eastAsia="宋体" w:cs="宋体"/>
          <w:kern w:val="0"/>
          <w:sz w:val="28"/>
          <w:szCs w:val="28"/>
          <w:highlight w:val="none"/>
          <w:lang w:val="en-US" w:eastAsia="zh-CN"/>
        </w:rPr>
        <w:t>供应商</w:t>
      </w:r>
      <w:r>
        <w:rPr>
          <w:rFonts w:hint="eastAsia" w:ascii="宋体" w:hAnsi="宋体" w:eastAsia="宋体" w:cs="宋体"/>
          <w:kern w:val="0"/>
          <w:sz w:val="28"/>
          <w:szCs w:val="28"/>
          <w:highlight w:val="none"/>
          <w:lang w:eastAsia="zh-CN"/>
        </w:rPr>
        <w:t xml:space="preserve">的原因和理由。 </w:t>
      </w:r>
    </w:p>
    <w:p w14:paraId="692994C5">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4、我方在此声明，所递交的</w:t>
      </w:r>
      <w:r>
        <w:rPr>
          <w:rFonts w:hint="eastAsia" w:ascii="宋体" w:hAnsi="宋体" w:eastAsia="宋体" w:cs="宋体"/>
          <w:kern w:val="0"/>
          <w:sz w:val="28"/>
          <w:szCs w:val="28"/>
          <w:highlight w:val="none"/>
          <w:lang w:eastAsia="zh-CN"/>
        </w:rPr>
        <w:t>响应</w:t>
      </w:r>
      <w:r>
        <w:rPr>
          <w:rFonts w:hint="eastAsia" w:ascii="宋体" w:hAnsi="宋体" w:eastAsia="宋体" w:cs="宋体"/>
          <w:kern w:val="0"/>
          <w:sz w:val="28"/>
          <w:szCs w:val="28"/>
          <w:highlight w:val="none"/>
        </w:rPr>
        <w:t>文件及有关资料内容完整、真实和准确。</w:t>
      </w:r>
    </w:p>
    <w:p w14:paraId="38B3664A">
      <w:pPr>
        <w:spacing w:line="360" w:lineRule="auto"/>
        <w:ind w:firstLine="420" w:firstLineChars="200"/>
        <w:jc w:val="right"/>
        <w:rPr>
          <w:rFonts w:hint="eastAsia" w:ascii="宋体" w:hAnsi="宋体" w:eastAsia="宋体" w:cs="宋体"/>
          <w:color w:val="auto"/>
          <w:highlight w:val="none"/>
        </w:rPr>
      </w:pPr>
    </w:p>
    <w:p w14:paraId="323E2A81">
      <w:pPr>
        <w:spacing w:line="360" w:lineRule="auto"/>
        <w:ind w:firstLine="420" w:firstLineChars="200"/>
        <w:jc w:val="right"/>
        <w:rPr>
          <w:rFonts w:hint="eastAsia" w:ascii="宋体" w:hAnsi="宋体" w:eastAsia="宋体" w:cs="宋体"/>
          <w:color w:val="auto"/>
          <w:highlight w:val="none"/>
        </w:rPr>
      </w:pPr>
    </w:p>
    <w:p w14:paraId="62B99F60">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83E63E1">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114E06DC">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Times New Roman"/>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16345F3F">
      <w:pPr>
        <w:spacing w:line="360" w:lineRule="auto"/>
        <w:ind w:firstLine="420" w:firstLineChars="200"/>
        <w:jc w:val="right"/>
        <w:rPr>
          <w:rFonts w:hint="eastAsia" w:ascii="宋体" w:hAnsi="宋体" w:eastAsia="宋体" w:cs="宋体"/>
          <w:color w:val="auto"/>
          <w:highlight w:val="none"/>
        </w:rPr>
      </w:pPr>
    </w:p>
    <w:p w14:paraId="1FB3AA0F">
      <w:pPr>
        <w:spacing w:line="360" w:lineRule="auto"/>
        <w:ind w:firstLine="420" w:firstLineChars="200"/>
        <w:jc w:val="right"/>
        <w:rPr>
          <w:rFonts w:hint="eastAsia" w:ascii="宋体" w:hAnsi="宋体" w:eastAsia="宋体" w:cs="宋体"/>
          <w:color w:val="auto"/>
          <w:highlight w:val="none"/>
        </w:rPr>
      </w:pPr>
    </w:p>
    <w:p w14:paraId="3B0B8142">
      <w:pPr>
        <w:keepNext/>
        <w:keepLines/>
        <w:wordWrap w:val="0"/>
        <w:topLinePunct/>
        <w:spacing w:line="360" w:lineRule="auto"/>
        <w:jc w:val="center"/>
        <w:outlineLvl w:val="2"/>
        <w:rPr>
          <w:rFonts w:ascii="宋体" w:hAnsi="宋体" w:eastAsia="宋体" w:cs="Times New Roman"/>
          <w:b/>
          <w:bCs/>
          <w:sz w:val="28"/>
          <w:szCs w:val="28"/>
          <w:highlight w:val="none"/>
          <w:lang w:val="zh-CN"/>
        </w:rPr>
      </w:pPr>
      <w:r>
        <w:rPr>
          <w:rFonts w:hint="eastAsia" w:ascii="宋体" w:hAnsi="宋体" w:eastAsia="宋体" w:cs="Times New Roman"/>
          <w:b/>
          <w:bCs/>
          <w:sz w:val="28"/>
          <w:szCs w:val="28"/>
          <w:highlight w:val="none"/>
        </w:rPr>
        <w:t>（二）报价函附录（第一轮报价）</w:t>
      </w:r>
    </w:p>
    <w:tbl>
      <w:tblPr>
        <w:tblStyle w:val="18"/>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512"/>
        <w:gridCol w:w="3594"/>
      </w:tblGrid>
      <w:tr w14:paraId="6A00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792522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1A981AE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24E0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013DD2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标段</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0CC8160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1A21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E65D51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供应商</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2C897612">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51BB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2694" w:type="dxa"/>
            <w:tcBorders>
              <w:top w:val="single" w:color="auto" w:sz="4" w:space="0"/>
              <w:left w:val="single" w:color="auto" w:sz="4" w:space="0"/>
              <w:right w:val="single" w:color="auto" w:sz="4" w:space="0"/>
            </w:tcBorders>
            <w:vAlign w:val="center"/>
          </w:tcPr>
          <w:p w14:paraId="21537B8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6965" w:type="dxa"/>
            <w:gridSpan w:val="3"/>
            <w:tcBorders>
              <w:top w:val="single" w:color="auto" w:sz="4" w:space="0"/>
              <w:left w:val="single" w:color="auto" w:sz="4" w:space="0"/>
              <w:right w:val="single" w:color="auto" w:sz="4" w:space="0"/>
            </w:tcBorders>
            <w:vAlign w:val="center"/>
          </w:tcPr>
          <w:p w14:paraId="7E4F512A">
            <w:pPr>
              <w:keepNext w:val="0"/>
              <w:keepLines w:val="0"/>
              <w:widowControl/>
              <w:suppressLineNumbers w:val="0"/>
              <w:wordWrap w:val="0"/>
              <w:topLinePunct/>
              <w:spacing w:before="0" w:beforeAutospacing="0" w:after="0" w:afterAutospacing="0" w:line="360" w:lineRule="auto"/>
              <w:ind w:left="0" w:right="0"/>
              <w:rPr>
                <w:rFonts w:hint="default"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t xml:space="preserve"> 施工合同价的    %；</w:t>
            </w:r>
          </w:p>
          <w:p w14:paraId="08484AAD">
            <w:pPr>
              <w:keepNext w:val="0"/>
              <w:keepLines w:val="0"/>
              <w:widowControl/>
              <w:suppressLineNumbers w:val="0"/>
              <w:wordWrap w:val="0"/>
              <w:topLinePunct/>
              <w:spacing w:before="0" w:beforeAutospacing="0" w:after="0" w:afterAutospacing="0" w:line="360" w:lineRule="auto"/>
              <w:ind w:left="0" w:right="0"/>
              <w:rPr>
                <w:rFonts w:hint="default" w:ascii="宋体" w:hAnsi="宋体" w:eastAsia="宋体" w:cs="宋体"/>
                <w:b/>
                <w:bCs/>
                <w:sz w:val="28"/>
                <w:szCs w:val="28"/>
                <w:highlight w:val="none"/>
              </w:rPr>
            </w:pPr>
            <w:r>
              <w:rPr>
                <w:rFonts w:hint="eastAsia" w:ascii="宋体" w:hAnsi="宋体" w:eastAsia="宋体" w:cs="宋体"/>
                <w:b/>
                <w:bCs/>
                <w:sz w:val="28"/>
                <w:szCs w:val="28"/>
                <w:highlight w:val="none"/>
              </w:rPr>
              <w:t>（供应商应在此填列第一次报价，但以供应商最后一次的磋商报价为成交价）</w:t>
            </w:r>
          </w:p>
        </w:tc>
      </w:tr>
      <w:tr w14:paraId="2C34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4A88078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监理期限</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3616AB0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FE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11E2DA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质量标准</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4DAEDD0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1E15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BA34DBE">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安全控制目标</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1761DE5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7B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58E40AB">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eastAsia="zh-CN"/>
              </w:rPr>
              <w:t>总监</w:t>
            </w:r>
          </w:p>
        </w:tc>
        <w:tc>
          <w:tcPr>
            <w:tcW w:w="1859" w:type="dxa"/>
            <w:tcBorders>
              <w:top w:val="single" w:color="auto" w:sz="4" w:space="0"/>
              <w:left w:val="single" w:color="auto" w:sz="4" w:space="0"/>
              <w:bottom w:val="single" w:color="auto" w:sz="4" w:space="0"/>
              <w:right w:val="single" w:color="auto" w:sz="4" w:space="0"/>
            </w:tcBorders>
            <w:vAlign w:val="center"/>
          </w:tcPr>
          <w:p w14:paraId="16D2C95E">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54CA378C">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r>
              <w:rPr>
                <w:rFonts w:hint="eastAsia" w:ascii="宋体" w:hAnsi="宋体" w:eastAsia="宋体" w:cs="宋体"/>
                <w:sz w:val="28"/>
                <w:szCs w:val="28"/>
                <w:highlight w:val="none"/>
              </w:rPr>
              <w:t>注册</w:t>
            </w:r>
            <w:r>
              <w:rPr>
                <w:rFonts w:hint="eastAsia" w:ascii="宋体" w:hAnsi="宋体" w:eastAsia="宋体" w:cs="宋体"/>
                <w:sz w:val="28"/>
                <w:szCs w:val="28"/>
                <w:highlight w:val="none"/>
                <w:lang w:eastAsia="zh-CN"/>
              </w:rPr>
              <w:t>编</w:t>
            </w:r>
            <w:r>
              <w:rPr>
                <w:rFonts w:hint="eastAsia" w:ascii="宋体" w:hAnsi="宋体" w:eastAsia="宋体" w:cs="宋体"/>
                <w:sz w:val="28"/>
                <w:szCs w:val="28"/>
                <w:highlight w:val="none"/>
              </w:rPr>
              <w:t>号</w:t>
            </w:r>
          </w:p>
        </w:tc>
        <w:tc>
          <w:tcPr>
            <w:tcW w:w="3594" w:type="dxa"/>
            <w:tcBorders>
              <w:top w:val="single" w:color="auto" w:sz="4" w:space="0"/>
              <w:left w:val="single" w:color="auto" w:sz="4" w:space="0"/>
              <w:bottom w:val="single" w:color="auto" w:sz="4" w:space="0"/>
              <w:right w:val="single" w:color="auto" w:sz="4" w:space="0"/>
            </w:tcBorders>
            <w:vAlign w:val="center"/>
          </w:tcPr>
          <w:p w14:paraId="2E9E6E05">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p>
        </w:tc>
      </w:tr>
      <w:tr w14:paraId="0493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4E5FE6D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859" w:type="dxa"/>
            <w:tcBorders>
              <w:top w:val="single" w:color="auto" w:sz="4" w:space="0"/>
              <w:left w:val="single" w:color="auto" w:sz="4" w:space="0"/>
              <w:bottom w:val="single" w:color="auto" w:sz="4" w:space="0"/>
              <w:right w:val="single" w:color="auto" w:sz="4" w:space="0"/>
            </w:tcBorders>
            <w:vAlign w:val="center"/>
          </w:tcPr>
          <w:p w14:paraId="3FD582BF">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3A6EA621">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594" w:type="dxa"/>
            <w:tcBorders>
              <w:top w:val="single" w:color="auto" w:sz="4" w:space="0"/>
              <w:left w:val="single" w:color="auto" w:sz="4" w:space="0"/>
              <w:bottom w:val="single" w:color="auto" w:sz="4" w:space="0"/>
              <w:right w:val="single" w:color="auto" w:sz="4" w:space="0"/>
            </w:tcBorders>
            <w:vAlign w:val="center"/>
          </w:tcPr>
          <w:p w14:paraId="7AF7E224">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8"/>
                <w:szCs w:val="28"/>
                <w:highlight w:val="none"/>
              </w:rPr>
            </w:pPr>
          </w:p>
        </w:tc>
      </w:tr>
      <w:tr w14:paraId="13B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74CB6B5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磋商有效期</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64D2DF5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响应文件递交截止之日起</w:t>
            </w:r>
            <w:r>
              <w:rPr>
                <w:rFonts w:hint="eastAsia" w:ascii="宋体" w:hAnsi="宋体" w:eastAsia="宋体" w:cs="宋体"/>
                <w:sz w:val="28"/>
                <w:szCs w:val="28"/>
                <w:highlight w:val="none"/>
                <w:u w:val="single"/>
              </w:rPr>
              <w:t xml:space="preserve"> 60</w:t>
            </w:r>
            <w:r>
              <w:rPr>
                <w:rFonts w:hint="eastAsia" w:ascii="宋体" w:hAnsi="宋体" w:eastAsia="宋体" w:cs="宋体"/>
                <w:sz w:val="28"/>
                <w:szCs w:val="28"/>
                <w:highlight w:val="none"/>
              </w:rPr>
              <w:t>日历天</w:t>
            </w:r>
          </w:p>
        </w:tc>
      </w:tr>
      <w:tr w14:paraId="67C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3819506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备注</w:t>
            </w:r>
          </w:p>
        </w:tc>
        <w:tc>
          <w:tcPr>
            <w:tcW w:w="6965" w:type="dxa"/>
            <w:gridSpan w:val="3"/>
            <w:tcBorders>
              <w:top w:val="single" w:color="auto" w:sz="4" w:space="0"/>
              <w:left w:val="single" w:color="auto" w:sz="4" w:space="0"/>
              <w:bottom w:val="single" w:color="auto" w:sz="4" w:space="0"/>
              <w:right w:val="single" w:color="auto" w:sz="4" w:space="0"/>
            </w:tcBorders>
            <w:vAlign w:val="center"/>
          </w:tcPr>
          <w:p w14:paraId="20B6D266">
            <w:pPr>
              <w:keepNext w:val="0"/>
              <w:keepLines w:val="0"/>
              <w:widowControl/>
              <w:suppressLineNumbers w:val="0"/>
              <w:wordWrap w:val="0"/>
              <w:topLinePunct/>
              <w:spacing w:before="0" w:beforeAutospacing="0" w:after="0" w:afterAutospacing="0" w:line="360" w:lineRule="auto"/>
              <w:ind w:left="0" w:right="0"/>
              <w:rPr>
                <w:rFonts w:hint="default" w:ascii="宋体" w:hAnsi="宋体" w:eastAsia="宋体" w:cs="宋体"/>
                <w:sz w:val="28"/>
                <w:szCs w:val="28"/>
                <w:highlight w:val="none"/>
              </w:rPr>
            </w:pPr>
          </w:p>
        </w:tc>
      </w:tr>
    </w:tbl>
    <w:p w14:paraId="77456564">
      <w:pPr>
        <w:wordWrap w:val="0"/>
        <w:topLinePunct/>
        <w:spacing w:line="360" w:lineRule="auto"/>
        <w:jc w:val="right"/>
        <w:rPr>
          <w:rFonts w:hint="eastAsia" w:ascii="宋体" w:hAnsi="宋体" w:eastAsia="宋体" w:cs="宋体"/>
          <w:sz w:val="28"/>
          <w:szCs w:val="28"/>
          <w:highlight w:val="none"/>
        </w:rPr>
      </w:pPr>
    </w:p>
    <w:p w14:paraId="3892EC9F">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B53FB8A">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198D46A">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Times New Roman"/>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3174C05D">
      <w:pPr>
        <w:keepNext/>
        <w:keepLines/>
        <w:numPr>
          <w:ilvl w:val="0"/>
          <w:numId w:val="0"/>
        </w:numPr>
        <w:tabs>
          <w:tab w:val="left" w:pos="840"/>
        </w:tabs>
        <w:wordWrap w:val="0"/>
        <w:topLinePunct/>
        <w:spacing w:line="360" w:lineRule="auto"/>
        <w:ind w:leftChars="0"/>
        <w:jc w:val="center"/>
        <w:outlineLvl w:val="1"/>
        <w:rPr>
          <w:rFonts w:ascii="宋体" w:hAnsi="宋体" w:eastAsia="宋体" w:cs="宋体"/>
          <w:bCs/>
          <w:sz w:val="28"/>
          <w:szCs w:val="28"/>
          <w:highlight w:val="none"/>
        </w:rPr>
      </w:pPr>
      <w:r>
        <w:rPr>
          <w:rFonts w:hint="eastAsia" w:ascii="宋体" w:hAnsi="宋体" w:eastAsia="宋体" w:cs="Times New Roman"/>
          <w:b/>
          <w:sz w:val="24"/>
          <w:szCs w:val="24"/>
          <w:highlight w:val="none"/>
          <w:lang w:val="zh-CN"/>
        </w:rPr>
        <w:br w:type="page"/>
      </w:r>
      <w:r>
        <w:rPr>
          <w:rFonts w:hint="eastAsia" w:ascii="宋体" w:hAnsi="宋体" w:eastAsia="宋体" w:cs="Times New Roman"/>
          <w:b/>
          <w:sz w:val="24"/>
          <w:szCs w:val="24"/>
          <w:highlight w:val="none"/>
          <w:lang w:val="zh-CN"/>
        </w:rPr>
        <w:t>二、</w:t>
      </w:r>
      <w:r>
        <w:rPr>
          <w:rFonts w:hint="eastAsia" w:ascii="宋体" w:hAnsi="宋体" w:eastAsia="宋体" w:cs="Times New Roman"/>
          <w:b/>
          <w:sz w:val="28"/>
          <w:szCs w:val="28"/>
          <w:highlight w:val="none"/>
          <w:lang w:val="zh-CN"/>
        </w:rPr>
        <w:t>法定代表人身份证明</w:t>
      </w:r>
    </w:p>
    <w:p w14:paraId="0F1E03AE">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响 应 人：</w:t>
      </w:r>
      <w:r>
        <w:rPr>
          <w:rFonts w:hint="eastAsia" w:ascii="宋体" w:hAnsi="宋体" w:eastAsia="宋体" w:cs="宋体"/>
          <w:sz w:val="28"/>
          <w:szCs w:val="28"/>
          <w:highlight w:val="none"/>
          <w:u w:val="single"/>
        </w:rPr>
        <w:t xml:space="preserve">                                                   </w:t>
      </w:r>
    </w:p>
    <w:p w14:paraId="6A008CCD">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52F3CDD4">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26712F5C">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D1B1A06">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280280CE">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    别：</w:t>
      </w:r>
      <w:r>
        <w:rPr>
          <w:rFonts w:hint="eastAsia" w:ascii="宋体" w:hAnsi="宋体" w:eastAsia="宋体" w:cs="宋体"/>
          <w:sz w:val="28"/>
          <w:szCs w:val="28"/>
          <w:highlight w:val="none"/>
          <w:u w:val="single"/>
        </w:rPr>
        <w:t xml:space="preserve">                 </w:t>
      </w:r>
    </w:p>
    <w:p w14:paraId="75C1356D">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    务：</w:t>
      </w:r>
      <w:r>
        <w:rPr>
          <w:rFonts w:hint="eastAsia" w:ascii="宋体" w:hAnsi="宋体" w:eastAsia="宋体" w:cs="宋体"/>
          <w:sz w:val="28"/>
          <w:szCs w:val="28"/>
          <w:highlight w:val="none"/>
          <w:u w:val="single"/>
        </w:rPr>
        <w:t xml:space="preserve">                 </w:t>
      </w:r>
    </w:p>
    <w:p w14:paraId="3F590FC2">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1FEB78C6">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523EFCF4">
      <w:pPr>
        <w:wordWrap w:val="0"/>
        <w:topLinePunct/>
        <w:spacing w:after="120"/>
        <w:ind w:left="420" w:leftChars="200"/>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w:t>
      </w:r>
      <w:r>
        <w:rPr>
          <w:rFonts w:hint="eastAsia" w:ascii="宋体" w:hAnsi="宋体" w:eastAsia="宋体" w:cs="Times New Roman"/>
          <w:sz w:val="28"/>
          <w:szCs w:val="28"/>
          <w:highlight w:val="none"/>
        </w:rPr>
        <w:t>复印件（或扫描件）</w:t>
      </w:r>
    </w:p>
    <w:p w14:paraId="2131CEE1">
      <w:pPr>
        <w:wordWrap w:val="0"/>
        <w:topLinePunct/>
        <w:spacing w:after="120"/>
        <w:ind w:left="420" w:leftChars="200" w:firstLine="420" w:firstLineChars="200"/>
        <w:rPr>
          <w:rFonts w:ascii="宋体" w:hAnsi="宋体" w:eastAsia="宋体" w:cs="宋体"/>
          <w:szCs w:val="21"/>
          <w:highlight w:val="none"/>
        </w:rPr>
      </w:pPr>
    </w:p>
    <w:p w14:paraId="3AE95F4D">
      <w:pPr>
        <w:wordWrap w:val="0"/>
        <w:topLinePunct/>
        <w:spacing w:line="360" w:lineRule="auto"/>
        <w:jc w:val="right"/>
        <w:rPr>
          <w:rFonts w:ascii="宋体" w:hAnsi="宋体" w:eastAsia="宋体" w:cs="宋体"/>
          <w:sz w:val="28"/>
          <w:szCs w:val="28"/>
          <w:highlight w:val="none"/>
        </w:rPr>
      </w:pPr>
    </w:p>
    <w:p w14:paraId="3048DCBC">
      <w:pPr>
        <w:wordWrap w:val="0"/>
        <w:topLinePunct/>
        <w:spacing w:line="360" w:lineRule="auto"/>
        <w:jc w:val="right"/>
        <w:rPr>
          <w:rFonts w:ascii="宋体" w:hAnsi="宋体" w:eastAsia="宋体" w:cs="宋体"/>
          <w:sz w:val="28"/>
          <w:szCs w:val="28"/>
          <w:highlight w:val="none"/>
        </w:rPr>
      </w:pPr>
    </w:p>
    <w:p w14:paraId="4156B15D">
      <w:pPr>
        <w:wordWrap w:val="0"/>
        <w:topLinePunct/>
        <w:spacing w:line="360" w:lineRule="auto"/>
        <w:jc w:val="right"/>
        <w:rPr>
          <w:rFonts w:ascii="宋体" w:hAnsi="宋体" w:eastAsia="宋体" w:cs="宋体"/>
          <w:sz w:val="28"/>
          <w:szCs w:val="28"/>
          <w:highlight w:val="none"/>
        </w:rPr>
      </w:pPr>
    </w:p>
    <w:p w14:paraId="6D8E4E01">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0B754C7B">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30324DF">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84E0D9B">
      <w:pPr>
        <w:wordWrap w:val="0"/>
        <w:topLinePunct/>
        <w:spacing w:line="360" w:lineRule="auto"/>
        <w:rPr>
          <w:rFonts w:ascii="宋体" w:hAnsi="宋体" w:eastAsia="宋体" w:cs="宋体"/>
          <w:szCs w:val="21"/>
          <w:highlight w:val="none"/>
        </w:rPr>
      </w:pPr>
    </w:p>
    <w:p w14:paraId="3236406F">
      <w:pPr>
        <w:keepNext/>
        <w:keepLines/>
        <w:numPr>
          <w:ilvl w:val="0"/>
          <w:numId w:val="0"/>
        </w:numPr>
        <w:tabs>
          <w:tab w:val="left" w:pos="840"/>
        </w:tabs>
        <w:wordWrap w:val="0"/>
        <w:topLinePunct/>
        <w:spacing w:line="360" w:lineRule="auto"/>
        <w:ind w:leftChars="0"/>
        <w:jc w:val="center"/>
        <w:outlineLvl w:val="1"/>
        <w:rPr>
          <w:rFonts w:ascii="宋体" w:hAnsi="宋体" w:eastAsia="宋体" w:cs="宋体"/>
          <w:bCs/>
          <w:sz w:val="28"/>
          <w:szCs w:val="28"/>
          <w:highlight w:val="none"/>
        </w:rPr>
      </w:pPr>
      <w:r>
        <w:rPr>
          <w:rFonts w:ascii="宋体" w:hAnsi="宋体" w:eastAsia="宋体" w:cs="宋体"/>
          <w:b/>
          <w:bCs/>
          <w:sz w:val="24"/>
          <w:szCs w:val="21"/>
          <w:highlight w:val="none"/>
        </w:rPr>
        <w:br w:type="page"/>
      </w:r>
      <w:r>
        <w:rPr>
          <w:rFonts w:hint="eastAsia" w:ascii="宋体" w:hAnsi="宋体" w:eastAsia="宋体" w:cs="宋体"/>
          <w:b/>
          <w:bCs/>
          <w:sz w:val="24"/>
          <w:szCs w:val="21"/>
          <w:highlight w:val="none"/>
          <w:lang w:eastAsia="zh-CN"/>
        </w:rPr>
        <w:t>三、</w:t>
      </w:r>
      <w:r>
        <w:rPr>
          <w:rFonts w:hint="eastAsia" w:ascii="宋体" w:hAnsi="宋体" w:eastAsia="宋体" w:cs="Times New Roman"/>
          <w:b/>
          <w:sz w:val="28"/>
          <w:szCs w:val="28"/>
          <w:highlight w:val="none"/>
          <w:lang w:val="zh-CN"/>
        </w:rPr>
        <w:t>授权委托书</w:t>
      </w:r>
    </w:p>
    <w:p w14:paraId="48CD9FD7">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（标段）</w:t>
      </w:r>
      <w:r>
        <w:rPr>
          <w:rFonts w:hint="eastAsia" w:ascii="宋体" w:hAnsi="宋体" w:eastAsia="宋体" w:cs="宋体"/>
          <w:sz w:val="28"/>
          <w:szCs w:val="28"/>
          <w:highlight w:val="none"/>
        </w:rPr>
        <w:t>投标文件、签订合同和处理有关事宜，其法律后果由我方承担。</w:t>
      </w:r>
    </w:p>
    <w:p w14:paraId="37EA6EB4">
      <w:pPr>
        <w:wordWrap w:val="0"/>
        <w:topLinePunct/>
        <w:spacing w:before="156" w:beforeLines="5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委托期限：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6DFE8035">
      <w:pPr>
        <w:wordWrap w:val="0"/>
        <w:topLinePunct/>
        <w:spacing w:before="312" w:beforeLines="100" w:after="312"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73CEA815">
      <w:pPr>
        <w:wordWrap w:val="0"/>
        <w:topLinePunct/>
        <w:spacing w:after="312"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附：委托代理人身份证复印件</w:t>
      </w:r>
      <w:r>
        <w:rPr>
          <w:rFonts w:hint="eastAsia" w:ascii="宋体" w:hAnsi="宋体" w:eastAsia="宋体" w:cs="Times New Roman"/>
          <w:sz w:val="28"/>
          <w:szCs w:val="28"/>
          <w:highlight w:val="none"/>
        </w:rPr>
        <w:t>（或扫描件）</w:t>
      </w:r>
    </w:p>
    <w:p w14:paraId="79E7D999">
      <w:pPr>
        <w:wordWrap w:val="0"/>
        <w:topLinePunct/>
        <w:spacing w:line="360" w:lineRule="auto"/>
        <w:rPr>
          <w:rFonts w:ascii="宋体" w:hAnsi="宋体" w:eastAsia="宋体" w:cs="宋体"/>
          <w:szCs w:val="21"/>
          <w:highlight w:val="none"/>
        </w:rPr>
      </w:pPr>
    </w:p>
    <w:p w14:paraId="6ACFC556">
      <w:pPr>
        <w:wordWrap w:val="0"/>
        <w:topLinePunct/>
        <w:spacing w:line="360" w:lineRule="auto"/>
        <w:rPr>
          <w:rFonts w:ascii="宋体" w:hAnsi="宋体" w:eastAsia="宋体" w:cs="宋体"/>
          <w:szCs w:val="21"/>
          <w:highlight w:val="none"/>
        </w:rPr>
      </w:pPr>
    </w:p>
    <w:p w14:paraId="0BDB3641">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1C24C97">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6CAA95BC">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703F5BF">
      <w:pPr>
        <w:wordWrap w:val="0"/>
        <w:topLinePunct/>
        <w:spacing w:before="312" w:beforeLines="100" w:after="156" w:afterLines="50" w:line="360" w:lineRule="auto"/>
        <w:rPr>
          <w:rFonts w:ascii="宋体" w:hAnsi="宋体" w:eastAsia="宋体" w:cs="宋体"/>
          <w:szCs w:val="21"/>
          <w:highlight w:val="none"/>
        </w:rPr>
      </w:pPr>
    </w:p>
    <w:p w14:paraId="3C0067AD">
      <w:pPr>
        <w:wordWrap w:val="0"/>
        <w:topLinePunct/>
        <w:spacing w:before="312" w:beforeLines="100" w:after="156" w:afterLines="50" w:line="360" w:lineRule="auto"/>
        <w:rPr>
          <w:rFonts w:ascii="宋体" w:hAnsi="宋体" w:eastAsia="宋体" w:cs="宋体"/>
          <w:szCs w:val="21"/>
          <w:highlight w:val="none"/>
        </w:rPr>
      </w:pPr>
    </w:p>
    <w:p w14:paraId="3914CD13">
      <w:pPr>
        <w:wordWrap w:val="0"/>
        <w:topLinePunct/>
        <w:spacing w:before="312" w:beforeLines="100" w:after="156" w:afterLines="50" w:line="360" w:lineRule="auto"/>
        <w:rPr>
          <w:rFonts w:ascii="宋体" w:hAnsi="宋体" w:eastAsia="宋体" w:cs="宋体"/>
          <w:szCs w:val="21"/>
          <w:highlight w:val="none"/>
        </w:rPr>
      </w:pPr>
    </w:p>
    <w:p w14:paraId="7199093D">
      <w:pPr>
        <w:wordWrap w:val="0"/>
        <w:topLinePunct/>
        <w:spacing w:before="312" w:beforeLines="100" w:after="156" w:afterLines="50" w:line="360" w:lineRule="auto"/>
        <w:rPr>
          <w:rFonts w:ascii="宋体" w:hAnsi="宋体" w:eastAsia="宋体" w:cs="宋体"/>
          <w:szCs w:val="21"/>
          <w:highlight w:val="none"/>
        </w:rPr>
      </w:pPr>
    </w:p>
    <w:p w14:paraId="38B1FC9D">
      <w:pPr>
        <w:wordWrap w:val="0"/>
        <w:topLinePunct/>
        <w:spacing w:before="312" w:beforeLines="100" w:after="156" w:afterLines="50" w:line="360" w:lineRule="auto"/>
        <w:rPr>
          <w:rFonts w:ascii="宋体" w:hAnsi="宋体" w:eastAsia="宋体" w:cs="宋体"/>
          <w:sz w:val="28"/>
          <w:szCs w:val="28"/>
          <w:highlight w:val="none"/>
        </w:rPr>
      </w:pPr>
    </w:p>
    <w:p w14:paraId="69CC4CF7">
      <w:pPr>
        <w:wordWrap w:val="0"/>
        <w:topLinePunct/>
        <w:spacing w:line="360" w:lineRule="auto"/>
        <w:rPr>
          <w:rFonts w:ascii="宋体" w:hAnsi="宋体" w:eastAsia="宋体" w:cs="宋体"/>
          <w:b/>
          <w:sz w:val="24"/>
          <w:szCs w:val="21"/>
          <w:highlight w:val="none"/>
        </w:rPr>
      </w:pPr>
    </w:p>
    <w:p w14:paraId="45669F87">
      <w:pPr>
        <w:keepNext/>
        <w:keepLines/>
        <w:numPr>
          <w:ilvl w:val="0"/>
          <w:numId w:val="0"/>
        </w:numPr>
        <w:tabs>
          <w:tab w:val="left" w:pos="840"/>
        </w:tabs>
        <w:wordWrap w:val="0"/>
        <w:topLinePunct/>
        <w:spacing w:line="360" w:lineRule="auto"/>
        <w:jc w:val="center"/>
        <w:outlineLvl w:val="1"/>
        <w:rPr>
          <w:rFonts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t>四、供应商基本情况</w:t>
      </w:r>
    </w:p>
    <w:p w14:paraId="1EA3D9E1">
      <w:pPr>
        <w:wordWrap w:val="0"/>
        <w:topLinePunct/>
        <w:spacing w:line="360" w:lineRule="auto"/>
        <w:rPr>
          <w:rFonts w:ascii="宋体" w:hAnsi="宋体" w:eastAsia="宋体" w:cs="宋体"/>
          <w:szCs w:val="21"/>
          <w:highlight w:val="none"/>
        </w:rPr>
      </w:pPr>
    </w:p>
    <w:tbl>
      <w:tblPr>
        <w:tblStyle w:val="18"/>
        <w:tblW w:w="0" w:type="auto"/>
        <w:tblInd w:w="301"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34429127">
        <w:tblPrEx>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tcPr>
          <w:p w14:paraId="6B4AAA05">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5"/>
                <w:szCs w:val="15"/>
                <w:highlight w:val="none"/>
              </w:rPr>
            </w:pPr>
          </w:p>
          <w:p w14:paraId="192DE2FA">
            <w:pPr>
              <w:keepNext w:val="0"/>
              <w:keepLines w:val="0"/>
              <w:suppressLineNumbers w:val="0"/>
              <w:kinsoku w:val="0"/>
              <w:overflowPunct w:val="0"/>
              <w:autoSpaceDE w:val="0"/>
              <w:autoSpaceDN w:val="0"/>
              <w:adjustRightInd w:val="0"/>
              <w:spacing w:before="0" w:beforeAutospacing="0" w:after="0" w:afterAutospacing="0"/>
              <w:ind w:left="33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供应商名称</w:t>
            </w:r>
          </w:p>
        </w:tc>
        <w:tc>
          <w:tcPr>
            <w:tcW w:w="6840" w:type="dxa"/>
            <w:gridSpan w:val="9"/>
            <w:tcBorders>
              <w:top w:val="single" w:color="000000" w:sz="4" w:space="0"/>
              <w:left w:val="single" w:color="000000" w:sz="4" w:space="0"/>
              <w:bottom w:val="single" w:color="000000" w:sz="4" w:space="0"/>
              <w:right w:val="single" w:color="000000" w:sz="4" w:space="0"/>
            </w:tcBorders>
          </w:tcPr>
          <w:p w14:paraId="0AF35F2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48B989F3">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tcPr>
          <w:p w14:paraId="34A04EBB">
            <w:pPr>
              <w:keepNext w:val="0"/>
              <w:keepLines w:val="0"/>
              <w:suppressLineNumbers w:val="0"/>
              <w:kinsoku w:val="0"/>
              <w:overflowPunct w:val="0"/>
              <w:autoSpaceDE w:val="0"/>
              <w:autoSpaceDN w:val="0"/>
              <w:adjustRightInd w:val="0"/>
              <w:spacing w:before="8" w:beforeAutospacing="0" w:after="0" w:afterAutospacing="0"/>
              <w:ind w:left="0" w:right="0"/>
              <w:jc w:val="left"/>
              <w:rPr>
                <w:rFonts w:hint="default" w:ascii="宋体" w:hAnsi="宋体" w:eastAsia="宋体" w:cs="宋体"/>
                <w:b/>
                <w:bCs/>
                <w:kern w:val="0"/>
                <w:sz w:val="17"/>
                <w:szCs w:val="17"/>
                <w:highlight w:val="none"/>
              </w:rPr>
            </w:pPr>
          </w:p>
          <w:p w14:paraId="1B95D611">
            <w:pPr>
              <w:keepNext w:val="0"/>
              <w:keepLines w:val="0"/>
              <w:suppressLineNumbers w:val="0"/>
              <w:kinsoku w:val="0"/>
              <w:overflowPunct w:val="0"/>
              <w:autoSpaceDE w:val="0"/>
              <w:autoSpaceDN w:val="0"/>
              <w:adjustRightInd w:val="0"/>
              <w:spacing w:before="0"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tcPr>
          <w:p w14:paraId="32C127DC">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548D9908">
            <w:pPr>
              <w:keepNext w:val="0"/>
              <w:keepLines w:val="0"/>
              <w:suppressLineNumbers w:val="0"/>
              <w:kinsoku w:val="0"/>
              <w:overflowPunct w:val="0"/>
              <w:autoSpaceDE w:val="0"/>
              <w:autoSpaceDN w:val="0"/>
              <w:adjustRightInd w:val="0"/>
              <w:spacing w:before="8" w:beforeAutospacing="0" w:after="0" w:afterAutospacing="0"/>
              <w:ind w:left="0" w:right="0"/>
              <w:jc w:val="left"/>
              <w:rPr>
                <w:rFonts w:hint="default" w:ascii="宋体" w:hAnsi="宋体" w:eastAsia="宋体" w:cs="宋体"/>
                <w:b/>
                <w:bCs/>
                <w:kern w:val="0"/>
                <w:sz w:val="17"/>
                <w:szCs w:val="17"/>
                <w:highlight w:val="none"/>
              </w:rPr>
            </w:pPr>
          </w:p>
          <w:p w14:paraId="0D67DCC2">
            <w:pPr>
              <w:keepNext w:val="0"/>
              <w:keepLines w:val="0"/>
              <w:suppressLineNumbers w:val="0"/>
              <w:kinsoku w:val="0"/>
              <w:overflowPunct w:val="0"/>
              <w:autoSpaceDE w:val="0"/>
              <w:autoSpaceDN w:val="0"/>
              <w:adjustRightInd w:val="0"/>
              <w:spacing w:before="0" w:beforeAutospacing="0" w:after="0" w:afterAutospacing="0"/>
              <w:ind w:left="97" w:right="9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5FC28C2F">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4B6B7F3D">
        <w:tblPrEx>
          <w:tblCellMar>
            <w:top w:w="0" w:type="dxa"/>
            <w:left w:w="0" w:type="dxa"/>
            <w:bottom w:w="0" w:type="dxa"/>
            <w:right w:w="0" w:type="dxa"/>
          </w:tblCellMar>
        </w:tblPrEx>
        <w:trPr>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tcPr>
          <w:p w14:paraId="0622FC0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58E23676">
            <w:pPr>
              <w:keepNext w:val="0"/>
              <w:keepLines w:val="0"/>
              <w:suppressLineNumbers w:val="0"/>
              <w:kinsoku w:val="0"/>
              <w:overflowPunct w:val="0"/>
              <w:autoSpaceDE w:val="0"/>
              <w:autoSpaceDN w:val="0"/>
              <w:adjustRightInd w:val="0"/>
              <w:spacing w:before="10" w:beforeAutospacing="0" w:after="0" w:afterAutospacing="0"/>
              <w:ind w:left="0" w:right="0"/>
              <w:jc w:val="left"/>
              <w:rPr>
                <w:rFonts w:hint="default" w:ascii="宋体" w:hAnsi="宋体" w:eastAsia="宋体" w:cs="宋体"/>
                <w:b/>
                <w:bCs/>
                <w:kern w:val="0"/>
                <w:szCs w:val="21"/>
                <w:highlight w:val="none"/>
              </w:rPr>
            </w:pPr>
          </w:p>
          <w:p w14:paraId="535BAA87">
            <w:pPr>
              <w:keepNext w:val="0"/>
              <w:keepLines w:val="0"/>
              <w:suppressLineNumbers w:val="0"/>
              <w:kinsoku w:val="0"/>
              <w:overflowPunct w:val="0"/>
              <w:autoSpaceDE w:val="0"/>
              <w:autoSpaceDN w:val="0"/>
              <w:adjustRightInd w:val="0"/>
              <w:spacing w:before="1"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tcPr>
          <w:p w14:paraId="42B9308C">
            <w:pPr>
              <w:keepNext w:val="0"/>
              <w:keepLines w:val="0"/>
              <w:suppressLineNumbers w:val="0"/>
              <w:kinsoku w:val="0"/>
              <w:overflowPunct w:val="0"/>
              <w:autoSpaceDE w:val="0"/>
              <w:autoSpaceDN w:val="0"/>
              <w:adjustRightInd w:val="0"/>
              <w:spacing w:before="6" w:beforeAutospacing="0" w:after="0" w:afterAutospacing="0"/>
              <w:ind w:left="0" w:right="0"/>
              <w:jc w:val="left"/>
              <w:rPr>
                <w:rFonts w:hint="default" w:ascii="宋体" w:hAnsi="宋体" w:eastAsia="宋体" w:cs="宋体"/>
                <w:b/>
                <w:bCs/>
                <w:kern w:val="0"/>
                <w:sz w:val="17"/>
                <w:szCs w:val="17"/>
                <w:highlight w:val="none"/>
              </w:rPr>
            </w:pPr>
          </w:p>
          <w:p w14:paraId="2F57341E">
            <w:pPr>
              <w:keepNext w:val="0"/>
              <w:keepLines w:val="0"/>
              <w:suppressLineNumbers w:val="0"/>
              <w:kinsoku w:val="0"/>
              <w:overflowPunct w:val="0"/>
              <w:autoSpaceDE w:val="0"/>
              <w:autoSpaceDN w:val="0"/>
              <w:adjustRightInd w:val="0"/>
              <w:spacing w:before="0"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tcPr>
          <w:p w14:paraId="7EE8A3C0">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3A901574">
            <w:pPr>
              <w:keepNext w:val="0"/>
              <w:keepLines w:val="0"/>
              <w:suppressLineNumbers w:val="0"/>
              <w:kinsoku w:val="0"/>
              <w:overflowPunct w:val="0"/>
              <w:autoSpaceDE w:val="0"/>
              <w:autoSpaceDN w:val="0"/>
              <w:adjustRightInd w:val="0"/>
              <w:spacing w:before="6" w:beforeAutospacing="0" w:after="0" w:afterAutospacing="0"/>
              <w:ind w:left="0" w:right="0"/>
              <w:jc w:val="left"/>
              <w:rPr>
                <w:rFonts w:hint="default" w:ascii="宋体" w:hAnsi="宋体" w:eastAsia="宋体" w:cs="宋体"/>
                <w:b/>
                <w:bCs/>
                <w:kern w:val="0"/>
                <w:sz w:val="17"/>
                <w:szCs w:val="17"/>
                <w:highlight w:val="none"/>
              </w:rPr>
            </w:pPr>
          </w:p>
          <w:p w14:paraId="2372E6EE">
            <w:pPr>
              <w:keepNext w:val="0"/>
              <w:keepLines w:val="0"/>
              <w:suppressLineNumbers w:val="0"/>
              <w:kinsoku w:val="0"/>
              <w:overflowPunct w:val="0"/>
              <w:autoSpaceDE w:val="0"/>
              <w:autoSpaceDN w:val="0"/>
              <w:adjustRightInd w:val="0"/>
              <w:spacing w:before="0" w:beforeAutospacing="0" w:after="0" w:afterAutospacing="0"/>
              <w:ind w:left="97" w:right="9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电</w:t>
            </w:r>
            <w:r>
              <w:rPr>
                <w:rFonts w:hint="default" w:ascii="宋体" w:hAnsi="宋体" w:eastAsia="宋体" w:cs="宋体"/>
                <w:kern w:val="0"/>
                <w:szCs w:val="21"/>
                <w:highlight w:val="none"/>
              </w:rPr>
              <w:t xml:space="preserve"> </w:t>
            </w:r>
            <w:r>
              <w:rPr>
                <w:rFonts w:hint="eastAsia" w:ascii="宋体" w:hAnsi="宋体" w:eastAsia="宋体" w:cs="宋体"/>
                <w:kern w:val="0"/>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tcPr>
          <w:p w14:paraId="07069DEA">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2153F3C8">
        <w:tblPrEx>
          <w:tblCellMar>
            <w:top w:w="0" w:type="dxa"/>
            <w:left w:w="0" w:type="dxa"/>
            <w:bottom w:w="0" w:type="dxa"/>
            <w:right w:w="0" w:type="dxa"/>
          </w:tblCellMar>
        </w:tblPrEx>
        <w:trPr>
          <w:trHeight w:val="612" w:hRule="atLeast"/>
        </w:trPr>
        <w:tc>
          <w:tcPr>
            <w:tcW w:w="1728" w:type="dxa"/>
            <w:vMerge w:val="continue"/>
            <w:tcBorders>
              <w:top w:val="nil"/>
              <w:left w:val="single" w:color="000000" w:sz="4" w:space="0"/>
              <w:bottom w:val="single" w:color="000000" w:sz="4" w:space="0"/>
              <w:right w:val="single" w:color="000000" w:sz="4" w:space="0"/>
            </w:tcBorders>
          </w:tcPr>
          <w:p w14:paraId="1FA53C1F">
            <w:pPr>
              <w:keepNext w:val="0"/>
              <w:keepLines w:val="0"/>
              <w:suppressLineNumbers w:val="0"/>
              <w:kinsoku w:val="0"/>
              <w:wordWrap w:val="0"/>
              <w:overflowPunct w:val="0"/>
              <w:topLinePunct/>
              <w:adjustRightInd w:val="0"/>
              <w:spacing w:before="8" w:beforeAutospacing="0" w:after="1" w:afterAutospacing="0" w:line="360" w:lineRule="atLeast"/>
              <w:ind w:left="63" w:leftChars="30" w:right="63" w:rightChars="30" w:firstLine="40"/>
              <w:jc w:val="center"/>
              <w:textAlignment w:val="baseline"/>
              <w:rPr>
                <w:rFonts w:hint="default" w:ascii="宋体" w:hAnsi="宋体" w:eastAsia="宋体" w:cs="宋体"/>
                <w:b/>
                <w:bCs/>
                <w:kern w:val="0"/>
                <w:sz w:val="2"/>
                <w:szCs w:val="2"/>
                <w:highlight w:val="none"/>
              </w:rPr>
            </w:pPr>
          </w:p>
        </w:tc>
        <w:tc>
          <w:tcPr>
            <w:tcW w:w="898" w:type="dxa"/>
            <w:tcBorders>
              <w:top w:val="single" w:color="000000" w:sz="4" w:space="0"/>
              <w:left w:val="single" w:color="000000" w:sz="4" w:space="0"/>
              <w:bottom w:val="single" w:color="000000" w:sz="4" w:space="0"/>
              <w:right w:val="single" w:color="000000" w:sz="4" w:space="0"/>
            </w:tcBorders>
          </w:tcPr>
          <w:p w14:paraId="2C424B2C">
            <w:pPr>
              <w:keepNext w:val="0"/>
              <w:keepLines w:val="0"/>
              <w:suppressLineNumbers w:val="0"/>
              <w:kinsoku w:val="0"/>
              <w:overflowPunct w:val="0"/>
              <w:autoSpaceDE w:val="0"/>
              <w:autoSpaceDN w:val="0"/>
              <w:adjustRightInd w:val="0"/>
              <w:spacing w:before="10" w:beforeAutospacing="0" w:after="0" w:afterAutospacing="0"/>
              <w:ind w:left="0" w:right="0"/>
              <w:jc w:val="left"/>
              <w:rPr>
                <w:rFonts w:hint="default" w:ascii="宋体" w:hAnsi="宋体" w:eastAsia="宋体" w:cs="宋体"/>
                <w:b/>
                <w:bCs/>
                <w:kern w:val="0"/>
                <w:sz w:val="17"/>
                <w:szCs w:val="17"/>
                <w:highlight w:val="none"/>
              </w:rPr>
            </w:pPr>
          </w:p>
          <w:p w14:paraId="649A94B6">
            <w:pPr>
              <w:keepNext w:val="0"/>
              <w:keepLines w:val="0"/>
              <w:suppressLineNumbers w:val="0"/>
              <w:tabs>
                <w:tab w:val="left" w:pos="427"/>
              </w:tabs>
              <w:kinsoku w:val="0"/>
              <w:overflowPunct w:val="0"/>
              <w:autoSpaceDE w:val="0"/>
              <w:autoSpaceDN w:val="0"/>
              <w:adjustRightInd w:val="0"/>
              <w:spacing w:before="0"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传</w:t>
            </w:r>
            <w:r>
              <w:rPr>
                <w:rFonts w:hint="default" w:ascii="宋体" w:hAnsi="宋体" w:eastAsia="宋体" w:cs="宋体"/>
                <w:kern w:val="0"/>
                <w:szCs w:val="21"/>
                <w:highlight w:val="none"/>
              </w:rPr>
              <w:tab/>
            </w:r>
            <w:r>
              <w:rPr>
                <w:rFonts w:hint="eastAsia" w:ascii="宋体" w:hAnsi="宋体" w:eastAsia="宋体" w:cs="宋体"/>
                <w:kern w:val="0"/>
                <w:szCs w:val="21"/>
                <w:highlight w:val="none"/>
              </w:rPr>
              <w:t>真</w:t>
            </w:r>
          </w:p>
        </w:tc>
        <w:tc>
          <w:tcPr>
            <w:tcW w:w="2522" w:type="dxa"/>
            <w:gridSpan w:val="4"/>
            <w:tcBorders>
              <w:top w:val="single" w:color="000000" w:sz="4" w:space="0"/>
              <w:left w:val="single" w:color="000000" w:sz="4" w:space="0"/>
              <w:bottom w:val="single" w:color="000000" w:sz="4" w:space="0"/>
              <w:right w:val="single" w:color="000000" w:sz="4" w:space="0"/>
            </w:tcBorders>
          </w:tcPr>
          <w:p w14:paraId="76FD5AC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3AB07EC9">
            <w:pPr>
              <w:keepNext w:val="0"/>
              <w:keepLines w:val="0"/>
              <w:suppressLineNumbers w:val="0"/>
              <w:kinsoku w:val="0"/>
              <w:overflowPunct w:val="0"/>
              <w:autoSpaceDE w:val="0"/>
              <w:autoSpaceDN w:val="0"/>
              <w:adjustRightInd w:val="0"/>
              <w:spacing w:before="10" w:beforeAutospacing="0" w:after="0" w:afterAutospacing="0"/>
              <w:ind w:left="0" w:right="0"/>
              <w:jc w:val="left"/>
              <w:rPr>
                <w:rFonts w:hint="default" w:ascii="宋体" w:hAnsi="宋体" w:eastAsia="宋体" w:cs="宋体"/>
                <w:b/>
                <w:bCs/>
                <w:kern w:val="0"/>
                <w:sz w:val="17"/>
                <w:szCs w:val="17"/>
                <w:highlight w:val="none"/>
              </w:rPr>
            </w:pPr>
          </w:p>
          <w:p w14:paraId="2297DCB5">
            <w:pPr>
              <w:keepNext w:val="0"/>
              <w:keepLines w:val="0"/>
              <w:suppressLineNumbers w:val="0"/>
              <w:kinsoku w:val="0"/>
              <w:overflowPunct w:val="0"/>
              <w:autoSpaceDE w:val="0"/>
              <w:autoSpaceDN w:val="0"/>
              <w:adjustRightInd w:val="0"/>
              <w:spacing w:before="0" w:beforeAutospacing="0" w:after="0" w:afterAutospacing="0"/>
              <w:ind w:left="97" w:right="9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网</w:t>
            </w:r>
            <w:r>
              <w:rPr>
                <w:rFonts w:hint="default" w:ascii="宋体" w:hAnsi="宋体" w:eastAsia="宋体" w:cs="宋体"/>
                <w:kern w:val="0"/>
                <w:szCs w:val="21"/>
                <w:highlight w:val="none"/>
              </w:rPr>
              <w:t xml:space="preserve"> </w:t>
            </w:r>
            <w:r>
              <w:rPr>
                <w:rFonts w:hint="eastAsia" w:ascii="宋体" w:hAnsi="宋体" w:eastAsia="宋体" w:cs="宋体"/>
                <w:kern w:val="0"/>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tcPr>
          <w:p w14:paraId="13DF2007">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0E53ABEE">
        <w:tblPrEx>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tcPr>
          <w:p w14:paraId="3B0F64EB">
            <w:pPr>
              <w:keepNext w:val="0"/>
              <w:keepLines w:val="0"/>
              <w:suppressLineNumbers w:val="0"/>
              <w:kinsoku w:val="0"/>
              <w:overflowPunct w:val="0"/>
              <w:autoSpaceDE w:val="0"/>
              <w:autoSpaceDN w:val="0"/>
              <w:adjustRightInd w:val="0"/>
              <w:spacing w:before="11" w:beforeAutospacing="0" w:after="0" w:afterAutospacing="0"/>
              <w:ind w:left="0" w:right="0"/>
              <w:jc w:val="left"/>
              <w:rPr>
                <w:rFonts w:hint="default" w:ascii="宋体" w:hAnsi="宋体" w:eastAsia="宋体" w:cs="宋体"/>
                <w:b/>
                <w:bCs/>
                <w:kern w:val="0"/>
                <w:sz w:val="17"/>
                <w:szCs w:val="17"/>
                <w:highlight w:val="none"/>
              </w:rPr>
            </w:pPr>
          </w:p>
          <w:p w14:paraId="3E90F5B5">
            <w:pPr>
              <w:keepNext w:val="0"/>
              <w:keepLines w:val="0"/>
              <w:suppressLineNumbers w:val="0"/>
              <w:kinsoku w:val="0"/>
              <w:overflowPunct w:val="0"/>
              <w:autoSpaceDE w:val="0"/>
              <w:autoSpaceDN w:val="0"/>
              <w:adjustRightInd w:val="0"/>
              <w:spacing w:before="0"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tcPr>
          <w:p w14:paraId="36190DF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0276ABA4">
        <w:tblPrEx>
          <w:tblCellMar>
            <w:top w:w="0" w:type="dxa"/>
            <w:left w:w="0" w:type="dxa"/>
            <w:bottom w:w="0" w:type="dxa"/>
            <w:right w:w="0" w:type="dxa"/>
          </w:tblCellMar>
        </w:tblPrEx>
        <w:trPr>
          <w:trHeight w:val="607" w:hRule="atLeast"/>
        </w:trPr>
        <w:tc>
          <w:tcPr>
            <w:tcW w:w="1728" w:type="dxa"/>
            <w:tcBorders>
              <w:top w:val="single" w:color="000000" w:sz="4" w:space="0"/>
              <w:left w:val="single" w:color="000000" w:sz="4" w:space="0"/>
              <w:bottom w:val="single" w:color="000000" w:sz="4" w:space="0"/>
              <w:right w:val="single" w:color="000000" w:sz="4" w:space="0"/>
            </w:tcBorders>
          </w:tcPr>
          <w:p w14:paraId="5B238615">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586376F4">
            <w:pPr>
              <w:keepNext w:val="0"/>
              <w:keepLines w:val="0"/>
              <w:suppressLineNumbers w:val="0"/>
              <w:kinsoku w:val="0"/>
              <w:overflowPunct w:val="0"/>
              <w:autoSpaceDE w:val="0"/>
              <w:autoSpaceDN w:val="0"/>
              <w:adjustRightInd w:val="0"/>
              <w:spacing w:before="0" w:beforeAutospacing="0" w:after="0" w:afterAutospacing="0"/>
              <w:ind w:left="33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tcPr>
          <w:p w14:paraId="50D8C873">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028BB88B">
            <w:pPr>
              <w:keepNext w:val="0"/>
              <w:keepLines w:val="0"/>
              <w:suppressLineNumbers w:val="0"/>
              <w:kinsoku w:val="0"/>
              <w:overflowPunct w:val="0"/>
              <w:autoSpaceDE w:val="0"/>
              <w:autoSpaceDN w:val="0"/>
              <w:adjustRightInd w:val="0"/>
              <w:spacing w:before="0"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tcPr>
          <w:p w14:paraId="6437402A">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Pr>
          <w:p w14:paraId="4D50B7B2">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6FEF2231">
            <w:pPr>
              <w:keepNext w:val="0"/>
              <w:keepLines w:val="0"/>
              <w:suppressLineNumbers w:val="0"/>
              <w:kinsoku w:val="0"/>
              <w:overflowPunct w:val="0"/>
              <w:autoSpaceDE w:val="0"/>
              <w:autoSpaceDN w:val="0"/>
              <w:adjustRightInd w:val="0"/>
              <w:spacing w:before="0" w:beforeAutospacing="0" w:after="0" w:afterAutospacing="0"/>
              <w:ind w:left="20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14:paraId="6F65D6A4">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tcPr>
          <w:p w14:paraId="1C523B51">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3D886C54">
            <w:pPr>
              <w:keepNext w:val="0"/>
              <w:keepLines w:val="0"/>
              <w:suppressLineNumbers w:val="0"/>
              <w:kinsoku w:val="0"/>
              <w:overflowPunct w:val="0"/>
              <w:autoSpaceDE w:val="0"/>
              <w:autoSpaceDN w:val="0"/>
              <w:adjustRightInd w:val="0"/>
              <w:spacing w:before="0" w:beforeAutospacing="0" w:after="0" w:afterAutospacing="0"/>
              <w:ind w:left="197" w:right="192"/>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tcPr>
          <w:p w14:paraId="3A4A365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789872C5">
        <w:tblPrEx>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tcPr>
          <w:p w14:paraId="6014EB6D">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71AA450E">
            <w:pPr>
              <w:keepNext w:val="0"/>
              <w:keepLines w:val="0"/>
              <w:suppressLineNumbers w:val="0"/>
              <w:kinsoku w:val="0"/>
              <w:overflowPunct w:val="0"/>
              <w:autoSpaceDE w:val="0"/>
              <w:autoSpaceDN w:val="0"/>
              <w:adjustRightInd w:val="0"/>
              <w:spacing w:before="0" w:beforeAutospacing="0" w:after="0" w:afterAutospacing="0"/>
              <w:ind w:left="33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tcPr>
          <w:p w14:paraId="68A4C33F">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5D81C074">
            <w:pPr>
              <w:keepNext w:val="0"/>
              <w:keepLines w:val="0"/>
              <w:suppressLineNumbers w:val="0"/>
              <w:kinsoku w:val="0"/>
              <w:overflowPunct w:val="0"/>
              <w:autoSpaceDE w:val="0"/>
              <w:autoSpaceDN w:val="0"/>
              <w:adjustRightInd w:val="0"/>
              <w:spacing w:before="0"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tcPr>
          <w:p w14:paraId="14892CDC">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Pr>
          <w:p w14:paraId="61451192">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6EF3E2D1">
            <w:pPr>
              <w:keepNext w:val="0"/>
              <w:keepLines w:val="0"/>
              <w:suppressLineNumbers w:val="0"/>
              <w:kinsoku w:val="0"/>
              <w:overflowPunct w:val="0"/>
              <w:autoSpaceDE w:val="0"/>
              <w:autoSpaceDN w:val="0"/>
              <w:adjustRightInd w:val="0"/>
              <w:spacing w:before="0" w:beforeAutospacing="0" w:after="0" w:afterAutospacing="0"/>
              <w:ind w:left="20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14:paraId="2FECDE45">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tcPr>
          <w:p w14:paraId="2EE6EEAD">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4DD9C412">
            <w:pPr>
              <w:keepNext w:val="0"/>
              <w:keepLines w:val="0"/>
              <w:suppressLineNumbers w:val="0"/>
              <w:kinsoku w:val="0"/>
              <w:overflowPunct w:val="0"/>
              <w:autoSpaceDE w:val="0"/>
              <w:autoSpaceDN w:val="0"/>
              <w:adjustRightInd w:val="0"/>
              <w:spacing w:before="0" w:beforeAutospacing="0" w:after="0" w:afterAutospacing="0"/>
              <w:ind w:left="197" w:right="192"/>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tcPr>
          <w:p w14:paraId="2A075F36">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18510020">
        <w:tblPrEx>
          <w:tblCellMar>
            <w:top w:w="0" w:type="dxa"/>
            <w:left w:w="0" w:type="dxa"/>
            <w:bottom w:w="0" w:type="dxa"/>
            <w:right w:w="0" w:type="dxa"/>
          </w:tblCellMar>
        </w:tblPrEx>
        <w:trPr>
          <w:trHeight w:val="623" w:hRule="atLeast"/>
        </w:trPr>
        <w:tc>
          <w:tcPr>
            <w:tcW w:w="1728" w:type="dxa"/>
            <w:tcBorders>
              <w:top w:val="single" w:color="000000" w:sz="4" w:space="0"/>
              <w:left w:val="single" w:color="000000" w:sz="4" w:space="0"/>
              <w:bottom w:val="single" w:color="000000" w:sz="4" w:space="0"/>
              <w:right w:val="single" w:color="000000" w:sz="4" w:space="0"/>
            </w:tcBorders>
          </w:tcPr>
          <w:p w14:paraId="02BD8569">
            <w:pPr>
              <w:keepNext w:val="0"/>
              <w:keepLines w:val="0"/>
              <w:suppressLineNumbers w:val="0"/>
              <w:kinsoku w:val="0"/>
              <w:overflowPunct w:val="0"/>
              <w:autoSpaceDE w:val="0"/>
              <w:autoSpaceDN w:val="0"/>
              <w:adjustRightInd w:val="0"/>
              <w:spacing w:before="2" w:beforeAutospacing="0" w:after="0" w:afterAutospacing="0"/>
              <w:ind w:left="0" w:right="0"/>
              <w:jc w:val="left"/>
              <w:rPr>
                <w:rFonts w:hint="default" w:ascii="宋体" w:hAnsi="宋体" w:eastAsia="宋体" w:cs="宋体"/>
                <w:b/>
                <w:bCs/>
                <w:kern w:val="0"/>
                <w:sz w:val="18"/>
                <w:szCs w:val="18"/>
                <w:highlight w:val="none"/>
              </w:rPr>
            </w:pPr>
          </w:p>
          <w:p w14:paraId="3F51D936">
            <w:pPr>
              <w:keepNext w:val="0"/>
              <w:keepLines w:val="0"/>
              <w:suppressLineNumbers w:val="0"/>
              <w:kinsoku w:val="0"/>
              <w:overflowPunct w:val="0"/>
              <w:autoSpaceDE w:val="0"/>
              <w:autoSpaceDN w:val="0"/>
              <w:adjustRightInd w:val="0"/>
              <w:spacing w:before="0"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tcPr>
          <w:p w14:paraId="76EF400E">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tcPr>
          <w:p w14:paraId="0F3D5C12">
            <w:pPr>
              <w:keepNext w:val="0"/>
              <w:keepLines w:val="0"/>
              <w:suppressLineNumbers w:val="0"/>
              <w:kinsoku w:val="0"/>
              <w:overflowPunct w:val="0"/>
              <w:autoSpaceDE w:val="0"/>
              <w:autoSpaceDN w:val="0"/>
              <w:adjustRightInd w:val="0"/>
              <w:spacing w:before="2" w:beforeAutospacing="0" w:after="0" w:afterAutospacing="0"/>
              <w:ind w:left="0" w:right="0"/>
              <w:jc w:val="left"/>
              <w:rPr>
                <w:rFonts w:hint="default" w:ascii="宋体" w:hAnsi="宋体" w:eastAsia="宋体" w:cs="宋体"/>
                <w:b/>
                <w:bCs/>
                <w:kern w:val="0"/>
                <w:sz w:val="18"/>
                <w:szCs w:val="18"/>
                <w:highlight w:val="none"/>
              </w:rPr>
            </w:pPr>
          </w:p>
          <w:p w14:paraId="36480EFC">
            <w:pPr>
              <w:keepNext w:val="0"/>
              <w:keepLines w:val="0"/>
              <w:suppressLineNumbers w:val="0"/>
              <w:kinsoku w:val="0"/>
              <w:overflowPunct w:val="0"/>
              <w:autoSpaceDE w:val="0"/>
              <w:autoSpaceDN w:val="0"/>
              <w:adjustRightInd w:val="0"/>
              <w:spacing w:before="0" w:beforeAutospacing="0" w:after="0" w:afterAutospacing="0"/>
              <w:ind w:left="1896" w:right="1784"/>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员工总人数：</w:t>
            </w:r>
          </w:p>
        </w:tc>
      </w:tr>
      <w:tr w14:paraId="05D8AC33">
        <w:tblPrEx>
          <w:tblCellMar>
            <w:top w:w="0" w:type="dxa"/>
            <w:left w:w="0" w:type="dxa"/>
            <w:bottom w:w="0" w:type="dxa"/>
            <w:right w:w="0" w:type="dxa"/>
          </w:tblCellMar>
        </w:tblPrEx>
        <w:trPr>
          <w:trHeight w:val="657" w:hRule="atLeast"/>
        </w:trPr>
        <w:tc>
          <w:tcPr>
            <w:tcW w:w="1728" w:type="dxa"/>
            <w:tcBorders>
              <w:top w:val="single" w:color="000000" w:sz="4" w:space="0"/>
              <w:left w:val="single" w:color="000000" w:sz="4" w:space="0"/>
              <w:bottom w:val="single" w:color="000000" w:sz="4" w:space="0"/>
              <w:right w:val="single" w:color="000000" w:sz="4" w:space="0"/>
            </w:tcBorders>
          </w:tcPr>
          <w:p w14:paraId="474DC6E9">
            <w:pPr>
              <w:keepNext w:val="0"/>
              <w:keepLines w:val="0"/>
              <w:suppressLineNumbers w:val="0"/>
              <w:kinsoku w:val="0"/>
              <w:overflowPunct w:val="0"/>
              <w:autoSpaceDE w:val="0"/>
              <w:autoSpaceDN w:val="0"/>
              <w:adjustRightInd w:val="0"/>
              <w:spacing w:before="8" w:beforeAutospacing="0" w:after="0" w:afterAutospacing="0"/>
              <w:ind w:left="0" w:right="0"/>
              <w:jc w:val="left"/>
              <w:rPr>
                <w:rFonts w:hint="default" w:ascii="宋体" w:hAnsi="宋体" w:eastAsia="宋体" w:cs="宋体"/>
                <w:b/>
                <w:bCs/>
                <w:kern w:val="0"/>
                <w:sz w:val="19"/>
                <w:szCs w:val="19"/>
                <w:highlight w:val="none"/>
              </w:rPr>
            </w:pPr>
          </w:p>
          <w:p w14:paraId="6168D5D7">
            <w:pPr>
              <w:keepNext w:val="0"/>
              <w:keepLines w:val="0"/>
              <w:suppressLineNumbers w:val="0"/>
              <w:kinsoku w:val="0"/>
              <w:overflowPunct w:val="0"/>
              <w:autoSpaceDE w:val="0"/>
              <w:autoSpaceDN w:val="0"/>
              <w:adjustRightInd w:val="0"/>
              <w:spacing w:before="0" w:beforeAutospacing="0" w:after="0" w:afterAutospacing="0"/>
              <w:ind w:left="234"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tcPr>
          <w:p w14:paraId="39835B6C">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45EC126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3D6642B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10862EE4">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3DD3B34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188F194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宋体"/>
                <w:b/>
                <w:bCs/>
                <w:kern w:val="0"/>
                <w:sz w:val="20"/>
                <w:szCs w:val="20"/>
                <w:highlight w:val="none"/>
              </w:rPr>
            </w:pPr>
          </w:p>
          <w:p w14:paraId="38B5555E">
            <w:pPr>
              <w:keepNext w:val="0"/>
              <w:keepLines w:val="0"/>
              <w:suppressLineNumbers w:val="0"/>
              <w:kinsoku w:val="0"/>
              <w:overflowPunct w:val="0"/>
              <w:autoSpaceDE w:val="0"/>
              <w:autoSpaceDN w:val="0"/>
              <w:adjustRightInd w:val="0"/>
              <w:spacing w:before="8" w:beforeAutospacing="0" w:after="0" w:afterAutospacing="0"/>
              <w:ind w:left="0" w:right="0"/>
              <w:jc w:val="left"/>
              <w:rPr>
                <w:rFonts w:hint="default" w:ascii="宋体" w:hAnsi="宋体" w:eastAsia="宋体" w:cs="宋体"/>
                <w:b/>
                <w:bCs/>
                <w:kern w:val="0"/>
                <w:sz w:val="16"/>
                <w:szCs w:val="16"/>
                <w:highlight w:val="none"/>
              </w:rPr>
            </w:pPr>
          </w:p>
          <w:p w14:paraId="2869A365">
            <w:pPr>
              <w:keepNext w:val="0"/>
              <w:keepLines w:val="0"/>
              <w:suppressLineNumbers w:val="0"/>
              <w:kinsoku w:val="0"/>
              <w:overflowPunct w:val="0"/>
              <w:autoSpaceDE w:val="0"/>
              <w:autoSpaceDN w:val="0"/>
              <w:adjustRightInd w:val="0"/>
              <w:spacing w:before="0" w:beforeAutospacing="0" w:after="0" w:afterAutospacing="0"/>
              <w:ind w:left="20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其中</w:t>
            </w:r>
          </w:p>
        </w:tc>
        <w:tc>
          <w:tcPr>
            <w:tcW w:w="2299" w:type="dxa"/>
            <w:gridSpan w:val="4"/>
            <w:tcBorders>
              <w:top w:val="single" w:color="000000" w:sz="4" w:space="0"/>
              <w:left w:val="single" w:color="000000" w:sz="4" w:space="0"/>
              <w:bottom w:val="single" w:color="000000" w:sz="4" w:space="0"/>
              <w:right w:val="single" w:color="000000" w:sz="4" w:space="0"/>
            </w:tcBorders>
          </w:tcPr>
          <w:p w14:paraId="3D4DCFBE">
            <w:pPr>
              <w:keepNext w:val="0"/>
              <w:keepLines w:val="0"/>
              <w:suppressLineNumbers w:val="0"/>
              <w:kinsoku w:val="0"/>
              <w:overflowPunct w:val="0"/>
              <w:autoSpaceDE w:val="0"/>
              <w:autoSpaceDN w:val="0"/>
              <w:adjustRightInd w:val="0"/>
              <w:spacing w:before="8" w:beforeAutospacing="0" w:after="0" w:afterAutospacing="0"/>
              <w:ind w:left="0" w:right="0"/>
              <w:jc w:val="left"/>
              <w:rPr>
                <w:rFonts w:hint="default" w:ascii="宋体" w:hAnsi="宋体" w:eastAsia="宋体" w:cs="宋体"/>
                <w:b/>
                <w:bCs/>
                <w:kern w:val="0"/>
                <w:sz w:val="19"/>
                <w:szCs w:val="19"/>
                <w:highlight w:val="none"/>
              </w:rPr>
            </w:pPr>
          </w:p>
          <w:p w14:paraId="2B50E16F">
            <w:pPr>
              <w:keepNext w:val="0"/>
              <w:keepLines w:val="0"/>
              <w:suppressLineNumbers w:val="0"/>
              <w:kinsoku w:val="0"/>
              <w:overflowPunct w:val="0"/>
              <w:autoSpaceDE w:val="0"/>
              <w:autoSpaceDN w:val="0"/>
              <w:adjustRightInd w:val="0"/>
              <w:spacing w:before="0" w:beforeAutospacing="0" w:after="0" w:afterAutospacing="0"/>
              <w:ind w:left="727" w:right="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项目</w:t>
            </w:r>
            <w:r>
              <w:rPr>
                <w:rFonts w:hint="eastAsia" w:ascii="宋体" w:hAnsi="宋体" w:eastAsia="宋体" w:cs="宋体"/>
                <w:kern w:val="0"/>
                <w:szCs w:val="21"/>
                <w:highlight w:val="none"/>
                <w:lang w:val="en-US" w:eastAsia="zh-CN"/>
              </w:rPr>
              <w:t>总监</w:t>
            </w:r>
          </w:p>
        </w:tc>
        <w:tc>
          <w:tcPr>
            <w:tcW w:w="1852" w:type="dxa"/>
            <w:gridSpan w:val="2"/>
            <w:tcBorders>
              <w:top w:val="single" w:color="000000" w:sz="4" w:space="0"/>
              <w:left w:val="single" w:color="000000" w:sz="4" w:space="0"/>
              <w:bottom w:val="single" w:color="000000" w:sz="4" w:space="0"/>
              <w:right w:val="single" w:color="000000" w:sz="4" w:space="0"/>
            </w:tcBorders>
          </w:tcPr>
          <w:p w14:paraId="0E30D94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1C650725">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tcPr>
          <w:p w14:paraId="7E1A5DED">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21EDEE53">
            <w:pPr>
              <w:keepNext w:val="0"/>
              <w:keepLines w:val="0"/>
              <w:suppressLineNumbers w:val="0"/>
              <w:kinsoku w:val="0"/>
              <w:overflowPunct w:val="0"/>
              <w:autoSpaceDE w:val="0"/>
              <w:autoSpaceDN w:val="0"/>
              <w:adjustRightInd w:val="0"/>
              <w:spacing w:before="0" w:beforeAutospacing="0" w:after="0" w:afterAutospacing="0"/>
              <w:ind w:left="33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tcPr>
          <w:p w14:paraId="61F45CD0">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tcPr>
          <w:p w14:paraId="415CD918">
            <w:pPr>
              <w:keepNext w:val="0"/>
              <w:keepLines w:val="0"/>
              <w:suppressLineNumbers w:val="0"/>
              <w:kinsoku w:val="0"/>
              <w:wordWrap w:val="0"/>
              <w:overflowPunct w:val="0"/>
              <w:topLinePunct/>
              <w:adjustRightInd w:val="0"/>
              <w:spacing w:before="8" w:beforeAutospacing="0" w:after="1" w:afterAutospacing="0" w:line="360" w:lineRule="atLeast"/>
              <w:ind w:left="63" w:leftChars="30" w:right="63" w:rightChars="30" w:firstLine="40"/>
              <w:jc w:val="center"/>
              <w:textAlignment w:val="baseline"/>
              <w:rPr>
                <w:rFonts w:hint="default"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tcPr>
          <w:p w14:paraId="762D235B">
            <w:pPr>
              <w:keepNext w:val="0"/>
              <w:keepLines w:val="0"/>
              <w:suppressLineNumbers w:val="0"/>
              <w:kinsoku w:val="0"/>
              <w:overflowPunct w:val="0"/>
              <w:autoSpaceDE w:val="0"/>
              <w:autoSpaceDN w:val="0"/>
              <w:adjustRightInd w:val="0"/>
              <w:spacing w:before="9" w:beforeAutospacing="0" w:after="0" w:afterAutospacing="0"/>
              <w:ind w:left="0" w:right="0"/>
              <w:jc w:val="left"/>
              <w:rPr>
                <w:rFonts w:hint="default" w:ascii="宋体" w:hAnsi="宋体" w:eastAsia="宋体" w:cs="宋体"/>
                <w:b/>
                <w:bCs/>
                <w:kern w:val="0"/>
                <w:sz w:val="17"/>
                <w:szCs w:val="17"/>
                <w:highlight w:val="none"/>
              </w:rPr>
            </w:pPr>
          </w:p>
          <w:p w14:paraId="581FB2D0">
            <w:pPr>
              <w:keepNext w:val="0"/>
              <w:keepLines w:val="0"/>
              <w:suppressLineNumbers w:val="0"/>
              <w:kinsoku w:val="0"/>
              <w:overflowPunct w:val="0"/>
              <w:autoSpaceDE w:val="0"/>
              <w:autoSpaceDN w:val="0"/>
              <w:adjustRightInd w:val="0"/>
              <w:spacing w:before="0" w:beforeAutospacing="0" w:after="0" w:afterAutospacing="0"/>
              <w:ind w:left="518"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14:paraId="7327079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2C9349E9">
        <w:tblPrEx>
          <w:tblCellMar>
            <w:top w:w="0" w:type="dxa"/>
            <w:left w:w="0" w:type="dxa"/>
            <w:bottom w:w="0" w:type="dxa"/>
            <w:right w:w="0" w:type="dxa"/>
          </w:tblCellMar>
        </w:tblPrEx>
        <w:trPr>
          <w:trHeight w:val="604" w:hRule="atLeast"/>
        </w:trPr>
        <w:tc>
          <w:tcPr>
            <w:tcW w:w="1728" w:type="dxa"/>
            <w:tcBorders>
              <w:top w:val="single" w:color="000000" w:sz="4" w:space="0"/>
              <w:left w:val="single" w:color="000000" w:sz="4" w:space="0"/>
              <w:bottom w:val="single" w:color="000000" w:sz="4" w:space="0"/>
              <w:right w:val="single" w:color="000000" w:sz="4" w:space="0"/>
            </w:tcBorders>
          </w:tcPr>
          <w:p w14:paraId="1CAECA0A">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09021B5B">
            <w:pPr>
              <w:keepNext w:val="0"/>
              <w:keepLines w:val="0"/>
              <w:suppressLineNumbers w:val="0"/>
              <w:kinsoku w:val="0"/>
              <w:overflowPunct w:val="0"/>
              <w:autoSpaceDE w:val="0"/>
              <w:autoSpaceDN w:val="0"/>
              <w:adjustRightInd w:val="0"/>
              <w:spacing w:before="1"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tcPr>
          <w:p w14:paraId="1E1EAFB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tcPr>
          <w:p w14:paraId="08485A11">
            <w:pPr>
              <w:keepNext w:val="0"/>
              <w:keepLines w:val="0"/>
              <w:suppressLineNumbers w:val="0"/>
              <w:kinsoku w:val="0"/>
              <w:wordWrap w:val="0"/>
              <w:overflowPunct w:val="0"/>
              <w:topLinePunct/>
              <w:adjustRightInd w:val="0"/>
              <w:spacing w:before="8" w:beforeAutospacing="0" w:after="1" w:afterAutospacing="0" w:line="360" w:lineRule="atLeast"/>
              <w:ind w:left="63" w:leftChars="30" w:right="63" w:rightChars="30" w:firstLine="40"/>
              <w:jc w:val="center"/>
              <w:textAlignment w:val="baseline"/>
              <w:rPr>
                <w:rFonts w:hint="default"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tcPr>
          <w:p w14:paraId="47333A7A">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7"/>
                <w:szCs w:val="17"/>
                <w:highlight w:val="none"/>
              </w:rPr>
            </w:pPr>
          </w:p>
          <w:p w14:paraId="1778BF45">
            <w:pPr>
              <w:keepNext w:val="0"/>
              <w:keepLines w:val="0"/>
              <w:suppressLineNumbers w:val="0"/>
              <w:kinsoku w:val="0"/>
              <w:overflowPunct w:val="0"/>
              <w:autoSpaceDE w:val="0"/>
              <w:autoSpaceDN w:val="0"/>
              <w:adjustRightInd w:val="0"/>
              <w:spacing w:before="1" w:beforeAutospacing="0" w:after="0" w:afterAutospacing="0"/>
              <w:ind w:left="518"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14:paraId="614433B7">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0915EAE4">
        <w:tblPrEx>
          <w:tblCellMar>
            <w:top w:w="0" w:type="dxa"/>
            <w:left w:w="0" w:type="dxa"/>
            <w:bottom w:w="0" w:type="dxa"/>
            <w:right w:w="0" w:type="dxa"/>
          </w:tblCellMar>
        </w:tblPrEx>
        <w:trPr>
          <w:trHeight w:val="626" w:hRule="atLeast"/>
        </w:trPr>
        <w:tc>
          <w:tcPr>
            <w:tcW w:w="1728" w:type="dxa"/>
            <w:tcBorders>
              <w:top w:val="single" w:color="000000" w:sz="4" w:space="0"/>
              <w:left w:val="single" w:color="000000" w:sz="4" w:space="0"/>
              <w:bottom w:val="single" w:color="000000" w:sz="4" w:space="0"/>
              <w:right w:val="single" w:color="000000" w:sz="4" w:space="0"/>
            </w:tcBorders>
          </w:tcPr>
          <w:p w14:paraId="6B517C15">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8"/>
                <w:szCs w:val="18"/>
                <w:highlight w:val="none"/>
              </w:rPr>
            </w:pPr>
          </w:p>
          <w:p w14:paraId="4D860A70">
            <w:pPr>
              <w:keepNext w:val="0"/>
              <w:keepLines w:val="0"/>
              <w:suppressLineNumbers w:val="0"/>
              <w:kinsoku w:val="0"/>
              <w:overflowPunct w:val="0"/>
              <w:autoSpaceDE w:val="0"/>
              <w:autoSpaceDN w:val="0"/>
              <w:adjustRightInd w:val="0"/>
              <w:spacing w:before="0" w:beforeAutospacing="0" w:after="0" w:afterAutospacing="0"/>
              <w:ind w:left="442"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tcPr>
          <w:p w14:paraId="3184351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tcPr>
          <w:p w14:paraId="30ED7302">
            <w:pPr>
              <w:keepNext w:val="0"/>
              <w:keepLines w:val="0"/>
              <w:suppressLineNumbers w:val="0"/>
              <w:kinsoku w:val="0"/>
              <w:wordWrap w:val="0"/>
              <w:overflowPunct w:val="0"/>
              <w:topLinePunct/>
              <w:adjustRightInd w:val="0"/>
              <w:spacing w:before="8" w:beforeAutospacing="0" w:after="1" w:afterAutospacing="0" w:line="360" w:lineRule="atLeast"/>
              <w:ind w:left="63" w:leftChars="30" w:right="63" w:rightChars="30" w:firstLine="40"/>
              <w:jc w:val="center"/>
              <w:textAlignment w:val="baseline"/>
              <w:rPr>
                <w:rFonts w:hint="default"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tcPr>
          <w:p w14:paraId="7AB96D3D">
            <w:pPr>
              <w:keepNext w:val="0"/>
              <w:keepLines w:val="0"/>
              <w:suppressLineNumbers w:val="0"/>
              <w:kinsoku w:val="0"/>
              <w:overflowPunct w:val="0"/>
              <w:autoSpaceDE w:val="0"/>
              <w:autoSpaceDN w:val="0"/>
              <w:adjustRightInd w:val="0"/>
              <w:spacing w:before="5" w:beforeAutospacing="0" w:after="0" w:afterAutospacing="0"/>
              <w:ind w:left="0" w:right="0"/>
              <w:jc w:val="left"/>
              <w:rPr>
                <w:rFonts w:hint="default" w:ascii="宋体" w:hAnsi="宋体" w:eastAsia="宋体" w:cs="宋体"/>
                <w:b/>
                <w:bCs/>
                <w:kern w:val="0"/>
                <w:sz w:val="18"/>
                <w:szCs w:val="18"/>
                <w:highlight w:val="none"/>
              </w:rPr>
            </w:pPr>
          </w:p>
          <w:p w14:paraId="011F01EC">
            <w:pPr>
              <w:keepNext w:val="0"/>
              <w:keepLines w:val="0"/>
              <w:suppressLineNumbers w:val="0"/>
              <w:kinsoku w:val="0"/>
              <w:overflowPunct w:val="0"/>
              <w:autoSpaceDE w:val="0"/>
              <w:autoSpaceDN w:val="0"/>
              <w:adjustRightInd w:val="0"/>
              <w:spacing w:before="0" w:beforeAutospacing="0" w:after="0" w:afterAutospacing="0"/>
              <w:ind w:left="518"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14:paraId="2A4135EF">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466D0822">
        <w:tblPrEx>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tcPr>
          <w:p w14:paraId="1B315093">
            <w:pPr>
              <w:keepNext w:val="0"/>
              <w:keepLines w:val="0"/>
              <w:suppressLineNumbers w:val="0"/>
              <w:kinsoku w:val="0"/>
              <w:overflowPunct w:val="0"/>
              <w:autoSpaceDE w:val="0"/>
              <w:autoSpaceDN w:val="0"/>
              <w:adjustRightInd w:val="0"/>
              <w:spacing w:before="6" w:beforeAutospacing="0" w:after="0" w:afterAutospacing="0"/>
              <w:ind w:left="0" w:right="0"/>
              <w:jc w:val="left"/>
              <w:rPr>
                <w:rFonts w:hint="default" w:ascii="宋体" w:hAnsi="宋体" w:eastAsia="宋体" w:cs="宋体"/>
                <w:b/>
                <w:bCs/>
                <w:kern w:val="0"/>
                <w:sz w:val="17"/>
                <w:szCs w:val="17"/>
                <w:highlight w:val="none"/>
              </w:rPr>
            </w:pPr>
          </w:p>
          <w:p w14:paraId="0B6A5497">
            <w:pPr>
              <w:keepNext w:val="0"/>
              <w:keepLines w:val="0"/>
              <w:suppressLineNumbers w:val="0"/>
              <w:kinsoku w:val="0"/>
              <w:overflowPunct w:val="0"/>
              <w:autoSpaceDE w:val="0"/>
              <w:autoSpaceDN w:val="0"/>
              <w:adjustRightInd w:val="0"/>
              <w:spacing w:before="0" w:beforeAutospacing="0" w:after="0" w:afterAutospacing="0"/>
              <w:ind w:left="633" w:right="625"/>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tcPr>
          <w:p w14:paraId="0D0167BD">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tcPr>
          <w:p w14:paraId="3BE671F2">
            <w:pPr>
              <w:keepNext w:val="0"/>
              <w:keepLines w:val="0"/>
              <w:suppressLineNumbers w:val="0"/>
              <w:kinsoku w:val="0"/>
              <w:wordWrap w:val="0"/>
              <w:overflowPunct w:val="0"/>
              <w:topLinePunct/>
              <w:adjustRightInd w:val="0"/>
              <w:spacing w:before="8" w:beforeAutospacing="0" w:after="1" w:afterAutospacing="0" w:line="360" w:lineRule="atLeast"/>
              <w:ind w:left="63" w:leftChars="30" w:right="63" w:rightChars="30" w:firstLine="40"/>
              <w:jc w:val="center"/>
              <w:textAlignment w:val="baseline"/>
              <w:rPr>
                <w:rFonts w:hint="default"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tcPr>
          <w:p w14:paraId="5AC0BFE9">
            <w:pPr>
              <w:keepNext w:val="0"/>
              <w:keepLines w:val="0"/>
              <w:suppressLineNumbers w:val="0"/>
              <w:kinsoku w:val="0"/>
              <w:overflowPunct w:val="0"/>
              <w:autoSpaceDE w:val="0"/>
              <w:autoSpaceDN w:val="0"/>
              <w:adjustRightInd w:val="0"/>
              <w:spacing w:before="6" w:beforeAutospacing="0" w:after="0" w:afterAutospacing="0"/>
              <w:ind w:left="0" w:right="0"/>
              <w:jc w:val="left"/>
              <w:rPr>
                <w:rFonts w:hint="default" w:ascii="宋体" w:hAnsi="宋体" w:eastAsia="宋体" w:cs="宋体"/>
                <w:b/>
                <w:bCs/>
                <w:kern w:val="0"/>
                <w:sz w:val="17"/>
                <w:szCs w:val="17"/>
                <w:highlight w:val="none"/>
              </w:rPr>
            </w:pPr>
          </w:p>
          <w:p w14:paraId="51684F07">
            <w:pPr>
              <w:keepNext w:val="0"/>
              <w:keepLines w:val="0"/>
              <w:suppressLineNumbers w:val="0"/>
              <w:tabs>
                <w:tab w:val="left" w:pos="426"/>
              </w:tabs>
              <w:kinsoku w:val="0"/>
              <w:overflowPunct w:val="0"/>
              <w:autoSpaceDE w:val="0"/>
              <w:autoSpaceDN w:val="0"/>
              <w:adjustRightInd w:val="0"/>
              <w:spacing w:before="0" w:beforeAutospacing="0" w:after="0" w:afterAutospacing="0"/>
              <w:ind w:left="6"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技</w:t>
            </w:r>
            <w:r>
              <w:rPr>
                <w:rFonts w:hint="default" w:ascii="宋体" w:hAnsi="宋体" w:eastAsia="宋体" w:cs="宋体"/>
                <w:kern w:val="0"/>
                <w:szCs w:val="21"/>
                <w:highlight w:val="none"/>
              </w:rPr>
              <w:tab/>
            </w:r>
            <w:r>
              <w:rPr>
                <w:rFonts w:hint="eastAsia" w:ascii="宋体" w:hAnsi="宋体" w:eastAsia="宋体" w:cs="宋体"/>
                <w:kern w:val="0"/>
                <w:szCs w:val="21"/>
                <w:highlight w:val="none"/>
              </w:rPr>
              <w:t>工</w:t>
            </w:r>
          </w:p>
        </w:tc>
        <w:tc>
          <w:tcPr>
            <w:tcW w:w="1852" w:type="dxa"/>
            <w:gridSpan w:val="2"/>
            <w:tcBorders>
              <w:top w:val="single" w:color="000000" w:sz="4" w:space="0"/>
              <w:left w:val="single" w:color="000000" w:sz="4" w:space="0"/>
              <w:bottom w:val="single" w:color="000000" w:sz="4" w:space="0"/>
              <w:right w:val="single" w:color="000000" w:sz="4" w:space="0"/>
            </w:tcBorders>
          </w:tcPr>
          <w:p w14:paraId="42CDA4C3">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640D3AA8">
        <w:tblPrEx>
          <w:tblCellMar>
            <w:top w:w="0" w:type="dxa"/>
            <w:left w:w="0" w:type="dxa"/>
            <w:bottom w:w="0" w:type="dxa"/>
            <w:right w:w="0" w:type="dxa"/>
          </w:tblCellMar>
        </w:tblPrEx>
        <w:trPr>
          <w:trHeight w:val="1880" w:hRule="atLeast"/>
        </w:trPr>
        <w:tc>
          <w:tcPr>
            <w:tcW w:w="1728" w:type="dxa"/>
            <w:tcBorders>
              <w:top w:val="single" w:color="000000" w:sz="4" w:space="0"/>
              <w:left w:val="single" w:color="000000" w:sz="4" w:space="0"/>
              <w:bottom w:val="single" w:color="000000" w:sz="4" w:space="0"/>
              <w:right w:val="single" w:color="000000" w:sz="4" w:space="0"/>
            </w:tcBorders>
          </w:tcPr>
          <w:p w14:paraId="03431785">
            <w:pPr>
              <w:keepNext w:val="0"/>
              <w:keepLines w:val="0"/>
              <w:suppressLineNumbers w:val="0"/>
              <w:kinsoku w:val="0"/>
              <w:overflowPunct w:val="0"/>
              <w:autoSpaceDE w:val="0"/>
              <w:autoSpaceDN w:val="0"/>
              <w:adjustRightInd w:val="0"/>
              <w:spacing w:before="2" w:beforeAutospacing="0" w:after="0" w:afterAutospacing="0"/>
              <w:ind w:left="0" w:right="0"/>
              <w:jc w:val="left"/>
              <w:rPr>
                <w:rFonts w:hint="default" w:ascii="宋体" w:hAnsi="宋体" w:eastAsia="宋体" w:cs="宋体"/>
                <w:b/>
                <w:bCs/>
                <w:kern w:val="0"/>
                <w:sz w:val="27"/>
                <w:szCs w:val="27"/>
                <w:highlight w:val="none"/>
              </w:rPr>
            </w:pPr>
          </w:p>
          <w:p w14:paraId="0568E4BC">
            <w:pPr>
              <w:keepNext w:val="0"/>
              <w:keepLines w:val="0"/>
              <w:suppressLineNumbers w:val="0"/>
              <w:kinsoku w:val="0"/>
              <w:overflowPunct w:val="0"/>
              <w:autoSpaceDE w:val="0"/>
              <w:autoSpaceDN w:val="0"/>
              <w:adjustRightInd w:val="0"/>
              <w:spacing w:before="0" w:beforeAutospacing="0" w:after="0" w:afterAutospacing="0"/>
              <w:ind w:left="548"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tcPr>
          <w:p w14:paraId="76C9A3B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66D93479">
        <w:tblPrEx>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tcPr>
          <w:p w14:paraId="588E7B5C">
            <w:pPr>
              <w:keepNext w:val="0"/>
              <w:keepLines w:val="0"/>
              <w:suppressLineNumbers w:val="0"/>
              <w:kinsoku w:val="0"/>
              <w:overflowPunct w:val="0"/>
              <w:autoSpaceDE w:val="0"/>
              <w:autoSpaceDN w:val="0"/>
              <w:adjustRightInd w:val="0"/>
              <w:spacing w:before="10" w:beforeAutospacing="0" w:after="0" w:afterAutospacing="0"/>
              <w:ind w:left="0" w:right="0"/>
              <w:jc w:val="left"/>
              <w:rPr>
                <w:rFonts w:hint="default" w:ascii="宋体" w:hAnsi="宋体" w:eastAsia="宋体" w:cs="宋体"/>
                <w:b/>
                <w:bCs/>
                <w:kern w:val="0"/>
                <w:sz w:val="17"/>
                <w:szCs w:val="17"/>
                <w:highlight w:val="none"/>
              </w:rPr>
            </w:pPr>
          </w:p>
          <w:p w14:paraId="34701852">
            <w:pPr>
              <w:keepNext w:val="0"/>
              <w:keepLines w:val="0"/>
              <w:suppressLineNumbers w:val="0"/>
              <w:kinsoku w:val="0"/>
              <w:overflowPunct w:val="0"/>
              <w:autoSpaceDE w:val="0"/>
              <w:autoSpaceDN w:val="0"/>
              <w:adjustRightInd w:val="0"/>
              <w:spacing w:before="0" w:beforeAutospacing="0" w:after="0" w:afterAutospacing="0"/>
              <w:ind w:left="633" w:right="625"/>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tcPr>
          <w:p w14:paraId="0E11CDEF">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bl>
    <w:p w14:paraId="3A13F478">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注：1、供应商需随此表附上营业执照等资格审查材料的扫描件。 </w:t>
      </w:r>
    </w:p>
    <w:p w14:paraId="1546F19A">
      <w:pPr>
        <w:autoSpaceDE w:val="0"/>
        <w:autoSpaceDN w:val="0"/>
        <w:adjustRightInd w:val="0"/>
        <w:spacing w:line="360" w:lineRule="auto"/>
        <w:ind w:left="425"/>
        <w:jc w:val="center"/>
        <w:rPr>
          <w:rFonts w:hint="eastAsia" w:ascii="宋体" w:hAnsi="宋体" w:eastAsia="宋体" w:cs="黑体"/>
          <w:b/>
          <w:kern w:val="0"/>
          <w:sz w:val="28"/>
          <w:szCs w:val="28"/>
          <w:highlight w:val="none"/>
        </w:rPr>
      </w:pPr>
    </w:p>
    <w:p w14:paraId="30CBCFE8">
      <w:pPr>
        <w:autoSpaceDE w:val="0"/>
        <w:autoSpaceDN w:val="0"/>
        <w:adjustRightInd w:val="0"/>
        <w:spacing w:line="360" w:lineRule="auto"/>
        <w:ind w:left="425"/>
        <w:jc w:val="center"/>
        <w:rPr>
          <w:rFonts w:hint="eastAsia" w:ascii="宋体" w:hAnsi="宋体" w:eastAsia="宋体" w:cs="黑体"/>
          <w:b/>
          <w:kern w:val="0"/>
          <w:sz w:val="28"/>
          <w:szCs w:val="28"/>
          <w:highlight w:val="none"/>
        </w:rPr>
      </w:pPr>
    </w:p>
    <w:p w14:paraId="7F3E84BF">
      <w:pPr>
        <w:keepNext/>
        <w:keepLines/>
        <w:spacing w:line="412"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sz w:val="28"/>
          <w:szCs w:val="28"/>
          <w:highlight w:val="none"/>
          <w:lang w:eastAsia="zh-CN"/>
        </w:rPr>
        <w:t>五、</w:t>
      </w:r>
      <w:r>
        <w:rPr>
          <w:rFonts w:hint="eastAsia" w:ascii="宋体" w:hAnsi="宋体" w:eastAsia="宋体" w:cs="宋体"/>
          <w:b/>
          <w:bCs/>
          <w:color w:val="auto"/>
          <w:sz w:val="32"/>
          <w:szCs w:val="32"/>
          <w:highlight w:val="none"/>
        </w:rPr>
        <w:t>监理大纲</w:t>
      </w:r>
    </w:p>
    <w:p w14:paraId="15AA94E5">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包含但不限于以下内容</w:t>
      </w:r>
    </w:p>
    <w:p w14:paraId="4D6844AF">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一、监理工程概况；</w:t>
      </w:r>
    </w:p>
    <w:p w14:paraId="3851806C">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二、监理范围和目标； </w:t>
      </w:r>
    </w:p>
    <w:p w14:paraId="60739AA1">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三、工程质量控制措施；</w:t>
      </w:r>
    </w:p>
    <w:p w14:paraId="4F6E98E4">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四、工程进度控制措施；</w:t>
      </w:r>
    </w:p>
    <w:p w14:paraId="4A1ECF71">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五、工程资金控制措施； </w:t>
      </w:r>
    </w:p>
    <w:p w14:paraId="280D36D5">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六、合同、信息管理措施；</w:t>
      </w:r>
    </w:p>
    <w:p w14:paraId="55230CA4">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七、安全生产监督措施；</w:t>
      </w:r>
    </w:p>
    <w:p w14:paraId="58759D8E">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八、组织协调的方法和手段；</w:t>
      </w:r>
    </w:p>
    <w:p w14:paraId="790DDA12">
      <w:pPr>
        <w:spacing w:line="360" w:lineRule="auto"/>
        <w:rPr>
          <w:rFonts w:hint="eastAsia" w:ascii="宋体" w:hAnsi="宋体" w:eastAsia="宋体" w:cs="宋体"/>
          <w:sz w:val="28"/>
          <w:szCs w:val="28"/>
          <w:highlight w:val="none"/>
          <w:lang w:val="en-US" w:eastAsia="zh-CN"/>
        </w:rPr>
      </w:pPr>
    </w:p>
    <w:p w14:paraId="61A8BCCE">
      <w:pPr>
        <w:spacing w:line="360" w:lineRule="auto"/>
        <w:rPr>
          <w:rFonts w:hint="eastAsia" w:ascii="宋体" w:hAnsi="宋体" w:eastAsia="宋体" w:cs="宋体"/>
          <w:sz w:val="28"/>
          <w:szCs w:val="28"/>
          <w:highlight w:val="none"/>
          <w:lang w:val="en-US" w:eastAsia="zh-CN"/>
        </w:rPr>
      </w:pPr>
    </w:p>
    <w:p w14:paraId="43ED9FF4">
      <w:pPr>
        <w:spacing w:line="360" w:lineRule="auto"/>
        <w:rPr>
          <w:rFonts w:hint="eastAsia" w:ascii="宋体" w:hAnsi="宋体" w:eastAsia="宋体" w:cs="宋体"/>
          <w:sz w:val="28"/>
          <w:szCs w:val="28"/>
          <w:highlight w:val="none"/>
          <w:lang w:val="en-US" w:eastAsia="zh-CN"/>
        </w:rPr>
      </w:pPr>
    </w:p>
    <w:p w14:paraId="6EE3AABD">
      <w:pPr>
        <w:pStyle w:val="2"/>
        <w:rPr>
          <w:rFonts w:hint="eastAsia" w:ascii="宋体" w:hAnsi="宋体" w:eastAsia="宋体" w:cs="宋体"/>
          <w:sz w:val="28"/>
          <w:szCs w:val="28"/>
          <w:highlight w:val="none"/>
          <w:lang w:val="en-US" w:eastAsia="zh-CN"/>
        </w:rPr>
      </w:pPr>
    </w:p>
    <w:p w14:paraId="2A082C82">
      <w:pPr>
        <w:rPr>
          <w:rFonts w:hint="eastAsia" w:ascii="宋体" w:hAnsi="宋体" w:eastAsia="宋体" w:cs="宋体"/>
          <w:sz w:val="28"/>
          <w:szCs w:val="28"/>
          <w:highlight w:val="none"/>
          <w:lang w:val="en-US" w:eastAsia="zh-CN"/>
        </w:rPr>
      </w:pPr>
    </w:p>
    <w:p w14:paraId="40B8D7C0">
      <w:pPr>
        <w:pStyle w:val="2"/>
        <w:rPr>
          <w:rFonts w:hint="eastAsia" w:ascii="宋体" w:hAnsi="宋体" w:eastAsia="宋体" w:cs="宋体"/>
          <w:sz w:val="28"/>
          <w:szCs w:val="28"/>
          <w:highlight w:val="none"/>
          <w:lang w:val="en-US" w:eastAsia="zh-CN"/>
        </w:rPr>
      </w:pPr>
    </w:p>
    <w:p w14:paraId="16B61D5D">
      <w:pPr>
        <w:rPr>
          <w:rFonts w:hint="eastAsia" w:ascii="宋体" w:hAnsi="宋体" w:eastAsia="宋体" w:cs="宋体"/>
          <w:sz w:val="28"/>
          <w:szCs w:val="28"/>
          <w:highlight w:val="none"/>
          <w:lang w:val="en-US" w:eastAsia="zh-CN"/>
        </w:rPr>
      </w:pPr>
    </w:p>
    <w:p w14:paraId="09A69ABF">
      <w:pPr>
        <w:pStyle w:val="2"/>
        <w:rPr>
          <w:rFonts w:hint="eastAsia" w:ascii="宋体" w:hAnsi="宋体" w:eastAsia="宋体" w:cs="宋体"/>
          <w:sz w:val="28"/>
          <w:szCs w:val="28"/>
          <w:highlight w:val="none"/>
          <w:lang w:val="en-US" w:eastAsia="zh-CN"/>
        </w:rPr>
      </w:pPr>
    </w:p>
    <w:p w14:paraId="76F32559">
      <w:pPr>
        <w:rPr>
          <w:rFonts w:hint="eastAsia"/>
          <w:lang w:val="en-US" w:eastAsia="zh-CN"/>
        </w:rPr>
      </w:pPr>
    </w:p>
    <w:p w14:paraId="62CCFE4B">
      <w:pPr>
        <w:spacing w:line="360" w:lineRule="auto"/>
        <w:rPr>
          <w:rFonts w:hint="eastAsia" w:ascii="宋体" w:hAnsi="宋体" w:eastAsia="宋体" w:cs="宋体"/>
          <w:sz w:val="28"/>
          <w:szCs w:val="28"/>
          <w:highlight w:val="none"/>
          <w:lang w:val="en-US" w:eastAsia="zh-CN"/>
        </w:rPr>
      </w:pPr>
    </w:p>
    <w:p w14:paraId="576AEE1D">
      <w:pPr>
        <w:spacing w:line="360" w:lineRule="auto"/>
        <w:rPr>
          <w:rFonts w:hint="default" w:ascii="宋体" w:hAnsi="宋体" w:eastAsia="宋体" w:cs="宋体"/>
          <w:sz w:val="28"/>
          <w:szCs w:val="28"/>
          <w:highlight w:val="none"/>
          <w:lang w:val="en-US" w:eastAsia="zh-CN"/>
        </w:rPr>
      </w:pPr>
    </w:p>
    <w:p w14:paraId="27F214F7">
      <w:pPr>
        <w:widowControl/>
        <w:jc w:val="left"/>
        <w:rPr>
          <w:rFonts w:ascii="宋体" w:hAnsi="宋体" w:eastAsia="宋体" w:cs="宋体"/>
          <w:szCs w:val="21"/>
          <w:highlight w:val="none"/>
        </w:rPr>
      </w:pPr>
    </w:p>
    <w:p w14:paraId="7A418D2F">
      <w:pPr>
        <w:keepNext/>
        <w:keepLines/>
        <w:numPr>
          <w:ilvl w:val="0"/>
          <w:numId w:val="0"/>
        </w:numPr>
        <w:tabs>
          <w:tab w:val="left" w:pos="840"/>
        </w:tabs>
        <w:wordWrap w:val="0"/>
        <w:topLinePunct/>
        <w:spacing w:line="360" w:lineRule="auto"/>
        <w:ind w:left="3150" w:leftChars="0"/>
        <w:jc w:val="both"/>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lang w:eastAsia="zh-CN"/>
        </w:rPr>
        <w:t>六、</w:t>
      </w:r>
      <w:r>
        <w:rPr>
          <w:rFonts w:hint="eastAsia" w:ascii="宋体" w:hAnsi="宋体" w:eastAsia="宋体" w:cs="宋体"/>
          <w:b/>
          <w:bCs/>
          <w:sz w:val="28"/>
          <w:szCs w:val="28"/>
          <w:highlight w:val="none"/>
        </w:rPr>
        <w:t>项目管理机构</w:t>
      </w:r>
    </w:p>
    <w:p w14:paraId="30A2ECF3">
      <w:pPr>
        <w:wordWrap w:val="0"/>
        <w:topLinePunct/>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（一）项目管理机构组成表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1"/>
        <w:gridCol w:w="770"/>
        <w:gridCol w:w="1743"/>
        <w:gridCol w:w="1134"/>
        <w:gridCol w:w="993"/>
        <w:gridCol w:w="850"/>
        <w:gridCol w:w="1440"/>
        <w:gridCol w:w="769"/>
      </w:tblGrid>
      <w:tr w14:paraId="473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restart"/>
            <w:vAlign w:val="center"/>
          </w:tcPr>
          <w:p w14:paraId="383221E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职务</w:t>
            </w:r>
          </w:p>
        </w:tc>
        <w:tc>
          <w:tcPr>
            <w:tcW w:w="771" w:type="dxa"/>
            <w:vMerge w:val="restart"/>
            <w:vAlign w:val="center"/>
          </w:tcPr>
          <w:p w14:paraId="7F2AB65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姓名</w:t>
            </w:r>
          </w:p>
        </w:tc>
        <w:tc>
          <w:tcPr>
            <w:tcW w:w="770" w:type="dxa"/>
            <w:vMerge w:val="restart"/>
            <w:vAlign w:val="center"/>
          </w:tcPr>
          <w:p w14:paraId="4EDEDE4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职称</w:t>
            </w:r>
          </w:p>
        </w:tc>
        <w:tc>
          <w:tcPr>
            <w:tcW w:w="6160" w:type="dxa"/>
            <w:gridSpan w:val="5"/>
            <w:vAlign w:val="center"/>
          </w:tcPr>
          <w:p w14:paraId="34C904A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69" w:type="dxa"/>
            <w:vMerge w:val="restart"/>
            <w:vAlign w:val="center"/>
          </w:tcPr>
          <w:p w14:paraId="5326821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备注</w:t>
            </w:r>
          </w:p>
        </w:tc>
      </w:tr>
      <w:tr w14:paraId="571A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continue"/>
            <w:vAlign w:val="center"/>
          </w:tcPr>
          <w:p w14:paraId="71CC3D4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Merge w:val="continue"/>
            <w:vAlign w:val="center"/>
          </w:tcPr>
          <w:p w14:paraId="7B8026B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Merge w:val="continue"/>
            <w:vAlign w:val="center"/>
          </w:tcPr>
          <w:p w14:paraId="01B26C7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1E955BD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1134" w:type="dxa"/>
            <w:vAlign w:val="center"/>
          </w:tcPr>
          <w:p w14:paraId="15F5507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级别</w:t>
            </w:r>
          </w:p>
        </w:tc>
        <w:tc>
          <w:tcPr>
            <w:tcW w:w="993" w:type="dxa"/>
            <w:vAlign w:val="center"/>
          </w:tcPr>
          <w:p w14:paraId="4E40010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证号</w:t>
            </w:r>
          </w:p>
        </w:tc>
        <w:tc>
          <w:tcPr>
            <w:tcW w:w="850" w:type="dxa"/>
            <w:vAlign w:val="center"/>
          </w:tcPr>
          <w:p w14:paraId="44B219B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专业</w:t>
            </w:r>
          </w:p>
        </w:tc>
        <w:tc>
          <w:tcPr>
            <w:tcW w:w="1440" w:type="dxa"/>
            <w:vAlign w:val="center"/>
          </w:tcPr>
          <w:p w14:paraId="409FC62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养老保险</w:t>
            </w:r>
          </w:p>
        </w:tc>
        <w:tc>
          <w:tcPr>
            <w:tcW w:w="769" w:type="dxa"/>
            <w:vMerge w:val="continue"/>
            <w:vAlign w:val="center"/>
          </w:tcPr>
          <w:p w14:paraId="51690A4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3188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FD1C3C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442B45E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00322EA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E5914AC">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6A59989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039FAB4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505D540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56929EA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0BE6B36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1F5D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F81A27C">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70BD472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2F4682B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292EDF0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3F33112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1A51808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5934ACF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7C64FCF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2B4DDD9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1BC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5104F8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276E5DA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2935BFF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1D64CB3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6AB19B5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33BC639B">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796251A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59F300C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6C6C860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618D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CF64AC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4622BF8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603068A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0E25001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057ED3F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78684D0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5F21B8F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1C715F8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41C1CFD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792B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AAE665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7EDEC5C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7069228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645532E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37FFD91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133F331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0C816FF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3A0AB15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51DBE2E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94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35E353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18DCF4B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2414940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72F0D42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5A8D9DD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441ADAF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0C5D6D6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07F0BD3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71B9B23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4F4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4E17D0C">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2A3EB1E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449D8F2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2BE015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43A22FC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368A1F3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09DE354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4DDDF8B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77C0853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64A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07FB81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41E474F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315C0B4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E79B1A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5C8CF37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47D89ED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597BD22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2F32407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38A9C02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6FE8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51E5CB0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5289665B">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0161C87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A456D0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2A491EC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4F9BEF3B">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16002CF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62B896C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28A98A1B">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1BB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750F50A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073DD37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7F8A803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6C16F96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7BB2006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6C58D68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75F0BA5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71703C8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6A3C4D6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544A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474A734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0661992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7B2F257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1AE427E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00AE008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6358DE8C">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3476737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600A048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4AFCA2F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9B5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07FAFFD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23F333B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7FA9E0A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1F05E04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7C3D462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2762F60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5A4B5CE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62A0FBA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4D04AD4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304B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FD41BE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607B740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6B46451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29313EB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49CEB4C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3778804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3983A17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7AC7850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4C38F0B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80A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588599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3705587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4006646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2AB8AC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15AB394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1A1CFFE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632D94C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493A17F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063C314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2F98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vAlign w:val="center"/>
          </w:tcPr>
          <w:p w14:paraId="05790C5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1" w:type="dxa"/>
            <w:vAlign w:val="center"/>
          </w:tcPr>
          <w:p w14:paraId="02CDF3B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70" w:type="dxa"/>
            <w:vAlign w:val="center"/>
          </w:tcPr>
          <w:p w14:paraId="236ABBAF">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743" w:type="dxa"/>
            <w:vAlign w:val="center"/>
          </w:tcPr>
          <w:p w14:paraId="53F403D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34" w:type="dxa"/>
            <w:vAlign w:val="center"/>
          </w:tcPr>
          <w:p w14:paraId="57F14D9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993" w:type="dxa"/>
            <w:vAlign w:val="center"/>
          </w:tcPr>
          <w:p w14:paraId="78F1D53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850" w:type="dxa"/>
            <w:vAlign w:val="center"/>
          </w:tcPr>
          <w:p w14:paraId="285319A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440" w:type="dxa"/>
            <w:vAlign w:val="center"/>
          </w:tcPr>
          <w:p w14:paraId="32858ED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769" w:type="dxa"/>
            <w:vAlign w:val="center"/>
          </w:tcPr>
          <w:p w14:paraId="5DE8F28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bl>
    <w:p w14:paraId="73CD98FB">
      <w:pPr>
        <w:wordWrap w:val="0"/>
        <w:topLinePunct/>
        <w:spacing w:line="360" w:lineRule="auto"/>
        <w:rPr>
          <w:rFonts w:ascii="宋体" w:hAnsi="宋体" w:eastAsia="宋体" w:cs="宋体"/>
          <w:szCs w:val="21"/>
          <w:highlight w:val="none"/>
        </w:rPr>
      </w:pPr>
    </w:p>
    <w:p w14:paraId="3869B842">
      <w:pPr>
        <w:wordWrap w:val="0"/>
        <w:topLinePunct/>
        <w:spacing w:line="360" w:lineRule="auto"/>
        <w:rPr>
          <w:rFonts w:ascii="宋体" w:hAnsi="宋体" w:eastAsia="宋体" w:cs="宋体"/>
          <w:b/>
          <w:sz w:val="28"/>
          <w:szCs w:val="28"/>
          <w:highlight w:val="none"/>
        </w:rPr>
      </w:pPr>
      <w:r>
        <w:rPr>
          <w:rFonts w:ascii="宋体" w:hAnsi="宋体" w:eastAsia="宋体" w:cs="宋体"/>
          <w:szCs w:val="21"/>
          <w:highlight w:val="none"/>
        </w:rPr>
        <w:br w:type="page"/>
      </w:r>
      <w:r>
        <w:rPr>
          <w:rFonts w:hint="eastAsia" w:ascii="宋体" w:hAnsi="宋体" w:eastAsia="宋体" w:cs="宋体"/>
          <w:b/>
          <w:sz w:val="28"/>
          <w:szCs w:val="28"/>
          <w:highlight w:val="none"/>
        </w:rPr>
        <w:t>（二）主要人员简历表</w:t>
      </w:r>
    </w:p>
    <w:p w14:paraId="72C9A984">
      <w:pPr>
        <w:wordWrap w:val="0"/>
        <w:topLinePunct/>
        <w:spacing w:before="156" w:beforeLines="50" w:after="312" w:afterLines="100"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附1：项目</w:t>
      </w:r>
      <w:r>
        <w:rPr>
          <w:rFonts w:hint="eastAsia" w:ascii="宋体" w:hAnsi="宋体" w:eastAsia="宋体" w:cs="宋体"/>
          <w:b/>
          <w:bCs/>
          <w:sz w:val="28"/>
          <w:szCs w:val="28"/>
          <w:highlight w:val="none"/>
          <w:lang w:eastAsia="zh-CN"/>
        </w:rPr>
        <w:t>总监</w:t>
      </w:r>
      <w:r>
        <w:rPr>
          <w:rFonts w:hint="eastAsia" w:ascii="宋体" w:hAnsi="宋体" w:eastAsia="宋体" w:cs="宋体"/>
          <w:b/>
          <w:bCs/>
          <w:sz w:val="28"/>
          <w:szCs w:val="28"/>
          <w:highlight w:val="none"/>
        </w:rPr>
        <w:t>简历表</w:t>
      </w:r>
    </w:p>
    <w:p w14:paraId="52BEB702">
      <w:pPr>
        <w:adjustRightInd w:val="0"/>
        <w:snapToGrid w:val="0"/>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“主要人员简历表”中的项目总监理工程师可附注册监理执业证、身份证扫描件；专业监理工程师可附注册监理师证或监理资格证书、身份证扫描件；其他主要人员可附职称证或执业证或上岗证书原件扫描件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054"/>
        <w:gridCol w:w="1155"/>
        <w:gridCol w:w="1299"/>
        <w:gridCol w:w="1876"/>
        <w:gridCol w:w="2165"/>
      </w:tblGrid>
      <w:tr w14:paraId="2D3B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44376D7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姓  名</w:t>
            </w:r>
          </w:p>
        </w:tc>
        <w:tc>
          <w:tcPr>
            <w:tcW w:w="1054" w:type="dxa"/>
            <w:vAlign w:val="center"/>
          </w:tcPr>
          <w:p w14:paraId="230B1AA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55" w:type="dxa"/>
            <w:vAlign w:val="center"/>
          </w:tcPr>
          <w:p w14:paraId="1A1D343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年  龄</w:t>
            </w:r>
          </w:p>
        </w:tc>
        <w:tc>
          <w:tcPr>
            <w:tcW w:w="1299" w:type="dxa"/>
            <w:vAlign w:val="center"/>
          </w:tcPr>
          <w:p w14:paraId="3040F61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876" w:type="dxa"/>
            <w:vAlign w:val="center"/>
          </w:tcPr>
          <w:p w14:paraId="1279DE4A">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学历</w:t>
            </w:r>
          </w:p>
        </w:tc>
        <w:tc>
          <w:tcPr>
            <w:tcW w:w="2165" w:type="dxa"/>
            <w:vAlign w:val="center"/>
          </w:tcPr>
          <w:p w14:paraId="1577FC9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554F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0B6DC9E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职  称</w:t>
            </w:r>
          </w:p>
        </w:tc>
        <w:tc>
          <w:tcPr>
            <w:tcW w:w="1054" w:type="dxa"/>
            <w:vAlign w:val="center"/>
          </w:tcPr>
          <w:p w14:paraId="202D62DC">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55" w:type="dxa"/>
            <w:vAlign w:val="center"/>
          </w:tcPr>
          <w:p w14:paraId="2EDAEC5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职  务</w:t>
            </w:r>
          </w:p>
        </w:tc>
        <w:tc>
          <w:tcPr>
            <w:tcW w:w="1299" w:type="dxa"/>
            <w:vAlign w:val="center"/>
          </w:tcPr>
          <w:p w14:paraId="7120375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876" w:type="dxa"/>
            <w:vAlign w:val="center"/>
          </w:tcPr>
          <w:p w14:paraId="42EAA51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拟在本工程任职</w:t>
            </w:r>
          </w:p>
        </w:tc>
        <w:tc>
          <w:tcPr>
            <w:tcW w:w="2165" w:type="dxa"/>
            <w:vAlign w:val="center"/>
          </w:tcPr>
          <w:p w14:paraId="6654B63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45E7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vAlign w:val="center"/>
          </w:tcPr>
          <w:p w14:paraId="5549331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eastAsia="zh-CN"/>
              </w:rPr>
              <w:t>监理工程师</w:t>
            </w:r>
            <w:r>
              <w:rPr>
                <w:rFonts w:hint="eastAsia" w:ascii="宋体" w:hAnsi="宋体" w:eastAsia="宋体" w:cs="宋体"/>
                <w:sz w:val="28"/>
                <w:szCs w:val="28"/>
                <w:highlight w:val="none"/>
              </w:rPr>
              <w:t>资格等级</w:t>
            </w:r>
          </w:p>
        </w:tc>
        <w:tc>
          <w:tcPr>
            <w:tcW w:w="1299" w:type="dxa"/>
            <w:vAlign w:val="center"/>
          </w:tcPr>
          <w:p w14:paraId="4ED1F6E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 xml:space="preserve">      </w:t>
            </w:r>
          </w:p>
        </w:tc>
        <w:tc>
          <w:tcPr>
            <w:tcW w:w="1876" w:type="dxa"/>
            <w:vAlign w:val="center"/>
          </w:tcPr>
          <w:p w14:paraId="2BF08D3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eastAsia="zh-CN"/>
              </w:rPr>
              <w:t>监理工程师</w:t>
            </w:r>
            <w:r>
              <w:rPr>
                <w:rFonts w:hint="eastAsia" w:ascii="宋体" w:hAnsi="宋体" w:eastAsia="宋体" w:cs="宋体"/>
                <w:sz w:val="28"/>
                <w:szCs w:val="28"/>
                <w:highlight w:val="none"/>
              </w:rPr>
              <w:t>专业</w:t>
            </w:r>
          </w:p>
        </w:tc>
        <w:tc>
          <w:tcPr>
            <w:tcW w:w="2165" w:type="dxa"/>
            <w:vAlign w:val="center"/>
          </w:tcPr>
          <w:p w14:paraId="3DB9879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AA3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0FEC8438">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毕业学校</w:t>
            </w:r>
          </w:p>
        </w:tc>
        <w:tc>
          <w:tcPr>
            <w:tcW w:w="7549" w:type="dxa"/>
            <w:gridSpan w:val="5"/>
            <w:vAlign w:val="center"/>
          </w:tcPr>
          <w:p w14:paraId="414B03FC">
            <w:pPr>
              <w:keepNext w:val="0"/>
              <w:keepLines w:val="0"/>
              <w:suppressLineNumbers w:val="0"/>
              <w:wordWrap w:val="0"/>
              <w:topLinePunct/>
              <w:spacing w:before="0" w:beforeAutospacing="0" w:after="0" w:afterAutospacing="0" w:line="360" w:lineRule="auto"/>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年毕业于                 学校            专业</w:t>
            </w:r>
          </w:p>
        </w:tc>
      </w:tr>
      <w:tr w14:paraId="6E2A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1" w:type="dxa"/>
            <w:gridSpan w:val="6"/>
            <w:vAlign w:val="center"/>
          </w:tcPr>
          <w:p w14:paraId="30A0A97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主要工作经历</w:t>
            </w:r>
          </w:p>
        </w:tc>
      </w:tr>
      <w:tr w14:paraId="2AF5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vAlign w:val="center"/>
          </w:tcPr>
          <w:p w14:paraId="36EBB40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时  间</w:t>
            </w:r>
          </w:p>
        </w:tc>
        <w:tc>
          <w:tcPr>
            <w:tcW w:w="3508" w:type="dxa"/>
            <w:gridSpan w:val="3"/>
            <w:vAlign w:val="center"/>
          </w:tcPr>
          <w:p w14:paraId="4F39FFD7">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参加过的类似项目名称</w:t>
            </w:r>
          </w:p>
        </w:tc>
        <w:tc>
          <w:tcPr>
            <w:tcW w:w="1876" w:type="dxa"/>
            <w:vAlign w:val="center"/>
          </w:tcPr>
          <w:p w14:paraId="6CAECED2">
            <w:pPr>
              <w:keepNext w:val="0"/>
              <w:keepLines w:val="0"/>
              <w:suppressLineNumbers w:val="0"/>
              <w:wordWrap w:val="0"/>
              <w:topLinePunct/>
              <w:spacing w:before="0" w:beforeAutospacing="0" w:after="0" w:afterAutospacing="0" w:line="360" w:lineRule="auto"/>
              <w:ind w:left="0" w:right="0"/>
              <w:jc w:val="both"/>
              <w:rPr>
                <w:rFonts w:hint="default" w:ascii="宋体" w:hAnsi="宋体" w:eastAsia="宋体" w:cs="宋体"/>
                <w:sz w:val="28"/>
                <w:szCs w:val="28"/>
                <w:highlight w:val="none"/>
              </w:rPr>
            </w:pPr>
            <w:r>
              <w:rPr>
                <w:rFonts w:hint="eastAsia" w:ascii="宋体" w:hAnsi="宋体" w:eastAsia="宋体" w:cs="宋体"/>
                <w:sz w:val="28"/>
                <w:szCs w:val="28"/>
                <w:highlight w:val="none"/>
              </w:rPr>
              <w:t>工程概况说明</w:t>
            </w:r>
          </w:p>
        </w:tc>
        <w:tc>
          <w:tcPr>
            <w:tcW w:w="2165" w:type="dxa"/>
            <w:vAlign w:val="center"/>
          </w:tcPr>
          <w:p w14:paraId="342584D4">
            <w:pPr>
              <w:keepNext w:val="0"/>
              <w:keepLines w:val="0"/>
              <w:suppressLineNumbers w:val="0"/>
              <w:wordWrap w:val="0"/>
              <w:topLinePunct/>
              <w:spacing w:before="0" w:beforeAutospacing="0" w:after="0" w:afterAutospacing="0" w:line="360" w:lineRule="auto"/>
              <w:ind w:left="0" w:right="0"/>
              <w:jc w:val="both"/>
              <w:rPr>
                <w:rFonts w:hint="default" w:ascii="宋体" w:hAnsi="宋体" w:eastAsia="宋体" w:cs="宋体"/>
                <w:sz w:val="28"/>
                <w:szCs w:val="28"/>
                <w:highlight w:val="none"/>
              </w:rPr>
            </w:pPr>
            <w:r>
              <w:rPr>
                <w:rFonts w:hint="eastAsia" w:ascii="宋体" w:hAnsi="宋体" w:eastAsia="宋体" w:cs="宋体"/>
                <w:sz w:val="28"/>
                <w:szCs w:val="28"/>
                <w:highlight w:val="none"/>
              </w:rPr>
              <w:t>发包人及联系电话</w:t>
            </w:r>
          </w:p>
        </w:tc>
      </w:tr>
      <w:tr w14:paraId="3D20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2026E385">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054" w:type="dxa"/>
            <w:vAlign w:val="center"/>
          </w:tcPr>
          <w:p w14:paraId="4137320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55" w:type="dxa"/>
            <w:vAlign w:val="center"/>
          </w:tcPr>
          <w:p w14:paraId="316B141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299" w:type="dxa"/>
            <w:vAlign w:val="center"/>
          </w:tcPr>
          <w:p w14:paraId="27C435CD">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876" w:type="dxa"/>
            <w:vAlign w:val="center"/>
          </w:tcPr>
          <w:p w14:paraId="729DAFA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2165" w:type="dxa"/>
            <w:vAlign w:val="center"/>
          </w:tcPr>
          <w:p w14:paraId="0F99C5E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07AA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0A8FF9B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054" w:type="dxa"/>
            <w:vAlign w:val="center"/>
          </w:tcPr>
          <w:p w14:paraId="79F92304">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55" w:type="dxa"/>
            <w:vAlign w:val="center"/>
          </w:tcPr>
          <w:p w14:paraId="7678FE6B">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299" w:type="dxa"/>
            <w:vAlign w:val="center"/>
          </w:tcPr>
          <w:p w14:paraId="78D7CBE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876" w:type="dxa"/>
            <w:vAlign w:val="center"/>
          </w:tcPr>
          <w:p w14:paraId="5E6E14A6">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2165" w:type="dxa"/>
            <w:vAlign w:val="center"/>
          </w:tcPr>
          <w:p w14:paraId="3003522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r w14:paraId="57A7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vAlign w:val="center"/>
          </w:tcPr>
          <w:p w14:paraId="6005AE22">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054" w:type="dxa"/>
            <w:vAlign w:val="center"/>
          </w:tcPr>
          <w:p w14:paraId="018B9C01">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155" w:type="dxa"/>
            <w:vAlign w:val="center"/>
          </w:tcPr>
          <w:p w14:paraId="279C0E2E">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299" w:type="dxa"/>
            <w:vAlign w:val="center"/>
          </w:tcPr>
          <w:p w14:paraId="214F7659">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1876" w:type="dxa"/>
            <w:vAlign w:val="center"/>
          </w:tcPr>
          <w:p w14:paraId="0ECF1890">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c>
          <w:tcPr>
            <w:tcW w:w="2165" w:type="dxa"/>
            <w:vAlign w:val="center"/>
          </w:tcPr>
          <w:p w14:paraId="5F0078F3">
            <w:pPr>
              <w:keepNext w:val="0"/>
              <w:keepLines w:val="0"/>
              <w:suppressLineNumbers w:val="0"/>
              <w:wordWrap w:val="0"/>
              <w:topLinePunct/>
              <w:spacing w:before="0" w:beforeAutospacing="0" w:after="0" w:afterAutospacing="0" w:line="360" w:lineRule="auto"/>
              <w:ind w:left="0" w:right="0"/>
              <w:jc w:val="center"/>
              <w:rPr>
                <w:rFonts w:hint="default" w:ascii="宋体" w:hAnsi="宋体" w:eastAsia="宋体" w:cs="宋体"/>
                <w:sz w:val="28"/>
                <w:szCs w:val="28"/>
                <w:highlight w:val="none"/>
              </w:rPr>
            </w:pPr>
          </w:p>
        </w:tc>
      </w:tr>
    </w:tbl>
    <w:p w14:paraId="110923E6">
      <w:pPr>
        <w:wordWrap w:val="0"/>
        <w:topLinePunct/>
        <w:rPr>
          <w:rFonts w:ascii="宋体" w:hAnsi="宋体" w:eastAsia="宋体" w:cs="宋体"/>
          <w:b/>
          <w:bCs/>
          <w:sz w:val="28"/>
          <w:szCs w:val="28"/>
          <w:highlight w:val="none"/>
        </w:rPr>
      </w:pPr>
      <w:r>
        <w:rPr>
          <w:rFonts w:ascii="宋体" w:hAnsi="宋体" w:eastAsia="宋体" w:cs="宋体"/>
          <w:szCs w:val="21"/>
          <w:highlight w:val="none"/>
        </w:rPr>
        <w:br w:type="page"/>
      </w:r>
      <w:r>
        <w:rPr>
          <w:rFonts w:hint="eastAsia" w:ascii="宋体" w:hAnsi="宋体" w:eastAsia="宋体" w:cs="宋体"/>
          <w:b/>
          <w:bCs/>
          <w:sz w:val="28"/>
          <w:szCs w:val="28"/>
          <w:highlight w:val="none"/>
        </w:rPr>
        <w:t>附2：主要项目管理人员简历表</w:t>
      </w:r>
    </w:p>
    <w:tbl>
      <w:tblPr>
        <w:tblStyle w:val="18"/>
        <w:tblW w:w="0" w:type="auto"/>
        <w:tblInd w:w="164" w:type="dxa"/>
        <w:tblLayout w:type="fixed"/>
        <w:tblCellMar>
          <w:top w:w="0" w:type="dxa"/>
          <w:left w:w="0" w:type="dxa"/>
          <w:bottom w:w="0" w:type="dxa"/>
          <w:right w:w="0" w:type="dxa"/>
        </w:tblCellMar>
      </w:tblPr>
      <w:tblGrid>
        <w:gridCol w:w="1253"/>
        <w:gridCol w:w="352"/>
        <w:gridCol w:w="1612"/>
        <w:gridCol w:w="1074"/>
        <w:gridCol w:w="893"/>
        <w:gridCol w:w="536"/>
        <w:gridCol w:w="1244"/>
        <w:gridCol w:w="723"/>
        <w:gridCol w:w="1493"/>
      </w:tblGrid>
      <w:tr w14:paraId="2085EA78">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539CFF82">
            <w:pPr>
              <w:keepNext w:val="0"/>
              <w:keepLines w:val="0"/>
              <w:suppressLineNumbers w:val="0"/>
              <w:tabs>
                <w:tab w:val="left" w:pos="906"/>
              </w:tabs>
              <w:kinsoku w:val="0"/>
              <w:overflowPunct w:val="0"/>
              <w:autoSpaceDE w:val="0"/>
              <w:autoSpaceDN w:val="0"/>
              <w:adjustRightInd w:val="0"/>
              <w:spacing w:before="81" w:beforeAutospacing="0" w:after="0" w:afterAutospacing="0"/>
              <w:ind w:left="486"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姓</w:t>
            </w:r>
            <w:r>
              <w:rPr>
                <w:rFonts w:hint="default" w:ascii="宋体" w:hAnsi="宋体" w:eastAsia="宋体" w:cs="宋体"/>
                <w:kern w:val="0"/>
                <w:szCs w:val="21"/>
                <w:highlight w:val="none"/>
              </w:rPr>
              <w:tab/>
            </w:r>
            <w:r>
              <w:rPr>
                <w:rFonts w:hint="eastAsia" w:ascii="宋体" w:hAnsi="宋体" w:eastAsia="宋体" w:cs="宋体"/>
                <w:kern w:val="0"/>
                <w:szCs w:val="21"/>
                <w:highlight w:val="none"/>
              </w:rPr>
              <w:t>名</w:t>
            </w:r>
          </w:p>
        </w:tc>
        <w:tc>
          <w:tcPr>
            <w:tcW w:w="1612" w:type="dxa"/>
            <w:tcBorders>
              <w:top w:val="single" w:color="000000" w:sz="4" w:space="0"/>
              <w:left w:val="single" w:color="000000" w:sz="4" w:space="0"/>
              <w:bottom w:val="single" w:color="000000" w:sz="4" w:space="0"/>
              <w:right w:val="single" w:color="000000" w:sz="4" w:space="0"/>
            </w:tcBorders>
          </w:tcPr>
          <w:p w14:paraId="03969E3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tcPr>
          <w:p w14:paraId="79885A26">
            <w:pPr>
              <w:keepNext w:val="0"/>
              <w:keepLines w:val="0"/>
              <w:suppressLineNumbers w:val="0"/>
              <w:tabs>
                <w:tab w:val="left" w:pos="427"/>
              </w:tabs>
              <w:kinsoku w:val="0"/>
              <w:overflowPunct w:val="0"/>
              <w:autoSpaceDE w:val="0"/>
              <w:autoSpaceDN w:val="0"/>
              <w:adjustRightInd w:val="0"/>
              <w:spacing w:before="81"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年</w:t>
            </w:r>
            <w:r>
              <w:rPr>
                <w:rFonts w:hint="default" w:ascii="宋体" w:hAnsi="宋体" w:eastAsia="宋体" w:cs="宋体"/>
                <w:kern w:val="0"/>
                <w:szCs w:val="21"/>
                <w:highlight w:val="none"/>
              </w:rPr>
              <w:tab/>
            </w:r>
            <w:r>
              <w:rPr>
                <w:rFonts w:hint="eastAsia" w:ascii="宋体" w:hAnsi="宋体" w:eastAsia="宋体" w:cs="宋体"/>
                <w:kern w:val="0"/>
                <w:szCs w:val="21"/>
                <w:highlight w:val="none"/>
              </w:rPr>
              <w:t>龄</w:t>
            </w:r>
          </w:p>
        </w:tc>
        <w:tc>
          <w:tcPr>
            <w:tcW w:w="1429" w:type="dxa"/>
            <w:gridSpan w:val="2"/>
            <w:tcBorders>
              <w:top w:val="single" w:color="000000" w:sz="4" w:space="0"/>
              <w:left w:val="single" w:color="000000" w:sz="4" w:space="0"/>
              <w:bottom w:val="single" w:color="000000" w:sz="4" w:space="0"/>
              <w:right w:val="single" w:color="000000" w:sz="4" w:space="0"/>
            </w:tcBorders>
          </w:tcPr>
          <w:p w14:paraId="2CC70967">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tcPr>
          <w:p w14:paraId="49F5C0F0">
            <w:pPr>
              <w:keepNext w:val="0"/>
              <w:keepLines w:val="0"/>
              <w:suppressLineNumbers w:val="0"/>
              <w:kinsoku w:val="0"/>
              <w:overflowPunct w:val="0"/>
              <w:autoSpaceDE w:val="0"/>
              <w:autoSpaceDN w:val="0"/>
              <w:adjustRightInd w:val="0"/>
              <w:spacing w:before="81" w:beforeAutospacing="0" w:after="0" w:afterAutospacing="0"/>
              <w:ind w:left="752" w:right="745"/>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学历</w:t>
            </w:r>
          </w:p>
        </w:tc>
        <w:tc>
          <w:tcPr>
            <w:tcW w:w="1493" w:type="dxa"/>
            <w:tcBorders>
              <w:top w:val="single" w:color="000000" w:sz="4" w:space="0"/>
              <w:left w:val="single" w:color="000000" w:sz="4" w:space="0"/>
              <w:bottom w:val="single" w:color="000000" w:sz="4" w:space="0"/>
              <w:right w:val="single" w:color="000000" w:sz="4" w:space="0"/>
            </w:tcBorders>
          </w:tcPr>
          <w:p w14:paraId="0F3A3933">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6FB153BD">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1248CC84">
            <w:pPr>
              <w:keepNext w:val="0"/>
              <w:keepLines w:val="0"/>
              <w:suppressLineNumbers w:val="0"/>
              <w:tabs>
                <w:tab w:val="left" w:pos="906"/>
              </w:tabs>
              <w:kinsoku w:val="0"/>
              <w:overflowPunct w:val="0"/>
              <w:autoSpaceDE w:val="0"/>
              <w:autoSpaceDN w:val="0"/>
              <w:adjustRightInd w:val="0"/>
              <w:spacing w:before="80" w:beforeAutospacing="0" w:after="0" w:afterAutospacing="0"/>
              <w:ind w:left="486"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职</w:t>
            </w:r>
            <w:r>
              <w:rPr>
                <w:rFonts w:hint="default" w:ascii="宋体" w:hAnsi="宋体" w:eastAsia="宋体" w:cs="宋体"/>
                <w:kern w:val="0"/>
                <w:szCs w:val="21"/>
                <w:highlight w:val="none"/>
              </w:rPr>
              <w:tab/>
            </w:r>
            <w:r>
              <w:rPr>
                <w:rFonts w:hint="eastAsia" w:ascii="宋体" w:hAnsi="宋体" w:eastAsia="宋体" w:cs="宋体"/>
                <w:kern w:val="0"/>
                <w:szCs w:val="21"/>
                <w:highlight w:val="none"/>
              </w:rPr>
              <w:t>称</w:t>
            </w:r>
          </w:p>
        </w:tc>
        <w:tc>
          <w:tcPr>
            <w:tcW w:w="1612" w:type="dxa"/>
            <w:tcBorders>
              <w:top w:val="single" w:color="000000" w:sz="4" w:space="0"/>
              <w:left w:val="single" w:color="000000" w:sz="4" w:space="0"/>
              <w:bottom w:val="single" w:color="000000" w:sz="4" w:space="0"/>
              <w:right w:val="single" w:color="000000" w:sz="4" w:space="0"/>
            </w:tcBorders>
          </w:tcPr>
          <w:p w14:paraId="6BB31D53">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tcPr>
          <w:p w14:paraId="3CAACEC7">
            <w:pPr>
              <w:keepNext w:val="0"/>
              <w:keepLines w:val="0"/>
              <w:suppressLineNumbers w:val="0"/>
              <w:tabs>
                <w:tab w:val="left" w:pos="427"/>
              </w:tabs>
              <w:kinsoku w:val="0"/>
              <w:overflowPunct w:val="0"/>
              <w:autoSpaceDE w:val="0"/>
              <w:autoSpaceDN w:val="0"/>
              <w:adjustRightInd w:val="0"/>
              <w:spacing w:before="80" w:beforeAutospacing="0" w:after="0" w:afterAutospacing="0"/>
              <w:ind w:left="7"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职</w:t>
            </w:r>
            <w:r>
              <w:rPr>
                <w:rFonts w:hint="default" w:ascii="宋体" w:hAnsi="宋体" w:eastAsia="宋体" w:cs="宋体"/>
                <w:kern w:val="0"/>
                <w:szCs w:val="21"/>
                <w:highlight w:val="none"/>
              </w:rPr>
              <w:tab/>
            </w:r>
            <w:r>
              <w:rPr>
                <w:rFonts w:hint="eastAsia" w:ascii="宋体" w:hAnsi="宋体" w:eastAsia="宋体" w:cs="宋体"/>
                <w:kern w:val="0"/>
                <w:szCs w:val="21"/>
                <w:highlight w:val="none"/>
              </w:rPr>
              <w:t>务</w:t>
            </w:r>
          </w:p>
        </w:tc>
        <w:tc>
          <w:tcPr>
            <w:tcW w:w="1429" w:type="dxa"/>
            <w:gridSpan w:val="2"/>
            <w:tcBorders>
              <w:top w:val="single" w:color="000000" w:sz="4" w:space="0"/>
              <w:left w:val="single" w:color="000000" w:sz="4" w:space="0"/>
              <w:bottom w:val="single" w:color="000000" w:sz="4" w:space="0"/>
              <w:right w:val="single" w:color="000000" w:sz="4" w:space="0"/>
            </w:tcBorders>
          </w:tcPr>
          <w:p w14:paraId="2BD615F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tcPr>
          <w:p w14:paraId="08719D99">
            <w:pPr>
              <w:keepNext w:val="0"/>
              <w:keepLines w:val="0"/>
              <w:suppressLineNumbers w:val="0"/>
              <w:kinsoku w:val="0"/>
              <w:overflowPunct w:val="0"/>
              <w:autoSpaceDE w:val="0"/>
              <w:autoSpaceDN w:val="0"/>
              <w:adjustRightInd w:val="0"/>
              <w:spacing w:before="80" w:beforeAutospacing="0" w:after="0" w:afterAutospacing="0"/>
              <w:ind w:left="247"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拟在本合同任职</w:t>
            </w:r>
          </w:p>
        </w:tc>
        <w:tc>
          <w:tcPr>
            <w:tcW w:w="1493" w:type="dxa"/>
            <w:tcBorders>
              <w:top w:val="single" w:color="000000" w:sz="4" w:space="0"/>
              <w:left w:val="single" w:color="000000" w:sz="4" w:space="0"/>
              <w:bottom w:val="single" w:color="000000" w:sz="4" w:space="0"/>
              <w:right w:val="single" w:color="000000" w:sz="4" w:space="0"/>
            </w:tcBorders>
          </w:tcPr>
          <w:p w14:paraId="63A7356F">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3157BBDE">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tcPr>
          <w:p w14:paraId="144A0367">
            <w:pPr>
              <w:keepNext w:val="0"/>
              <w:keepLines w:val="0"/>
              <w:suppressLineNumbers w:val="0"/>
              <w:kinsoku w:val="0"/>
              <w:overflowPunct w:val="0"/>
              <w:autoSpaceDE w:val="0"/>
              <w:autoSpaceDN w:val="0"/>
              <w:adjustRightInd w:val="0"/>
              <w:spacing w:before="79" w:beforeAutospacing="0" w:after="0" w:afterAutospacing="0"/>
              <w:ind w:left="38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毕业学校</w:t>
            </w:r>
          </w:p>
        </w:tc>
        <w:tc>
          <w:tcPr>
            <w:tcW w:w="7575" w:type="dxa"/>
            <w:gridSpan w:val="7"/>
            <w:tcBorders>
              <w:top w:val="single" w:color="000000" w:sz="4" w:space="0"/>
              <w:left w:val="single" w:color="000000" w:sz="4" w:space="0"/>
              <w:bottom w:val="single" w:color="000000" w:sz="4" w:space="0"/>
              <w:right w:val="single" w:color="000000" w:sz="4" w:space="0"/>
            </w:tcBorders>
          </w:tcPr>
          <w:p w14:paraId="7E0DF941">
            <w:pPr>
              <w:keepNext w:val="0"/>
              <w:keepLines w:val="0"/>
              <w:suppressLineNumbers w:val="0"/>
              <w:tabs>
                <w:tab w:val="left" w:pos="1055"/>
                <w:tab w:val="left" w:pos="1789"/>
              </w:tabs>
              <w:kinsoku w:val="0"/>
              <w:overflowPunct w:val="0"/>
              <w:autoSpaceDE w:val="0"/>
              <w:autoSpaceDN w:val="0"/>
              <w:adjustRightInd w:val="0"/>
              <w:spacing w:before="79" w:beforeAutospacing="0" w:after="0" w:afterAutospacing="0"/>
              <w:ind w:left="6"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毕业于</w:t>
            </w:r>
            <w:r>
              <w:rPr>
                <w:rFonts w:hint="default" w:ascii="宋体" w:hAnsi="宋体" w:eastAsia="宋体" w:cs="宋体"/>
                <w:kern w:val="0"/>
                <w:szCs w:val="21"/>
                <w:highlight w:val="none"/>
              </w:rPr>
              <w:tab/>
            </w:r>
            <w:r>
              <w:rPr>
                <w:rFonts w:hint="eastAsia" w:ascii="宋体" w:hAnsi="宋体" w:eastAsia="宋体" w:cs="宋体"/>
                <w:kern w:val="0"/>
                <w:szCs w:val="21"/>
                <w:highlight w:val="none"/>
              </w:rPr>
              <w:t>学校</w:t>
            </w:r>
            <w:r>
              <w:rPr>
                <w:rFonts w:hint="default" w:ascii="宋体" w:hAnsi="宋体" w:eastAsia="宋体" w:cs="宋体"/>
                <w:kern w:val="0"/>
                <w:szCs w:val="21"/>
                <w:highlight w:val="none"/>
              </w:rPr>
              <w:tab/>
            </w:r>
            <w:r>
              <w:rPr>
                <w:rFonts w:hint="eastAsia" w:ascii="宋体" w:hAnsi="宋体" w:eastAsia="宋体" w:cs="宋体"/>
                <w:kern w:val="0"/>
                <w:szCs w:val="21"/>
                <w:highlight w:val="none"/>
              </w:rPr>
              <w:t>专业</w:t>
            </w:r>
          </w:p>
        </w:tc>
      </w:tr>
      <w:tr w14:paraId="0C85ACBF">
        <w:tblPrEx>
          <w:tblCellMar>
            <w:top w:w="0" w:type="dxa"/>
            <w:left w:w="0" w:type="dxa"/>
            <w:bottom w:w="0" w:type="dxa"/>
            <w:right w:w="0" w:type="dxa"/>
          </w:tblCellMar>
        </w:tblPrEx>
        <w:trPr>
          <w:trHeight w:val="566" w:hRule="atLeast"/>
        </w:trPr>
        <w:tc>
          <w:tcPr>
            <w:tcW w:w="9180" w:type="dxa"/>
            <w:gridSpan w:val="9"/>
            <w:tcBorders>
              <w:top w:val="single" w:color="000000" w:sz="4" w:space="0"/>
              <w:left w:val="single" w:color="000000" w:sz="4" w:space="0"/>
              <w:bottom w:val="single" w:color="000000" w:sz="4" w:space="0"/>
              <w:right w:val="single" w:color="000000" w:sz="4" w:space="0"/>
            </w:tcBorders>
          </w:tcPr>
          <w:p w14:paraId="1FB4118C">
            <w:pPr>
              <w:keepNext w:val="0"/>
              <w:keepLines w:val="0"/>
              <w:suppressLineNumbers w:val="0"/>
              <w:kinsoku w:val="0"/>
              <w:overflowPunct w:val="0"/>
              <w:autoSpaceDE w:val="0"/>
              <w:autoSpaceDN w:val="0"/>
              <w:adjustRightInd w:val="0"/>
              <w:spacing w:before="80" w:beforeAutospacing="0" w:after="0" w:afterAutospacing="0"/>
              <w:ind w:left="3938" w:right="3932"/>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主要工作经历</w:t>
            </w:r>
          </w:p>
        </w:tc>
      </w:tr>
      <w:tr w14:paraId="6113188E">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2544A25F">
            <w:pPr>
              <w:keepNext w:val="0"/>
              <w:keepLines w:val="0"/>
              <w:suppressLineNumbers w:val="0"/>
              <w:kinsoku w:val="0"/>
              <w:overflowPunct w:val="0"/>
              <w:autoSpaceDE w:val="0"/>
              <w:autoSpaceDN w:val="0"/>
              <w:adjustRightInd w:val="0"/>
              <w:spacing w:before="79" w:beforeAutospacing="0" w:after="0" w:afterAutospacing="0"/>
              <w:ind w:left="416"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时间</w:t>
            </w:r>
          </w:p>
        </w:tc>
        <w:tc>
          <w:tcPr>
            <w:tcW w:w="3931" w:type="dxa"/>
            <w:gridSpan w:val="4"/>
            <w:tcBorders>
              <w:top w:val="single" w:color="000000" w:sz="4" w:space="0"/>
              <w:left w:val="single" w:color="000000" w:sz="4" w:space="0"/>
              <w:bottom w:val="single" w:color="000000" w:sz="4" w:space="0"/>
              <w:right w:val="single" w:color="000000" w:sz="4" w:space="0"/>
            </w:tcBorders>
          </w:tcPr>
          <w:p w14:paraId="5F10D3CB">
            <w:pPr>
              <w:keepNext w:val="0"/>
              <w:keepLines w:val="0"/>
              <w:suppressLineNumbers w:val="0"/>
              <w:kinsoku w:val="0"/>
              <w:overflowPunct w:val="0"/>
              <w:autoSpaceDE w:val="0"/>
              <w:autoSpaceDN w:val="0"/>
              <w:adjustRightInd w:val="0"/>
              <w:spacing w:before="79" w:beforeAutospacing="0" w:after="0" w:afterAutospacing="0"/>
              <w:ind w:left="1124"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参加过的类似项目</w:t>
            </w:r>
          </w:p>
        </w:tc>
        <w:tc>
          <w:tcPr>
            <w:tcW w:w="1780" w:type="dxa"/>
            <w:gridSpan w:val="2"/>
            <w:tcBorders>
              <w:top w:val="single" w:color="000000" w:sz="4" w:space="0"/>
              <w:left w:val="single" w:color="000000" w:sz="4" w:space="0"/>
              <w:bottom w:val="single" w:color="000000" w:sz="4" w:space="0"/>
              <w:right w:val="single" w:color="000000" w:sz="4" w:space="0"/>
            </w:tcBorders>
          </w:tcPr>
          <w:p w14:paraId="072D283F">
            <w:pPr>
              <w:keepNext w:val="0"/>
              <w:keepLines w:val="0"/>
              <w:suppressLineNumbers w:val="0"/>
              <w:kinsoku w:val="0"/>
              <w:overflowPunct w:val="0"/>
              <w:autoSpaceDE w:val="0"/>
              <w:autoSpaceDN w:val="0"/>
              <w:adjustRightInd w:val="0"/>
              <w:spacing w:before="79" w:beforeAutospacing="0" w:after="0" w:afterAutospacing="0"/>
              <w:ind w:left="469"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担任职务</w:t>
            </w:r>
          </w:p>
        </w:tc>
        <w:tc>
          <w:tcPr>
            <w:tcW w:w="2216" w:type="dxa"/>
            <w:gridSpan w:val="2"/>
            <w:tcBorders>
              <w:top w:val="single" w:color="000000" w:sz="4" w:space="0"/>
              <w:left w:val="single" w:color="000000" w:sz="4" w:space="0"/>
              <w:bottom w:val="single" w:color="000000" w:sz="4" w:space="0"/>
              <w:right w:val="single" w:color="000000" w:sz="4" w:space="0"/>
            </w:tcBorders>
          </w:tcPr>
          <w:p w14:paraId="5EE4DF0D">
            <w:pPr>
              <w:keepNext w:val="0"/>
              <w:keepLines w:val="0"/>
              <w:suppressLineNumbers w:val="0"/>
              <w:kinsoku w:val="0"/>
              <w:overflowPunct w:val="0"/>
              <w:autoSpaceDE w:val="0"/>
              <w:autoSpaceDN w:val="0"/>
              <w:adjustRightInd w:val="0"/>
              <w:spacing w:before="79" w:beforeAutospacing="0" w:after="0" w:afterAutospacing="0"/>
              <w:ind w:left="771" w:right="765"/>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发包人</w:t>
            </w:r>
          </w:p>
        </w:tc>
      </w:tr>
      <w:tr w14:paraId="0B3DB11E">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7269470F">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60672CD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66EC9D72">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422E3155">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76FC14C6">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tcPr>
          <w:p w14:paraId="69441B87">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0AFFBC68">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64F29FE0">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017D408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2EEFD7D8">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tcPr>
          <w:p w14:paraId="75E5E2C5">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597B42C2">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3B18A0D6">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3E874E7A">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r w14:paraId="178BAEC3">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tcPr>
          <w:p w14:paraId="152711F0">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tcPr>
          <w:p w14:paraId="7E28D1A1">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Pr>
          <w:p w14:paraId="2F7B4B2E">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tcPr>
          <w:p w14:paraId="0C04F049">
            <w:pPr>
              <w:keepNext w:val="0"/>
              <w:keepLines w:val="0"/>
              <w:suppressLineNumbers w:val="0"/>
              <w:kinsoku w:val="0"/>
              <w:overflowPunct w:val="0"/>
              <w:autoSpaceDE w:val="0"/>
              <w:autoSpaceDN w:val="0"/>
              <w:adjustRightInd w:val="0"/>
              <w:spacing w:before="0" w:beforeAutospacing="0" w:after="0" w:afterAutospacing="0"/>
              <w:ind w:left="0" w:right="0"/>
              <w:jc w:val="left"/>
              <w:rPr>
                <w:rFonts w:hint="default" w:ascii="宋体" w:hAnsi="宋体" w:eastAsia="宋体" w:cs="Times New Roman"/>
                <w:kern w:val="0"/>
                <w:sz w:val="20"/>
                <w:szCs w:val="20"/>
                <w:highlight w:val="none"/>
              </w:rPr>
            </w:pPr>
          </w:p>
        </w:tc>
      </w:tr>
    </w:tbl>
    <w:p w14:paraId="5C1FFC43">
      <w:pPr>
        <w:wordWrap w:val="0"/>
        <w:topLinePunct/>
        <w:spacing w:after="120"/>
        <w:ind w:left="420" w:leftChars="200" w:firstLine="420" w:firstLineChars="200"/>
        <w:rPr>
          <w:rFonts w:ascii="宋体" w:hAnsi="宋体" w:eastAsia="宋体" w:cs="宋体"/>
          <w:szCs w:val="21"/>
          <w:highlight w:val="none"/>
        </w:rPr>
      </w:pPr>
    </w:p>
    <w:p w14:paraId="48369666">
      <w:pPr>
        <w:keepNext/>
        <w:keepLines/>
        <w:numPr>
          <w:ilvl w:val="0"/>
          <w:numId w:val="0"/>
        </w:numPr>
        <w:tabs>
          <w:tab w:val="left" w:pos="840"/>
        </w:tabs>
        <w:wordWrap w:val="0"/>
        <w:topLinePunct/>
        <w:spacing w:line="360" w:lineRule="auto"/>
        <w:ind w:left="3150" w:leftChars="0"/>
        <w:jc w:val="both"/>
        <w:outlineLvl w:val="1"/>
        <w:rPr>
          <w:rFonts w:ascii="宋体" w:hAnsi="宋体" w:eastAsia="宋体" w:cs="宋体"/>
          <w:b/>
          <w:bCs/>
          <w:sz w:val="28"/>
          <w:szCs w:val="28"/>
          <w:highlight w:val="none"/>
        </w:rPr>
      </w:pPr>
      <w:r>
        <w:rPr>
          <w:rFonts w:hint="eastAsia" w:ascii="宋体" w:hAnsi="宋体" w:eastAsia="宋体" w:cs="宋体"/>
          <w:b/>
          <w:bCs/>
          <w:sz w:val="24"/>
          <w:szCs w:val="21"/>
          <w:highlight w:val="none"/>
        </w:rPr>
        <w:br w:type="page"/>
      </w:r>
      <w:r>
        <w:rPr>
          <w:rFonts w:hint="eastAsia" w:ascii="宋体" w:hAnsi="宋体" w:eastAsia="宋体" w:cs="宋体"/>
          <w:b/>
          <w:bCs/>
          <w:sz w:val="28"/>
          <w:szCs w:val="28"/>
          <w:highlight w:val="none"/>
          <w:lang w:eastAsia="zh-CN"/>
        </w:rPr>
        <w:t>七、</w:t>
      </w:r>
      <w:r>
        <w:rPr>
          <w:rFonts w:hint="eastAsia" w:ascii="宋体" w:hAnsi="宋体" w:eastAsia="宋体" w:cs="宋体"/>
          <w:b/>
          <w:bCs/>
          <w:sz w:val="28"/>
          <w:szCs w:val="28"/>
          <w:highlight w:val="none"/>
        </w:rPr>
        <w:t>近年完成的类似项目清单</w:t>
      </w:r>
    </w:p>
    <w:tbl>
      <w:tblPr>
        <w:tblStyle w:val="18"/>
        <w:tblW w:w="9020" w:type="dxa"/>
        <w:tblInd w:w="-72" w:type="dxa"/>
        <w:tblLayout w:type="fixed"/>
        <w:tblCellMar>
          <w:top w:w="0" w:type="dxa"/>
          <w:left w:w="108" w:type="dxa"/>
          <w:bottom w:w="0" w:type="dxa"/>
          <w:right w:w="108" w:type="dxa"/>
        </w:tblCellMar>
      </w:tblPr>
      <w:tblGrid>
        <w:gridCol w:w="2685"/>
        <w:gridCol w:w="6335"/>
      </w:tblGrid>
      <w:tr w14:paraId="3CCA9AF5">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56301524">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tc>
        <w:tc>
          <w:tcPr>
            <w:tcW w:w="6335" w:type="dxa"/>
            <w:tcBorders>
              <w:top w:val="single" w:color="auto" w:sz="4" w:space="0"/>
              <w:left w:val="nil"/>
              <w:bottom w:val="single" w:color="auto" w:sz="4" w:space="0"/>
              <w:right w:val="single" w:color="auto" w:sz="4" w:space="0"/>
            </w:tcBorders>
            <w:vAlign w:val="center"/>
          </w:tcPr>
          <w:p w14:paraId="774F25D0">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05A7EEB5">
        <w:tblPrEx>
          <w:tblCellMar>
            <w:top w:w="0" w:type="dxa"/>
            <w:left w:w="108" w:type="dxa"/>
            <w:bottom w:w="0" w:type="dxa"/>
            <w:right w:w="108" w:type="dxa"/>
          </w:tblCellMar>
        </w:tblPrEx>
        <w:trPr>
          <w:trHeight w:val="571" w:hRule="atLeast"/>
        </w:trPr>
        <w:tc>
          <w:tcPr>
            <w:tcW w:w="2685" w:type="dxa"/>
            <w:tcBorders>
              <w:top w:val="single" w:color="auto" w:sz="4" w:space="0"/>
              <w:left w:val="single" w:color="auto" w:sz="4" w:space="0"/>
              <w:bottom w:val="single" w:color="auto" w:sz="4" w:space="0"/>
              <w:right w:val="single" w:color="auto" w:sz="4" w:space="0"/>
            </w:tcBorders>
            <w:vAlign w:val="center"/>
          </w:tcPr>
          <w:p w14:paraId="0A9B91DF">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项目所在地</w:t>
            </w:r>
          </w:p>
        </w:tc>
        <w:tc>
          <w:tcPr>
            <w:tcW w:w="6335" w:type="dxa"/>
            <w:tcBorders>
              <w:top w:val="single" w:color="auto" w:sz="4" w:space="0"/>
              <w:left w:val="nil"/>
              <w:bottom w:val="single" w:color="auto" w:sz="4" w:space="0"/>
              <w:right w:val="single" w:color="auto" w:sz="4" w:space="0"/>
            </w:tcBorders>
            <w:vAlign w:val="center"/>
          </w:tcPr>
          <w:p w14:paraId="10E230D6">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68461AC4">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3F968195">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发包人名称</w:t>
            </w:r>
          </w:p>
        </w:tc>
        <w:tc>
          <w:tcPr>
            <w:tcW w:w="6335" w:type="dxa"/>
            <w:tcBorders>
              <w:top w:val="single" w:color="auto" w:sz="4" w:space="0"/>
              <w:left w:val="nil"/>
              <w:bottom w:val="single" w:color="auto" w:sz="4" w:space="0"/>
              <w:right w:val="single" w:color="auto" w:sz="4" w:space="0"/>
            </w:tcBorders>
            <w:vAlign w:val="center"/>
          </w:tcPr>
          <w:p w14:paraId="5ECB9155">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05C08790">
        <w:tblPrEx>
          <w:tblCellMar>
            <w:top w:w="0" w:type="dxa"/>
            <w:left w:w="108" w:type="dxa"/>
            <w:bottom w:w="0" w:type="dxa"/>
            <w:right w:w="108" w:type="dxa"/>
          </w:tblCellMar>
        </w:tblPrEx>
        <w:trPr>
          <w:trHeight w:val="571" w:hRule="atLeast"/>
        </w:trPr>
        <w:tc>
          <w:tcPr>
            <w:tcW w:w="2685" w:type="dxa"/>
            <w:tcBorders>
              <w:top w:val="single" w:color="auto" w:sz="4" w:space="0"/>
              <w:left w:val="single" w:color="auto" w:sz="4" w:space="0"/>
              <w:bottom w:val="single" w:color="auto" w:sz="4" w:space="0"/>
              <w:right w:val="single" w:color="auto" w:sz="4" w:space="0"/>
            </w:tcBorders>
            <w:vAlign w:val="center"/>
          </w:tcPr>
          <w:p w14:paraId="1C56D30B">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发包人地址</w:t>
            </w:r>
          </w:p>
        </w:tc>
        <w:tc>
          <w:tcPr>
            <w:tcW w:w="6335" w:type="dxa"/>
            <w:tcBorders>
              <w:top w:val="single" w:color="auto" w:sz="4" w:space="0"/>
              <w:left w:val="nil"/>
              <w:bottom w:val="single" w:color="auto" w:sz="4" w:space="0"/>
              <w:right w:val="single" w:color="auto" w:sz="4" w:space="0"/>
            </w:tcBorders>
            <w:vAlign w:val="center"/>
          </w:tcPr>
          <w:p w14:paraId="3DAFB196">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239762AC">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70FFD5BF">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发包人电话</w:t>
            </w:r>
          </w:p>
        </w:tc>
        <w:tc>
          <w:tcPr>
            <w:tcW w:w="6335" w:type="dxa"/>
            <w:tcBorders>
              <w:top w:val="single" w:color="auto" w:sz="4" w:space="0"/>
              <w:left w:val="nil"/>
              <w:bottom w:val="single" w:color="auto" w:sz="4" w:space="0"/>
              <w:right w:val="single" w:color="auto" w:sz="4" w:space="0"/>
            </w:tcBorders>
            <w:vAlign w:val="center"/>
          </w:tcPr>
          <w:p w14:paraId="192672AE">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29478991">
        <w:tblPrEx>
          <w:tblCellMar>
            <w:top w:w="0" w:type="dxa"/>
            <w:left w:w="108" w:type="dxa"/>
            <w:bottom w:w="0" w:type="dxa"/>
            <w:right w:w="108" w:type="dxa"/>
          </w:tblCellMar>
        </w:tblPrEx>
        <w:trPr>
          <w:trHeight w:val="571" w:hRule="atLeast"/>
        </w:trPr>
        <w:tc>
          <w:tcPr>
            <w:tcW w:w="2685" w:type="dxa"/>
            <w:tcBorders>
              <w:top w:val="single" w:color="auto" w:sz="4" w:space="0"/>
              <w:left w:val="single" w:color="auto" w:sz="4" w:space="0"/>
              <w:bottom w:val="single" w:color="auto" w:sz="4" w:space="0"/>
              <w:right w:val="single" w:color="auto" w:sz="4" w:space="0"/>
            </w:tcBorders>
            <w:vAlign w:val="center"/>
          </w:tcPr>
          <w:p w14:paraId="7369EECC">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合同价格</w:t>
            </w:r>
          </w:p>
        </w:tc>
        <w:tc>
          <w:tcPr>
            <w:tcW w:w="6335" w:type="dxa"/>
            <w:tcBorders>
              <w:top w:val="single" w:color="auto" w:sz="4" w:space="0"/>
              <w:left w:val="nil"/>
              <w:bottom w:val="single" w:color="auto" w:sz="4" w:space="0"/>
              <w:right w:val="single" w:color="auto" w:sz="4" w:space="0"/>
            </w:tcBorders>
            <w:vAlign w:val="center"/>
          </w:tcPr>
          <w:p w14:paraId="1B3EDEFC">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7FBE785B">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1BD3CB00">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开工日期</w:t>
            </w:r>
          </w:p>
        </w:tc>
        <w:tc>
          <w:tcPr>
            <w:tcW w:w="6335" w:type="dxa"/>
            <w:tcBorders>
              <w:top w:val="single" w:color="auto" w:sz="4" w:space="0"/>
              <w:left w:val="nil"/>
              <w:bottom w:val="single" w:color="auto" w:sz="4" w:space="0"/>
              <w:right w:val="single" w:color="auto" w:sz="4" w:space="0"/>
            </w:tcBorders>
            <w:vAlign w:val="center"/>
          </w:tcPr>
          <w:p w14:paraId="6DD055F7">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2DE6A5CF">
        <w:tblPrEx>
          <w:tblCellMar>
            <w:top w:w="0" w:type="dxa"/>
            <w:left w:w="108" w:type="dxa"/>
            <w:bottom w:w="0" w:type="dxa"/>
            <w:right w:w="108" w:type="dxa"/>
          </w:tblCellMar>
        </w:tblPrEx>
        <w:trPr>
          <w:trHeight w:val="571" w:hRule="atLeast"/>
        </w:trPr>
        <w:tc>
          <w:tcPr>
            <w:tcW w:w="2685" w:type="dxa"/>
            <w:tcBorders>
              <w:top w:val="single" w:color="auto" w:sz="4" w:space="0"/>
              <w:left w:val="single" w:color="auto" w:sz="4" w:space="0"/>
              <w:bottom w:val="single" w:color="auto" w:sz="4" w:space="0"/>
              <w:right w:val="single" w:color="auto" w:sz="4" w:space="0"/>
            </w:tcBorders>
            <w:vAlign w:val="center"/>
          </w:tcPr>
          <w:p w14:paraId="01EC5F48">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竣工日期</w:t>
            </w:r>
          </w:p>
        </w:tc>
        <w:tc>
          <w:tcPr>
            <w:tcW w:w="6335" w:type="dxa"/>
            <w:tcBorders>
              <w:top w:val="single" w:color="auto" w:sz="4" w:space="0"/>
              <w:left w:val="nil"/>
              <w:bottom w:val="single" w:color="auto" w:sz="4" w:space="0"/>
              <w:right w:val="single" w:color="auto" w:sz="4" w:space="0"/>
            </w:tcBorders>
            <w:vAlign w:val="center"/>
          </w:tcPr>
          <w:p w14:paraId="5CF05DB0">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6BFC426A">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5E75C22D">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承担的工作</w:t>
            </w:r>
          </w:p>
        </w:tc>
        <w:tc>
          <w:tcPr>
            <w:tcW w:w="6335" w:type="dxa"/>
            <w:tcBorders>
              <w:top w:val="single" w:color="auto" w:sz="4" w:space="0"/>
              <w:left w:val="nil"/>
              <w:bottom w:val="single" w:color="auto" w:sz="4" w:space="0"/>
              <w:right w:val="single" w:color="auto" w:sz="4" w:space="0"/>
            </w:tcBorders>
            <w:vAlign w:val="center"/>
          </w:tcPr>
          <w:p w14:paraId="73CE4DEE">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0AC4216D">
        <w:tblPrEx>
          <w:tblCellMar>
            <w:top w:w="0" w:type="dxa"/>
            <w:left w:w="108" w:type="dxa"/>
            <w:bottom w:w="0" w:type="dxa"/>
            <w:right w:w="108" w:type="dxa"/>
          </w:tblCellMar>
        </w:tblPrEx>
        <w:trPr>
          <w:trHeight w:val="571" w:hRule="atLeast"/>
        </w:trPr>
        <w:tc>
          <w:tcPr>
            <w:tcW w:w="2685" w:type="dxa"/>
            <w:tcBorders>
              <w:top w:val="single" w:color="auto" w:sz="4" w:space="0"/>
              <w:left w:val="single" w:color="auto" w:sz="4" w:space="0"/>
              <w:bottom w:val="single" w:color="auto" w:sz="4" w:space="0"/>
              <w:right w:val="single" w:color="auto" w:sz="4" w:space="0"/>
            </w:tcBorders>
            <w:vAlign w:val="center"/>
          </w:tcPr>
          <w:p w14:paraId="46CCFE20">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w:t>
            </w:r>
          </w:p>
        </w:tc>
        <w:tc>
          <w:tcPr>
            <w:tcW w:w="6335" w:type="dxa"/>
            <w:tcBorders>
              <w:top w:val="single" w:color="auto" w:sz="4" w:space="0"/>
              <w:left w:val="nil"/>
              <w:bottom w:val="single" w:color="auto" w:sz="4" w:space="0"/>
              <w:right w:val="single" w:color="auto" w:sz="4" w:space="0"/>
            </w:tcBorders>
            <w:vAlign w:val="center"/>
          </w:tcPr>
          <w:p w14:paraId="3D556158">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52F4C3CC">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3079D518">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项目总监理工程师及电话</w:t>
            </w:r>
          </w:p>
        </w:tc>
        <w:tc>
          <w:tcPr>
            <w:tcW w:w="6335" w:type="dxa"/>
            <w:tcBorders>
              <w:top w:val="single" w:color="auto" w:sz="4" w:space="0"/>
              <w:left w:val="nil"/>
              <w:bottom w:val="single" w:color="auto" w:sz="4" w:space="0"/>
              <w:right w:val="single" w:color="auto" w:sz="4" w:space="0"/>
            </w:tcBorders>
            <w:vAlign w:val="center"/>
          </w:tcPr>
          <w:p w14:paraId="2839B060">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0964FE37">
        <w:tblPrEx>
          <w:tblCellMar>
            <w:top w:w="0" w:type="dxa"/>
            <w:left w:w="108" w:type="dxa"/>
            <w:bottom w:w="0" w:type="dxa"/>
            <w:right w:w="108" w:type="dxa"/>
          </w:tblCellMar>
        </w:tblPrEx>
        <w:trPr>
          <w:trHeight w:val="2548" w:hRule="atLeast"/>
        </w:trPr>
        <w:tc>
          <w:tcPr>
            <w:tcW w:w="2685" w:type="dxa"/>
            <w:tcBorders>
              <w:top w:val="single" w:color="auto" w:sz="4" w:space="0"/>
              <w:left w:val="single" w:color="auto" w:sz="4" w:space="0"/>
              <w:bottom w:val="single" w:color="auto" w:sz="4" w:space="0"/>
              <w:right w:val="single" w:color="auto" w:sz="4" w:space="0"/>
            </w:tcBorders>
            <w:vAlign w:val="center"/>
          </w:tcPr>
          <w:p w14:paraId="504015F9">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项目描述</w:t>
            </w:r>
          </w:p>
        </w:tc>
        <w:tc>
          <w:tcPr>
            <w:tcW w:w="6335" w:type="dxa"/>
            <w:tcBorders>
              <w:top w:val="single" w:color="auto" w:sz="4" w:space="0"/>
              <w:left w:val="nil"/>
              <w:bottom w:val="single" w:color="auto" w:sz="4" w:space="0"/>
              <w:right w:val="single" w:color="auto" w:sz="4" w:space="0"/>
            </w:tcBorders>
            <w:vAlign w:val="center"/>
          </w:tcPr>
          <w:p w14:paraId="4B3635C2">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r w14:paraId="6BD5A934">
        <w:tblPrEx>
          <w:tblCellMar>
            <w:top w:w="0" w:type="dxa"/>
            <w:left w:w="108" w:type="dxa"/>
            <w:bottom w:w="0" w:type="dxa"/>
            <w:right w:w="108" w:type="dxa"/>
          </w:tblCellMar>
        </w:tblPrEx>
        <w:trPr>
          <w:trHeight w:val="596" w:hRule="atLeast"/>
        </w:trPr>
        <w:tc>
          <w:tcPr>
            <w:tcW w:w="2685" w:type="dxa"/>
            <w:tcBorders>
              <w:top w:val="single" w:color="auto" w:sz="4" w:space="0"/>
              <w:left w:val="single" w:color="auto" w:sz="4" w:space="0"/>
              <w:bottom w:val="single" w:color="auto" w:sz="4" w:space="0"/>
              <w:right w:val="single" w:color="auto" w:sz="4" w:space="0"/>
            </w:tcBorders>
            <w:vAlign w:val="center"/>
          </w:tcPr>
          <w:p w14:paraId="33C4E8CC">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备注</w:t>
            </w:r>
          </w:p>
        </w:tc>
        <w:tc>
          <w:tcPr>
            <w:tcW w:w="6335" w:type="dxa"/>
            <w:tcBorders>
              <w:top w:val="single" w:color="auto" w:sz="4" w:space="0"/>
              <w:left w:val="nil"/>
              <w:bottom w:val="single" w:color="auto" w:sz="4" w:space="0"/>
              <w:right w:val="single" w:color="auto" w:sz="4" w:space="0"/>
            </w:tcBorders>
            <w:vAlign w:val="center"/>
          </w:tcPr>
          <w:p w14:paraId="7476A922">
            <w:pPr>
              <w:keepNext w:val="0"/>
              <w:keepLines w:val="0"/>
              <w:suppressLineNumbers w:val="0"/>
              <w:autoSpaceDE w:val="0"/>
              <w:autoSpaceDN w:val="0"/>
              <w:adjustRightInd w:val="0"/>
              <w:spacing w:before="0" w:beforeAutospacing="0" w:after="0" w:afterAutospacing="0" w:line="420" w:lineRule="exact"/>
              <w:ind w:left="0" w:right="0"/>
              <w:jc w:val="center"/>
              <w:rPr>
                <w:rFonts w:hint="eastAsia" w:ascii="宋体" w:hAnsi="宋体" w:eastAsia="宋体" w:cs="宋体"/>
                <w:color w:val="auto"/>
                <w:kern w:val="0"/>
                <w:highlight w:val="none"/>
              </w:rPr>
            </w:pPr>
          </w:p>
        </w:tc>
      </w:tr>
    </w:tbl>
    <w:p w14:paraId="4F61EAA1">
      <w:pPr>
        <w:autoSpaceDE w:val="0"/>
        <w:autoSpaceDN w:val="0"/>
        <w:adjustRightInd w:val="0"/>
        <w:spacing w:line="42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注：</w:t>
      </w:r>
      <w:r>
        <w:rPr>
          <w:rFonts w:hint="eastAsia" w:ascii="宋体" w:hAnsi="宋体" w:eastAsia="宋体" w:cs="宋体"/>
          <w:sz w:val="24"/>
          <w:highlight w:val="none"/>
        </w:rPr>
        <w:t>本表后附中标通知书</w:t>
      </w:r>
      <w:r>
        <w:rPr>
          <w:rFonts w:hint="eastAsia" w:ascii="宋体" w:hAnsi="宋体" w:eastAsia="宋体" w:cs="宋体"/>
          <w:sz w:val="24"/>
          <w:highlight w:val="none"/>
          <w:lang w:eastAsia="zh-CN"/>
        </w:rPr>
        <w:t>或</w:t>
      </w:r>
      <w:r>
        <w:rPr>
          <w:rFonts w:hint="eastAsia" w:ascii="宋体" w:hAnsi="宋体" w:eastAsia="宋体" w:cs="宋体"/>
          <w:sz w:val="24"/>
          <w:highlight w:val="none"/>
        </w:rPr>
        <w:t>合同协议书的</w:t>
      </w:r>
      <w:r>
        <w:rPr>
          <w:rFonts w:hint="eastAsia" w:ascii="宋体" w:hAnsi="宋体" w:eastAsia="宋体" w:cs="宋体"/>
          <w:sz w:val="24"/>
          <w:highlight w:val="none"/>
          <w:lang w:eastAsia="zh-CN"/>
        </w:rPr>
        <w:t>原件</w:t>
      </w:r>
      <w:r>
        <w:rPr>
          <w:rFonts w:hint="eastAsia" w:ascii="宋体" w:hAnsi="宋体" w:eastAsia="宋体" w:cs="宋体"/>
          <w:sz w:val="24"/>
          <w:highlight w:val="none"/>
        </w:rPr>
        <w:t>扫描件</w:t>
      </w:r>
      <w:r>
        <w:rPr>
          <w:rFonts w:hint="eastAsia" w:ascii="宋体" w:hAnsi="宋体" w:eastAsia="宋体" w:cs="宋体"/>
          <w:color w:val="auto"/>
          <w:sz w:val="24"/>
          <w:szCs w:val="24"/>
          <w:highlight w:val="none"/>
        </w:rPr>
        <w:t>并加盖单位公章</w:t>
      </w:r>
      <w:r>
        <w:rPr>
          <w:rFonts w:hint="eastAsia" w:ascii="宋体" w:hAnsi="宋体" w:eastAsia="宋体" w:cs="宋体"/>
          <w:sz w:val="24"/>
          <w:highlight w:val="none"/>
        </w:rPr>
        <w:t>，具体年份要求见</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须知前附表。每张表格只填写一个项目，并标明序号。</w:t>
      </w:r>
    </w:p>
    <w:p w14:paraId="4190AF64">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5515D594">
      <w:pPr>
        <w:keepNext/>
        <w:keepLines/>
        <w:numPr>
          <w:ilvl w:val="0"/>
          <w:numId w:val="0"/>
        </w:numPr>
        <w:tabs>
          <w:tab w:val="left" w:pos="840"/>
        </w:tabs>
        <w:wordWrap w:val="0"/>
        <w:topLinePunct/>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lang w:eastAsia="zh-CN"/>
        </w:rPr>
        <w:t>八、</w:t>
      </w:r>
      <w:r>
        <w:rPr>
          <w:rFonts w:hint="eastAsia" w:ascii="宋体" w:hAnsi="宋体" w:eastAsia="宋体" w:cs="宋体"/>
          <w:b/>
          <w:bCs/>
          <w:sz w:val="28"/>
          <w:szCs w:val="28"/>
          <w:highlight w:val="none"/>
        </w:rPr>
        <w:t>磋商文件要求提供的其它资料</w:t>
      </w:r>
    </w:p>
    <w:p w14:paraId="3F8B5F38">
      <w:pPr>
        <w:keepNext/>
        <w:keepLines/>
        <w:tabs>
          <w:tab w:val="left" w:pos="420"/>
          <w:tab w:val="left" w:pos="840"/>
        </w:tabs>
        <w:spacing w:line="360" w:lineRule="auto"/>
        <w:jc w:val="center"/>
        <w:outlineLvl w:val="1"/>
        <w:rPr>
          <w:rFonts w:ascii="宋体" w:hAnsi="宋体" w:eastAsia="宋体"/>
          <w:b/>
          <w:bCs/>
          <w:sz w:val="24"/>
          <w:szCs w:val="28"/>
          <w:highlight w:val="none"/>
        </w:rPr>
      </w:pPr>
      <w:r>
        <w:rPr>
          <w:rFonts w:hint="eastAsia" w:ascii="宋体" w:hAnsi="宋体" w:eastAsia="宋体"/>
          <w:b/>
          <w:bCs/>
          <w:sz w:val="24"/>
          <w:szCs w:val="28"/>
          <w:highlight w:val="none"/>
        </w:rPr>
        <w:t>资格条件所要求内容，及磋商文件要求提供的其他内容。</w:t>
      </w:r>
    </w:p>
    <w:p w14:paraId="690CFC26">
      <w:pPr>
        <w:widowControl/>
        <w:jc w:val="left"/>
        <w:rPr>
          <w:rFonts w:ascii="宋体" w:hAnsi="宋体" w:eastAsia="宋体" w:cs="宋体"/>
          <w:szCs w:val="21"/>
          <w:highlight w:val="none"/>
        </w:rPr>
      </w:pPr>
      <w:r>
        <w:rPr>
          <w:rFonts w:ascii="宋体" w:hAnsi="宋体" w:eastAsia="宋体" w:cs="宋体"/>
          <w:szCs w:val="21"/>
          <w:highlight w:val="none"/>
        </w:rPr>
        <w:br w:type="page"/>
      </w:r>
    </w:p>
    <w:p w14:paraId="3CF2F7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附件1</w:t>
      </w:r>
    </w:p>
    <w:p w14:paraId="1357BE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满足《中华人民共和国政府采购法》第二十二条规定承诺函</w:t>
      </w:r>
    </w:p>
    <w:p w14:paraId="5B3EDE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（采购</w:t>
      </w:r>
      <w:r>
        <w:rPr>
          <w:rFonts w:hint="eastAsia" w:ascii="宋体" w:hAnsi="宋体" w:eastAsia="宋体" w:cs="宋体"/>
          <w:sz w:val="24"/>
          <w:szCs w:val="32"/>
          <w:highlight w:val="none"/>
          <w:lang w:eastAsia="zh-CN"/>
        </w:rPr>
        <w:t>人</w:t>
      </w:r>
      <w:r>
        <w:rPr>
          <w:rFonts w:hint="eastAsia" w:ascii="宋体" w:hAnsi="宋体" w:eastAsia="宋体" w:cs="宋体"/>
          <w:sz w:val="24"/>
          <w:szCs w:val="32"/>
          <w:highlight w:val="none"/>
        </w:rPr>
        <w:t>及</w:t>
      </w:r>
      <w:r>
        <w:rPr>
          <w:rFonts w:hint="eastAsia" w:ascii="宋体" w:hAnsi="宋体" w:eastAsia="宋体" w:cs="宋体"/>
          <w:sz w:val="24"/>
          <w:szCs w:val="32"/>
          <w:highlight w:val="none"/>
          <w:lang w:eastAsia="zh-CN"/>
        </w:rPr>
        <w:t>采购</w:t>
      </w:r>
      <w:r>
        <w:rPr>
          <w:rFonts w:hint="eastAsia" w:ascii="宋体" w:hAnsi="宋体" w:eastAsia="宋体" w:cs="宋体"/>
          <w:sz w:val="24"/>
          <w:szCs w:val="32"/>
          <w:highlight w:val="none"/>
        </w:rPr>
        <w:t>代理公司）：</w:t>
      </w:r>
    </w:p>
    <w:p w14:paraId="433968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w:t>
      </w:r>
      <w:r>
        <w:rPr>
          <w:rFonts w:hint="eastAsia" w:ascii="宋体" w:hAnsi="宋体" w:eastAsia="宋体" w:cs="宋体"/>
          <w:sz w:val="24"/>
          <w:szCs w:val="32"/>
          <w:highlight w:val="none"/>
          <w:lang w:eastAsia="zh-CN"/>
        </w:rPr>
        <w:t>《中华人民共和国政府采购法》及</w:t>
      </w:r>
      <w:r>
        <w:rPr>
          <w:rFonts w:hint="eastAsia" w:ascii="宋体" w:hAnsi="宋体" w:eastAsia="宋体" w:cs="宋体"/>
          <w:sz w:val="24"/>
          <w:szCs w:val="32"/>
          <w:highlight w:val="none"/>
        </w:rPr>
        <w:t>相关法律法规，依法诚信经营，依法遵守本次采购活动的各项规定。我单位郑重承诺如下：</w:t>
      </w:r>
    </w:p>
    <w:p w14:paraId="51A2DE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1ED48D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393955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1CD5C0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6A1DF9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95C69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六、我单位参加</w:t>
      </w:r>
      <w:r>
        <w:rPr>
          <w:rFonts w:hint="eastAsia" w:ascii="宋体" w:hAnsi="宋体" w:eastAsia="宋体" w:cs="宋体"/>
          <w:sz w:val="24"/>
          <w:szCs w:val="32"/>
          <w:highlight w:val="none"/>
          <w:lang w:eastAsia="zh-CN"/>
        </w:rPr>
        <w:t>本次</w:t>
      </w:r>
      <w:r>
        <w:rPr>
          <w:rFonts w:hint="eastAsia" w:ascii="宋体" w:hAnsi="宋体" w:eastAsia="宋体" w:cs="宋体"/>
          <w:sz w:val="24"/>
          <w:szCs w:val="32"/>
          <w:highlight w:val="none"/>
        </w:rPr>
        <w:t>采购活动前三年内，在经营活动中没有重大违法记录。（重大违法记录，是指供应商因违法经营受到刑事处罚或者责令停产停业、吊销许可证或者执照、较大数额罚款等行政处罚。）</w:t>
      </w:r>
    </w:p>
    <w:p w14:paraId="3FD44D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sz w:val="24"/>
          <w:szCs w:val="32"/>
          <w:highlight w:val="none"/>
        </w:rPr>
      </w:pPr>
      <w:r>
        <w:rPr>
          <w:rFonts w:hint="eastAsia" w:ascii="宋体" w:hAnsi="宋体" w:eastAsia="宋体" w:cs="宋体"/>
          <w:sz w:val="24"/>
          <w:szCs w:val="32"/>
          <w:highlight w:val="none"/>
        </w:rPr>
        <w:t>七、我单位具备法律、行政法规规定的其他条件。</w:t>
      </w:r>
    </w:p>
    <w:p w14:paraId="175B2F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w:t>
      </w:r>
      <w:r>
        <w:rPr>
          <w:rFonts w:hint="eastAsia" w:ascii="宋体" w:hAnsi="宋体" w:eastAsia="宋体" w:cs="宋体"/>
          <w:sz w:val="24"/>
          <w:szCs w:val="32"/>
          <w:highlight w:val="none"/>
          <w:lang w:eastAsia="zh-CN"/>
        </w:rPr>
        <w:t>采购相关</w:t>
      </w:r>
      <w:r>
        <w:rPr>
          <w:rFonts w:hint="eastAsia" w:ascii="宋体" w:hAnsi="宋体" w:eastAsia="宋体" w:cs="宋体"/>
          <w:sz w:val="24"/>
          <w:szCs w:val="32"/>
          <w:highlight w:val="none"/>
        </w:rPr>
        <w:t>规定的供应商资格条件。如有弄虚作假，我单位愿意按照“提供虚假材料谋取中标”承担相应的法律责任，同意将违背承诺行为作为失信行为记录到社会信用信息平台，并承担因此所造成的一切损失。</w:t>
      </w:r>
    </w:p>
    <w:p w14:paraId="73E0DD1F">
      <w:pPr>
        <w:spacing w:line="360" w:lineRule="auto"/>
        <w:rPr>
          <w:rFonts w:hint="eastAsia" w:ascii="宋体" w:hAnsi="宋体" w:eastAsia="宋体" w:cs="宋体"/>
          <w:sz w:val="24"/>
          <w:szCs w:val="32"/>
          <w:highlight w:val="none"/>
        </w:rPr>
      </w:pPr>
    </w:p>
    <w:p w14:paraId="10D87BDC">
      <w:pPr>
        <w:spacing w:line="360" w:lineRule="auto"/>
        <w:ind w:firstLine="3960" w:firstLineChars="1650"/>
        <w:rPr>
          <w:rFonts w:hint="eastAsia" w:ascii="宋体" w:hAnsi="宋体" w:eastAsia="宋体" w:cs="宋体"/>
          <w:sz w:val="24"/>
          <w:szCs w:val="32"/>
          <w:highlight w:val="none"/>
        </w:rPr>
      </w:pPr>
    </w:p>
    <w:p w14:paraId="402FD3CD">
      <w:pPr>
        <w:spacing w:line="360" w:lineRule="auto"/>
        <w:ind w:firstLine="3960" w:firstLineChars="1650"/>
        <w:rPr>
          <w:rFonts w:hint="eastAsia" w:ascii="宋体" w:hAnsi="宋体" w:eastAsia="宋体" w:cs="宋体"/>
          <w:sz w:val="24"/>
          <w:szCs w:val="32"/>
          <w:highlight w:val="none"/>
        </w:rPr>
      </w:pPr>
      <w:r>
        <w:rPr>
          <w:rFonts w:hint="eastAsia" w:ascii="宋体" w:hAnsi="宋体" w:eastAsia="宋体" w:cs="宋体"/>
          <w:sz w:val="24"/>
          <w:szCs w:val="32"/>
          <w:highlight w:val="none"/>
        </w:rPr>
        <w:t>承诺单位（盖章）：</w:t>
      </w:r>
    </w:p>
    <w:p w14:paraId="0BFF841E">
      <w:pPr>
        <w:spacing w:line="360" w:lineRule="auto"/>
        <w:ind w:firstLine="3960" w:firstLineChars="1650"/>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color w:val="000000"/>
          <w:sz w:val="24"/>
          <w:highlight w:val="none"/>
          <w:lang w:eastAsia="zh-CN"/>
        </w:rPr>
        <w:t>授权委托人</w:t>
      </w:r>
      <w:r>
        <w:rPr>
          <w:rFonts w:hint="eastAsia" w:ascii="宋体" w:hAnsi="宋体" w:eastAsia="宋体" w:cs="宋体"/>
          <w:sz w:val="24"/>
          <w:szCs w:val="32"/>
          <w:highlight w:val="none"/>
        </w:rPr>
        <w:t xml:space="preserve">（签字或盖章）： </w:t>
      </w:r>
    </w:p>
    <w:p w14:paraId="3D2250B5">
      <w:pPr>
        <w:spacing w:line="360" w:lineRule="auto"/>
        <w:ind w:firstLine="3960" w:firstLineChars="1650"/>
        <w:rPr>
          <w:rFonts w:hint="eastAsia" w:ascii="宋体" w:hAnsi="宋体" w:eastAsia="宋体" w:cs="宋体"/>
          <w:b/>
          <w:bCs/>
          <w:color w:val="000000"/>
          <w:kern w:val="0"/>
          <w:sz w:val="44"/>
          <w:szCs w:val="44"/>
          <w:highlight w:val="none"/>
        </w:rPr>
      </w:pPr>
      <w:r>
        <w:rPr>
          <w:rFonts w:hint="eastAsia" w:ascii="宋体" w:hAnsi="宋体" w:eastAsia="宋体" w:cs="宋体"/>
          <w:sz w:val="24"/>
          <w:szCs w:val="32"/>
          <w:highlight w:val="none"/>
        </w:rPr>
        <w:t>日期： 年  月  日</w:t>
      </w:r>
    </w:p>
    <w:p w14:paraId="20553228">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712A549F">
      <w:pPr>
        <w:wordWrap w:val="0"/>
        <w:topLinePunct/>
        <w:spacing w:line="360" w:lineRule="auto"/>
        <w:rPr>
          <w:rFonts w:hint="eastAsia" w:ascii="宋体" w:hAnsi="宋体" w:eastAsia="宋体" w:cs="宋体"/>
          <w:b/>
          <w:bCs/>
          <w:szCs w:val="21"/>
          <w:highlight w:val="none"/>
        </w:rPr>
      </w:pPr>
    </w:p>
    <w:p w14:paraId="15BFBB68">
      <w:pPr>
        <w:wordWrap w:val="0"/>
        <w:topLinePunct/>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w:t>
      </w:r>
    </w:p>
    <w:p w14:paraId="013453F2">
      <w:pPr>
        <w:snapToGrid w:val="0"/>
        <w:spacing w:line="480" w:lineRule="exact"/>
        <w:jc w:val="center"/>
        <w:rPr>
          <w:rFonts w:ascii="宋体" w:hAnsi="宋体" w:eastAsia="宋体" w:cs="宋体"/>
          <w:b/>
          <w:bCs/>
          <w:kern w:val="10"/>
          <w:sz w:val="32"/>
          <w:szCs w:val="32"/>
          <w:highlight w:val="none"/>
        </w:rPr>
      </w:pPr>
      <w:r>
        <w:rPr>
          <w:rFonts w:hint="eastAsia" w:ascii="宋体" w:hAnsi="宋体" w:eastAsia="宋体" w:cs="宋体"/>
          <w:b/>
          <w:bCs/>
          <w:kern w:val="10"/>
          <w:sz w:val="32"/>
          <w:szCs w:val="32"/>
          <w:highlight w:val="none"/>
        </w:rPr>
        <w:t>中小微企业声明函</w:t>
      </w:r>
    </w:p>
    <w:p w14:paraId="5E46592A">
      <w:pPr>
        <w:jc w:val="center"/>
        <w:rPr>
          <w:rFonts w:ascii="宋体" w:hAnsi="宋体" w:eastAsia="宋体" w:cs="宋体"/>
          <w:b/>
          <w:bCs/>
          <w:iCs/>
          <w:color w:val="000000"/>
          <w:sz w:val="24"/>
          <w:szCs w:val="24"/>
          <w:highlight w:val="none"/>
        </w:rPr>
      </w:pPr>
      <w:r>
        <w:rPr>
          <w:rFonts w:hint="eastAsia" w:ascii="宋体" w:hAnsi="宋体" w:eastAsia="宋体" w:cs="宋体"/>
          <w:b/>
          <w:bCs/>
          <w:iCs/>
          <w:color w:val="000000"/>
          <w:sz w:val="24"/>
          <w:szCs w:val="24"/>
          <w:highlight w:val="none"/>
        </w:rPr>
        <w:t>（属于中小微企业的填写，不属于的无需填写此项内容）</w:t>
      </w:r>
    </w:p>
    <w:p w14:paraId="291B3DED">
      <w:pPr>
        <w:spacing w:line="360" w:lineRule="auto"/>
        <w:ind w:firstLine="480" w:firstLineChars="200"/>
        <w:rPr>
          <w:rFonts w:ascii="宋体" w:hAnsi="宋体" w:eastAsia="宋体" w:cs="Times New Roman"/>
          <w:color w:val="000000"/>
          <w:sz w:val="24"/>
          <w:szCs w:val="24"/>
          <w:highlight w:val="none"/>
        </w:rPr>
      </w:pPr>
    </w:p>
    <w:p w14:paraId="02CFC87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本公司（联合体） 郑重声明， 根据《政府采购促进中小企业发展管理办法》（财库﹝ 2020﹞ 46 号） 的规定， 本公司（联合体） 参加</w:t>
      </w:r>
      <w:r>
        <w:rPr>
          <w:rFonts w:hint="eastAsia" w:ascii="宋体" w:hAnsi="宋体" w:eastAsia="宋体" w:cs="Times New Roman"/>
          <w:color w:val="000000"/>
          <w:sz w:val="24"/>
          <w:szCs w:val="24"/>
          <w:highlight w:val="none"/>
          <w:u w:val="single"/>
        </w:rPr>
        <w:t>（单位名称）</w:t>
      </w:r>
      <w:r>
        <w:rPr>
          <w:rFonts w:hint="eastAsia" w:ascii="宋体" w:hAnsi="宋体" w:eastAsia="宋体" w:cs="Times New Roman"/>
          <w:color w:val="000000"/>
          <w:sz w:val="24"/>
          <w:szCs w:val="24"/>
          <w:highlight w:val="none"/>
        </w:rPr>
        <w:t xml:space="preserve"> 的</w:t>
      </w:r>
      <w:r>
        <w:rPr>
          <w:rFonts w:hint="eastAsia" w:ascii="宋体" w:hAnsi="宋体" w:eastAsia="宋体" w:cs="Times New Roman"/>
          <w:color w:val="000000"/>
          <w:sz w:val="24"/>
          <w:szCs w:val="24"/>
          <w:highlight w:val="none"/>
          <w:u w:val="single"/>
        </w:rPr>
        <w:t>（项目名称）</w:t>
      </w:r>
      <w:r>
        <w:rPr>
          <w:rFonts w:hint="eastAsia" w:ascii="宋体" w:hAnsi="宋体" w:eastAsia="宋体" w:cs="Times New Roman"/>
          <w:color w:val="000000"/>
          <w:sz w:val="24"/>
          <w:szCs w:val="24"/>
          <w:highlight w:val="none"/>
        </w:rPr>
        <w:t xml:space="preserve"> 采购活动， 工程的施工单位全部为符合政策要求的中小企业。具体情况如下：</w:t>
      </w:r>
    </w:p>
    <w:p w14:paraId="0A269870">
      <w:pPr>
        <w:spacing w:line="360" w:lineRule="auto"/>
        <w:ind w:firstLine="480" w:firstLineChars="200"/>
        <w:rPr>
          <w:rFonts w:ascii="宋体" w:hAnsi="宋体" w:eastAsia="宋体" w:cs="Times New Roman"/>
          <w:color w:val="000000"/>
          <w:sz w:val="24"/>
          <w:szCs w:val="24"/>
          <w:highlight w:val="none"/>
          <w:u w:val="single"/>
        </w:rPr>
      </w:pPr>
      <w:r>
        <w:rPr>
          <w:rFonts w:hint="eastAsia" w:ascii="宋体" w:hAnsi="宋体" w:eastAsia="宋体" w:cs="Times New Roman"/>
          <w:color w:val="000000"/>
          <w:sz w:val="24"/>
          <w:szCs w:val="24"/>
          <w:highlight w:val="none"/>
          <w:u w:val="single"/>
        </w:rPr>
        <w:t>（标的名称）</w:t>
      </w:r>
      <w:r>
        <w:rPr>
          <w:rFonts w:hint="eastAsia" w:ascii="宋体" w:hAnsi="宋体" w:eastAsia="宋体" w:cs="Times New Roman"/>
          <w:color w:val="000000"/>
          <w:sz w:val="24"/>
          <w:szCs w:val="24"/>
          <w:highlight w:val="none"/>
        </w:rPr>
        <w:t xml:space="preserve"> ， 属于</w:t>
      </w:r>
      <w:r>
        <w:rPr>
          <w:rFonts w:hint="eastAsia" w:ascii="宋体" w:hAnsi="宋体" w:eastAsia="宋体" w:cs="Times New Roman"/>
          <w:color w:val="000000"/>
          <w:sz w:val="24"/>
          <w:szCs w:val="24"/>
          <w:highlight w:val="none"/>
          <w:u w:val="single"/>
        </w:rPr>
        <w:t>（建筑业）</w:t>
      </w:r>
      <w:r>
        <w:rPr>
          <w:rFonts w:hint="eastAsia" w:ascii="宋体" w:hAnsi="宋体" w:eastAsia="宋体" w:cs="Times New Roman"/>
          <w:color w:val="000000"/>
          <w:sz w:val="24"/>
          <w:szCs w:val="24"/>
          <w:highlight w:val="none"/>
        </w:rPr>
        <w:t>； 承建（承接）企业为</w:t>
      </w:r>
      <w:r>
        <w:rPr>
          <w:rFonts w:hint="eastAsia" w:ascii="宋体" w:hAnsi="宋体" w:eastAsia="宋体" w:cs="Times New Roman"/>
          <w:color w:val="000000"/>
          <w:sz w:val="24"/>
          <w:szCs w:val="24"/>
          <w:highlight w:val="none"/>
          <w:u w:val="single"/>
        </w:rPr>
        <w:t>（ 企业名称）</w:t>
      </w:r>
      <w:r>
        <w:rPr>
          <w:rFonts w:hint="eastAsia" w:ascii="宋体" w:hAnsi="宋体" w:eastAsia="宋体" w:cs="Times New Roman"/>
          <w:color w:val="000000"/>
          <w:sz w:val="24"/>
          <w:szCs w:val="24"/>
          <w:highlight w:val="none"/>
        </w:rPr>
        <w:t>， 从业人员</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人， 营业收入为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 资产总额为</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万元， 属于</w:t>
      </w:r>
      <w:r>
        <w:rPr>
          <w:rFonts w:hint="eastAsia" w:ascii="宋体" w:hAnsi="宋体" w:eastAsia="宋体" w:cs="Times New Roman"/>
          <w:color w:val="000000"/>
          <w:sz w:val="24"/>
          <w:szCs w:val="24"/>
          <w:highlight w:val="none"/>
          <w:u w:val="single"/>
        </w:rPr>
        <w:t>（中型企业、 小型企业、 微型企业）</w:t>
      </w:r>
      <w:r>
        <w:rPr>
          <w:rFonts w:hint="eastAsia" w:ascii="宋体" w:hAnsi="宋体" w:eastAsia="宋体" w:cs="Times New Roman"/>
          <w:color w:val="000000"/>
          <w:sz w:val="24"/>
          <w:szCs w:val="24"/>
          <w:highlight w:val="none"/>
        </w:rPr>
        <w:t>；</w:t>
      </w:r>
    </w:p>
    <w:p w14:paraId="6C1F5BC4">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本企业不属于大企业的分支机构， 不存在控股股东为大企业的情形， 也不存在与大企业的负责人为同一人的情形。</w:t>
      </w:r>
    </w:p>
    <w:p w14:paraId="732EF92E">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本企业对上述声明内容的真实性负责。 如有虚假， 将依法承担相应责任。</w:t>
      </w:r>
    </w:p>
    <w:p w14:paraId="44D8626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企业名称（盖章）：</w:t>
      </w:r>
    </w:p>
    <w:p w14:paraId="645E38C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日 期：</w:t>
      </w:r>
    </w:p>
    <w:p w14:paraId="20565A45">
      <w:pPr>
        <w:spacing w:line="360" w:lineRule="auto"/>
        <w:ind w:firstLine="480" w:firstLineChars="200"/>
        <w:rPr>
          <w:rFonts w:ascii="宋体" w:hAnsi="宋体" w:eastAsia="宋体" w:cs="宋体"/>
          <w:iCs/>
          <w:color w:val="000000"/>
          <w:sz w:val="24"/>
          <w:szCs w:val="24"/>
          <w:highlight w:val="none"/>
        </w:rPr>
      </w:pPr>
      <w:r>
        <w:rPr>
          <w:rFonts w:hint="eastAsia" w:ascii="宋体" w:hAnsi="宋体" w:eastAsia="宋体" w:cs="Times New Roman"/>
          <w:color w:val="000000"/>
          <w:sz w:val="24"/>
          <w:szCs w:val="24"/>
          <w:highlight w:val="none"/>
        </w:rPr>
        <w:t>注：从业人员、 营业收入、 资产总额填报上一年度数据， 无上一年度数据的新成立企业可不填报。</w:t>
      </w:r>
    </w:p>
    <w:p w14:paraId="382CCFDC">
      <w:pPr>
        <w:wordWrap w:val="0"/>
        <w:topLinePunct/>
        <w:spacing w:line="360" w:lineRule="auto"/>
        <w:rPr>
          <w:rFonts w:ascii="宋体" w:hAnsi="宋体" w:eastAsia="宋体" w:cs="宋体"/>
          <w:szCs w:val="21"/>
          <w:highlight w:val="none"/>
        </w:rPr>
      </w:pPr>
    </w:p>
    <w:p w14:paraId="53491AFB">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ascii="宋体" w:hAnsi="宋体" w:eastAsia="宋体" w:cs="宋体"/>
          <w:szCs w:val="21"/>
          <w:highlight w:val="none"/>
        </w:rPr>
      </w:pPr>
      <w:r>
        <w:rPr>
          <w:rFonts w:ascii="宋体" w:hAnsi="宋体" w:eastAsia="宋体" w:cs="宋体"/>
          <w:szCs w:val="21"/>
          <w:highlight w:val="none"/>
        </w:rPr>
        <w:br w:type="page"/>
      </w:r>
    </w:p>
    <w:p w14:paraId="32C4B2A7">
      <w:pPr>
        <w:wordWrap w:val="0"/>
        <w:topLinePunct/>
        <w:spacing w:line="360" w:lineRule="auto"/>
        <w:rPr>
          <w:rFonts w:hint="eastAsia" w:ascii="宋体" w:hAnsi="宋体" w:eastAsia="宋体" w:cs="宋体"/>
          <w:b/>
          <w:bCs/>
          <w:szCs w:val="21"/>
          <w:highlight w:val="none"/>
        </w:rPr>
      </w:pPr>
    </w:p>
    <w:p w14:paraId="38B76DEB">
      <w:pPr>
        <w:wordWrap w:val="0"/>
        <w:topLinePunct/>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附件</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w:t>
      </w:r>
    </w:p>
    <w:p w14:paraId="4199A0ED">
      <w:pPr>
        <w:wordWrap w:val="0"/>
        <w:topLinePunct/>
        <w:spacing w:line="360" w:lineRule="auto"/>
        <w:jc w:val="center"/>
        <w:rPr>
          <w:rFonts w:hint="eastAsia" w:ascii="宋体" w:hAnsi="宋体" w:eastAsia="宋体" w:cs="宋体"/>
          <w:sz w:val="32"/>
          <w:szCs w:val="32"/>
          <w:highlight w:val="none"/>
          <w:lang w:eastAsia="zh-CN"/>
        </w:rPr>
      </w:pPr>
      <w:r>
        <w:rPr>
          <w:rFonts w:hint="eastAsia" w:ascii="宋体" w:hAnsi="宋体" w:eastAsia="宋体" w:cs="宋体"/>
          <w:b/>
          <w:bCs/>
          <w:sz w:val="32"/>
          <w:szCs w:val="32"/>
          <w:highlight w:val="none"/>
          <w:lang w:eastAsia="zh-CN"/>
        </w:rPr>
        <w:t>承诺书</w:t>
      </w:r>
    </w:p>
    <w:p w14:paraId="21117DC9">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致</w:t>
      </w:r>
      <w:r>
        <w:rPr>
          <w:rFonts w:hint="eastAsia" w:asciiTheme="majorEastAsia" w:hAnsiTheme="majorEastAsia" w:eastAsiaTheme="majorEastAsia" w:cstheme="majorEastAsia"/>
          <w:kern w:val="0"/>
          <w:sz w:val="24"/>
          <w:szCs w:val="24"/>
          <w:highlight w:val="none"/>
          <w:u w:val="single"/>
          <w:lang w:val="en-US" w:eastAsia="zh-CN"/>
        </w:rPr>
        <w:t xml:space="preserve">      </w:t>
      </w:r>
      <w:r>
        <w:rPr>
          <w:rFonts w:hint="eastAsia" w:asciiTheme="majorEastAsia" w:hAnsiTheme="majorEastAsia" w:eastAsiaTheme="majorEastAsia" w:cstheme="majorEastAsia"/>
          <w:kern w:val="0"/>
          <w:sz w:val="24"/>
          <w:szCs w:val="24"/>
          <w:highlight w:val="none"/>
          <w:lang w:val="en-US" w:eastAsia="zh-CN"/>
        </w:rPr>
        <w:t>（采购人及采购代理公司）：</w:t>
      </w:r>
    </w:p>
    <w:p w14:paraId="7B079B98">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default"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我公司不存在以下情况：</w:t>
      </w:r>
    </w:p>
    <w:p w14:paraId="1293BF48">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1、与采购人存</w:t>
      </w:r>
      <w:r>
        <w:rPr>
          <w:rFonts w:hint="eastAsia" w:asciiTheme="majorEastAsia" w:hAnsiTheme="majorEastAsia" w:eastAsiaTheme="majorEastAsia" w:cstheme="majorEastAsia"/>
          <w:kern w:val="0"/>
          <w:sz w:val="24"/>
          <w:szCs w:val="24"/>
          <w:highlight w:val="none"/>
        </w:rPr>
        <w:t>在利害关系且可能影响磋商公正性；</w:t>
      </w:r>
    </w:p>
    <w:p w14:paraId="3FCF5BC9">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与本磋商项目的其他供应商为同一个单位负责人；</w:t>
      </w:r>
    </w:p>
    <w:p w14:paraId="35144D96">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与本磋商项目的其他供应商存在控股、管理关系；</w:t>
      </w:r>
    </w:p>
    <w:p w14:paraId="4589D437">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为本项目的代建人；</w:t>
      </w:r>
    </w:p>
    <w:p w14:paraId="16DBABFB">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5、</w:t>
      </w:r>
      <w:r>
        <w:rPr>
          <w:rFonts w:hint="eastAsia" w:asciiTheme="majorEastAsia" w:hAnsiTheme="majorEastAsia" w:eastAsiaTheme="majorEastAsia" w:cstheme="majorEastAsia"/>
          <w:kern w:val="0"/>
          <w:sz w:val="24"/>
          <w:szCs w:val="24"/>
          <w:highlight w:val="none"/>
        </w:rPr>
        <w:t>与本项目的代建人或采购代理机构同为一个法定代表人；</w:t>
      </w:r>
    </w:p>
    <w:p w14:paraId="3B6A6509">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kern w:val="0"/>
          <w:sz w:val="24"/>
          <w:szCs w:val="24"/>
          <w:highlight w:val="none"/>
        </w:rPr>
        <w:t>与本项目的代建人或采购代理机构存在控股或参股关系；</w:t>
      </w:r>
    </w:p>
    <w:p w14:paraId="59FAC3D4">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7、</w:t>
      </w:r>
      <w:r>
        <w:rPr>
          <w:rFonts w:hint="eastAsia" w:asciiTheme="majorEastAsia" w:hAnsiTheme="majorEastAsia" w:eastAsiaTheme="majorEastAsia" w:cstheme="majorEastAsia"/>
          <w:kern w:val="0"/>
          <w:sz w:val="24"/>
          <w:szCs w:val="24"/>
          <w:highlight w:val="none"/>
        </w:rPr>
        <w:t>为本磋商项目的采购代理机构；</w:t>
      </w:r>
    </w:p>
    <w:p w14:paraId="48AB66F9">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8</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供应商以他人名义投标、串通投标、以行贿手段牟取中标，或在投标中弄虚作假的；</w:t>
      </w:r>
    </w:p>
    <w:p w14:paraId="641D6F0A">
      <w:pPr>
        <w:pageBreakBefore w:val="0"/>
        <w:widowControl w:val="0"/>
        <w:numPr>
          <w:ilvl w:val="0"/>
          <w:numId w:val="0"/>
        </w:numPr>
        <w:kinsoku/>
        <w:wordWrap w:val="0"/>
        <w:overflowPunct/>
        <w:topLinePunct/>
        <w:autoSpaceDE w:val="0"/>
        <w:autoSpaceDN w:val="0"/>
        <w:bidi w:val="0"/>
        <w:adjustRightInd w:val="0"/>
        <w:spacing w:line="500" w:lineRule="exact"/>
        <w:ind w:right="40" w:rightChars="0"/>
        <w:jc w:val="left"/>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9、</w:t>
      </w:r>
      <w:r>
        <w:rPr>
          <w:rFonts w:hint="eastAsia" w:asciiTheme="majorEastAsia" w:hAnsiTheme="majorEastAsia" w:eastAsiaTheme="majorEastAsia" w:cstheme="majorEastAsia"/>
          <w:kern w:val="0"/>
          <w:sz w:val="24"/>
          <w:szCs w:val="24"/>
          <w:highlight w:val="none"/>
        </w:rPr>
        <w:t>法律法规规定的其他情形。</w:t>
      </w:r>
    </w:p>
    <w:p w14:paraId="2398C55C">
      <w:pPr>
        <w:spacing w:line="360" w:lineRule="auto"/>
        <w:ind w:firstLine="3960" w:firstLineChars="1650"/>
        <w:rPr>
          <w:rFonts w:hint="eastAsia" w:ascii="宋体" w:hAnsi="宋体" w:eastAsia="宋体" w:cs="宋体"/>
          <w:sz w:val="24"/>
          <w:szCs w:val="32"/>
          <w:highlight w:val="none"/>
        </w:rPr>
      </w:pPr>
      <w:r>
        <w:rPr>
          <w:rFonts w:hint="eastAsia" w:ascii="宋体" w:hAnsi="宋体" w:eastAsia="宋体" w:cs="宋体"/>
          <w:sz w:val="24"/>
          <w:szCs w:val="32"/>
          <w:highlight w:val="none"/>
        </w:rPr>
        <w:t>承诺单位（盖章）：</w:t>
      </w:r>
    </w:p>
    <w:p w14:paraId="37F7E236">
      <w:pPr>
        <w:spacing w:line="360" w:lineRule="auto"/>
        <w:ind w:firstLine="3960" w:firstLineChars="1650"/>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color w:val="000000"/>
          <w:sz w:val="24"/>
          <w:highlight w:val="none"/>
          <w:lang w:eastAsia="zh-CN"/>
        </w:rPr>
        <w:t>授权委托人</w:t>
      </w:r>
      <w:r>
        <w:rPr>
          <w:rFonts w:hint="eastAsia" w:ascii="宋体" w:hAnsi="宋体" w:eastAsia="宋体" w:cs="宋体"/>
          <w:sz w:val="24"/>
          <w:szCs w:val="32"/>
          <w:highlight w:val="none"/>
        </w:rPr>
        <w:t xml:space="preserve">（签字或盖章）： </w:t>
      </w:r>
    </w:p>
    <w:p w14:paraId="3B272005">
      <w:pPr>
        <w:spacing w:line="360" w:lineRule="auto"/>
        <w:ind w:firstLine="3960" w:firstLineChars="1650"/>
        <w:rPr>
          <w:rFonts w:hint="eastAsia" w:ascii="宋体" w:hAnsi="宋体" w:eastAsia="宋体" w:cs="宋体"/>
          <w:b/>
          <w:bCs/>
          <w:color w:val="000000"/>
          <w:kern w:val="0"/>
          <w:sz w:val="44"/>
          <w:szCs w:val="44"/>
          <w:highlight w:val="none"/>
        </w:rPr>
      </w:pPr>
      <w:r>
        <w:rPr>
          <w:rFonts w:hint="eastAsia" w:ascii="宋体" w:hAnsi="宋体" w:eastAsia="宋体" w:cs="宋体"/>
          <w:sz w:val="24"/>
          <w:szCs w:val="32"/>
          <w:highlight w:val="none"/>
        </w:rPr>
        <w:t>日期： 年  月  日</w:t>
      </w:r>
    </w:p>
    <w:p w14:paraId="156ACCDF">
      <w:pPr>
        <w:wordWrap w:val="0"/>
        <w:topLinePunct/>
        <w:spacing w:line="360" w:lineRule="auto"/>
        <w:ind w:firstLine="480" w:firstLineChars="200"/>
        <w:rPr>
          <w:rFonts w:ascii="宋体" w:hAnsi="宋体" w:eastAsia="宋体" w:cs="Times New Roman"/>
          <w:sz w:val="24"/>
          <w:szCs w:val="24"/>
          <w:highlight w:val="none"/>
        </w:rPr>
      </w:pPr>
    </w:p>
    <w:p w14:paraId="17AF6852">
      <w:pPr>
        <w:rPr>
          <w:rFonts w:hint="eastAsia"/>
          <w:highlight w:val="none"/>
          <w:lang w:eastAsia="zh-CN"/>
        </w:rPr>
      </w:pPr>
    </w:p>
    <w:p w14:paraId="0777C152">
      <w:pPr>
        <w:rPr>
          <w:rFonts w:hint="eastAsia"/>
          <w:highlight w:val="none"/>
          <w:lang w:eastAsia="zh-CN"/>
        </w:rPr>
      </w:pPr>
    </w:p>
    <w:p w14:paraId="5D46E428">
      <w:pPr>
        <w:rPr>
          <w:rFonts w:hint="eastAsia"/>
          <w:highlight w:val="none"/>
          <w:lang w:eastAsia="zh-CN"/>
        </w:rPr>
      </w:pPr>
    </w:p>
    <w:p w14:paraId="15E7E921">
      <w:pPr>
        <w:rPr>
          <w:rFonts w:hint="eastAsia"/>
          <w:highlight w:val="none"/>
          <w:lang w:eastAsia="zh-CN"/>
        </w:rPr>
      </w:pPr>
    </w:p>
    <w:p w14:paraId="61FFF98A">
      <w:pPr>
        <w:rPr>
          <w:rFonts w:hint="eastAsia"/>
          <w:highlight w:val="none"/>
          <w:lang w:val="en-US" w:eastAsia="zh-CN"/>
        </w:rPr>
      </w:pPr>
    </w:p>
    <w:p w14:paraId="3861623F">
      <w:pPr>
        <w:rPr>
          <w:rFonts w:hint="eastAsia"/>
          <w:highlight w:val="none"/>
          <w:lang w:val="en-US" w:eastAsia="zh-CN"/>
        </w:rPr>
      </w:pPr>
    </w:p>
    <w:p w14:paraId="01D0B3ED">
      <w:pPr>
        <w:rPr>
          <w:rFonts w:hint="eastAsia"/>
          <w:highlight w:val="none"/>
          <w:lang w:val="en-US" w:eastAsia="zh-CN"/>
        </w:rPr>
      </w:pPr>
    </w:p>
    <w:p w14:paraId="5DF9AB81">
      <w:pPr>
        <w:rPr>
          <w:rFonts w:hint="eastAsia"/>
          <w:highlight w:val="none"/>
          <w:lang w:val="en-US" w:eastAsia="zh-CN"/>
        </w:rPr>
      </w:pPr>
    </w:p>
    <w:p w14:paraId="58983239">
      <w:pPr>
        <w:rPr>
          <w:rFonts w:hint="eastAsia"/>
          <w:highlight w:val="none"/>
          <w:lang w:val="en-US" w:eastAsia="zh-CN"/>
        </w:rPr>
      </w:pPr>
    </w:p>
    <w:p w14:paraId="087EF741">
      <w:pPr>
        <w:keepNext/>
        <w:keepLines/>
        <w:numPr>
          <w:ilvl w:val="0"/>
          <w:numId w:val="0"/>
        </w:numPr>
        <w:tabs>
          <w:tab w:val="left" w:pos="840"/>
        </w:tabs>
        <w:wordWrap w:val="0"/>
        <w:topLinePunct/>
        <w:spacing w:line="360" w:lineRule="auto"/>
        <w:jc w:val="both"/>
        <w:outlineLvl w:val="1"/>
        <w:rPr>
          <w:rFonts w:hint="eastAsia" w:ascii="宋体" w:hAnsi="宋体" w:eastAsia="宋体" w:cs="宋体"/>
          <w:b/>
          <w:bCs/>
          <w:sz w:val="28"/>
          <w:szCs w:val="28"/>
          <w:highlight w:val="none"/>
          <w:lang w:eastAsia="zh-CN"/>
        </w:rPr>
      </w:pPr>
    </w:p>
    <w:p w14:paraId="5D731E4D">
      <w:pPr>
        <w:pStyle w:val="2"/>
        <w:rPr>
          <w:rFonts w:hint="eastAsia" w:ascii="宋体" w:hAnsi="宋体" w:eastAsia="宋体" w:cs="宋体"/>
          <w:b/>
          <w:bCs/>
          <w:sz w:val="28"/>
          <w:szCs w:val="28"/>
          <w:highlight w:val="none"/>
          <w:lang w:eastAsia="zh-CN"/>
        </w:rPr>
      </w:pPr>
    </w:p>
    <w:p w14:paraId="773B9072">
      <w:pPr>
        <w:rPr>
          <w:rFonts w:hint="eastAsia"/>
          <w:lang w:eastAsia="zh-CN"/>
        </w:rPr>
      </w:pPr>
    </w:p>
    <w:p w14:paraId="38638FBC">
      <w:pPr>
        <w:keepNext/>
        <w:keepLines/>
        <w:numPr>
          <w:ilvl w:val="0"/>
          <w:numId w:val="0"/>
        </w:numPr>
        <w:tabs>
          <w:tab w:val="left" w:pos="840"/>
        </w:tabs>
        <w:wordWrap w:val="0"/>
        <w:topLinePunct/>
        <w:spacing w:line="360" w:lineRule="auto"/>
        <w:ind w:firstLine="1968" w:firstLineChars="700"/>
        <w:jc w:val="both"/>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lang w:eastAsia="zh-CN"/>
        </w:rPr>
        <w:t>九、</w:t>
      </w:r>
      <w:r>
        <w:rPr>
          <w:rFonts w:hint="eastAsia" w:ascii="宋体" w:hAnsi="宋体" w:eastAsia="宋体" w:cs="宋体"/>
          <w:b/>
          <w:bCs/>
          <w:sz w:val="28"/>
          <w:szCs w:val="28"/>
          <w:highlight w:val="none"/>
        </w:rPr>
        <w:t>供应商认为有必要提供的其它资料</w:t>
      </w:r>
    </w:p>
    <w:p w14:paraId="26E64F40">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0639CAA1">
      <w:pPr>
        <w:widowControl/>
        <w:spacing w:line="5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p>
    <w:p w14:paraId="0E19B9A0">
      <w:pPr>
        <w:widowControl/>
        <w:spacing w:line="500" w:lineRule="exact"/>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工业和信息化部、国家统计局、国家发展和改革委员会、财政部</w:t>
      </w:r>
    </w:p>
    <w:p w14:paraId="4A343C0C">
      <w:pPr>
        <w:widowControl/>
        <w:spacing w:line="500" w:lineRule="exact"/>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《关于印发中小企业划型标准规定的通知》</w:t>
      </w:r>
    </w:p>
    <w:p w14:paraId="79F4AE4B">
      <w:pPr>
        <w:widowControl/>
        <w:spacing w:line="500" w:lineRule="exact"/>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工信部联企业〔2011〕300号</w:t>
      </w:r>
    </w:p>
    <w:p w14:paraId="16742BE9">
      <w:pPr>
        <w:widowControl/>
        <w:spacing w:line="5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各省、自治区、直辖市人民政府，国务院各部委、各直属机构及有关单位： </w:t>
      </w:r>
    </w:p>
    <w:p w14:paraId="18964746">
      <w:pPr>
        <w:widowControl/>
        <w:spacing w:line="50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4ACDA3F1">
      <w:pPr>
        <w:widowControl/>
        <w:spacing w:line="500" w:lineRule="exact"/>
        <w:jc w:val="righ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工业和信息化部 国家统计局 国家发展和改革委员会 财政部 </w:t>
      </w:r>
    </w:p>
    <w:p w14:paraId="1499B80E">
      <w:pPr>
        <w:widowControl/>
        <w:spacing w:line="500" w:lineRule="exact"/>
        <w:jc w:val="righ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二○一一年六月十八日 </w:t>
      </w:r>
    </w:p>
    <w:p w14:paraId="6C6260EE">
      <w:pPr>
        <w:widowControl/>
        <w:spacing w:line="50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中小企业划型标准规定</w:t>
      </w:r>
    </w:p>
    <w:p w14:paraId="63F4F0FC">
      <w:pPr>
        <w:widowControl/>
        <w:spacing w:line="50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一、根据《中华人民共和国中小企业促进法》和《国务院关于进一步促进中小企业发展的若干意见》(国发〔2009〕36号)，制定本规定。 </w:t>
      </w:r>
    </w:p>
    <w:p w14:paraId="052D105E">
      <w:pPr>
        <w:widowControl/>
        <w:spacing w:line="50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二、中小企业划分为中型、小型、微型三种类型，具体标准根据企业从业人员、营业收入、资产总额等指标，结合行业特点制定。 </w:t>
      </w:r>
    </w:p>
    <w:p w14:paraId="76D45976">
      <w:pPr>
        <w:widowControl/>
        <w:spacing w:line="500" w:lineRule="exact"/>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385DB176">
      <w:pPr>
        <w:widowControl/>
        <w:spacing w:line="500" w:lineRule="exact"/>
        <w:ind w:firstLine="480" w:firstLineChars="200"/>
        <w:jc w:val="left"/>
        <w:outlineLvl w:val="1"/>
        <w:rPr>
          <w:rFonts w:ascii="宋体" w:hAnsi="宋体" w:eastAsia="宋体" w:cs="Times New Roman"/>
          <w:sz w:val="24"/>
          <w:szCs w:val="24"/>
          <w:highlight w:val="none"/>
        </w:rPr>
      </w:pPr>
      <w:bookmarkStart w:id="214" w:name="_Toc13041"/>
      <w:bookmarkStart w:id="215" w:name="_Toc29770"/>
      <w:r>
        <w:rPr>
          <w:rFonts w:hint="eastAsia" w:ascii="宋体" w:hAnsi="宋体" w:eastAsia="宋体" w:cs="Times New Roman"/>
          <w:sz w:val="24"/>
          <w:szCs w:val="24"/>
          <w:highlight w:val="none"/>
        </w:rPr>
        <w:t>四、各行业划型标准为</w:t>
      </w:r>
      <w:bookmarkEnd w:id="214"/>
      <w:bookmarkEnd w:id="215"/>
    </w:p>
    <w:p w14:paraId="4DDFDBE1">
      <w:pPr>
        <w:widowControl/>
        <w:spacing w:line="500" w:lineRule="exact"/>
        <w:ind w:firstLine="480" w:firstLineChars="200"/>
        <w:jc w:val="left"/>
        <w:rPr>
          <w:rFonts w:ascii="宋体" w:hAnsi="宋体" w:eastAsia="宋体" w:cs="Times New Roman"/>
          <w:sz w:val="24"/>
          <w:szCs w:val="24"/>
          <w:highlight w:val="none"/>
        </w:rPr>
      </w:pPr>
      <w:r>
        <w:rPr>
          <w:rFonts w:hint="eastAsia" w:ascii="宋体" w:hAnsi="宋体" w:eastAsia="宋体" w:cs="宋体"/>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D652B49">
      <w:pPr>
        <w:widowControl/>
        <w:spacing w:line="500" w:lineRule="exact"/>
        <w:jc w:val="left"/>
        <w:outlineLvl w:val="1"/>
        <w:rPr>
          <w:rFonts w:ascii="宋体" w:hAnsi="宋体" w:eastAsia="宋体" w:cs="Times New Roman"/>
          <w:sz w:val="24"/>
          <w:szCs w:val="24"/>
          <w:highlight w:val="none"/>
        </w:rPr>
      </w:pPr>
      <w:bookmarkStart w:id="216" w:name="_Toc12766"/>
      <w:bookmarkStart w:id="217" w:name="_Toc16515"/>
      <w:r>
        <w:rPr>
          <w:rFonts w:hint="eastAsia" w:ascii="宋体" w:hAnsi="宋体" w:eastAsia="宋体" w:cs="Times New Roman"/>
          <w:sz w:val="24"/>
          <w:szCs w:val="24"/>
          <w:highlight w:val="none"/>
        </w:rPr>
        <w:t>五、企业类型的划分以统计部门的统计数据为依据。</w:t>
      </w:r>
      <w:bookmarkEnd w:id="216"/>
      <w:bookmarkEnd w:id="217"/>
      <w:r>
        <w:rPr>
          <w:rFonts w:hint="eastAsia" w:ascii="宋体" w:hAnsi="宋体" w:eastAsia="宋体" w:cs="Times New Roman"/>
          <w:sz w:val="24"/>
          <w:szCs w:val="24"/>
          <w:highlight w:val="none"/>
        </w:rPr>
        <w:t xml:space="preserve"> </w:t>
      </w:r>
    </w:p>
    <w:p w14:paraId="356A3E9B">
      <w:pPr>
        <w:widowControl/>
        <w:spacing w:line="5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六、本规定适用于在中华人民共和国境内依法设立的各类所有制和各种组织形式的企业。个体工商户和本规定以外的行业，参照本规定进行划型。 </w:t>
      </w:r>
    </w:p>
    <w:p w14:paraId="465F9A7F">
      <w:pPr>
        <w:widowControl/>
        <w:spacing w:line="5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976F79D">
      <w:pPr>
        <w:widowControl/>
        <w:spacing w:line="5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八、本规定由工业和信息化部、国家统计局会同有关部门根据《国民经济行业分类》修订情况和企业发展变化情况适时修订。 </w:t>
      </w:r>
    </w:p>
    <w:p w14:paraId="207985FD">
      <w:pPr>
        <w:widowControl/>
        <w:spacing w:line="50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九、本规定由工业和信息化部、国家统计局会同有关部门负责解释。 </w:t>
      </w:r>
    </w:p>
    <w:p w14:paraId="61555849">
      <w:pPr>
        <w:widowControl/>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十、本规定自发布之日起执行，原国家经贸委、原国家计委、财政部和国家统计局2003年颁布的《中小企业标准暂行规定》同时废止。 </w:t>
      </w:r>
    </w:p>
    <w:p w14:paraId="591FB628">
      <w:pPr>
        <w:rPr>
          <w:rFonts w:hint="eastAsia" w:ascii="宋体" w:hAnsi="宋体" w:eastAsia="宋体" w:cs="Times New Roman"/>
          <w:sz w:val="24"/>
          <w:szCs w:val="24"/>
          <w:highlight w:val="none"/>
          <w:lang w:val="en-US" w:eastAsia="zh-CN"/>
        </w:rPr>
      </w:pPr>
    </w:p>
    <w:p w14:paraId="093E55FC"/>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75C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D023">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56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4A567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048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4935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64935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257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FD8DA3"/>
    <w:multiLevelType w:val="singleLevel"/>
    <w:tmpl w:val="3EFD8DA3"/>
    <w:lvl w:ilvl="0" w:tentative="0">
      <w:start w:val="6"/>
      <w:numFmt w:val="chineseCounting"/>
      <w:suff w:val="space"/>
      <w:lvlText w:val="第%1章"/>
      <w:lvlJc w:val="left"/>
      <w:rPr>
        <w:rFonts w:hint="eastAsia"/>
      </w:rPr>
    </w:lvl>
  </w:abstractNum>
  <w:abstractNum w:abstractNumId="2">
    <w:nsid w:val="7241744B"/>
    <w:multiLevelType w:val="multilevel"/>
    <w:tmpl w:val="7241744B"/>
    <w:lvl w:ilvl="0" w:tentative="0">
      <w:start w:val="1"/>
      <w:numFmt w:val="upperLetter"/>
      <w:pStyle w:val="4"/>
      <w:lvlText w:val="%1."/>
      <w:lvlJc w:val="left"/>
      <w:pPr>
        <w:tabs>
          <w:tab w:val="left" w:pos="2940"/>
        </w:tabs>
        <w:ind w:left="29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0000000"/>
    <w:rsid w:val="02685C0C"/>
    <w:rsid w:val="030D0562"/>
    <w:rsid w:val="03297E1B"/>
    <w:rsid w:val="043A5387"/>
    <w:rsid w:val="04D70E27"/>
    <w:rsid w:val="05192A24"/>
    <w:rsid w:val="079E5C2C"/>
    <w:rsid w:val="07B70A9C"/>
    <w:rsid w:val="0A3960E0"/>
    <w:rsid w:val="0CAC4948"/>
    <w:rsid w:val="0CCC4A95"/>
    <w:rsid w:val="0F22036B"/>
    <w:rsid w:val="119D0D03"/>
    <w:rsid w:val="11AB78C4"/>
    <w:rsid w:val="130A23C8"/>
    <w:rsid w:val="13497394"/>
    <w:rsid w:val="14EB7FD7"/>
    <w:rsid w:val="14EF5D19"/>
    <w:rsid w:val="156D698E"/>
    <w:rsid w:val="15704FA4"/>
    <w:rsid w:val="160C6457"/>
    <w:rsid w:val="168819F6"/>
    <w:rsid w:val="1A6C130A"/>
    <w:rsid w:val="1BE7774A"/>
    <w:rsid w:val="1C142509"/>
    <w:rsid w:val="1D091942"/>
    <w:rsid w:val="1E214A6A"/>
    <w:rsid w:val="1E34479D"/>
    <w:rsid w:val="21616D16"/>
    <w:rsid w:val="228A453F"/>
    <w:rsid w:val="2463402E"/>
    <w:rsid w:val="24AD7057"/>
    <w:rsid w:val="24C70119"/>
    <w:rsid w:val="25757B75"/>
    <w:rsid w:val="25A466AC"/>
    <w:rsid w:val="27FC27CF"/>
    <w:rsid w:val="28862099"/>
    <w:rsid w:val="28AB15F7"/>
    <w:rsid w:val="2AAF3B29"/>
    <w:rsid w:val="2B6A7A50"/>
    <w:rsid w:val="2BF808D8"/>
    <w:rsid w:val="2C547529"/>
    <w:rsid w:val="2CEF2903"/>
    <w:rsid w:val="2D2D2A3B"/>
    <w:rsid w:val="309317F7"/>
    <w:rsid w:val="32490004"/>
    <w:rsid w:val="33DC5263"/>
    <w:rsid w:val="345D599A"/>
    <w:rsid w:val="36714388"/>
    <w:rsid w:val="36B63100"/>
    <w:rsid w:val="3A6D5BC0"/>
    <w:rsid w:val="3A7206CF"/>
    <w:rsid w:val="3B891C6C"/>
    <w:rsid w:val="3C8B4A87"/>
    <w:rsid w:val="3C8D0ACB"/>
    <w:rsid w:val="3EB2553E"/>
    <w:rsid w:val="3F487C50"/>
    <w:rsid w:val="3FB35A12"/>
    <w:rsid w:val="3FBA0B4E"/>
    <w:rsid w:val="3FCA68B7"/>
    <w:rsid w:val="3FFD7414"/>
    <w:rsid w:val="40493C80"/>
    <w:rsid w:val="42750D5C"/>
    <w:rsid w:val="44692B43"/>
    <w:rsid w:val="44F076E2"/>
    <w:rsid w:val="454113CA"/>
    <w:rsid w:val="45A222D1"/>
    <w:rsid w:val="45DD7344"/>
    <w:rsid w:val="46072613"/>
    <w:rsid w:val="477E4B57"/>
    <w:rsid w:val="47E32C0C"/>
    <w:rsid w:val="4812704D"/>
    <w:rsid w:val="49005C2C"/>
    <w:rsid w:val="49F035F8"/>
    <w:rsid w:val="4B524331"/>
    <w:rsid w:val="4B616322"/>
    <w:rsid w:val="4CF82775"/>
    <w:rsid w:val="4D97427D"/>
    <w:rsid w:val="4F3F4BCC"/>
    <w:rsid w:val="4F913468"/>
    <w:rsid w:val="51DA0BDC"/>
    <w:rsid w:val="53D578AD"/>
    <w:rsid w:val="54534C76"/>
    <w:rsid w:val="5604091D"/>
    <w:rsid w:val="565C2507"/>
    <w:rsid w:val="56A17F1A"/>
    <w:rsid w:val="5789732C"/>
    <w:rsid w:val="59486D73"/>
    <w:rsid w:val="5A8E4C59"/>
    <w:rsid w:val="5BE0450C"/>
    <w:rsid w:val="5DFE3EA4"/>
    <w:rsid w:val="5E762641"/>
    <w:rsid w:val="5E780E5B"/>
    <w:rsid w:val="60CF1B28"/>
    <w:rsid w:val="631B71E4"/>
    <w:rsid w:val="63584057"/>
    <w:rsid w:val="64A5151D"/>
    <w:rsid w:val="65332685"/>
    <w:rsid w:val="66B912B0"/>
    <w:rsid w:val="68E048D2"/>
    <w:rsid w:val="6ADF73D5"/>
    <w:rsid w:val="6C52750E"/>
    <w:rsid w:val="6DAF2AF3"/>
    <w:rsid w:val="6E5B2C4D"/>
    <w:rsid w:val="6FC74E0E"/>
    <w:rsid w:val="70360DD7"/>
    <w:rsid w:val="71A62431"/>
    <w:rsid w:val="72EC0317"/>
    <w:rsid w:val="73B40246"/>
    <w:rsid w:val="742064CB"/>
    <w:rsid w:val="74884070"/>
    <w:rsid w:val="751A5610"/>
    <w:rsid w:val="7521699E"/>
    <w:rsid w:val="77A93226"/>
    <w:rsid w:val="77D442C7"/>
    <w:rsid w:val="781C344D"/>
    <w:rsid w:val="788D7EA7"/>
    <w:rsid w:val="794F33AE"/>
    <w:rsid w:val="79EC1313"/>
    <w:rsid w:val="7C1032C9"/>
    <w:rsid w:val="7C7A6994"/>
    <w:rsid w:val="7DBE77AA"/>
    <w:rsid w:val="7DFF53A3"/>
    <w:rsid w:val="7F295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2">
    <w:name w:val="heading 2"/>
    <w:basedOn w:val="1"/>
    <w:next w:val="1"/>
    <w:link w:val="27"/>
    <w:semiHidden/>
    <w:unhideWhenUsed/>
    <w:qFormat/>
    <w:uiPriority w:val="0"/>
    <w:pPr>
      <w:keepNext/>
      <w:keepLines w:val="0"/>
      <w:widowControl/>
      <w:suppressLineNumbers w:val="0"/>
      <w:spacing w:before="240" w:beforeAutospacing="0" w:after="60" w:afterAutospacing="0"/>
      <w:ind w:left="0" w:right="0"/>
      <w:jc w:val="left"/>
      <w:outlineLvl w:val="1"/>
    </w:pPr>
    <w:rPr>
      <w:rFonts w:ascii="Arial" w:hAnsi="Arial" w:eastAsia="宋体" w:cs="Times New Roman"/>
      <w:kern w:val="2"/>
      <w:sz w:val="28"/>
      <w:szCs w:val="28"/>
      <w:lang w:val="en-US" w:eastAsia="zh-CN" w:bidi="ar"/>
    </w:rPr>
  </w:style>
  <w:style w:type="paragraph" w:styleId="4">
    <w:name w:val="heading 3"/>
    <w:basedOn w:val="1"/>
    <w:next w:val="1"/>
    <w:link w:val="26"/>
    <w:semiHidden/>
    <w:unhideWhenUsed/>
    <w:qFormat/>
    <w:uiPriority w:val="0"/>
    <w:pPr>
      <w:keepNext/>
      <w:keepLines w:val="0"/>
      <w:widowControl/>
      <w:numPr>
        <w:ilvl w:val="0"/>
        <w:numId w:val="1"/>
      </w:numPr>
      <w:suppressLineNumbers w:val="0"/>
      <w:spacing w:before="0" w:beforeAutospacing="0" w:after="0" w:afterAutospacing="0"/>
      <w:ind w:left="2940" w:right="0" w:hanging="420"/>
      <w:jc w:val="left"/>
      <w:outlineLvl w:val="2"/>
    </w:pPr>
    <w:rPr>
      <w:rFonts w:hint="default" w:ascii="Times New Roman" w:hAnsi="Times New Roman" w:eastAsia="黑体" w:cs="Times New Roman"/>
      <w:b/>
      <w:bCs/>
      <w:kern w:val="0"/>
      <w:sz w:val="30"/>
      <w:szCs w:val="20"/>
      <w:lang w:val="en-US" w:eastAsia="zh-CN" w:bidi="ar"/>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6">
    <w:name w:val="Body Text 3"/>
    <w:basedOn w:val="1"/>
    <w:link w:val="29"/>
    <w:qFormat/>
    <w:uiPriority w:val="0"/>
    <w:pPr>
      <w:keepNext w:val="0"/>
      <w:keepLines w:val="0"/>
      <w:widowControl/>
      <w:suppressLineNumbers w:val="0"/>
      <w:spacing w:before="0" w:beforeAutospacing="0" w:after="0" w:afterAutospacing="0"/>
      <w:ind w:left="0" w:right="0"/>
      <w:jc w:val="left"/>
    </w:pPr>
    <w:rPr>
      <w:rFonts w:hint="eastAsia" w:ascii="宋体" w:hAnsi="Times New Roman" w:eastAsia="宋体" w:cs="Times New Roman"/>
      <w:kern w:val="0"/>
      <w:sz w:val="24"/>
      <w:szCs w:val="20"/>
      <w:lang w:val="en-US" w:eastAsia="zh-CN" w:bidi="ar"/>
    </w:rPr>
  </w:style>
  <w:style w:type="paragraph" w:styleId="7">
    <w:name w:val="Body Text"/>
    <w:basedOn w:val="1"/>
    <w:next w:val="8"/>
    <w:link w:val="33"/>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8">
    <w:name w:val="Body Text 2"/>
    <w:basedOn w:val="1"/>
    <w:link w:val="31"/>
    <w:qFormat/>
    <w:uiPriority w:val="0"/>
    <w:pPr>
      <w:keepNext w:val="0"/>
      <w:keepLines w:val="0"/>
      <w:widowControl/>
      <w:suppressLineNumbers w:val="0"/>
      <w:spacing w:before="0" w:beforeAutospacing="0" w:after="120" w:afterAutospacing="0" w:line="480" w:lineRule="auto"/>
      <w:ind w:left="0" w:right="0" w:firstLine="560" w:firstLineChars="200"/>
      <w:jc w:val="left"/>
    </w:pPr>
    <w:rPr>
      <w:rFonts w:hint="default" w:ascii="Calibri" w:hAnsi="Calibri" w:eastAsia="仿宋_GB2312" w:cs="Times New Roman"/>
      <w:kern w:val="0"/>
      <w:sz w:val="28"/>
      <w:szCs w:val="24"/>
      <w:lang w:val="en-US" w:eastAsia="zh-CN" w:bidi="ar"/>
    </w:rPr>
  </w:style>
  <w:style w:type="paragraph" w:styleId="9">
    <w:name w:val="Body Text Indent"/>
    <w:basedOn w:val="1"/>
    <w:link w:val="34"/>
    <w:qFormat/>
    <w:uiPriority w:val="0"/>
    <w:pPr>
      <w:spacing w:after="120" w:afterLines="0" w:afterAutospacing="0"/>
      <w:ind w:left="420" w:leftChars="200"/>
    </w:pPr>
  </w:style>
  <w:style w:type="paragraph" w:styleId="10">
    <w:name w:val="List 2"/>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0"/>
      <w:lang w:val="en-US" w:eastAsia="zh-CN" w:bidi="ar"/>
    </w:rPr>
  </w:style>
  <w:style w:type="paragraph" w:styleId="11">
    <w:name w:val="Plain Text"/>
    <w:basedOn w:val="1"/>
    <w:link w:val="30"/>
    <w:qFormat/>
    <w:uiPriority w:val="0"/>
    <w:pPr>
      <w:keepNext w:val="0"/>
      <w:keepLines w:val="0"/>
      <w:widowControl/>
      <w:suppressLineNumbers w:val="0"/>
      <w:spacing w:before="0" w:beforeAutospacing="0" w:after="0" w:afterAutospacing="0"/>
      <w:ind w:left="0" w:right="0"/>
      <w:jc w:val="left"/>
    </w:pPr>
    <w:rPr>
      <w:rFonts w:hint="eastAsia" w:ascii="宋体" w:hAnsi="Courier New" w:eastAsia="宋体" w:cs="Times New Roman"/>
      <w:kern w:val="0"/>
      <w:sz w:val="21"/>
      <w:szCs w:val="21"/>
      <w:lang w:val="en-US" w:eastAsia="zh-CN" w:bidi="ar"/>
    </w:rPr>
  </w:style>
  <w:style w:type="paragraph" w:styleId="12">
    <w:name w:val="footer"/>
    <w:basedOn w:val="1"/>
    <w:link w:val="35"/>
    <w:qFormat/>
    <w:uiPriority w:val="0"/>
    <w:pPr>
      <w:tabs>
        <w:tab w:val="center" w:pos="4153"/>
        <w:tab w:val="right" w:pos="8306"/>
      </w:tabs>
      <w:snapToGrid w:val="0"/>
      <w:jc w:val="left"/>
    </w:pPr>
    <w:rPr>
      <w:sz w:val="18"/>
    </w:rPr>
  </w:style>
  <w:style w:type="paragraph" w:styleId="13">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5">
    <w:name w:val="Normal (Web)"/>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4"/>
      <w:szCs w:val="20"/>
      <w:lang w:val="en-US" w:eastAsia="zh-CN" w:bidi="ar"/>
    </w:rPr>
  </w:style>
  <w:style w:type="paragraph" w:styleId="16">
    <w:name w:val="Body Text First Indent"/>
    <w:basedOn w:val="1"/>
    <w:next w:val="17"/>
    <w:link w:val="36"/>
    <w:qFormat/>
    <w:uiPriority w:val="0"/>
    <w:pPr>
      <w:keepNext w:val="0"/>
      <w:keepLines w:val="0"/>
      <w:widowControl w:val="0"/>
      <w:suppressLineNumbers w:val="0"/>
      <w:spacing w:before="0" w:beforeAutospacing="0" w:after="120" w:afterAutospacing="0"/>
      <w:ind w:left="0" w:right="0" w:firstLine="420"/>
      <w:jc w:val="both"/>
    </w:pPr>
    <w:rPr>
      <w:rFonts w:hint="default" w:ascii="Times New Roman" w:hAnsi="Times New Roman" w:eastAsia="楷体_GB2312" w:cs="Times New Roman"/>
      <w:kern w:val="2"/>
      <w:sz w:val="20"/>
      <w:szCs w:val="20"/>
      <w:lang w:val="en-US" w:eastAsia="zh-CN" w:bidi="ar"/>
    </w:rPr>
  </w:style>
  <w:style w:type="paragraph" w:styleId="17">
    <w:name w:val="Body Text First Indent 2"/>
    <w:basedOn w:val="1"/>
    <w:next w:val="1"/>
    <w:link w:val="37"/>
    <w:qFormat/>
    <w:uiPriority w:val="0"/>
    <w:pPr>
      <w:keepNext w:val="0"/>
      <w:keepLines w:val="0"/>
      <w:widowControl/>
      <w:suppressLineNumbers w:val="0"/>
      <w:spacing w:before="0" w:beforeAutospacing="0" w:after="0" w:afterAutospacing="0"/>
      <w:ind w:left="0" w:right="0" w:firstLine="420" w:firstLineChars="200"/>
      <w:jc w:val="left"/>
    </w:pPr>
    <w:rPr>
      <w:rFonts w:hint="default" w:ascii="Times New Roman" w:hAnsi="Times New Roman" w:eastAsia="宋体" w:cs="Times New Roman"/>
      <w:kern w:val="0"/>
      <w:sz w:val="20"/>
      <w:szCs w:val="20"/>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正文 A Char"/>
    <w:basedOn w:val="20"/>
    <w:qFormat/>
    <w:uiPriority w:val="0"/>
    <w:rPr>
      <w:rFonts w:hint="default" w:ascii="Times New Roman" w:hAnsi="Arial Unicode MS" w:eastAsia="Arial Unicode MS" w:cs="Arial Unicode MS"/>
      <w:color w:val="000000"/>
      <w:kern w:val="2"/>
      <w:sz w:val="24"/>
      <w:szCs w:val="24"/>
    </w:rPr>
  </w:style>
  <w:style w:type="paragraph" w:customStyle="1" w:styleId="24">
    <w:name w:val="我的正文"/>
    <w:basedOn w:val="9"/>
    <w:qFormat/>
    <w:uiPriority w:val="0"/>
    <w:pPr>
      <w:keepNext w:val="0"/>
      <w:keepLines w:val="0"/>
      <w:widowControl/>
      <w:suppressLineNumbers w:val="0"/>
      <w:spacing w:before="0" w:beforeAutospacing="0" w:after="120" w:afterAutospacing="0"/>
      <w:ind w:left="420" w:leftChars="200" w:right="0" w:firstLine="480" w:firstLineChars="200"/>
      <w:jc w:val="left"/>
    </w:pPr>
    <w:rPr>
      <w:rFonts w:hint="default" w:ascii="Times New Roman" w:hAnsi="Times New Roman" w:eastAsia="宋体" w:cs="Times New Roman"/>
      <w:kern w:val="0"/>
      <w:sz w:val="20"/>
      <w:szCs w:val="20"/>
      <w:lang w:val="en-US" w:eastAsia="zh-CN" w:bidi="ar"/>
    </w:rPr>
  </w:style>
  <w:style w:type="character" w:customStyle="1" w:styleId="25">
    <w:name w:val="页眉 Char"/>
    <w:basedOn w:val="20"/>
    <w:link w:val="13"/>
    <w:qFormat/>
    <w:uiPriority w:val="0"/>
    <w:rPr>
      <w:rFonts w:hint="default" w:ascii="Times New Roman" w:hAnsi="Times New Roman" w:cs="Times New Roman"/>
      <w:sz w:val="18"/>
    </w:rPr>
  </w:style>
  <w:style w:type="character" w:customStyle="1" w:styleId="26">
    <w:name w:val="标题 3 Char"/>
    <w:basedOn w:val="20"/>
    <w:link w:val="4"/>
    <w:qFormat/>
    <w:uiPriority w:val="0"/>
    <w:rPr>
      <w:rFonts w:hint="default" w:ascii="Times New Roman" w:hAnsi="Times New Roman" w:eastAsia="黑体" w:cs="Times New Roman"/>
      <w:b/>
      <w:bCs/>
      <w:sz w:val="30"/>
    </w:rPr>
  </w:style>
  <w:style w:type="character" w:customStyle="1" w:styleId="27">
    <w:name w:val="标题 2 Char"/>
    <w:basedOn w:val="20"/>
    <w:link w:val="2"/>
    <w:qFormat/>
    <w:uiPriority w:val="0"/>
    <w:rPr>
      <w:rFonts w:hint="default" w:ascii="Arial" w:hAnsi="Arial" w:cs="Arial"/>
      <w:kern w:val="2"/>
      <w:sz w:val="28"/>
      <w:szCs w:val="28"/>
    </w:rPr>
  </w:style>
  <w:style w:type="paragraph" w:customStyle="1" w:styleId="28">
    <w:name w:val="正文首行缩进1"/>
    <w:basedOn w:val="1"/>
    <w:qFormat/>
    <w:uiPriority w:val="0"/>
    <w:pPr>
      <w:keepNext w:val="0"/>
      <w:keepLines w:val="0"/>
      <w:widowControl/>
      <w:suppressLineNumbers w:val="0"/>
      <w:spacing w:before="0" w:beforeAutospacing="0" w:after="0" w:afterAutospacing="0" w:line="276" w:lineRule="auto"/>
      <w:ind w:left="0" w:right="0" w:firstLine="420" w:firstLineChars="100"/>
      <w:jc w:val="left"/>
    </w:pPr>
    <w:rPr>
      <w:rFonts w:hint="eastAsia" w:ascii="宋体" w:hAnsi="Calibri" w:eastAsia="仿宋" w:cs="Times New Roman"/>
      <w:kern w:val="0"/>
      <w:sz w:val="24"/>
      <w:szCs w:val="21"/>
      <w:lang w:val="en-US" w:eastAsia="zh-CN" w:bidi="ar"/>
    </w:rPr>
  </w:style>
  <w:style w:type="character" w:customStyle="1" w:styleId="29">
    <w:name w:val="正文文本 3 Char"/>
    <w:basedOn w:val="20"/>
    <w:link w:val="6"/>
    <w:qFormat/>
    <w:uiPriority w:val="0"/>
    <w:rPr>
      <w:rFonts w:hint="eastAsia" w:ascii="宋体" w:hAnsi="Times New Roman" w:eastAsia="宋体" w:cs="宋体"/>
      <w:sz w:val="24"/>
    </w:rPr>
  </w:style>
  <w:style w:type="character" w:customStyle="1" w:styleId="30">
    <w:name w:val="纯文本 Char"/>
    <w:basedOn w:val="20"/>
    <w:link w:val="11"/>
    <w:qFormat/>
    <w:uiPriority w:val="0"/>
    <w:rPr>
      <w:rFonts w:hint="eastAsia" w:ascii="宋体" w:hAnsi="Courier New" w:eastAsia="宋体" w:cs="宋体"/>
      <w:sz w:val="21"/>
      <w:szCs w:val="21"/>
    </w:rPr>
  </w:style>
  <w:style w:type="character" w:customStyle="1" w:styleId="31">
    <w:name w:val="正文文本 2 Char"/>
    <w:basedOn w:val="20"/>
    <w:link w:val="8"/>
    <w:qFormat/>
    <w:uiPriority w:val="0"/>
    <w:rPr>
      <w:rFonts w:hint="eastAsia" w:ascii="仿宋_GB2312" w:eastAsia="仿宋_GB2312" w:cs="仿宋_GB2312"/>
      <w:sz w:val="28"/>
      <w:szCs w:val="24"/>
    </w:rPr>
  </w:style>
  <w:style w:type="paragraph" w:customStyle="1" w:styleId="32">
    <w:name w:val="无间隔1"/>
    <w:basedOn w:val="1"/>
    <w:qFormat/>
    <w:uiPriority w:val="0"/>
    <w:pPr>
      <w:keepNext w:val="0"/>
      <w:keepLines w:val="0"/>
      <w:widowControl/>
      <w:suppressLineNumbers w:val="0"/>
      <w:spacing w:before="0" w:beforeAutospacing="0" w:after="0" w:afterAutospacing="0" w:line="400" w:lineRule="exact"/>
      <w:ind w:left="0" w:right="0"/>
      <w:jc w:val="left"/>
    </w:pPr>
    <w:rPr>
      <w:rFonts w:hint="default" w:ascii="Times New Roman" w:hAnsi="Times New Roman" w:eastAsia="宋体" w:cs="Times New Roman"/>
      <w:kern w:val="0"/>
      <w:sz w:val="24"/>
      <w:szCs w:val="20"/>
      <w:lang w:val="en-US" w:eastAsia="zh-CN" w:bidi="ar"/>
    </w:rPr>
  </w:style>
  <w:style w:type="character" w:customStyle="1" w:styleId="33">
    <w:name w:val="正文文本 Char"/>
    <w:basedOn w:val="20"/>
    <w:link w:val="7"/>
    <w:qFormat/>
    <w:uiPriority w:val="0"/>
    <w:rPr>
      <w:rFonts w:hint="default" w:ascii="Times New Roman" w:hAnsi="Times New Roman" w:cs="Times New Roman"/>
      <w:kern w:val="2"/>
      <w:sz w:val="21"/>
      <w:szCs w:val="24"/>
    </w:rPr>
  </w:style>
  <w:style w:type="character" w:customStyle="1" w:styleId="34">
    <w:name w:val="正文文本缩进 Char"/>
    <w:basedOn w:val="20"/>
    <w:link w:val="9"/>
    <w:qFormat/>
    <w:uiPriority w:val="0"/>
    <w:rPr>
      <w:rFonts w:hint="default" w:ascii="Times New Roman" w:hAnsi="Times New Roman" w:cs="Times New Roman"/>
    </w:rPr>
  </w:style>
  <w:style w:type="character" w:customStyle="1" w:styleId="35">
    <w:name w:val="页脚 Char"/>
    <w:basedOn w:val="20"/>
    <w:link w:val="12"/>
    <w:qFormat/>
    <w:uiPriority w:val="0"/>
    <w:rPr>
      <w:rFonts w:hint="default" w:ascii="Times New Roman" w:hAnsi="Times New Roman" w:cs="Times New Roman"/>
      <w:kern w:val="2"/>
      <w:sz w:val="18"/>
    </w:rPr>
  </w:style>
  <w:style w:type="character" w:customStyle="1" w:styleId="36">
    <w:name w:val="正文首行缩进 Char"/>
    <w:basedOn w:val="33"/>
    <w:link w:val="16"/>
    <w:qFormat/>
    <w:uiPriority w:val="0"/>
    <w:rPr>
      <w:rFonts w:hint="default" w:ascii="Times New Roman" w:hAnsi="Times New Roman" w:eastAsia="楷体_GB2312" w:cs="Times New Roman"/>
      <w:kern w:val="2"/>
      <w:sz w:val="21"/>
      <w:szCs w:val="24"/>
    </w:rPr>
  </w:style>
  <w:style w:type="character" w:customStyle="1" w:styleId="37">
    <w:name w:val="正文首行缩进 2 Char"/>
    <w:basedOn w:val="34"/>
    <w:link w:val="17"/>
    <w:qFormat/>
    <w:uiPriority w:val="0"/>
    <w:rPr>
      <w:rFonts w:hint="default" w:ascii="Times New Roman" w:hAnsi="Times New Roman" w:cs="Times New Roman"/>
    </w:rPr>
  </w:style>
  <w:style w:type="character" w:customStyle="1" w:styleId="38">
    <w:name w:val="10"/>
    <w:basedOn w:val="20"/>
    <w:qFormat/>
    <w:uiPriority w:val="0"/>
    <w:rPr>
      <w:rFonts w:hint="default" w:ascii="Times New Roman" w:hAnsi="Times New Roman" w:cs="Times New Roman"/>
    </w:rPr>
  </w:style>
  <w:style w:type="paragraph" w:customStyle="1" w:styleId="3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0"/>
      <w:sz w:val="24"/>
      <w:szCs w:val="22"/>
      <w:lang w:val="en-US" w:eastAsia="zh-CN" w:bidi="ar"/>
    </w:rPr>
  </w:style>
  <w:style w:type="paragraph" w:customStyle="1" w:styleId="40">
    <w:name w:val="标题3-1"/>
    <w:basedOn w:val="4"/>
    <w:qFormat/>
    <w:uiPriority w:val="0"/>
    <w:pPr>
      <w:spacing w:before="100" w:beforeLines="0" w:beforeAutospacing="1" w:after="100" w:afterLines="0" w:afterAutospacing="1" w:line="410" w:lineRule="auto"/>
      <w:ind w:left="2225" w:hanging="425"/>
    </w:pPr>
    <w:rPr>
      <w:rFonts w:ascii="Courier New" w:hAnsi="Courier New" w:cs="Courier New"/>
      <w:sz w:val="24"/>
      <w:szCs w:val="24"/>
    </w:rPr>
  </w:style>
  <w:style w:type="paragraph" w:customStyle="1" w:styleId="4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17631</Words>
  <Characters>19271</Characters>
  <Lines>0</Lines>
  <Paragraphs>0</Paragraphs>
  <TotalTime>33</TotalTime>
  <ScaleCrop>false</ScaleCrop>
  <LinksUpToDate>false</LinksUpToDate>
  <CharactersWithSpaces>19370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2025-11-24T00:11:00Z</dcterms:created>
  <dc:creator>Admin</dc:creator>
  <cp:lastModifiedBy>北国千秋</cp:lastModifiedBy>
  <dcterms:modified xsi:type="dcterms:W3CDTF">2025-12-11T09:38:08Z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3ECC01DAF7FB4D80AA1DECD89E36A9FF_12</vt:lpwstr>
  </property>
  <property fmtid="{D5CDD505-2E9C-101B-9397-08002B2CF9AE}" pid="4" name="KSOTemplateDocerSaveRecord">
    <vt:lpwstr>eyJoZGlkIjoiZTdjM2U3N2E0M2JmYWZmNzUwODFhZTg4N2M5OGRhMmQiLCJ1c2VySWQiOiIyMTUzODI4MzIifQ==</vt:lpwstr>
  </property>
</Properties>
</file>