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8012">
      <w:pPr>
        <w:spacing w:line="360" w:lineRule="auto"/>
        <w:jc w:val="left"/>
        <w:rPr>
          <w:rFonts w:hint="eastAsia" w:ascii="宋体" w:hAnsi="宋体" w:eastAsia="宋体" w:cs="宋体"/>
          <w:b/>
          <w:color w:val="auto"/>
          <w:sz w:val="32"/>
          <w:szCs w:val="32"/>
          <w:shd w:val="clear" w:color="auto" w:fill="FFFFFF"/>
          <w:lang w:eastAsia="zh-CN"/>
        </w:rPr>
      </w:pPr>
      <w:r>
        <w:rPr>
          <w:rFonts w:hint="eastAsia" w:ascii="宋体" w:hAnsi="宋体"/>
          <w:b/>
          <w:color w:val="auto"/>
          <w:sz w:val="32"/>
          <w:szCs w:val="32"/>
        </w:rPr>
        <w:t>招标编号：</w:t>
      </w:r>
      <w:r>
        <w:rPr>
          <w:rFonts w:hint="eastAsia" w:ascii="宋体" w:hAnsi="宋体" w:cs="宋体"/>
          <w:b/>
          <w:color w:val="auto"/>
          <w:sz w:val="32"/>
          <w:szCs w:val="32"/>
          <w:shd w:val="clear" w:color="auto" w:fill="FFFFFF"/>
          <w:lang w:eastAsia="zh-CN"/>
        </w:rPr>
        <w:t>陕州公开采购-2025-52  SZGZ[2025]251-ZC174</w:t>
      </w:r>
    </w:p>
    <w:p w14:paraId="2BF64542">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14:paraId="023F4ACF">
      <w:pPr>
        <w:spacing w:line="360" w:lineRule="auto"/>
        <w:jc w:val="center"/>
        <w:rPr>
          <w:rFonts w:hint="eastAsia" w:asciiTheme="minorEastAsia" w:hAnsiTheme="minorEastAsia" w:eastAsiaTheme="minorEastAsia"/>
          <w:b/>
          <w:sz w:val="72"/>
          <w:szCs w:val="72"/>
          <w:lang w:eastAsia="zh-CN"/>
        </w:rPr>
      </w:pPr>
      <w:r>
        <w:rPr>
          <w:rFonts w:hint="eastAsia" w:asciiTheme="minorEastAsia" w:hAnsiTheme="minorEastAsia" w:eastAsiaTheme="minorEastAsia"/>
          <w:b/>
          <w:sz w:val="72"/>
          <w:szCs w:val="72"/>
          <w:lang w:eastAsia="zh-CN"/>
        </w:rPr>
        <w:t>三门峡市陕州区入河排污口规范化建设项目一期</w:t>
      </w:r>
    </w:p>
    <w:p w14:paraId="2973F5F4">
      <w:pPr>
        <w:spacing w:line="360" w:lineRule="auto"/>
        <w:jc w:val="center"/>
        <w:rPr>
          <w:rFonts w:cs="方正小标宋简体" w:asciiTheme="minorEastAsia" w:hAnsiTheme="minorEastAsia" w:eastAsiaTheme="minorEastAsia"/>
          <w:b/>
          <w:sz w:val="84"/>
          <w:szCs w:val="84"/>
        </w:rPr>
      </w:pPr>
      <w:r>
        <w:rPr>
          <w:rFonts w:hint="eastAsia" w:cs="方正小标宋简体" w:asciiTheme="minorEastAsia" w:hAnsiTheme="minorEastAsia" w:eastAsiaTheme="minorEastAsia"/>
          <w:b/>
          <w:sz w:val="84"/>
          <w:szCs w:val="84"/>
        </w:rPr>
        <w:t>招标文件</w:t>
      </w:r>
    </w:p>
    <w:p w14:paraId="78C5016F">
      <w:pPr>
        <w:spacing w:line="360" w:lineRule="auto"/>
        <w:jc w:val="center"/>
        <w:rPr>
          <w:rFonts w:cs="方正小标宋简体" w:asciiTheme="minorEastAsia" w:hAnsiTheme="minorEastAsia" w:eastAsiaTheme="minorEastAsia"/>
          <w:b/>
        </w:rPr>
      </w:pPr>
    </w:p>
    <w:p w14:paraId="0949E33F">
      <w:pPr>
        <w:spacing w:line="360" w:lineRule="auto"/>
        <w:ind w:firstLine="1105" w:firstLineChars="344"/>
        <w:rPr>
          <w:rFonts w:ascii="宋体" w:hAnsi="宋体"/>
          <w:b/>
          <w:sz w:val="32"/>
          <w:szCs w:val="32"/>
        </w:rPr>
      </w:pPr>
    </w:p>
    <w:p w14:paraId="09D6447A">
      <w:pPr>
        <w:spacing w:line="360" w:lineRule="auto"/>
        <w:jc w:val="center"/>
        <w:rPr>
          <w:rFonts w:ascii="宋体" w:hAnsi="宋体"/>
          <w:sz w:val="36"/>
          <w:szCs w:val="36"/>
        </w:rPr>
      </w:pPr>
      <w:r>
        <w:rPr>
          <w:rFonts w:hint="eastAsia" w:ascii="宋体" w:hAnsi="宋体"/>
          <w:sz w:val="36"/>
          <w:szCs w:val="36"/>
        </w:rPr>
        <w:drawing>
          <wp:inline distT="0" distB="0" distL="0" distR="0">
            <wp:extent cx="2286000" cy="2219325"/>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0" cstate="print"/>
                    <a:srcRect/>
                    <a:stretch>
                      <a:fillRect/>
                    </a:stretch>
                  </pic:blipFill>
                  <pic:spPr>
                    <a:xfrm>
                      <a:off x="0" y="0"/>
                      <a:ext cx="2286000" cy="2219325"/>
                    </a:xfrm>
                    <a:prstGeom prst="rect">
                      <a:avLst/>
                    </a:prstGeom>
                    <a:noFill/>
                    <a:ln w="9525">
                      <a:noFill/>
                      <a:miter lim="800000"/>
                      <a:headEnd/>
                      <a:tailEnd/>
                    </a:ln>
                  </pic:spPr>
                </pic:pic>
              </a:graphicData>
            </a:graphic>
          </wp:inline>
        </w:drawing>
      </w:r>
    </w:p>
    <w:p w14:paraId="1A747910">
      <w:pPr>
        <w:spacing w:line="360" w:lineRule="auto"/>
        <w:jc w:val="center"/>
        <w:rPr>
          <w:rFonts w:ascii="宋体" w:hAnsi="宋体"/>
          <w:sz w:val="36"/>
          <w:szCs w:val="36"/>
        </w:rPr>
      </w:pPr>
    </w:p>
    <w:p w14:paraId="6A1C54CC">
      <w:pPr>
        <w:spacing w:line="360" w:lineRule="auto"/>
        <w:rPr>
          <w:rFonts w:ascii="宋体" w:hAnsi="宋体"/>
          <w:b/>
          <w:sz w:val="32"/>
          <w:szCs w:val="32"/>
        </w:rPr>
      </w:pPr>
    </w:p>
    <w:p w14:paraId="72168DE9">
      <w:pPr>
        <w:spacing w:line="360" w:lineRule="auto"/>
        <w:jc w:val="center"/>
        <w:rPr>
          <w:rFonts w:hint="eastAsia" w:ascii="宋体" w:hAnsi="宋体"/>
          <w:b/>
          <w:sz w:val="32"/>
          <w:szCs w:val="32"/>
        </w:rPr>
      </w:pPr>
    </w:p>
    <w:p w14:paraId="0A38519B">
      <w:pPr>
        <w:spacing w:line="360" w:lineRule="auto"/>
        <w:ind w:firstLine="964" w:firstLineChars="300"/>
        <w:jc w:val="both"/>
        <w:rPr>
          <w:rFonts w:hint="eastAsia" w:ascii="宋体" w:hAnsi="宋体" w:eastAsia="宋体"/>
          <w:b/>
          <w:sz w:val="32"/>
          <w:szCs w:val="32"/>
          <w:lang w:val="en-US" w:eastAsia="zh-CN"/>
        </w:rPr>
      </w:pPr>
      <w:r>
        <w:rPr>
          <w:rFonts w:hint="eastAsia" w:ascii="宋体" w:hAnsi="宋体"/>
          <w:b/>
          <w:sz w:val="32"/>
          <w:szCs w:val="32"/>
        </w:rPr>
        <w:t>招标单位：</w:t>
      </w:r>
      <w:r>
        <w:rPr>
          <w:rFonts w:hint="eastAsia" w:ascii="宋体" w:hAnsi="宋体"/>
          <w:b/>
          <w:sz w:val="32"/>
          <w:szCs w:val="32"/>
          <w:lang w:eastAsia="zh-CN"/>
        </w:rPr>
        <w:t>三门峡市陕州区环境污染防治攻坚工作专班</w:t>
      </w:r>
    </w:p>
    <w:p w14:paraId="309E75F9">
      <w:pPr>
        <w:spacing w:line="360" w:lineRule="auto"/>
        <w:ind w:firstLine="964" w:firstLineChars="3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8434F46">
      <w:pPr>
        <w:spacing w:line="360" w:lineRule="auto"/>
        <w:ind w:firstLine="964" w:firstLineChars="300"/>
        <w:rPr>
          <w:rFonts w:ascii="宋体" w:hAnsi="宋体"/>
          <w:b/>
          <w:color w:val="auto"/>
          <w:sz w:val="32"/>
          <w:szCs w:val="32"/>
        </w:rPr>
        <w:sectPr>
          <w:footerReference r:id="rId3" w:type="default"/>
          <w:pgSz w:w="11900" w:h="16838"/>
          <w:pgMar w:top="1385" w:right="1270" w:bottom="992" w:left="1418" w:header="320" w:footer="0" w:gutter="0"/>
          <w:pgNumType w:fmt="decimal" w:start="1"/>
          <w:cols w:space="720" w:num="1"/>
          <w:docGrid w:type="lines" w:linePitch="360" w:charSpace="0"/>
        </w:sectPr>
      </w:pPr>
      <w:r>
        <w:rPr>
          <w:rFonts w:hint="eastAsia" w:ascii="宋体" w:hAnsi="宋体"/>
          <w:b/>
          <w:sz w:val="32"/>
          <w:szCs w:val="32"/>
        </w:rPr>
        <w:t>招  标 日 期：</w:t>
      </w:r>
      <w:r>
        <w:rPr>
          <w:rFonts w:hint="eastAsia" w:ascii="宋体" w:hAnsi="宋体"/>
          <w:b/>
          <w:color w:val="auto"/>
          <w:sz w:val="32"/>
          <w:szCs w:val="32"/>
        </w:rPr>
        <w:t>二</w:t>
      </w:r>
      <w:r>
        <w:rPr>
          <w:rFonts w:hint="eastAsia" w:ascii="宋体" w:hAnsi="宋体"/>
          <w:b/>
          <w:color w:val="auto"/>
          <w:sz w:val="32"/>
          <w:szCs w:val="32"/>
          <w:lang w:val="en-US" w:eastAsia="zh-CN"/>
        </w:rPr>
        <w:t>〇</w:t>
      </w:r>
      <w:r>
        <w:rPr>
          <w:rFonts w:hint="eastAsia" w:ascii="宋体" w:hAnsi="宋体"/>
          <w:b/>
          <w:color w:val="auto"/>
          <w:sz w:val="32"/>
          <w:szCs w:val="32"/>
        </w:rPr>
        <w:t>二</w:t>
      </w:r>
      <w:r>
        <w:rPr>
          <w:rFonts w:hint="eastAsia" w:ascii="宋体" w:hAnsi="宋体"/>
          <w:b/>
          <w:color w:val="auto"/>
          <w:sz w:val="32"/>
          <w:szCs w:val="32"/>
          <w:lang w:val="en-US" w:eastAsia="zh-CN"/>
        </w:rPr>
        <w:t>五</w:t>
      </w:r>
      <w:r>
        <w:rPr>
          <w:rFonts w:hint="eastAsia" w:ascii="宋体" w:hAnsi="宋体"/>
          <w:b/>
          <w:color w:val="auto"/>
          <w:sz w:val="32"/>
          <w:szCs w:val="32"/>
        </w:rPr>
        <w:t xml:space="preserve"> 年</w:t>
      </w:r>
      <w:r>
        <w:rPr>
          <w:rFonts w:hint="eastAsia" w:ascii="宋体" w:hAnsi="宋体"/>
          <w:b/>
          <w:color w:val="auto"/>
          <w:sz w:val="32"/>
          <w:szCs w:val="32"/>
          <w:lang w:val="en-US" w:eastAsia="zh-CN"/>
        </w:rPr>
        <w:t xml:space="preserve"> 十二</w:t>
      </w:r>
      <w:r>
        <w:rPr>
          <w:rFonts w:hint="eastAsia" w:ascii="宋体" w:hAnsi="宋体"/>
          <w:b/>
          <w:color w:val="auto"/>
          <w:sz w:val="32"/>
          <w:szCs w:val="32"/>
        </w:rPr>
        <w:t xml:space="preserve"> 月</w:t>
      </w:r>
    </w:p>
    <w:p w14:paraId="6D8F9430">
      <w:pPr>
        <w:pStyle w:val="32"/>
        <w:tabs>
          <w:tab w:val="right" w:leader="dot" w:pos="9070"/>
        </w:tabs>
        <w:spacing w:line="360" w:lineRule="auto"/>
        <w:rPr>
          <w:rFonts w:hint="eastAsia" w:ascii="宋体" w:hAnsi="宋体" w:eastAsia="宋体" w:cs="宋体"/>
          <w:b w:val="0"/>
          <w:bCs w:val="0"/>
          <w:sz w:val="24"/>
          <w:szCs w:val="24"/>
        </w:rPr>
      </w:pPr>
    </w:p>
    <w:p w14:paraId="09512247">
      <w:pPr>
        <w:pStyle w:val="32"/>
        <w:tabs>
          <w:tab w:val="right" w:leader="dot" w:pos="9070"/>
        </w:tabs>
        <w:spacing w:line="360" w:lineRule="auto"/>
        <w:jc w:val="center"/>
        <w:rPr>
          <w:rFonts w:hint="eastAsia" w:ascii="宋体" w:hAnsi="宋体" w:eastAsia="宋体" w:cs="宋体"/>
          <w:b w:val="0"/>
          <w:bCs w:val="0"/>
          <w:sz w:val="24"/>
          <w:szCs w:val="24"/>
          <w:lang w:val="en-US" w:eastAsia="zh-CN"/>
        </w:rPr>
      </w:pPr>
      <w:r>
        <w:rPr>
          <w:rFonts w:hint="eastAsia" w:cs="宋体"/>
          <w:b/>
          <w:bCs/>
          <w:sz w:val="32"/>
          <w:szCs w:val="32"/>
          <w:lang w:val="en-US" w:eastAsia="zh-CN"/>
        </w:rPr>
        <w:t>目  录</w:t>
      </w:r>
    </w:p>
    <w:sdt>
      <w:sdtPr>
        <w:rPr>
          <w:rFonts w:ascii="宋体" w:hAnsi="宋体" w:eastAsia="宋体" w:cs="Times New Roman"/>
          <w:kern w:val="2"/>
          <w:sz w:val="21"/>
          <w:szCs w:val="21"/>
          <w:lang w:val="en-US" w:eastAsia="zh-CN" w:bidi="ar-SA"/>
        </w:rPr>
        <w:id w:val="14746431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45DE1C0">
          <w:pPr>
            <w:spacing w:before="0" w:beforeLines="0" w:after="0" w:afterLines="0" w:line="240" w:lineRule="auto"/>
            <w:ind w:left="0" w:leftChars="0" w:right="0" w:rightChars="0" w:firstLine="0" w:firstLineChars="0"/>
            <w:jc w:val="center"/>
          </w:pPr>
        </w:p>
        <w:p w14:paraId="4870FA07">
          <w:pPr>
            <w:pStyle w:val="32"/>
            <w:tabs>
              <w:tab w:val="right" w:leader="dot" w:pos="9070"/>
            </w:tabs>
            <w:spacing w:line="360" w:lineRule="auto"/>
            <w:rPr>
              <w:rFonts w:hint="eastAsia" w:ascii="宋体" w:hAnsi="宋体" w:eastAsia="宋体" w:cs="宋体"/>
              <w:b w:val="0"/>
              <w:bCs w:val="0"/>
              <w:sz w:val="24"/>
              <w:szCs w:val="24"/>
            </w:rPr>
          </w:pPr>
          <w:r>
            <w:fldChar w:fldCharType="begin"/>
          </w:r>
          <w:r>
            <w:instrText xml:space="preserve">TOC \o "1-1" \h \u </w:instrText>
          </w:r>
          <w: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_Toc17960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_Toc17960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7270C02">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_Toc29630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第二章 供应商须知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_Toc29630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606A604">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_Toc23321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第三章 评标办法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_Toc23321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B0EB1FB">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_Toc22303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第四章 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_Toc22303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BB933CA">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44"/>
              <w:sz w:val="24"/>
              <w:szCs w:val="24"/>
              <w:lang w:val="en-US" w:eastAsia="zh-CN" w:bidi="ar-SA"/>
            </w:rPr>
            <w:t xml:space="preserve">第五章 </w:t>
          </w:r>
          <w:r>
            <w:rPr>
              <w:rFonts w:hint="eastAsia" w:ascii="宋体" w:hAnsi="宋体" w:eastAsia="宋体" w:cs="宋体"/>
              <w:b w:val="0"/>
              <w:bCs w:val="0"/>
              <w:sz w:val="24"/>
              <w:szCs w:val="24"/>
              <w:lang w:val="en-US" w:eastAsia="zh-CN" w:bidi="ar-SA"/>
            </w:rPr>
            <w:t>采购清单及要求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A8D437">
          <w:pPr>
            <w:pStyle w:val="32"/>
            <w:tabs>
              <w:tab w:val="right" w:leader="dot" w:pos="9070"/>
            </w:tabs>
            <w:spacing w:line="360" w:lineRule="auto"/>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_Toc10515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第六章 投标文件格式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_Toc10515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F8B094F">
          <w:pPr>
            <w:sectPr>
              <w:headerReference r:id="rId4" w:type="default"/>
              <w:footerReference r:id="rId5" w:type="default"/>
              <w:pgSz w:w="11900" w:h="16838"/>
              <w:pgMar w:top="1134" w:right="1270" w:bottom="1134" w:left="1560" w:header="720" w:footer="680" w:gutter="0"/>
              <w:pgNumType w:fmt="decimal" w:start="1"/>
              <w:cols w:space="720" w:num="1"/>
              <w:docGrid w:type="lines" w:linePitch="360" w:charSpace="0"/>
            </w:sectPr>
          </w:pPr>
          <w:r>
            <w:fldChar w:fldCharType="end"/>
          </w:r>
        </w:p>
      </w:sdtContent>
    </w:sdt>
    <w:p w14:paraId="008678CD">
      <w:pPr>
        <w:pStyle w:val="2"/>
        <w:keepNext/>
        <w:keepLines/>
        <w:pageBreakBefore w:val="0"/>
        <w:widowControl w:val="0"/>
        <w:kinsoku/>
        <w:wordWrap/>
        <w:overflowPunct/>
        <w:topLinePunct w:val="0"/>
        <w:autoSpaceDE/>
        <w:autoSpaceDN/>
        <w:bidi w:val="0"/>
        <w:adjustRightInd/>
        <w:snapToGrid/>
        <w:spacing w:before="120" w:after="120" w:line="360" w:lineRule="auto"/>
        <w:jc w:val="center"/>
        <w:textAlignment w:val="auto"/>
        <w:rPr>
          <w:rFonts w:ascii="黑体" w:hAnsi="黑体" w:eastAsia="黑体"/>
          <w:szCs w:val="36"/>
        </w:rPr>
      </w:pPr>
      <w:bookmarkStart w:id="0" w:name="_Toc26551"/>
      <w:bookmarkStart w:id="1" w:name="_Toc27497"/>
      <w:bookmarkStart w:id="2" w:name="_Toc24252"/>
      <w:bookmarkStart w:id="3" w:name="_Toc17960"/>
      <w:r>
        <w:rPr>
          <w:rFonts w:hint="eastAsia"/>
          <w:sz w:val="36"/>
          <w:szCs w:val="36"/>
        </w:rPr>
        <w:t>第一章 招标公告</w:t>
      </w:r>
      <w:bookmarkEnd w:id="0"/>
      <w:bookmarkEnd w:id="1"/>
      <w:bookmarkEnd w:id="2"/>
      <w:bookmarkEnd w:id="3"/>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550DB07D">
      <w:pPr>
        <w:spacing w:line="360" w:lineRule="auto"/>
        <w:ind w:firstLine="480" w:firstLineChars="200"/>
        <w:rPr>
          <w:rFonts w:ascii="宋体" w:hAnsi="宋体" w:cs="宋体"/>
          <w:sz w:val="24"/>
          <w:szCs w:val="24"/>
        </w:rPr>
      </w:pPr>
      <w:r>
        <w:rPr>
          <w:rFonts w:hint="eastAsia" w:ascii="宋体" w:hAnsi="宋体" w:cs="宋体"/>
          <w:sz w:val="24"/>
          <w:szCs w:val="24"/>
          <w:lang w:eastAsia="zh-CN"/>
        </w:rPr>
        <w:t>三门峡市陕州区入河排污口规范化建设项目一期</w:t>
      </w:r>
      <w:r>
        <w:rPr>
          <w:rFonts w:hint="eastAsia" w:ascii="宋体" w:hAnsi="宋体" w:eastAsia="宋体" w:cs="宋体"/>
          <w:sz w:val="24"/>
          <w:szCs w:val="24"/>
          <w:lang w:eastAsia="zh-CN"/>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应在三门峡市公共资源交易中心网（网址：http://gzjy.smx.gov.cn/）获取招标文件，并于</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eastAsia="zh-CN"/>
        </w:rPr>
        <w:t>日08时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0分（北京时间）前递交</w:t>
      </w:r>
      <w:r>
        <w:rPr>
          <w:rFonts w:hint="eastAsia" w:ascii="宋体" w:hAnsi="宋体" w:eastAsia="宋体" w:cs="宋体"/>
          <w:color w:val="auto"/>
          <w:sz w:val="24"/>
          <w:szCs w:val="24"/>
          <w:lang w:val="en-US" w:eastAsia="zh-CN"/>
        </w:rPr>
        <w:t>投标</w:t>
      </w:r>
      <w:r>
        <w:rPr>
          <w:rFonts w:hint="eastAsia" w:ascii="宋体" w:hAnsi="宋体" w:eastAsia="宋体" w:cs="宋体"/>
          <w:sz w:val="24"/>
          <w:szCs w:val="24"/>
          <w:lang w:eastAsia="zh-CN"/>
        </w:rPr>
        <w:t>文件。</w:t>
      </w:r>
    </w:p>
    <w:p w14:paraId="00CDEDA5">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6C253C70">
      <w:pPr>
        <w:spacing w:line="360" w:lineRule="auto"/>
        <w:ind w:firstLine="480" w:firstLineChars="200"/>
        <w:jc w:val="left"/>
        <w:rPr>
          <w:rFonts w:hint="eastAsia" w:ascii="宋体" w:hAnsi="宋体"/>
          <w:b/>
          <w:color w:val="0000FF"/>
          <w:sz w:val="24"/>
          <w:szCs w:val="24"/>
          <w:lang w:eastAsia="zh-CN"/>
        </w:rPr>
      </w:pPr>
      <w:r>
        <w:rPr>
          <w:rFonts w:hint="eastAsia" w:ascii="宋体" w:hAnsi="宋体" w:cs="宋体"/>
          <w:sz w:val="24"/>
          <w:szCs w:val="24"/>
        </w:rPr>
        <w:t>1、</w:t>
      </w:r>
      <w:r>
        <w:rPr>
          <w:rFonts w:hint="eastAsia" w:ascii="宋体" w:hAnsi="宋体"/>
          <w:b w:val="0"/>
          <w:bCs/>
          <w:color w:val="auto"/>
          <w:sz w:val="24"/>
          <w:szCs w:val="24"/>
        </w:rPr>
        <w:t>项目编号：</w:t>
      </w:r>
      <w:r>
        <w:rPr>
          <w:rFonts w:hint="eastAsia" w:ascii="宋体" w:hAnsi="宋体"/>
          <w:b w:val="0"/>
          <w:bCs/>
          <w:color w:val="auto"/>
          <w:sz w:val="24"/>
          <w:szCs w:val="24"/>
          <w:lang w:eastAsia="zh-CN"/>
        </w:rPr>
        <w:t>陕州公开采购-2025-52    SZGZ[2025]251-ZC174</w:t>
      </w:r>
    </w:p>
    <w:p w14:paraId="3D3AF28E">
      <w:pPr>
        <w:spacing w:line="360" w:lineRule="auto"/>
        <w:ind w:firstLine="482" w:firstLineChars="200"/>
        <w:jc w:val="left"/>
        <w:rPr>
          <w:rFonts w:hint="eastAsia" w:ascii="宋体" w:hAnsi="宋体" w:eastAsia="宋体" w:cs="宋体"/>
          <w:sz w:val="24"/>
          <w:szCs w:val="24"/>
          <w:lang w:val="zh-TW" w:eastAsia="zh-CN"/>
        </w:rPr>
      </w:pPr>
      <w:r>
        <w:rPr>
          <w:rFonts w:hint="eastAsia" w:ascii="宋体" w:hAnsi="宋体"/>
          <w:b/>
          <w:color w:val="auto"/>
          <w:sz w:val="24"/>
          <w:szCs w:val="24"/>
        </w:rPr>
        <w:t>2、</w:t>
      </w:r>
      <w:r>
        <w:rPr>
          <w:rFonts w:hint="eastAsia" w:ascii="宋体" w:hAnsi="宋体" w:cs="宋体"/>
          <w:color w:val="auto"/>
          <w:sz w:val="24"/>
          <w:szCs w:val="24"/>
        </w:rPr>
        <w:t>项</w:t>
      </w:r>
      <w:r>
        <w:rPr>
          <w:rFonts w:hint="eastAsia" w:ascii="宋体" w:hAnsi="宋体" w:cs="宋体"/>
          <w:sz w:val="24"/>
          <w:szCs w:val="24"/>
        </w:rPr>
        <w:t>目名称：</w:t>
      </w:r>
      <w:r>
        <w:rPr>
          <w:rFonts w:hint="eastAsia" w:ascii="宋体" w:hAnsi="宋体" w:cs="宋体"/>
          <w:sz w:val="24"/>
          <w:szCs w:val="24"/>
          <w:lang w:eastAsia="zh-CN"/>
        </w:rPr>
        <w:t>三门峡市陕州区入河排污口规范化建设项目一期</w:t>
      </w:r>
    </w:p>
    <w:p w14:paraId="189CFF8C">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zh-TW"/>
        </w:rPr>
        <w:t>3、</w:t>
      </w:r>
      <w:r>
        <w:rPr>
          <w:rFonts w:hint="eastAsia" w:ascii="宋体" w:hAnsi="宋体" w:cs="宋体"/>
          <w:sz w:val="24"/>
          <w:lang w:val="en-US" w:eastAsia="zh-CN"/>
        </w:rPr>
        <w:t>采购方式：公开招标</w:t>
      </w:r>
    </w:p>
    <w:p w14:paraId="09FD6FE9">
      <w:pPr>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4、预算金额：4396700.00元</w:t>
      </w:r>
    </w:p>
    <w:p w14:paraId="3A41535A">
      <w:pPr>
        <w:keepNext w:val="0"/>
        <w:keepLines w:val="0"/>
        <w:pageBreakBefore w:val="0"/>
        <w:widowControl w:val="0"/>
        <w:kinsoku/>
        <w:wordWrap/>
        <w:overflowPunct/>
        <w:topLinePunct w:val="0"/>
        <w:autoSpaceDE/>
        <w:autoSpaceDN/>
        <w:bidi w:val="0"/>
        <w:adjustRightInd/>
        <w:snapToGrid/>
        <w:spacing w:line="500" w:lineRule="exact"/>
        <w:ind w:left="840" w:leftChars="400"/>
        <w:textAlignment w:val="auto"/>
        <w:rPr>
          <w:rFonts w:hint="eastAsia" w:ascii="宋体" w:hAnsi="宋体" w:cs="宋体"/>
          <w:sz w:val="24"/>
          <w:lang w:val="en-US" w:eastAsia="zh-CN"/>
        </w:rPr>
      </w:pPr>
      <w:r>
        <w:rPr>
          <w:rFonts w:hint="eastAsia" w:ascii="宋体" w:hAnsi="宋体" w:cs="宋体"/>
          <w:sz w:val="24"/>
          <w:lang w:val="en-US" w:eastAsia="zh-CN"/>
        </w:rPr>
        <w:t>最高限价：4396700.00元</w:t>
      </w:r>
    </w:p>
    <w:tbl>
      <w:tblPr>
        <w:tblStyle w:val="48"/>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50"/>
        <w:gridCol w:w="2573"/>
        <w:gridCol w:w="1499"/>
        <w:gridCol w:w="1500"/>
        <w:gridCol w:w="1335"/>
        <w:gridCol w:w="1065"/>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473"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50"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2573"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499"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500"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335"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是否专门面向中小企业</w:t>
            </w:r>
          </w:p>
        </w:tc>
        <w:tc>
          <w:tcPr>
            <w:tcW w:w="1065" w:type="dxa"/>
            <w:vAlign w:val="center"/>
          </w:tcPr>
          <w:p w14:paraId="2DF020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采购预留金额（元）</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50"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sz w:val="24"/>
                <w:highlight w:val="none"/>
                <w:vertAlign w:val="baseline"/>
                <w:lang w:val="en-US"/>
              </w:rPr>
            </w:pPr>
            <w:r>
              <w:rPr>
                <w:rFonts w:hint="eastAsia" w:ascii="宋体" w:hAnsi="宋体"/>
                <w:b w:val="0"/>
                <w:bCs/>
                <w:color w:val="auto"/>
                <w:sz w:val="24"/>
                <w:szCs w:val="24"/>
                <w:lang w:eastAsia="zh-CN"/>
              </w:rPr>
              <w:t xml:space="preserve"> SZGZ[2025]251-ZC174</w:t>
            </w:r>
            <w:r>
              <w:rPr>
                <w:rFonts w:hint="eastAsia" w:ascii="宋体" w:hAnsi="宋体" w:cs="宋体"/>
                <w:color w:val="auto"/>
                <w:sz w:val="24"/>
                <w:szCs w:val="24"/>
                <w:highlight w:val="none"/>
                <w:lang w:val="en-US" w:eastAsia="zh-CN"/>
              </w:rPr>
              <w:t>-1</w:t>
            </w:r>
          </w:p>
        </w:tc>
        <w:tc>
          <w:tcPr>
            <w:tcW w:w="2573"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vertAlign w:val="baseline"/>
              </w:rPr>
            </w:pPr>
            <w:r>
              <w:rPr>
                <w:rFonts w:hint="eastAsia" w:ascii="宋体" w:hAnsi="宋体" w:cs="宋体"/>
                <w:sz w:val="24"/>
                <w:szCs w:val="24"/>
                <w:lang w:eastAsia="zh-CN"/>
              </w:rPr>
              <w:t>三门峡市陕州区入河排污口规范化建设项目一期</w:t>
            </w:r>
          </w:p>
        </w:tc>
        <w:tc>
          <w:tcPr>
            <w:tcW w:w="1499"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4396700.00</w:t>
            </w:r>
          </w:p>
        </w:tc>
        <w:tc>
          <w:tcPr>
            <w:tcW w:w="1500"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4396700.00</w:t>
            </w:r>
          </w:p>
        </w:tc>
        <w:tc>
          <w:tcPr>
            <w:tcW w:w="1335"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否</w:t>
            </w:r>
          </w:p>
        </w:tc>
        <w:tc>
          <w:tcPr>
            <w:tcW w:w="1065" w:type="dxa"/>
            <w:vAlign w:val="center"/>
          </w:tcPr>
          <w:p w14:paraId="62750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w:t>
            </w:r>
          </w:p>
        </w:tc>
      </w:tr>
    </w:tbl>
    <w:p w14:paraId="3F67494E">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5、采购需求</w:t>
      </w:r>
      <w:r>
        <w:rPr>
          <w:rFonts w:hint="eastAsia" w:ascii="宋体" w:hAnsi="宋体"/>
          <w:sz w:val="24"/>
          <w:highlight w:val="none"/>
        </w:rPr>
        <w:t>（包括但不限于标的的名称、数量、简要技术需求或服务要求等）</w:t>
      </w:r>
      <w:r>
        <w:rPr>
          <w:rFonts w:hint="eastAsia" w:ascii="宋体" w:hAnsi="宋体"/>
          <w:sz w:val="24"/>
          <w:highlight w:val="none"/>
          <w:lang w:eastAsia="zh-CN"/>
        </w:rPr>
        <w:t>：</w:t>
      </w:r>
    </w:p>
    <w:p w14:paraId="05A17057">
      <w:pPr>
        <w:spacing w:line="500" w:lineRule="exact"/>
        <w:ind w:firstLine="480" w:firstLineChars="200"/>
        <w:rPr>
          <w:rFonts w:ascii="宋体" w:hAnsi="宋体" w:cs="宋体"/>
          <w:sz w:val="24"/>
          <w:szCs w:val="24"/>
        </w:rPr>
      </w:pPr>
      <w:r>
        <w:rPr>
          <w:rFonts w:hint="eastAsia" w:ascii="宋体" w:hAnsi="宋体" w:cs="宋体"/>
          <w:sz w:val="24"/>
          <w:lang w:val="en-US" w:eastAsia="zh-CN"/>
        </w:rPr>
        <w:t>5.1</w:t>
      </w:r>
      <w:r>
        <w:rPr>
          <w:rFonts w:hint="eastAsia" w:ascii="宋体" w:hAnsi="宋体" w:cs="宋体"/>
          <w:sz w:val="24"/>
          <w:lang w:val="zh-TW"/>
        </w:rPr>
        <w:t>采购内容</w:t>
      </w:r>
      <w:r>
        <w:rPr>
          <w:rFonts w:hint="eastAsia" w:ascii="宋体" w:hAnsi="宋体" w:eastAsia="宋体" w:cs="宋体"/>
          <w:sz w:val="24"/>
          <w:szCs w:val="24"/>
          <w:lang w:val="zh-TW" w:eastAsia="zh-CN"/>
        </w:rPr>
        <w:t>：</w:t>
      </w:r>
      <w:r>
        <w:rPr>
          <w:rFonts w:hint="eastAsia" w:ascii="宋体" w:hAnsi="宋体" w:cs="宋体"/>
          <w:sz w:val="24"/>
          <w:szCs w:val="24"/>
          <w:lang w:val="en-US" w:eastAsia="zh-CN"/>
        </w:rPr>
        <w:t>本项目为</w:t>
      </w:r>
      <w:r>
        <w:rPr>
          <w:rFonts w:hint="eastAsia" w:ascii="宋体" w:hAnsi="宋体" w:eastAsia="宋体" w:cs="宋体"/>
          <w:sz w:val="24"/>
          <w:szCs w:val="24"/>
          <w:lang w:eastAsia="zh-CN"/>
        </w:rPr>
        <w:t>三门峡市陕州区入河排污口规范化建设项目一期，</w:t>
      </w:r>
      <w:r>
        <w:rPr>
          <w:rFonts w:hint="eastAsia" w:ascii="宋体" w:hAnsi="宋体" w:eastAsia="宋体" w:cs="宋体"/>
          <w:sz w:val="24"/>
          <w:szCs w:val="24"/>
          <w:lang w:val="zh-TW" w:eastAsia="zh-CN"/>
        </w:rPr>
        <w:t>主要</w:t>
      </w:r>
      <w:r>
        <w:rPr>
          <w:rFonts w:hint="eastAsia" w:ascii="宋体" w:hAnsi="宋体" w:eastAsia="宋体" w:cs="宋体"/>
          <w:sz w:val="24"/>
          <w:szCs w:val="24"/>
          <w:lang w:val="en-US" w:eastAsia="zh-CN"/>
        </w:rPr>
        <w:t>采购</w:t>
      </w:r>
      <w:r>
        <w:rPr>
          <w:rFonts w:hint="eastAsia" w:ascii="宋体" w:hAnsi="宋体" w:eastAsia="宋体" w:cs="宋体"/>
          <w:sz w:val="24"/>
          <w:szCs w:val="24"/>
          <w:lang w:val="zh-TW" w:eastAsia="zh-CN"/>
        </w:rPr>
        <w:t>内容为：</w:t>
      </w:r>
      <w:r>
        <w:rPr>
          <w:rFonts w:hint="eastAsia" w:ascii="宋体" w:hAnsi="宋体" w:eastAsia="宋体" w:cs="宋体"/>
          <w:sz w:val="24"/>
          <w:szCs w:val="24"/>
          <w:lang w:val="en-US" w:eastAsia="zh-CN"/>
        </w:rPr>
        <w:t>22个排污口标牌、水质自动监测微型站1套、一体化水质自动监测站2套、视频监控15套、流量监测7套、入河排口综合管理平台1套等</w:t>
      </w:r>
      <w:r>
        <w:rPr>
          <w:rFonts w:hint="eastAsia" w:ascii="宋体" w:hAnsi="宋体" w:cs="宋体"/>
          <w:sz w:val="24"/>
          <w:szCs w:val="24"/>
          <w:lang w:val="en-US" w:eastAsia="zh-CN"/>
        </w:rPr>
        <w:t>采购安装</w:t>
      </w:r>
      <w:r>
        <w:rPr>
          <w:rFonts w:hint="eastAsia" w:ascii="宋体" w:hAnsi="宋体" w:eastAsia="宋体" w:cs="宋体"/>
          <w:sz w:val="24"/>
          <w:szCs w:val="24"/>
          <w:lang w:val="en-US" w:eastAsia="zh-CN"/>
        </w:rPr>
        <w:t>及相关服务</w:t>
      </w:r>
      <w:r>
        <w:rPr>
          <w:rFonts w:hint="eastAsia" w:ascii="宋体" w:hAnsi="宋体" w:cs="宋体"/>
          <w:sz w:val="24"/>
          <w:szCs w:val="24"/>
          <w:lang w:val="en-US" w:eastAsia="zh-CN"/>
        </w:rPr>
        <w:t>，</w:t>
      </w:r>
      <w:r>
        <w:rPr>
          <w:rFonts w:hint="eastAsia" w:ascii="宋体" w:hAnsi="宋体" w:cs="宋体"/>
          <w:sz w:val="24"/>
          <w:lang w:val="zh-TW" w:eastAsia="zh-CN"/>
        </w:rPr>
        <w:t>具体内容详见招标文件。</w:t>
      </w:r>
    </w:p>
    <w:p w14:paraId="421549A1">
      <w:pPr>
        <w:spacing w:line="500" w:lineRule="exact"/>
        <w:ind w:firstLine="480" w:firstLineChars="200"/>
        <w:rPr>
          <w:rFonts w:hint="default" w:ascii="宋体" w:hAnsi="宋体" w:cs="宋体"/>
          <w:color w:val="FF0000"/>
          <w:sz w:val="24"/>
          <w:szCs w:val="24"/>
          <w:lang w:val="en-US"/>
        </w:rPr>
      </w:pPr>
      <w:r>
        <w:rPr>
          <w:rFonts w:hint="eastAsia" w:ascii="宋体" w:hAnsi="宋体" w:cs="宋体"/>
          <w:sz w:val="24"/>
          <w:szCs w:val="24"/>
          <w:lang w:val="en-US" w:eastAsia="zh-CN"/>
        </w:rPr>
        <w:t>5.2</w:t>
      </w:r>
      <w:r>
        <w:rPr>
          <w:rFonts w:hint="eastAsia" w:ascii="宋体" w:hAnsi="宋体" w:cs="宋体"/>
          <w:sz w:val="24"/>
          <w:szCs w:val="24"/>
        </w:rPr>
        <w:t>资金来源：</w:t>
      </w:r>
      <w:r>
        <w:rPr>
          <w:rFonts w:hint="eastAsia" w:ascii="宋体" w:hAnsi="宋体" w:cs="宋体"/>
          <w:color w:val="000000" w:themeColor="text1"/>
          <w:sz w:val="24"/>
          <w:szCs w:val="24"/>
          <w:lang w:eastAsia="zh-CN"/>
          <w14:textFill>
            <w14:solidFill>
              <w14:schemeClr w14:val="tx1"/>
            </w14:solidFill>
          </w14:textFill>
        </w:rPr>
        <w:t>财政资金，</w:t>
      </w:r>
      <w:r>
        <w:rPr>
          <w:rFonts w:hint="eastAsia" w:ascii="宋体" w:hAnsi="宋体" w:cs="宋体"/>
          <w:color w:val="000000" w:themeColor="text1"/>
          <w:sz w:val="24"/>
          <w:szCs w:val="24"/>
          <w:lang w:val="en-US" w:eastAsia="zh-CN"/>
          <w14:textFill>
            <w14:solidFill>
              <w14:schemeClr w14:val="tx1"/>
            </w14:solidFill>
          </w14:textFill>
        </w:rPr>
        <w:t>已落实</w:t>
      </w:r>
    </w:p>
    <w:p w14:paraId="5E852D7E">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5.3</w:t>
      </w:r>
      <w:r>
        <w:rPr>
          <w:rFonts w:hint="eastAsia" w:ascii="宋体" w:hAnsi="宋体" w:cs="宋体"/>
          <w:sz w:val="24"/>
          <w:szCs w:val="24"/>
        </w:rPr>
        <w:t>供货地址：招标人指定地点</w:t>
      </w:r>
    </w:p>
    <w:p w14:paraId="7592CD50">
      <w:pPr>
        <w:spacing w:line="500" w:lineRule="exact"/>
        <w:ind w:firstLine="480" w:firstLineChars="200"/>
        <w:rPr>
          <w:rFonts w:hint="eastAsia" w:ascii="宋体" w:hAnsi="宋体" w:cs="宋体"/>
          <w:color w:val="auto"/>
          <w:sz w:val="24"/>
          <w:szCs w:val="24"/>
          <w:lang w:eastAsia="zh-CN"/>
        </w:rPr>
      </w:pPr>
      <w:r>
        <w:rPr>
          <w:rFonts w:hint="eastAsia" w:ascii="宋体" w:hAnsi="宋体" w:cs="宋体"/>
          <w:sz w:val="24"/>
          <w:szCs w:val="24"/>
          <w:lang w:val="en-US" w:eastAsia="zh-CN"/>
        </w:rPr>
        <w:t>5.4</w:t>
      </w:r>
      <w:r>
        <w:rPr>
          <w:rFonts w:hint="eastAsia" w:ascii="宋体" w:hAnsi="宋体" w:cs="宋体"/>
          <w:sz w:val="24"/>
          <w:szCs w:val="24"/>
        </w:rPr>
        <w:t>供 货 期：</w:t>
      </w:r>
      <w:r>
        <w:rPr>
          <w:rFonts w:hint="eastAsia" w:ascii="宋体" w:hAnsi="宋体" w:cs="宋体"/>
          <w:color w:val="auto"/>
          <w:sz w:val="24"/>
          <w:szCs w:val="24"/>
          <w:lang w:eastAsia="zh-CN"/>
        </w:rPr>
        <w:t>自合同签订之日起6个月</w:t>
      </w:r>
    </w:p>
    <w:p w14:paraId="39415D6F">
      <w:pPr>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5.5质 保</w:t>
      </w:r>
      <w:r>
        <w:rPr>
          <w:rFonts w:hint="eastAsia" w:ascii="宋体" w:hAnsi="宋体" w:eastAsia="宋体" w:cs="宋体"/>
          <w:sz w:val="24"/>
          <w:szCs w:val="24"/>
          <w:lang w:val="en-US" w:eastAsia="zh-CN"/>
        </w:rPr>
        <w:t xml:space="preserve"> 期：</w:t>
      </w:r>
      <w:r>
        <w:rPr>
          <w:rFonts w:hint="eastAsia" w:ascii="宋体" w:hAnsi="宋体" w:eastAsia="宋体" w:cs="宋体"/>
          <w:sz w:val="24"/>
          <w:szCs w:val="24"/>
        </w:rPr>
        <w:t>自验收合格使用之日起1年</w:t>
      </w:r>
    </w:p>
    <w:p w14:paraId="2348843D">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5.6</w:t>
      </w:r>
      <w:r>
        <w:rPr>
          <w:rFonts w:hint="eastAsia" w:ascii="宋体" w:hAnsi="宋体" w:cs="宋体"/>
          <w:sz w:val="24"/>
          <w:szCs w:val="24"/>
        </w:rPr>
        <w:t>质量要求：</w:t>
      </w:r>
      <w:r>
        <w:rPr>
          <w:rFonts w:hint="eastAsia" w:ascii="宋体" w:hAnsi="宋体" w:cs="宋体"/>
          <w:sz w:val="24"/>
          <w:szCs w:val="24"/>
          <w:lang w:eastAsia="zh-CN"/>
        </w:rPr>
        <w:t>符合国家及地方行业相关规范及采购人要求；</w:t>
      </w:r>
    </w:p>
    <w:p w14:paraId="0459DBE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6、合同履行期限：</w:t>
      </w:r>
      <w:r>
        <w:rPr>
          <w:rFonts w:hint="eastAsia" w:ascii="宋体" w:hAnsi="宋体" w:cs="宋体"/>
          <w:color w:val="auto"/>
          <w:sz w:val="24"/>
          <w:szCs w:val="24"/>
          <w:lang w:eastAsia="zh-CN"/>
        </w:rPr>
        <w:t>自合同签订之日起6个月</w:t>
      </w:r>
    </w:p>
    <w:p w14:paraId="128F9AF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lang w:eastAsia="zh-CN"/>
        </w:rPr>
        <w:t>、</w:t>
      </w:r>
      <w:r>
        <w:rPr>
          <w:rFonts w:hint="eastAsia" w:ascii="宋体" w:hAnsi="宋体"/>
          <w:sz w:val="24"/>
          <w:highlight w:val="none"/>
        </w:rPr>
        <w:t>是否接受进口产品：否</w:t>
      </w:r>
    </w:p>
    <w:p w14:paraId="60EE653A">
      <w:pPr>
        <w:spacing w:line="500" w:lineRule="exact"/>
        <w:ind w:firstLine="480" w:firstLineChars="200"/>
        <w:rPr>
          <w:rFonts w:ascii="宋体" w:hAnsi="宋体" w:cs="宋体"/>
          <w:sz w:val="24"/>
          <w:szCs w:val="24"/>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否</w:t>
      </w:r>
    </w:p>
    <w:p w14:paraId="5E7CEF65">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二、供应商资格要求</w:t>
      </w:r>
    </w:p>
    <w:p w14:paraId="3A9FD91F">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E1118C3">
      <w:pPr>
        <w:spacing w:line="360" w:lineRule="auto"/>
        <w:ind w:firstLine="480" w:firstLineChars="200"/>
        <w:rPr>
          <w:rFonts w:hint="eastAsia" w:ascii="宋体" w:hAnsi="宋体" w:cs="宋体"/>
          <w:sz w:val="24"/>
          <w:szCs w:val="24"/>
          <w:lang w:val="zh-TW"/>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本项目非专门面向中小微企业采购项目,执行促进中小企业（监狱企业、残疾人福利性企业）发展</w:t>
      </w:r>
      <w:r>
        <w:rPr>
          <w:rFonts w:hint="eastAsia" w:ascii="宋体" w:hAnsi="宋体" w:cs="宋体"/>
          <w:sz w:val="24"/>
          <w:szCs w:val="24"/>
          <w:lang w:val="en-US" w:eastAsia="zh-CN"/>
        </w:rPr>
        <w:t>、政府强制采购节能产品及环境标志产品优先采购</w:t>
      </w:r>
      <w:r>
        <w:rPr>
          <w:rFonts w:hint="eastAsia" w:ascii="宋体" w:hAnsi="宋体" w:eastAsia="宋体" w:cs="宋体"/>
          <w:sz w:val="24"/>
          <w:szCs w:val="24"/>
          <w:lang w:val="en-US" w:eastAsia="zh-CN"/>
        </w:rPr>
        <w:t>等相关采购政策。</w:t>
      </w:r>
    </w:p>
    <w:p w14:paraId="03112C28">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zh-TW"/>
        </w:rPr>
        <w:t>3、本项目的特定资格要求</w:t>
      </w:r>
      <w:r>
        <w:rPr>
          <w:rFonts w:hint="eastAsia" w:ascii="宋体" w:hAnsi="宋体" w:eastAsia="宋体" w:cs="宋体"/>
          <w:sz w:val="24"/>
          <w:szCs w:val="24"/>
          <w:lang w:val="zh-TW" w:eastAsia="zh-CN"/>
        </w:rPr>
        <w:t>：</w:t>
      </w:r>
    </w:p>
    <w:p w14:paraId="15B1DB4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3AFF867C">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6CE7DAEE">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5702B8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6088F6BE">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p w14:paraId="4904229D">
      <w:pPr>
        <w:spacing w:line="360" w:lineRule="auto"/>
        <w:ind w:firstLine="480" w:firstLineChars="200"/>
        <w:rPr>
          <w:rFonts w:ascii="宋体" w:hAnsi="宋体" w:cs="宋体"/>
          <w:sz w:val="24"/>
          <w:szCs w:val="24"/>
        </w:rPr>
      </w:pPr>
      <w:r>
        <w:rPr>
          <w:rFonts w:hint="eastAsia" w:ascii="宋体" w:hAnsi="宋体" w:cs="宋体"/>
          <w:sz w:val="24"/>
          <w:szCs w:val="24"/>
        </w:rPr>
        <w:t>三、招标文件的获取方式</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cs="宋体"/>
          <w:color w:val="auto"/>
          <w:sz w:val="24"/>
          <w:lang w:val="zh-TW"/>
        </w:rPr>
        <w:t>1、</w:t>
      </w: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lang w:val="zh-TW"/>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zh-TW"/>
        </w:rPr>
        <w:t>日 至202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竞争性磋商文件，本项目不收取</w:t>
      </w:r>
      <w:r>
        <w:rPr>
          <w:rFonts w:hint="eastAsia" w:ascii="宋体" w:hAnsi="宋体" w:cs="宋体"/>
          <w:sz w:val="24"/>
          <w:lang w:val="en-US" w:eastAsia="zh-CN"/>
        </w:rPr>
        <w:t>招标</w:t>
      </w:r>
      <w:r>
        <w:rPr>
          <w:rFonts w:hint="eastAsia" w:ascii="宋体" w:hAnsi="宋体" w:cs="宋体"/>
          <w:sz w:val="24"/>
          <w:lang w:val="zh-TW"/>
        </w:rPr>
        <w:t>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22251FF2">
      <w:pPr>
        <w:spacing w:line="360" w:lineRule="auto"/>
        <w:ind w:firstLine="480" w:firstLineChars="200"/>
        <w:rPr>
          <w:rFonts w:ascii="宋体" w:hAnsi="宋体" w:cs="宋体"/>
          <w:sz w:val="24"/>
          <w:szCs w:val="24"/>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1E4BA4C7">
      <w:pPr>
        <w:spacing w:line="360" w:lineRule="auto"/>
        <w:ind w:firstLine="480" w:firstLineChars="200"/>
        <w:rPr>
          <w:rFonts w:hint="default" w:ascii="宋体" w:hAnsi="宋体" w:cs="宋体"/>
          <w:color w:val="auto"/>
          <w:sz w:val="24"/>
          <w:szCs w:val="24"/>
          <w:lang w:val="en-US"/>
        </w:rPr>
      </w:pPr>
      <w:r>
        <w:rPr>
          <w:rFonts w:hint="eastAsia" w:ascii="宋体" w:hAnsi="宋体" w:cs="宋体"/>
          <w:color w:val="auto"/>
          <w:sz w:val="24"/>
          <w:szCs w:val="24"/>
        </w:rPr>
        <w:t>四</w:t>
      </w:r>
      <w:r>
        <w:rPr>
          <w:rFonts w:hint="eastAsia" w:ascii="宋体" w:hAnsi="宋体" w:cs="宋体"/>
          <w:color w:val="auto"/>
          <w:sz w:val="24"/>
          <w:szCs w:val="24"/>
          <w:lang w:eastAsia="zh-TW"/>
        </w:rPr>
        <w:t>、</w:t>
      </w:r>
      <w:r>
        <w:rPr>
          <w:rFonts w:hint="eastAsia" w:ascii="宋体" w:hAnsi="宋体" w:cs="宋体"/>
          <w:color w:val="auto"/>
          <w:sz w:val="24"/>
          <w:szCs w:val="24"/>
        </w:rPr>
        <w:t>投标</w:t>
      </w:r>
      <w:r>
        <w:rPr>
          <w:rFonts w:hint="eastAsia" w:ascii="宋体" w:hAnsi="宋体" w:cs="宋体"/>
          <w:color w:val="auto"/>
          <w:sz w:val="24"/>
          <w:szCs w:val="24"/>
          <w:lang w:val="en-US" w:eastAsia="zh-CN"/>
        </w:rPr>
        <w:t>截止时间及地点</w:t>
      </w:r>
    </w:p>
    <w:p w14:paraId="2848640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投标</w:t>
      </w:r>
      <w:r>
        <w:rPr>
          <w:rFonts w:hint="eastAsia" w:ascii="宋体" w:hAnsi="宋体" w:cs="宋体"/>
          <w:sz w:val="24"/>
          <w:szCs w:val="24"/>
        </w:rPr>
        <w:t>文件提交的截止时间</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cs="宋体"/>
          <w:color w:val="auto"/>
          <w:sz w:val="24"/>
          <w:szCs w:val="24"/>
        </w:rPr>
        <w:t>日</w:t>
      </w:r>
      <w:r>
        <w:rPr>
          <w:rFonts w:hint="eastAsia" w:ascii="宋体" w:hAnsi="宋体" w:cs="宋体"/>
          <w:color w:val="auto"/>
          <w:sz w:val="24"/>
          <w:szCs w:val="24"/>
          <w:lang w:val="en-US" w:eastAsia="zh-CN"/>
        </w:rPr>
        <w:t>0</w:t>
      </w:r>
      <w:r>
        <w:rPr>
          <w:rFonts w:hint="eastAsia" w:ascii="宋体" w:hAnsi="宋体" w:cs="宋体"/>
          <w:color w:val="auto"/>
          <w:sz w:val="24"/>
          <w:szCs w:val="24"/>
        </w:rPr>
        <w:t>8时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szCs w:val="24"/>
        </w:rPr>
        <w:t>；</w:t>
      </w:r>
    </w:p>
    <w:p w14:paraId="6DEBEED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2、地点：在三门峡市公共资源交易中心网上传加密</w:t>
      </w:r>
      <w:r>
        <w:rPr>
          <w:rFonts w:hint="eastAsia" w:ascii="宋体" w:hAnsi="宋体" w:cs="宋体"/>
          <w:sz w:val="24"/>
          <w:szCs w:val="24"/>
          <w:lang w:val="en-US" w:eastAsia="zh-CN"/>
        </w:rPr>
        <w:t>投标</w:t>
      </w:r>
      <w:r>
        <w:rPr>
          <w:rFonts w:hint="eastAsia" w:ascii="宋体" w:hAnsi="宋体" w:cs="宋体"/>
          <w:sz w:val="24"/>
          <w:szCs w:val="24"/>
        </w:rPr>
        <w:t>文件</w:t>
      </w:r>
    </w:p>
    <w:p w14:paraId="68F3DD41">
      <w:pPr>
        <w:spacing w:line="500" w:lineRule="exact"/>
        <w:ind w:firstLine="480" w:firstLineChars="200"/>
        <w:rPr>
          <w:rFonts w:ascii="宋体" w:hAnsi="宋体"/>
          <w:color w:val="auto"/>
          <w:sz w:val="24"/>
        </w:rPr>
      </w:pPr>
      <w:r>
        <w:rPr>
          <w:rFonts w:hint="eastAsia" w:ascii="宋体" w:hAnsi="宋体" w:cs="宋体"/>
          <w:color w:val="auto"/>
          <w:sz w:val="24"/>
          <w:szCs w:val="24"/>
          <w:lang w:val="en-US" w:eastAsia="zh-CN"/>
        </w:rPr>
        <w:t>五</w:t>
      </w:r>
      <w:r>
        <w:rPr>
          <w:rFonts w:hint="eastAsia" w:ascii="宋体" w:hAnsi="宋体" w:cs="宋体"/>
          <w:color w:val="auto"/>
          <w:sz w:val="24"/>
          <w:szCs w:val="24"/>
          <w:lang w:eastAsia="zh-TW"/>
        </w:rPr>
        <w:t>、</w:t>
      </w:r>
      <w:r>
        <w:rPr>
          <w:rFonts w:hint="eastAsia" w:ascii="宋体" w:hAnsi="宋体" w:cs="宋体"/>
          <w:color w:val="auto"/>
          <w:sz w:val="24"/>
          <w:szCs w:val="24"/>
          <w:lang w:val="en-US" w:eastAsia="zh-CN"/>
        </w:rPr>
        <w:t>开标时间及地点</w:t>
      </w:r>
    </w:p>
    <w:p w14:paraId="3DB3E093">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1.时间：</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0分</w:t>
      </w:r>
      <w:r>
        <w:rPr>
          <w:rFonts w:hint="eastAsia" w:ascii="宋体" w:hAnsi="宋体" w:cs="宋体"/>
          <w:color w:val="auto"/>
          <w:sz w:val="24"/>
          <w:szCs w:val="24"/>
        </w:rPr>
        <w:t>（北京时间）</w:t>
      </w:r>
    </w:p>
    <w:p w14:paraId="4A39F45A">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三门峡市陕州区公共资源交易中心</w:t>
      </w:r>
      <w:r>
        <w:rPr>
          <w:rFonts w:hint="eastAsia" w:ascii="宋体" w:hAnsi="宋体" w:cs="宋体"/>
          <w:color w:val="auto"/>
          <w:sz w:val="24"/>
          <w:szCs w:val="24"/>
          <w:lang w:val="en-US" w:eastAsia="zh-CN"/>
        </w:rPr>
        <w:t>第一开标室</w:t>
      </w:r>
    </w:p>
    <w:p w14:paraId="5D630BF3">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、发布公告的媒介</w:t>
      </w:r>
    </w:p>
    <w:p w14:paraId="2785D584">
      <w:pPr>
        <w:spacing w:line="360" w:lineRule="auto"/>
        <w:ind w:firstLine="480" w:firstLineChars="200"/>
        <w:rPr>
          <w:rFonts w:hint="eastAsia" w:ascii="宋体" w:hAnsi="宋体" w:cs="宋体"/>
          <w:sz w:val="24"/>
          <w:szCs w:val="24"/>
        </w:rPr>
      </w:pPr>
      <w:r>
        <w:rPr>
          <w:rFonts w:hint="eastAsia" w:ascii="宋体" w:hAnsi="宋体" w:cs="宋体"/>
          <w:sz w:val="24"/>
          <w:szCs w:val="24"/>
        </w:rPr>
        <w:t>本次招标公告同时在《河南省政府采购网》、《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》、《三门峡市公共资源交易中心网》等媒体公开发布。</w:t>
      </w:r>
    </w:p>
    <w:p w14:paraId="0A6B9460">
      <w:pPr>
        <w:spacing w:line="360" w:lineRule="auto"/>
        <w:ind w:firstLine="480" w:firstLineChars="200"/>
        <w:rPr>
          <w:rFonts w:ascii="宋体" w:hAnsi="宋体" w:cs="宋体"/>
          <w:sz w:val="24"/>
          <w:szCs w:val="24"/>
        </w:rPr>
      </w:pPr>
      <w:r>
        <w:rPr>
          <w:rFonts w:hint="eastAsia" w:ascii="宋体" w:hAnsi="宋体" w:cs="宋体"/>
          <w:sz w:val="24"/>
          <w:szCs w:val="24"/>
        </w:rPr>
        <w:t>七、其他事项</w:t>
      </w:r>
    </w:p>
    <w:p w14:paraId="04064B0F">
      <w:pPr>
        <w:spacing w:line="360" w:lineRule="auto"/>
        <w:ind w:firstLine="480" w:firstLineChars="200"/>
        <w:rPr>
          <w:rFonts w:hint="eastAsia" w:ascii="宋体" w:hAnsi="宋体" w:cs="宋体"/>
          <w:sz w:val="24"/>
          <w:szCs w:val="24"/>
        </w:rPr>
      </w:pPr>
      <w:r>
        <w:rPr>
          <w:rFonts w:hint="eastAsia" w:ascii="宋体" w:hAnsi="宋体" w:cs="宋体"/>
          <w:sz w:val="24"/>
          <w:szCs w:val="24"/>
        </w:rPr>
        <w:t>1、投标保证金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按照《河南省财政厅关于优化政府采购营商环境有关问题的通知》（豫财购[2019]4号文）的要求本项目不再收取投标保证金。</w:t>
      </w:r>
    </w:p>
    <w:p w14:paraId="055F01B0">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2、</w:t>
      </w:r>
      <w:r>
        <w:rPr>
          <w:rFonts w:hint="eastAsia" w:ascii="宋体" w:hAnsi="宋体" w:eastAsia="宋体" w:cs="宋体"/>
          <w:kern w:val="0"/>
          <w:sz w:val="24"/>
          <w:szCs w:val="24"/>
        </w:rPr>
        <w:t>本项目为不见面开标项目，开标当日，供应商无需到开标现场参加磋商会议，供应商应当在磋商截止时间前，登陆不见面开标大厅选择登陆三门峡市公共资源电子招投标系统进行登陆，在线准时参加磋商活动并进行响应文件解密等。每位供应商的解密时间为磋商时间起</w:t>
      </w:r>
      <w:r>
        <w:rPr>
          <w:rFonts w:hint="eastAsia" w:ascii="宋体" w:hAnsi="宋体" w:cs="宋体"/>
          <w:kern w:val="0"/>
          <w:sz w:val="24"/>
          <w:szCs w:val="24"/>
          <w:lang w:eastAsia="zh-CN"/>
        </w:rPr>
        <w:t>20分</w:t>
      </w:r>
      <w:r>
        <w:rPr>
          <w:rFonts w:hint="eastAsia" w:ascii="宋体" w:hAnsi="宋体" w:eastAsia="宋体" w:cs="宋体"/>
          <w:kern w:val="0"/>
          <w:sz w:val="24"/>
          <w:szCs w:val="24"/>
        </w:rPr>
        <w:t>钟内完成。因供应商原因未能解密、解密失败或解密超时的将被拒绝。</w:t>
      </w:r>
    </w:p>
    <w:p w14:paraId="076657D9">
      <w:pPr>
        <w:spacing w:line="500" w:lineRule="exact"/>
        <w:ind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供应商应仔细阅读操作手册，在本公告中要求的截止时间前完成投标工作，因投标人操作不当等问题造成的无法投标等一切后果，由供应商自行承担。</w:t>
      </w:r>
    </w:p>
    <w:p w14:paraId="51A39CE4">
      <w:pPr>
        <w:spacing w:line="5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、本项目资格评审和业绩以投标文件为准，投标人可使用电子营业执照。</w:t>
      </w:r>
    </w:p>
    <w:p w14:paraId="23A199B4">
      <w:pPr>
        <w:spacing w:line="500" w:lineRule="exact"/>
        <w:ind w:firstLine="480" w:firstLineChars="200"/>
        <w:rPr>
          <w:rFonts w:ascii="宋体" w:hAnsi="宋体"/>
          <w:color w:val="000000"/>
          <w:sz w:val="24"/>
        </w:rPr>
      </w:pPr>
      <w:r>
        <w:rPr>
          <w:rFonts w:hint="eastAsia" w:ascii="宋体" w:hAnsi="宋体"/>
          <w:color w:val="000000"/>
          <w:sz w:val="24"/>
        </w:rPr>
        <w:t>（1）资格评（预）审部分：资格评（预）审以投标文件为准，其上传资料真实性由投标人自行承担，同时，投标人应在开标前自行完善主体库信息。</w:t>
      </w:r>
    </w:p>
    <w:p w14:paraId="53AE9B60">
      <w:pPr>
        <w:spacing w:line="500" w:lineRule="exact"/>
        <w:ind w:firstLine="480" w:firstLineChars="200"/>
        <w:rPr>
          <w:rFonts w:ascii="宋体" w:hAnsi="宋体"/>
          <w:color w:val="000000"/>
          <w:sz w:val="24"/>
        </w:rPr>
      </w:pPr>
      <w:r>
        <w:rPr>
          <w:rFonts w:hint="eastAsia" w:ascii="宋体" w:hAnsi="宋体"/>
          <w:color w:val="000000"/>
          <w:sz w:val="24"/>
        </w:rPr>
        <w:t>（2）评标打分部分：评标打分部分按照100分制原则进行，涉及到资格审查、企业荣誉、人员业绩、企业业绩等计分部分时，以投标单位自行上传到投标文件中的各类相应内容为准。</w:t>
      </w:r>
    </w:p>
    <w:p w14:paraId="58F7B870">
      <w:pPr>
        <w:spacing w:line="500" w:lineRule="exact"/>
        <w:ind w:firstLine="480" w:firstLineChars="200"/>
        <w:rPr>
          <w:rFonts w:ascii="宋体" w:hAnsi="宋体"/>
          <w:color w:val="000000"/>
          <w:sz w:val="24"/>
        </w:rPr>
      </w:pPr>
      <w:r>
        <w:rPr>
          <w:rFonts w:hint="eastAsia" w:ascii="宋体" w:hAnsi="宋体"/>
          <w:color w:val="00000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12A33272">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r>
        <w:rPr>
          <w:rFonts w:hint="eastAsia" w:ascii="宋体" w:hAnsi="宋体"/>
          <w:color w:val="000000"/>
          <w:sz w:val="24"/>
          <w:lang w:eastAsia="zh-CN"/>
        </w:rPr>
        <w:t>。</w:t>
      </w:r>
    </w:p>
    <w:p w14:paraId="682666D5">
      <w:pPr>
        <w:spacing w:line="360" w:lineRule="auto"/>
        <w:ind w:firstLine="480" w:firstLineChars="200"/>
        <w:rPr>
          <w:rFonts w:hint="eastAsia" w:ascii="宋体" w:hAnsi="宋体" w:eastAsia="宋体" w:cs="Times New Roman"/>
          <w:color w:val="000000"/>
          <w:sz w:val="24"/>
        </w:rPr>
      </w:pPr>
      <w:r>
        <w:rPr>
          <w:rFonts w:hint="eastAsia" w:ascii="宋体" w:hAnsi="宋体" w:cs="宋体"/>
          <w:sz w:val="24"/>
          <w:szCs w:val="24"/>
          <w:lang w:val="en-US" w:eastAsia="zh-CN"/>
        </w:rPr>
        <w:t>八</w:t>
      </w:r>
      <w:r>
        <w:rPr>
          <w:rFonts w:hint="eastAsia" w:ascii="宋体" w:hAnsi="宋体" w:cs="宋体"/>
          <w:sz w:val="24"/>
          <w:szCs w:val="24"/>
        </w:rPr>
        <w:t>、</w:t>
      </w:r>
      <w:bookmarkStart w:id="4" w:name="_Toc410126998"/>
      <w:bookmarkStart w:id="5" w:name="_Toc28449"/>
      <w:bookmarkStart w:id="6" w:name="_Toc270604573"/>
      <w:r>
        <w:rPr>
          <w:rFonts w:hint="eastAsia" w:ascii="宋体" w:hAnsi="宋体" w:eastAsia="宋体" w:cs="Times New Roman"/>
          <w:color w:val="000000"/>
          <w:sz w:val="24"/>
        </w:rPr>
        <w:t>凡对本次招标提出询问，请按照以下方式联系</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000000"/>
          <w:sz w:val="24"/>
          <w:szCs w:val="24"/>
          <w:lang w:val="en-US" w:eastAsia="zh-CN"/>
        </w:rPr>
        <w:t>1、</w:t>
      </w:r>
      <w:r>
        <w:rPr>
          <w:rFonts w:hint="eastAsia" w:ascii="宋体" w:hAnsi="宋体" w:cs="宋体"/>
          <w:color w:val="auto"/>
          <w:sz w:val="24"/>
          <w:szCs w:val="24"/>
          <w:lang w:val="en-US" w:eastAsia="zh-CN"/>
        </w:rPr>
        <w:t>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三门峡市陕州区环境污染防治攻坚工作专班</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陈先生</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13525218811</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三门峡市湖滨区建业壹号城邦一号楼612室</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郝女士</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eastAsia="宋体" w:cs="宋体"/>
          <w:color w:val="auto"/>
          <w:sz w:val="24"/>
          <w:szCs w:val="24"/>
          <w:lang w:val="zh-TW"/>
        </w:rPr>
        <w:t xml:space="preserve"> </w:t>
      </w:r>
      <w:r>
        <w:rPr>
          <w:rFonts w:hint="eastAsia" w:ascii="宋体" w:hAnsi="宋体" w:cs="宋体"/>
          <w:color w:val="auto"/>
          <w:sz w:val="24"/>
          <w:szCs w:val="24"/>
          <w:lang w:eastAsia="zh-CN"/>
        </w:rPr>
        <w:t>13303983938</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郝女士</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13303983938</w:t>
      </w:r>
    </w:p>
    <w:p w14:paraId="57AB10A4">
      <w:pPr>
        <w:spacing w:line="500" w:lineRule="exact"/>
        <w:ind w:firstLine="480" w:firstLineChars="200"/>
        <w:rPr>
          <w:rFonts w:hint="default" w:ascii="宋体" w:hAnsi="宋体"/>
          <w:color w:val="000000"/>
          <w:sz w:val="24"/>
          <w:lang w:val="en-US" w:eastAsia="zh-CN"/>
        </w:rPr>
      </w:pPr>
    </w:p>
    <w:p w14:paraId="31833BD9">
      <w:pPr>
        <w:pStyle w:val="2"/>
        <w:keepNext w:val="0"/>
        <w:keepLines w:val="0"/>
        <w:pageBreakBefore/>
        <w:spacing w:before="120" w:after="120" w:line="400" w:lineRule="exact"/>
        <w:jc w:val="center"/>
        <w:rPr>
          <w:rFonts w:ascii="黑体" w:hAnsi="黑体" w:eastAsia="黑体"/>
          <w:sz w:val="36"/>
          <w:szCs w:val="36"/>
        </w:rPr>
      </w:pPr>
      <w:bookmarkStart w:id="7" w:name="_Toc27780"/>
      <w:bookmarkStart w:id="8" w:name="_Toc29630"/>
      <w:bookmarkStart w:id="9" w:name="_Toc10054"/>
      <w:r>
        <w:rPr>
          <w:rFonts w:hint="eastAsia" w:ascii="宋体" w:hAnsi="宋体" w:eastAsia="宋体" w:cs="宋体"/>
          <w:sz w:val="36"/>
          <w:szCs w:val="36"/>
        </w:rPr>
        <w:t>第二章 供应商须知</w:t>
      </w:r>
      <w:bookmarkEnd w:id="4"/>
      <w:bookmarkEnd w:id="5"/>
      <w:bookmarkEnd w:id="6"/>
      <w:bookmarkEnd w:id="7"/>
      <w:bookmarkEnd w:id="8"/>
      <w:bookmarkEnd w:id="9"/>
      <w:bookmarkStart w:id="10" w:name="_Toc503886922"/>
      <w:bookmarkStart w:id="11" w:name="_Toc269470293"/>
      <w:bookmarkStart w:id="12" w:name="_Toc505073888"/>
      <w:bookmarkStart w:id="13" w:name="_Toc31918"/>
      <w:bookmarkStart w:id="14" w:name="_Toc504055106"/>
      <w:bookmarkStart w:id="15" w:name="_Toc503885586"/>
      <w:bookmarkStart w:id="16" w:name="_Toc503112329"/>
      <w:bookmarkStart w:id="17" w:name="_Toc270604574"/>
      <w:bookmarkStart w:id="18" w:name="_Toc15504"/>
      <w:bookmarkStart w:id="19" w:name="_Toc4962"/>
    </w:p>
    <w:p w14:paraId="7A8F9FE0">
      <w:pPr>
        <w:spacing w:line="360" w:lineRule="auto"/>
        <w:jc w:val="center"/>
        <w:rPr>
          <w:rFonts w:hAnsi="宋体"/>
          <w:sz w:val="24"/>
          <w:szCs w:val="24"/>
        </w:rPr>
      </w:pPr>
      <w:bookmarkStart w:id="20" w:name="_Toc6916"/>
      <w:bookmarkStart w:id="21" w:name="_Toc31332"/>
      <w:r>
        <w:rPr>
          <w:rFonts w:hint="eastAsia" w:ascii="宋体" w:hAnsi="Calibri" w:eastAsia="黑体" w:cs="宋体"/>
          <w:b/>
          <w:sz w:val="24"/>
          <w:szCs w:val="20"/>
        </w:rPr>
        <w:t>供应商须知前附表</w:t>
      </w:r>
      <w:bookmarkEnd w:id="10"/>
      <w:bookmarkEnd w:id="11"/>
      <w:bookmarkEnd w:id="12"/>
      <w:bookmarkEnd w:id="13"/>
      <w:bookmarkEnd w:id="14"/>
      <w:bookmarkEnd w:id="15"/>
      <w:bookmarkEnd w:id="16"/>
      <w:bookmarkEnd w:id="17"/>
      <w:bookmarkEnd w:id="18"/>
      <w:bookmarkEnd w:id="19"/>
      <w:bookmarkEnd w:id="20"/>
      <w:bookmarkEnd w:id="21"/>
    </w:p>
    <w:tbl>
      <w:tblPr>
        <w:tblStyle w:val="47"/>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284"/>
        <w:gridCol w:w="6661"/>
      </w:tblGrid>
      <w:tr w14:paraId="350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667DA1">
            <w:pPr>
              <w:jc w:val="center"/>
              <w:rPr>
                <w:rFonts w:ascii="宋体" w:hAnsi="宋体" w:cs="宋体"/>
                <w:b/>
                <w:bCs/>
                <w:sz w:val="24"/>
                <w:szCs w:val="24"/>
              </w:rPr>
            </w:pPr>
            <w:r>
              <w:rPr>
                <w:rFonts w:hint="eastAsia" w:ascii="宋体" w:hAnsi="宋体" w:cs="宋体"/>
                <w:b/>
                <w:bCs/>
                <w:sz w:val="24"/>
                <w:szCs w:val="24"/>
              </w:rPr>
              <w:t>条款号</w:t>
            </w:r>
          </w:p>
        </w:tc>
        <w:tc>
          <w:tcPr>
            <w:tcW w:w="1985" w:type="dxa"/>
            <w:gridSpan w:val="2"/>
            <w:tcBorders>
              <w:top w:val="single" w:color="auto" w:sz="4" w:space="0"/>
              <w:left w:val="nil"/>
              <w:bottom w:val="single" w:color="auto" w:sz="4" w:space="0"/>
              <w:right w:val="single" w:color="auto" w:sz="4" w:space="0"/>
            </w:tcBorders>
            <w:vAlign w:val="center"/>
          </w:tcPr>
          <w:p w14:paraId="2B9C19E8">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14:paraId="61D14619">
            <w:pPr>
              <w:jc w:val="center"/>
              <w:rPr>
                <w:rFonts w:ascii="宋体" w:hAnsi="宋体" w:cs="宋体"/>
                <w:b/>
                <w:bCs/>
                <w:sz w:val="24"/>
                <w:szCs w:val="24"/>
              </w:rPr>
            </w:pPr>
            <w:r>
              <w:rPr>
                <w:rFonts w:hint="eastAsia" w:ascii="宋体" w:hAnsi="宋体" w:cs="宋体"/>
                <w:b/>
                <w:bCs/>
                <w:sz w:val="24"/>
                <w:szCs w:val="24"/>
              </w:rPr>
              <w:t>编  列  内  容</w:t>
            </w:r>
          </w:p>
        </w:tc>
      </w:tr>
      <w:tr w14:paraId="10B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7E3FB2">
            <w:pPr>
              <w:jc w:val="center"/>
              <w:rPr>
                <w:rFonts w:ascii="宋体" w:hAnsi="宋体" w:cs="宋体"/>
                <w:sz w:val="24"/>
                <w:szCs w:val="24"/>
              </w:rPr>
            </w:pPr>
            <w:r>
              <w:rPr>
                <w:rFonts w:hint="eastAsia" w:ascii="宋体" w:hAnsi="宋体" w:cs="宋体"/>
                <w:sz w:val="24"/>
                <w:szCs w:val="24"/>
              </w:rPr>
              <w:t>1.1.2</w:t>
            </w:r>
          </w:p>
        </w:tc>
        <w:tc>
          <w:tcPr>
            <w:tcW w:w="1985" w:type="dxa"/>
            <w:gridSpan w:val="2"/>
            <w:tcBorders>
              <w:top w:val="single" w:color="auto" w:sz="4" w:space="0"/>
              <w:left w:val="nil"/>
              <w:bottom w:val="single" w:color="auto" w:sz="4" w:space="0"/>
              <w:right w:val="single" w:color="auto" w:sz="4" w:space="0"/>
            </w:tcBorders>
            <w:vAlign w:val="center"/>
          </w:tcPr>
          <w:p w14:paraId="1F44057E">
            <w:pPr>
              <w:jc w:val="center"/>
              <w:rPr>
                <w:rFonts w:ascii="宋体" w:hAnsi="宋体" w:cs="宋体"/>
                <w:sz w:val="24"/>
                <w:szCs w:val="24"/>
              </w:rPr>
            </w:pPr>
            <w:r>
              <w:rPr>
                <w:rFonts w:hint="eastAsia" w:ascii="宋体" w:hAnsi="宋体" w:cs="宋体"/>
                <w:sz w:val="24"/>
                <w:szCs w:val="24"/>
              </w:rPr>
              <w:t>招标人</w:t>
            </w:r>
          </w:p>
        </w:tc>
        <w:tc>
          <w:tcPr>
            <w:tcW w:w="6661" w:type="dxa"/>
            <w:tcBorders>
              <w:top w:val="single" w:color="auto" w:sz="4" w:space="0"/>
              <w:left w:val="nil"/>
              <w:bottom w:val="single" w:color="auto" w:sz="4" w:space="0"/>
              <w:right w:val="single" w:color="auto" w:sz="4" w:space="0"/>
            </w:tcBorders>
            <w:vAlign w:val="center"/>
          </w:tcPr>
          <w:p w14:paraId="0B5965E7">
            <w:pPr>
              <w:rPr>
                <w:rFonts w:hint="eastAsia" w:ascii="宋体" w:hAnsi="宋体" w:eastAsia="宋体" w:cs="Tahoma"/>
                <w:color w:val="000000"/>
                <w:sz w:val="24"/>
                <w:szCs w:val="24"/>
                <w:lang w:eastAsia="zh-CN"/>
              </w:rPr>
            </w:pPr>
            <w:r>
              <w:rPr>
                <w:rFonts w:hint="eastAsia" w:ascii="宋体" w:hAnsi="宋体" w:cs="宋体"/>
                <w:sz w:val="24"/>
                <w:szCs w:val="24"/>
              </w:rPr>
              <w:t>招标人：</w:t>
            </w:r>
            <w:r>
              <w:rPr>
                <w:rFonts w:hint="eastAsia" w:ascii="宋体" w:hAnsi="宋体" w:cs="Tahoma"/>
                <w:color w:val="000000"/>
                <w:sz w:val="24"/>
                <w:szCs w:val="24"/>
                <w:lang w:eastAsia="zh-CN"/>
              </w:rPr>
              <w:t>三门峡市陕州区环境污染防治攻坚工作专班</w:t>
            </w:r>
          </w:p>
          <w:p w14:paraId="259CFC34">
            <w:pPr>
              <w:rPr>
                <w:rFonts w:hint="eastAsia" w:ascii="宋体" w:hAnsi="宋体" w:eastAsia="宋体" w:cs="Tahoma"/>
                <w:color w:val="auto"/>
                <w:sz w:val="24"/>
                <w:szCs w:val="24"/>
                <w:lang w:val="zh-TW" w:eastAsia="zh-CN"/>
              </w:rPr>
            </w:pPr>
            <w:r>
              <w:rPr>
                <w:rFonts w:hint="eastAsia" w:ascii="宋体" w:hAnsi="宋体" w:cs="Tahoma"/>
                <w:color w:val="auto"/>
                <w:sz w:val="24"/>
                <w:szCs w:val="24"/>
                <w:lang w:val="zh-TW"/>
              </w:rPr>
              <w:t>联系人：</w:t>
            </w:r>
            <w:r>
              <w:rPr>
                <w:rFonts w:hint="eastAsia" w:ascii="宋体" w:hAnsi="宋体" w:cs="Tahoma"/>
                <w:color w:val="auto"/>
                <w:sz w:val="24"/>
                <w:szCs w:val="24"/>
                <w:lang w:val="zh-TW" w:eastAsia="zh-CN"/>
              </w:rPr>
              <w:t>陈先生</w:t>
            </w:r>
          </w:p>
          <w:p w14:paraId="72BEC09F">
            <w:pPr>
              <w:rPr>
                <w:rFonts w:hint="eastAsia" w:ascii="宋体" w:hAnsi="宋体" w:eastAsia="宋体" w:cs="Tahoma"/>
                <w:color w:val="000000"/>
                <w:sz w:val="24"/>
                <w:szCs w:val="24"/>
                <w:lang w:eastAsia="zh-CN"/>
              </w:rPr>
            </w:pPr>
            <w:r>
              <w:rPr>
                <w:rFonts w:hint="eastAsia" w:ascii="宋体" w:hAnsi="宋体" w:cs="Tahoma"/>
                <w:color w:val="auto"/>
                <w:sz w:val="24"/>
                <w:szCs w:val="24"/>
                <w:lang w:val="zh-TW"/>
              </w:rPr>
              <w:t>联系电话：</w:t>
            </w:r>
            <w:r>
              <w:rPr>
                <w:rFonts w:hint="eastAsia" w:ascii="宋体" w:hAnsi="宋体" w:cs="Tahoma"/>
                <w:color w:val="auto"/>
                <w:sz w:val="24"/>
                <w:szCs w:val="24"/>
                <w:lang w:eastAsia="zh-CN"/>
              </w:rPr>
              <w:t>13525218811</w:t>
            </w:r>
          </w:p>
        </w:tc>
      </w:tr>
      <w:tr w14:paraId="0B0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311E53">
            <w:pPr>
              <w:jc w:val="center"/>
              <w:rPr>
                <w:rFonts w:ascii="宋体" w:hAnsi="宋体" w:cs="宋体"/>
                <w:sz w:val="24"/>
                <w:szCs w:val="24"/>
              </w:rPr>
            </w:pPr>
            <w:r>
              <w:rPr>
                <w:rFonts w:hint="eastAsia" w:ascii="宋体" w:hAnsi="宋体" w:cs="宋体"/>
                <w:sz w:val="24"/>
                <w:szCs w:val="24"/>
              </w:rPr>
              <w:t>1.1.3</w:t>
            </w:r>
          </w:p>
        </w:tc>
        <w:tc>
          <w:tcPr>
            <w:tcW w:w="1985" w:type="dxa"/>
            <w:gridSpan w:val="2"/>
            <w:tcBorders>
              <w:top w:val="single" w:color="auto" w:sz="4" w:space="0"/>
              <w:left w:val="nil"/>
              <w:bottom w:val="single" w:color="auto" w:sz="4" w:space="0"/>
              <w:right w:val="single" w:color="auto" w:sz="4" w:space="0"/>
            </w:tcBorders>
            <w:vAlign w:val="center"/>
          </w:tcPr>
          <w:p w14:paraId="18E159E5">
            <w:pPr>
              <w:jc w:val="center"/>
              <w:rPr>
                <w:rFonts w:ascii="宋体" w:hAnsi="宋体" w:cs="宋体"/>
                <w:sz w:val="24"/>
                <w:szCs w:val="24"/>
              </w:rPr>
            </w:pPr>
            <w:r>
              <w:rPr>
                <w:rFonts w:hint="eastAsia" w:ascii="宋体" w:hAnsi="宋体" w:cs="宋体"/>
                <w:sz w:val="24"/>
                <w:szCs w:val="24"/>
              </w:rPr>
              <w:t>招标代理</w:t>
            </w:r>
          </w:p>
          <w:p w14:paraId="19D3F8DD">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14:paraId="536E7FB7">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195BA28B">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三门峡市湖滨区建业壹号城邦一号楼612室</w:t>
            </w:r>
            <w:r>
              <w:rPr>
                <w:rFonts w:hint="eastAsia" w:ascii="宋体" w:hAnsi="宋体" w:cs="宋体"/>
                <w:sz w:val="24"/>
                <w:szCs w:val="24"/>
              </w:rPr>
              <w:t> </w:t>
            </w:r>
          </w:p>
          <w:p w14:paraId="3B3E9B9E">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 xml:space="preserve">郝女士   13303983938 </w:t>
            </w:r>
          </w:p>
        </w:tc>
      </w:tr>
      <w:tr w14:paraId="77C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C4F7A1D">
            <w:pPr>
              <w:jc w:val="center"/>
              <w:rPr>
                <w:rFonts w:ascii="宋体" w:hAnsi="宋体" w:cs="宋体"/>
                <w:sz w:val="24"/>
                <w:szCs w:val="24"/>
              </w:rPr>
            </w:pPr>
            <w:r>
              <w:rPr>
                <w:rFonts w:hint="eastAsia" w:ascii="宋体" w:hAnsi="宋体" w:cs="宋体"/>
                <w:sz w:val="24"/>
                <w:szCs w:val="24"/>
              </w:rPr>
              <w:t>1.1.4</w:t>
            </w:r>
          </w:p>
        </w:tc>
        <w:tc>
          <w:tcPr>
            <w:tcW w:w="1985" w:type="dxa"/>
            <w:gridSpan w:val="2"/>
            <w:tcBorders>
              <w:top w:val="single" w:color="auto" w:sz="4" w:space="0"/>
              <w:left w:val="nil"/>
              <w:bottom w:val="single" w:color="auto" w:sz="4" w:space="0"/>
              <w:right w:val="single" w:color="auto" w:sz="4" w:space="0"/>
            </w:tcBorders>
            <w:vAlign w:val="center"/>
          </w:tcPr>
          <w:p w14:paraId="0F0D1011">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14:paraId="20CD57D1">
            <w:pPr>
              <w:rPr>
                <w:rFonts w:hint="eastAsia" w:ascii="宋体" w:hAnsi="宋体" w:eastAsia="宋体" w:cs="宋体"/>
                <w:sz w:val="24"/>
                <w:szCs w:val="24"/>
                <w:lang w:eastAsia="zh-CN"/>
              </w:rPr>
            </w:pPr>
            <w:r>
              <w:rPr>
                <w:rFonts w:hint="eastAsia" w:ascii="宋体" w:hAnsi="宋体" w:cs="宋体"/>
                <w:sz w:val="24"/>
                <w:szCs w:val="24"/>
                <w:lang w:eastAsia="zh-CN"/>
              </w:rPr>
              <w:t>三门峡市陕州区入河排污口规范化建设项目一期</w:t>
            </w:r>
          </w:p>
        </w:tc>
      </w:tr>
      <w:tr w14:paraId="03E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4DE285">
            <w:pPr>
              <w:jc w:val="center"/>
              <w:rPr>
                <w:rFonts w:ascii="宋体" w:hAnsi="宋体" w:cs="宋体"/>
                <w:sz w:val="24"/>
                <w:szCs w:val="24"/>
              </w:rPr>
            </w:pPr>
            <w:r>
              <w:rPr>
                <w:rFonts w:hint="eastAsia" w:ascii="宋体" w:hAnsi="宋体" w:cs="宋体"/>
                <w:sz w:val="24"/>
                <w:szCs w:val="24"/>
              </w:rPr>
              <w:t>1.1.5</w:t>
            </w:r>
          </w:p>
        </w:tc>
        <w:tc>
          <w:tcPr>
            <w:tcW w:w="1985" w:type="dxa"/>
            <w:gridSpan w:val="2"/>
            <w:tcBorders>
              <w:top w:val="single" w:color="auto" w:sz="4" w:space="0"/>
              <w:left w:val="nil"/>
              <w:bottom w:val="single" w:color="auto" w:sz="4" w:space="0"/>
              <w:right w:val="single" w:color="auto" w:sz="4" w:space="0"/>
            </w:tcBorders>
            <w:vAlign w:val="center"/>
          </w:tcPr>
          <w:p w14:paraId="4664D49A">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14:paraId="73B5E75B">
            <w:pPr>
              <w:rPr>
                <w:rFonts w:ascii="宋体" w:hAnsi="宋体" w:cs="宋体"/>
                <w:sz w:val="24"/>
                <w:szCs w:val="24"/>
              </w:rPr>
            </w:pPr>
            <w:r>
              <w:rPr>
                <w:rFonts w:hint="eastAsia" w:ascii="宋体" w:hAnsi="宋体" w:cs="Tahoma"/>
                <w:color w:val="000000"/>
                <w:sz w:val="24"/>
                <w:szCs w:val="24"/>
              </w:rPr>
              <w:t>招标人指定地点</w:t>
            </w:r>
          </w:p>
        </w:tc>
      </w:tr>
      <w:tr w14:paraId="7C8C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7C9F23">
            <w:pPr>
              <w:jc w:val="center"/>
              <w:rPr>
                <w:rFonts w:ascii="宋体" w:hAnsi="宋体" w:cs="宋体"/>
                <w:sz w:val="24"/>
                <w:szCs w:val="24"/>
              </w:rPr>
            </w:pPr>
            <w:r>
              <w:rPr>
                <w:rFonts w:hint="eastAsia" w:ascii="宋体" w:hAnsi="宋体" w:cs="宋体"/>
                <w:sz w:val="24"/>
                <w:szCs w:val="24"/>
              </w:rPr>
              <w:t>1.2.1</w:t>
            </w:r>
          </w:p>
        </w:tc>
        <w:tc>
          <w:tcPr>
            <w:tcW w:w="1985" w:type="dxa"/>
            <w:gridSpan w:val="2"/>
            <w:tcBorders>
              <w:top w:val="single" w:color="auto" w:sz="4" w:space="0"/>
              <w:left w:val="nil"/>
              <w:bottom w:val="single" w:color="auto" w:sz="4" w:space="0"/>
              <w:right w:val="single" w:color="auto" w:sz="4" w:space="0"/>
            </w:tcBorders>
            <w:vAlign w:val="center"/>
          </w:tcPr>
          <w:p w14:paraId="6F53A055">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14:paraId="45FEB2CE">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财政资金，</w:t>
            </w:r>
            <w:r>
              <w:rPr>
                <w:rFonts w:hint="eastAsia" w:ascii="宋体" w:hAnsi="宋体" w:cs="宋体"/>
                <w:color w:val="000000" w:themeColor="text1"/>
                <w:sz w:val="24"/>
                <w:szCs w:val="24"/>
                <w:lang w:val="en-US" w:eastAsia="zh-CN"/>
                <w14:textFill>
                  <w14:solidFill>
                    <w14:schemeClr w14:val="tx1"/>
                  </w14:solidFill>
                </w14:textFill>
              </w:rPr>
              <w:t>已落实。</w:t>
            </w:r>
          </w:p>
        </w:tc>
      </w:tr>
      <w:tr w14:paraId="41B6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EF657A">
            <w:pPr>
              <w:jc w:val="center"/>
              <w:rPr>
                <w:rFonts w:ascii="宋体" w:hAnsi="宋体" w:cs="宋体"/>
                <w:sz w:val="24"/>
                <w:szCs w:val="24"/>
              </w:rPr>
            </w:pPr>
            <w:r>
              <w:rPr>
                <w:rFonts w:hint="eastAsia" w:ascii="宋体" w:hAnsi="宋体" w:cs="宋体"/>
                <w:sz w:val="24"/>
                <w:szCs w:val="24"/>
              </w:rPr>
              <w:t>1.3.1</w:t>
            </w:r>
          </w:p>
        </w:tc>
        <w:tc>
          <w:tcPr>
            <w:tcW w:w="1985" w:type="dxa"/>
            <w:gridSpan w:val="2"/>
            <w:tcBorders>
              <w:top w:val="single" w:color="auto" w:sz="4" w:space="0"/>
              <w:left w:val="nil"/>
              <w:bottom w:val="single" w:color="auto" w:sz="4" w:space="0"/>
              <w:right w:val="single" w:color="auto" w:sz="4" w:space="0"/>
            </w:tcBorders>
            <w:vAlign w:val="center"/>
          </w:tcPr>
          <w:p w14:paraId="524B0771">
            <w:pPr>
              <w:jc w:val="center"/>
              <w:rPr>
                <w:rFonts w:ascii="宋体" w:hAnsi="宋体" w:cs="宋体"/>
                <w:sz w:val="24"/>
                <w:szCs w:val="24"/>
              </w:rPr>
            </w:pPr>
            <w:r>
              <w:rPr>
                <w:rFonts w:hint="eastAsia" w:ascii="宋体" w:hAnsi="宋体" w:cs="宋体"/>
                <w:sz w:val="24"/>
                <w:szCs w:val="24"/>
              </w:rPr>
              <w:t>招标范围</w:t>
            </w:r>
          </w:p>
        </w:tc>
        <w:tc>
          <w:tcPr>
            <w:tcW w:w="6661" w:type="dxa"/>
            <w:tcBorders>
              <w:top w:val="single" w:color="auto" w:sz="4" w:space="0"/>
              <w:left w:val="nil"/>
              <w:bottom w:val="single" w:color="auto" w:sz="4" w:space="0"/>
              <w:right w:val="single" w:color="auto" w:sz="4" w:space="0"/>
            </w:tcBorders>
            <w:vAlign w:val="center"/>
          </w:tcPr>
          <w:p w14:paraId="2465C6EE">
            <w:pPr>
              <w:snapToGrid w:val="0"/>
              <w:textAlignment w:val="baseline"/>
              <w:rPr>
                <w:rFonts w:ascii="宋体" w:hAnsi="宋体" w:cs="宋体"/>
                <w:sz w:val="24"/>
                <w:szCs w:val="24"/>
              </w:rPr>
            </w:pPr>
            <w:r>
              <w:rPr>
                <w:rFonts w:hint="eastAsia" w:ascii="宋体" w:hAnsi="宋体" w:cs="宋体"/>
                <w:sz w:val="24"/>
                <w:szCs w:val="24"/>
              </w:rPr>
              <w:t>招标文件内所包含的全部内容</w:t>
            </w:r>
          </w:p>
        </w:tc>
      </w:tr>
      <w:tr w14:paraId="7AED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0D01FE">
            <w:pPr>
              <w:jc w:val="center"/>
              <w:rPr>
                <w:rFonts w:ascii="宋体" w:hAnsi="宋体" w:cs="宋体"/>
                <w:sz w:val="24"/>
                <w:szCs w:val="24"/>
              </w:rPr>
            </w:pPr>
            <w:r>
              <w:rPr>
                <w:rFonts w:hint="eastAsia" w:ascii="宋体" w:hAnsi="宋体" w:cs="宋体"/>
                <w:sz w:val="24"/>
                <w:szCs w:val="24"/>
              </w:rPr>
              <w:t>1.3.2</w:t>
            </w:r>
          </w:p>
        </w:tc>
        <w:tc>
          <w:tcPr>
            <w:tcW w:w="1985" w:type="dxa"/>
            <w:gridSpan w:val="2"/>
            <w:tcBorders>
              <w:top w:val="single" w:color="auto" w:sz="4" w:space="0"/>
              <w:left w:val="nil"/>
              <w:bottom w:val="single" w:color="auto" w:sz="4" w:space="0"/>
              <w:right w:val="single" w:color="auto" w:sz="4" w:space="0"/>
            </w:tcBorders>
            <w:vAlign w:val="center"/>
          </w:tcPr>
          <w:p w14:paraId="3081E573">
            <w:pPr>
              <w:jc w:val="center"/>
              <w:rPr>
                <w:rFonts w:ascii="宋体" w:hAnsi="宋体" w:cs="宋体"/>
                <w:sz w:val="24"/>
                <w:szCs w:val="24"/>
              </w:rPr>
            </w:pPr>
            <w:r>
              <w:rPr>
                <w:rFonts w:hint="eastAsia" w:ascii="宋体" w:hAnsi="宋体" w:cs="宋体"/>
                <w:sz w:val="24"/>
                <w:szCs w:val="24"/>
              </w:rPr>
              <w:t>供货期</w:t>
            </w:r>
          </w:p>
        </w:tc>
        <w:tc>
          <w:tcPr>
            <w:tcW w:w="6661" w:type="dxa"/>
            <w:tcBorders>
              <w:top w:val="single" w:color="auto" w:sz="4" w:space="0"/>
              <w:left w:val="nil"/>
              <w:bottom w:val="single" w:color="auto" w:sz="4" w:space="0"/>
              <w:right w:val="single" w:color="auto" w:sz="4" w:space="0"/>
            </w:tcBorders>
            <w:vAlign w:val="center"/>
          </w:tcPr>
          <w:p w14:paraId="559DDF9E">
            <w:pPr>
              <w:rPr>
                <w:rFonts w:hint="eastAsia" w:ascii="宋体" w:hAnsi="宋体" w:eastAsia="宋体" w:cs="宋体"/>
                <w:sz w:val="24"/>
                <w:szCs w:val="24"/>
                <w:lang w:eastAsia="zh-CN"/>
              </w:rPr>
            </w:pPr>
            <w:r>
              <w:rPr>
                <w:rFonts w:hint="eastAsia" w:ascii="宋体" w:hAnsi="宋体" w:cs="宋体"/>
                <w:color w:val="auto"/>
                <w:sz w:val="24"/>
                <w:szCs w:val="24"/>
                <w:lang w:eastAsia="zh-CN"/>
              </w:rPr>
              <w:t>自合同签订之日起6个月</w:t>
            </w:r>
          </w:p>
        </w:tc>
      </w:tr>
      <w:tr w14:paraId="38A7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D4FB18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1.3.3</w:t>
            </w:r>
          </w:p>
        </w:tc>
        <w:tc>
          <w:tcPr>
            <w:tcW w:w="1985" w:type="dxa"/>
            <w:gridSpan w:val="2"/>
            <w:tcBorders>
              <w:top w:val="single" w:color="auto" w:sz="4" w:space="0"/>
              <w:left w:val="nil"/>
              <w:bottom w:val="single" w:color="auto" w:sz="4" w:space="0"/>
              <w:right w:val="single" w:color="auto" w:sz="4" w:space="0"/>
            </w:tcBorders>
            <w:vAlign w:val="center"/>
          </w:tcPr>
          <w:p w14:paraId="7AD3F37E">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6661" w:type="dxa"/>
            <w:tcBorders>
              <w:top w:val="single" w:color="auto" w:sz="4" w:space="0"/>
              <w:left w:val="nil"/>
              <w:bottom w:val="single" w:color="auto" w:sz="4" w:space="0"/>
              <w:right w:val="single" w:color="auto" w:sz="4" w:space="0"/>
            </w:tcBorders>
            <w:vAlign w:val="center"/>
          </w:tcPr>
          <w:p w14:paraId="215F2DB7">
            <w:pPr>
              <w:rPr>
                <w:rFonts w:hint="eastAsia" w:ascii="宋体" w:hAnsi="宋体" w:cs="宋体"/>
                <w:color w:val="auto"/>
                <w:sz w:val="24"/>
                <w:szCs w:val="24"/>
                <w:lang w:eastAsia="zh-CN"/>
              </w:rPr>
            </w:pPr>
            <w:r>
              <w:rPr>
                <w:rFonts w:hint="eastAsia" w:ascii="宋体" w:hAnsi="宋体" w:eastAsia="宋体" w:cs="宋体"/>
                <w:sz w:val="24"/>
                <w:szCs w:val="24"/>
              </w:rPr>
              <w:t>自验收合格使用之日起1年</w:t>
            </w:r>
          </w:p>
        </w:tc>
      </w:tr>
      <w:tr w14:paraId="641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4709D5">
            <w:pPr>
              <w:jc w:val="center"/>
              <w:rPr>
                <w:rFonts w:hint="eastAsia" w:ascii="宋体" w:hAnsi="宋体" w:eastAsia="宋体" w:cs="宋体"/>
                <w:sz w:val="24"/>
                <w:szCs w:val="24"/>
                <w:lang w:eastAsia="zh-CN"/>
              </w:rPr>
            </w:pPr>
            <w:r>
              <w:rPr>
                <w:rFonts w:hint="eastAsia" w:ascii="宋体" w:hAnsi="宋体" w:cs="宋体"/>
                <w:sz w:val="24"/>
                <w:szCs w:val="24"/>
              </w:rPr>
              <w:t>1.3.</w:t>
            </w:r>
            <w:r>
              <w:rPr>
                <w:rFonts w:hint="eastAsia" w:ascii="宋体" w:hAnsi="宋体" w:cs="宋体"/>
                <w:sz w:val="24"/>
                <w:szCs w:val="24"/>
                <w:lang w:val="en-US" w:eastAsia="zh-CN"/>
              </w:rPr>
              <w:t>4</w:t>
            </w:r>
          </w:p>
        </w:tc>
        <w:tc>
          <w:tcPr>
            <w:tcW w:w="1985" w:type="dxa"/>
            <w:gridSpan w:val="2"/>
            <w:tcBorders>
              <w:top w:val="single" w:color="auto" w:sz="4" w:space="0"/>
              <w:left w:val="nil"/>
              <w:bottom w:val="single" w:color="auto" w:sz="4" w:space="0"/>
              <w:right w:val="single" w:color="auto" w:sz="4" w:space="0"/>
            </w:tcBorders>
            <w:vAlign w:val="center"/>
          </w:tcPr>
          <w:p w14:paraId="1B8A542D">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14:paraId="5D706282">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3A8A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93" w:type="dxa"/>
            <w:tcBorders>
              <w:top w:val="single" w:color="auto" w:sz="4" w:space="0"/>
              <w:left w:val="single" w:color="auto" w:sz="4" w:space="0"/>
              <w:bottom w:val="single" w:color="auto" w:sz="4" w:space="0"/>
              <w:right w:val="single" w:color="auto" w:sz="4" w:space="0"/>
            </w:tcBorders>
            <w:vAlign w:val="center"/>
          </w:tcPr>
          <w:p w14:paraId="3EF9D2A2">
            <w:pPr>
              <w:jc w:val="center"/>
              <w:rPr>
                <w:rFonts w:ascii="宋体" w:hAnsi="宋体" w:cs="宋体"/>
                <w:sz w:val="24"/>
                <w:szCs w:val="24"/>
              </w:rPr>
            </w:pPr>
            <w:r>
              <w:rPr>
                <w:rFonts w:hint="eastAsia" w:ascii="宋体" w:hAnsi="宋体" w:cs="宋体"/>
                <w:sz w:val="24"/>
                <w:szCs w:val="24"/>
              </w:rPr>
              <w:t>1.4.1</w:t>
            </w:r>
          </w:p>
        </w:tc>
        <w:tc>
          <w:tcPr>
            <w:tcW w:w="1985" w:type="dxa"/>
            <w:gridSpan w:val="2"/>
            <w:tcBorders>
              <w:top w:val="single" w:color="auto" w:sz="4" w:space="0"/>
              <w:left w:val="nil"/>
              <w:bottom w:val="single" w:color="auto" w:sz="4" w:space="0"/>
              <w:right w:val="single" w:color="auto" w:sz="4" w:space="0"/>
            </w:tcBorders>
            <w:vAlign w:val="center"/>
          </w:tcPr>
          <w:p w14:paraId="72D19995">
            <w:pPr>
              <w:jc w:val="center"/>
              <w:rPr>
                <w:rFonts w:ascii="宋体" w:hAnsi="宋体" w:cs="宋体"/>
                <w:color w:val="auto"/>
                <w:sz w:val="24"/>
                <w:szCs w:val="24"/>
              </w:rPr>
            </w:pPr>
            <w:r>
              <w:rPr>
                <w:rFonts w:hint="eastAsia" w:ascii="宋体" w:hAnsi="宋体" w:cs="宋体"/>
                <w:color w:val="auto"/>
                <w:sz w:val="24"/>
                <w:szCs w:val="24"/>
              </w:rPr>
              <w:t>供应商资质</w:t>
            </w:r>
          </w:p>
          <w:p w14:paraId="11681E1C">
            <w:pPr>
              <w:jc w:val="center"/>
              <w:rPr>
                <w:rFonts w:ascii="宋体" w:hAnsi="宋体" w:cs="宋体"/>
                <w:color w:val="auto"/>
                <w:sz w:val="24"/>
                <w:szCs w:val="24"/>
              </w:rPr>
            </w:pPr>
            <w:r>
              <w:rPr>
                <w:rFonts w:hint="eastAsia" w:ascii="宋体" w:hAnsi="宋体" w:cs="宋体"/>
                <w:color w:val="auto"/>
                <w:sz w:val="24"/>
                <w:szCs w:val="24"/>
              </w:rPr>
              <w:t>条件、能力</w:t>
            </w:r>
          </w:p>
          <w:p w14:paraId="3414CB6B">
            <w:pPr>
              <w:ind w:firstLine="240" w:firstLineChars="100"/>
              <w:jc w:val="center"/>
              <w:rPr>
                <w:rFonts w:ascii="宋体" w:hAnsi="宋体" w:cs="宋体"/>
                <w:sz w:val="24"/>
                <w:szCs w:val="24"/>
              </w:rPr>
            </w:pPr>
            <w:r>
              <w:rPr>
                <w:rFonts w:hint="eastAsia" w:ascii="宋体" w:hAnsi="宋体" w:cs="宋体"/>
                <w:color w:val="auto"/>
                <w:sz w:val="24"/>
                <w:szCs w:val="24"/>
              </w:rPr>
              <w:t>和信</w:t>
            </w:r>
            <w:r>
              <w:rPr>
                <w:rFonts w:hint="eastAsia" w:ascii="宋体" w:hAnsi="宋体" w:cs="宋体"/>
                <w:sz w:val="24"/>
                <w:szCs w:val="24"/>
              </w:rPr>
              <w:t>誉</w:t>
            </w:r>
          </w:p>
        </w:tc>
        <w:tc>
          <w:tcPr>
            <w:tcW w:w="6661" w:type="dxa"/>
            <w:tcBorders>
              <w:top w:val="single" w:color="auto" w:sz="4" w:space="0"/>
              <w:left w:val="nil"/>
              <w:bottom w:val="single" w:color="auto" w:sz="4" w:space="0"/>
              <w:right w:val="single" w:color="auto" w:sz="4" w:space="0"/>
            </w:tcBorders>
            <w:vAlign w:val="center"/>
          </w:tcPr>
          <w:p w14:paraId="77709F75">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F119743">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2、本项目非专门面向中小微企业采购项目,执行促进中小企业（监狱企业、残疾人福利性企业）发展、政府强制采购节能产品及环境标志产品优先采购等相关采购政策。</w:t>
            </w:r>
          </w:p>
          <w:p w14:paraId="4796C671">
            <w:pPr>
              <w:snapToGrid w:val="0"/>
              <w:textAlignment w:val="baseline"/>
              <w:rPr>
                <w:rFonts w:hint="eastAsia" w:ascii="宋体" w:hAnsi="宋体" w:cs="宋体"/>
                <w:sz w:val="24"/>
                <w:szCs w:val="24"/>
                <w:lang w:val="zh-TW" w:eastAsia="zh-CN"/>
              </w:rPr>
            </w:pPr>
            <w:r>
              <w:rPr>
                <w:rFonts w:hint="eastAsia" w:ascii="宋体" w:hAnsi="宋体" w:cs="宋体"/>
                <w:sz w:val="24"/>
                <w:szCs w:val="24"/>
                <w:lang w:val="zh-TW"/>
              </w:rPr>
              <w:t>3、本项目的特定资格要求</w:t>
            </w:r>
            <w:r>
              <w:rPr>
                <w:rFonts w:hint="eastAsia" w:ascii="宋体" w:hAnsi="宋体" w:cs="宋体"/>
                <w:sz w:val="24"/>
                <w:szCs w:val="24"/>
                <w:lang w:val="zh-TW" w:eastAsia="zh-CN"/>
              </w:rPr>
              <w:t>：</w:t>
            </w:r>
          </w:p>
          <w:p w14:paraId="0B155F36">
            <w:pPr>
              <w:snapToGrid w:val="0"/>
              <w:textAlignment w:val="baseline"/>
              <w:rPr>
                <w:rFonts w:hint="eastAsia" w:ascii="宋体" w:hAnsi="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0A16CF52">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5880EE63">
            <w:pPr>
              <w:snapToGrid w:val="0"/>
              <w:textAlignment w:val="baseline"/>
              <w:rPr>
                <w:rFonts w:hint="eastAsia" w:ascii="宋体" w:hAnsi="宋体" w:cs="宋体"/>
                <w:sz w:val="24"/>
                <w:szCs w:val="24"/>
                <w:lang w:val="zh-TW" w:eastAsia="zh-CN"/>
              </w:rPr>
            </w:pPr>
            <w:r>
              <w:rPr>
                <w:rFonts w:hint="eastAsia" w:ascii="宋体" w:hAnsi="宋体" w:cs="宋体"/>
                <w:sz w:val="24"/>
                <w:szCs w:val="24"/>
                <w:lang w:val="en-US" w:eastAsia="zh-CN"/>
              </w:rPr>
              <w:t>3.3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AB1CB82">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3.4</w:t>
            </w:r>
            <w:r>
              <w:rPr>
                <w:rFonts w:hint="eastAsia" w:ascii="宋体" w:hAnsi="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3E3B95E0">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tc>
      </w:tr>
      <w:tr w14:paraId="6537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03D08A">
            <w:pPr>
              <w:jc w:val="center"/>
              <w:rPr>
                <w:rFonts w:ascii="宋体" w:hAnsi="宋体" w:cs="宋体"/>
                <w:sz w:val="24"/>
                <w:szCs w:val="24"/>
              </w:rPr>
            </w:pPr>
            <w:r>
              <w:rPr>
                <w:rFonts w:hint="eastAsia" w:ascii="宋体" w:hAnsi="宋体" w:cs="宋体"/>
                <w:sz w:val="24"/>
                <w:szCs w:val="24"/>
              </w:rPr>
              <w:t>1.4.2</w:t>
            </w:r>
          </w:p>
        </w:tc>
        <w:tc>
          <w:tcPr>
            <w:tcW w:w="1985" w:type="dxa"/>
            <w:gridSpan w:val="2"/>
            <w:tcBorders>
              <w:top w:val="single" w:color="auto" w:sz="4" w:space="0"/>
              <w:left w:val="nil"/>
              <w:bottom w:val="single" w:color="auto" w:sz="4" w:space="0"/>
              <w:right w:val="single" w:color="auto" w:sz="4" w:space="0"/>
            </w:tcBorders>
            <w:vAlign w:val="center"/>
          </w:tcPr>
          <w:p w14:paraId="316C7F0C">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14:paraId="1DC2CC9C">
            <w:pPr>
              <w:rPr>
                <w:rFonts w:ascii="宋体" w:hAnsi="宋体" w:cs="宋体"/>
                <w:sz w:val="24"/>
                <w:szCs w:val="24"/>
              </w:rPr>
            </w:pPr>
            <w:r>
              <w:rPr>
                <w:rFonts w:hint="eastAsia" w:ascii="宋体" w:hAnsi="宋体" w:cs="宋体"/>
                <w:sz w:val="24"/>
                <w:szCs w:val="24"/>
              </w:rPr>
              <w:t>不接受</w:t>
            </w:r>
          </w:p>
        </w:tc>
      </w:tr>
      <w:tr w14:paraId="03B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A85AB39">
            <w:pPr>
              <w:jc w:val="center"/>
              <w:rPr>
                <w:rFonts w:ascii="宋体" w:hAnsi="宋体" w:cs="宋体"/>
                <w:sz w:val="24"/>
                <w:szCs w:val="24"/>
              </w:rPr>
            </w:pPr>
            <w:r>
              <w:rPr>
                <w:rFonts w:hint="eastAsia" w:ascii="宋体" w:hAnsi="宋体" w:cs="宋体"/>
                <w:sz w:val="24"/>
                <w:szCs w:val="24"/>
              </w:rPr>
              <w:t>1.9.1</w:t>
            </w:r>
          </w:p>
        </w:tc>
        <w:tc>
          <w:tcPr>
            <w:tcW w:w="1985" w:type="dxa"/>
            <w:gridSpan w:val="2"/>
            <w:tcBorders>
              <w:top w:val="single" w:color="auto" w:sz="4" w:space="0"/>
              <w:left w:val="nil"/>
              <w:bottom w:val="single" w:color="auto" w:sz="4" w:space="0"/>
              <w:right w:val="single" w:color="auto" w:sz="4" w:space="0"/>
            </w:tcBorders>
            <w:vAlign w:val="center"/>
          </w:tcPr>
          <w:p w14:paraId="0D2A57EB">
            <w:pPr>
              <w:ind w:firstLine="240" w:firstLineChars="100"/>
              <w:jc w:val="center"/>
              <w:rPr>
                <w:rFonts w:ascii="宋体" w:hAnsi="宋体" w:cs="宋体"/>
                <w:color w:val="FF0000"/>
                <w:sz w:val="24"/>
                <w:szCs w:val="24"/>
              </w:rPr>
            </w:pPr>
            <w:r>
              <w:rPr>
                <w:rFonts w:hint="eastAsia" w:ascii="宋体" w:hAnsi="宋体" w:cs="宋体"/>
                <w:color w:val="auto"/>
                <w:sz w:val="24"/>
                <w:szCs w:val="24"/>
              </w:rPr>
              <w:t>踏勘现场</w:t>
            </w:r>
          </w:p>
        </w:tc>
        <w:tc>
          <w:tcPr>
            <w:tcW w:w="6661" w:type="dxa"/>
            <w:tcBorders>
              <w:top w:val="single" w:color="auto" w:sz="4" w:space="0"/>
              <w:left w:val="nil"/>
              <w:bottom w:val="single" w:color="auto" w:sz="4" w:space="0"/>
              <w:right w:val="single" w:color="auto" w:sz="4" w:space="0"/>
            </w:tcBorders>
            <w:vAlign w:val="center"/>
          </w:tcPr>
          <w:p w14:paraId="5D9633CE">
            <w:pPr>
              <w:adjustRightInd w:val="0"/>
              <w:snapToGrid w:val="0"/>
              <w:spacing w:line="360" w:lineRule="auto"/>
              <w:rPr>
                <w:rFonts w:hint="eastAsia" w:ascii="宋体" w:hAnsi="宋体" w:cs="宋体"/>
                <w:color w:val="auto"/>
                <w:sz w:val="24"/>
                <w:lang w:val="zh-TW" w:eastAsia="zh-CN"/>
              </w:rPr>
            </w:pPr>
            <w:r>
              <w:rPr>
                <w:rFonts w:hint="eastAsia" w:ascii="宋体" w:hAnsi="宋体" w:cs="宋体"/>
                <w:color w:val="auto"/>
                <w:sz w:val="24"/>
                <w:szCs w:val="24"/>
              </w:rPr>
              <w:t>组</w:t>
            </w:r>
            <w:r>
              <w:rPr>
                <w:rFonts w:hint="eastAsia" w:ascii="宋体" w:hAnsi="宋体" w:eastAsia="宋体" w:cs="宋体"/>
                <w:color w:val="auto"/>
                <w:sz w:val="24"/>
                <w:lang w:val="zh-TW" w:eastAsia="zh-TW"/>
              </w:rPr>
              <w:t>织</w:t>
            </w:r>
            <w:r>
              <w:rPr>
                <w:rFonts w:hint="eastAsia" w:ascii="宋体" w:hAnsi="宋体" w:cs="宋体"/>
                <w:color w:val="auto"/>
                <w:sz w:val="24"/>
                <w:lang w:val="zh-TW" w:eastAsia="zh-CN"/>
              </w:rPr>
              <w:t>。</w:t>
            </w:r>
          </w:p>
          <w:p w14:paraId="34108B1B">
            <w:pPr>
              <w:adjustRightInd w:val="0"/>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各投标单位须在</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15</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参加勘察现场</w:t>
            </w:r>
            <w:r>
              <w:rPr>
                <w:rFonts w:hint="eastAsia" w:ascii="宋体" w:hAnsi="宋体" w:cs="宋体"/>
                <w:color w:val="auto"/>
                <w:sz w:val="24"/>
                <w:lang w:val="en-US" w:eastAsia="zh-CN"/>
              </w:rPr>
              <w:t>，勘察现场完成后领取</w:t>
            </w:r>
            <w:r>
              <w:rPr>
                <w:rFonts w:hint="eastAsia" w:ascii="宋体" w:hAnsi="宋体" w:eastAsia="宋体" w:cs="宋体"/>
                <w:color w:val="auto"/>
                <w:sz w:val="24"/>
                <w:lang w:val="en-US" w:eastAsia="zh-CN"/>
              </w:rPr>
              <w:t>勘察现场证明函</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投标人将勘察现场证明函原件扫描件放在投标文件中，并单独做出真实性承诺</w:t>
            </w:r>
            <w:r>
              <w:rPr>
                <w:rFonts w:hint="eastAsia" w:ascii="宋体" w:hAnsi="宋体" w:cs="宋体"/>
                <w:color w:val="auto"/>
                <w:sz w:val="24"/>
                <w:lang w:val="en-US" w:eastAsia="zh-CN"/>
              </w:rPr>
              <w:t>（格式自拟）</w:t>
            </w:r>
            <w:r>
              <w:rPr>
                <w:rFonts w:hint="eastAsia" w:ascii="宋体" w:hAnsi="宋体" w:eastAsia="宋体" w:cs="宋体"/>
                <w:color w:val="auto"/>
                <w:sz w:val="24"/>
                <w:lang w:val="en-US" w:eastAsia="zh-CN"/>
              </w:rPr>
              <w:t>。</w:t>
            </w:r>
          </w:p>
          <w:p w14:paraId="68FB9401">
            <w:pPr>
              <w:adjustRightInd w:val="0"/>
              <w:snapToGrid w:val="0"/>
              <w:spacing w:line="360" w:lineRule="auto"/>
              <w:rPr>
                <w:rFonts w:hint="eastAsia" w:ascii="宋体" w:hAnsi="宋体" w:cs="Tahoma"/>
                <w:color w:val="auto"/>
                <w:sz w:val="24"/>
                <w:szCs w:val="24"/>
                <w:lang w:eastAsia="zh-CN"/>
              </w:rPr>
            </w:pPr>
            <w:r>
              <w:rPr>
                <w:rFonts w:hint="eastAsia" w:ascii="宋体" w:hAnsi="宋体" w:eastAsia="宋体" w:cs="宋体"/>
                <w:color w:val="auto"/>
                <w:sz w:val="24"/>
                <w:lang w:val="en-US" w:eastAsia="zh-CN"/>
              </w:rPr>
              <w:t>勘察现场联系人：</w:t>
            </w:r>
            <w:r>
              <w:rPr>
                <w:rFonts w:hint="eastAsia" w:ascii="宋体" w:hAnsi="宋体" w:cs="宋体"/>
                <w:color w:val="auto"/>
                <w:sz w:val="24"/>
                <w:lang w:val="en-US" w:eastAsia="zh-CN"/>
              </w:rPr>
              <w:t>陈宏</w:t>
            </w:r>
            <w:r>
              <w:rPr>
                <w:rFonts w:hint="eastAsia" w:ascii="宋体" w:hAnsi="宋体" w:eastAsia="宋体" w:cs="宋体"/>
                <w:color w:val="auto"/>
                <w:sz w:val="24"/>
                <w:lang w:val="en-US" w:eastAsia="zh-CN"/>
              </w:rPr>
              <w:t xml:space="preserve"> 联系方式：</w:t>
            </w:r>
            <w:r>
              <w:rPr>
                <w:rFonts w:hint="eastAsia" w:ascii="宋体" w:hAnsi="宋体" w:cs="Tahoma"/>
                <w:color w:val="auto"/>
                <w:sz w:val="24"/>
                <w:szCs w:val="24"/>
                <w:lang w:eastAsia="zh-CN"/>
              </w:rPr>
              <w:t>13525218811</w:t>
            </w:r>
          </w:p>
          <w:p w14:paraId="5D8A0B48">
            <w:pPr>
              <w:adjustRightInd w:val="0"/>
              <w:snapToGrid w:val="0"/>
              <w:spacing w:line="360" w:lineRule="auto"/>
              <w:rPr>
                <w:rFonts w:hint="eastAsia" w:ascii="宋体" w:hAnsi="宋体" w:cs="Tahoma"/>
                <w:color w:val="auto"/>
                <w:sz w:val="24"/>
                <w:szCs w:val="24"/>
                <w:lang w:val="en-US" w:eastAsia="zh-CN"/>
              </w:rPr>
            </w:pPr>
            <w:r>
              <w:rPr>
                <w:rFonts w:hint="eastAsia" w:ascii="宋体" w:hAnsi="宋体" w:cs="Tahoma"/>
                <w:color w:val="auto"/>
                <w:sz w:val="24"/>
                <w:szCs w:val="24"/>
                <w:lang w:val="en-US" w:eastAsia="zh-CN"/>
              </w:rPr>
              <w:t>注：1、因投标人原因未能按时参加踏勘现场，招标人不再另行组织。</w:t>
            </w:r>
          </w:p>
          <w:p w14:paraId="3CFB55C0">
            <w:pPr>
              <w:adjustRightInd w:val="0"/>
              <w:snapToGrid w:val="0"/>
              <w:spacing w:line="360" w:lineRule="auto"/>
              <w:rPr>
                <w:rFonts w:hint="default" w:ascii="宋体" w:hAnsi="宋体" w:cs="Tahoma"/>
                <w:color w:val="auto"/>
                <w:sz w:val="24"/>
                <w:szCs w:val="24"/>
                <w:lang w:val="en-US" w:eastAsia="zh-CN"/>
              </w:rPr>
            </w:pPr>
            <w:r>
              <w:rPr>
                <w:rFonts w:hint="eastAsia" w:ascii="宋体" w:hAnsi="宋体" w:cs="Tahoma"/>
                <w:color w:val="auto"/>
                <w:sz w:val="24"/>
                <w:szCs w:val="24"/>
                <w:lang w:val="en-US" w:eastAsia="zh-CN"/>
              </w:rPr>
              <w:t>2、</w:t>
            </w:r>
            <w:r>
              <w:rPr>
                <w:rFonts w:hint="eastAsia" w:cs="Times New Roman"/>
                <w:sz w:val="24"/>
                <w:szCs w:val="24"/>
                <w:lang w:val="en-US" w:eastAsia="zh-CN"/>
              </w:rPr>
              <w:t>参加勘察现场人员需持本单位授权委托书（委托书格式自拟）。</w:t>
            </w:r>
          </w:p>
        </w:tc>
      </w:tr>
      <w:tr w14:paraId="01D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4A5C712">
            <w:pPr>
              <w:jc w:val="center"/>
              <w:rPr>
                <w:rFonts w:ascii="宋体" w:hAnsi="宋体" w:cs="宋体"/>
                <w:sz w:val="24"/>
                <w:szCs w:val="24"/>
              </w:rPr>
            </w:pPr>
            <w:r>
              <w:rPr>
                <w:rFonts w:hint="eastAsia" w:ascii="宋体" w:hAnsi="宋体" w:cs="宋体"/>
                <w:sz w:val="24"/>
                <w:szCs w:val="24"/>
              </w:rPr>
              <w:t>1.10.1</w:t>
            </w:r>
          </w:p>
        </w:tc>
        <w:tc>
          <w:tcPr>
            <w:tcW w:w="1985" w:type="dxa"/>
            <w:gridSpan w:val="2"/>
            <w:tcBorders>
              <w:top w:val="single" w:color="auto" w:sz="4" w:space="0"/>
              <w:left w:val="nil"/>
              <w:bottom w:val="single" w:color="auto" w:sz="4" w:space="0"/>
              <w:right w:val="single" w:color="auto" w:sz="4" w:space="0"/>
            </w:tcBorders>
            <w:vAlign w:val="center"/>
          </w:tcPr>
          <w:p w14:paraId="2F93BF7A">
            <w:pPr>
              <w:jc w:val="center"/>
              <w:rPr>
                <w:rFonts w:ascii="宋体" w:hAnsi="宋体" w:cs="宋体"/>
                <w:sz w:val="24"/>
                <w:szCs w:val="24"/>
              </w:rPr>
            </w:pPr>
            <w:r>
              <w:rPr>
                <w:rFonts w:hint="eastAsia" w:ascii="宋体" w:hAnsi="宋体" w:cs="宋体"/>
                <w:sz w:val="24"/>
                <w:szCs w:val="24"/>
              </w:rPr>
              <w:t>招标预备会</w:t>
            </w:r>
          </w:p>
        </w:tc>
        <w:tc>
          <w:tcPr>
            <w:tcW w:w="6661" w:type="dxa"/>
            <w:tcBorders>
              <w:top w:val="single" w:color="auto" w:sz="4" w:space="0"/>
              <w:left w:val="nil"/>
              <w:bottom w:val="single" w:color="auto" w:sz="4" w:space="0"/>
              <w:right w:val="single" w:color="auto" w:sz="4" w:space="0"/>
            </w:tcBorders>
            <w:vAlign w:val="center"/>
          </w:tcPr>
          <w:p w14:paraId="52AF8B6C">
            <w:pPr>
              <w:rPr>
                <w:rFonts w:ascii="宋体" w:hAnsi="宋体" w:cs="宋体"/>
                <w:sz w:val="24"/>
                <w:szCs w:val="24"/>
              </w:rPr>
            </w:pPr>
            <w:r>
              <w:rPr>
                <w:rFonts w:hint="eastAsia" w:ascii="宋体" w:hAnsi="宋体" w:cs="宋体"/>
                <w:sz w:val="24"/>
                <w:szCs w:val="24"/>
              </w:rPr>
              <w:t>不召开</w:t>
            </w:r>
          </w:p>
        </w:tc>
      </w:tr>
      <w:tr w14:paraId="5D2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27AB1D">
            <w:pPr>
              <w:jc w:val="center"/>
              <w:rPr>
                <w:rFonts w:ascii="宋体" w:hAnsi="宋体" w:cs="宋体"/>
                <w:sz w:val="24"/>
                <w:szCs w:val="24"/>
              </w:rPr>
            </w:pPr>
            <w:r>
              <w:rPr>
                <w:rFonts w:hint="eastAsia" w:ascii="宋体" w:hAnsi="宋体" w:cs="宋体"/>
                <w:sz w:val="24"/>
                <w:szCs w:val="24"/>
              </w:rPr>
              <w:t>1.11</w:t>
            </w:r>
          </w:p>
        </w:tc>
        <w:tc>
          <w:tcPr>
            <w:tcW w:w="1985" w:type="dxa"/>
            <w:gridSpan w:val="2"/>
            <w:tcBorders>
              <w:top w:val="single" w:color="auto" w:sz="4" w:space="0"/>
              <w:left w:val="nil"/>
              <w:bottom w:val="single" w:color="auto" w:sz="4" w:space="0"/>
              <w:right w:val="single" w:color="auto" w:sz="4" w:space="0"/>
            </w:tcBorders>
            <w:vAlign w:val="center"/>
          </w:tcPr>
          <w:p w14:paraId="50365499">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14:paraId="7390B9EF">
            <w:pPr>
              <w:rPr>
                <w:rFonts w:ascii="宋体" w:hAnsi="宋体" w:cs="宋体"/>
                <w:sz w:val="24"/>
                <w:szCs w:val="24"/>
              </w:rPr>
            </w:pPr>
            <w:r>
              <w:rPr>
                <w:rFonts w:hint="eastAsia" w:ascii="宋体" w:hAnsi="宋体" w:cs="宋体"/>
                <w:sz w:val="24"/>
                <w:szCs w:val="24"/>
              </w:rPr>
              <w:t>不允许</w:t>
            </w:r>
          </w:p>
        </w:tc>
      </w:tr>
      <w:tr w14:paraId="1ED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19B097">
            <w:pPr>
              <w:jc w:val="center"/>
              <w:rPr>
                <w:rFonts w:ascii="宋体" w:hAnsi="宋体" w:cs="宋体"/>
                <w:sz w:val="24"/>
                <w:szCs w:val="24"/>
              </w:rPr>
            </w:pPr>
            <w:r>
              <w:rPr>
                <w:rFonts w:hint="eastAsia" w:ascii="宋体" w:hAnsi="宋体" w:cs="宋体"/>
                <w:sz w:val="24"/>
                <w:szCs w:val="24"/>
              </w:rPr>
              <w:t>2.1</w:t>
            </w:r>
          </w:p>
        </w:tc>
        <w:tc>
          <w:tcPr>
            <w:tcW w:w="1985" w:type="dxa"/>
            <w:gridSpan w:val="2"/>
            <w:tcBorders>
              <w:top w:val="single" w:color="auto" w:sz="4" w:space="0"/>
              <w:left w:val="nil"/>
              <w:bottom w:val="single" w:color="auto" w:sz="4" w:space="0"/>
              <w:right w:val="single" w:color="auto" w:sz="4" w:space="0"/>
            </w:tcBorders>
            <w:vAlign w:val="center"/>
          </w:tcPr>
          <w:p w14:paraId="5BD4A422">
            <w:pPr>
              <w:jc w:val="center"/>
              <w:rPr>
                <w:rFonts w:ascii="宋体" w:hAnsi="宋体" w:cs="宋体"/>
                <w:sz w:val="24"/>
                <w:szCs w:val="24"/>
              </w:rPr>
            </w:pPr>
            <w:r>
              <w:rPr>
                <w:rFonts w:hint="eastAsia" w:ascii="宋体" w:hAnsi="宋体" w:cs="宋体"/>
                <w:sz w:val="24"/>
                <w:szCs w:val="24"/>
              </w:rPr>
              <w:t>构成招标文件的其他材料</w:t>
            </w:r>
          </w:p>
        </w:tc>
        <w:tc>
          <w:tcPr>
            <w:tcW w:w="6661" w:type="dxa"/>
            <w:tcBorders>
              <w:top w:val="single" w:color="auto" w:sz="4" w:space="0"/>
              <w:left w:val="nil"/>
              <w:bottom w:val="single" w:color="auto" w:sz="4" w:space="0"/>
              <w:right w:val="single" w:color="auto" w:sz="4" w:space="0"/>
            </w:tcBorders>
            <w:vAlign w:val="center"/>
          </w:tcPr>
          <w:p w14:paraId="5FD34FAA">
            <w:pPr>
              <w:spacing w:line="400" w:lineRule="exact"/>
              <w:rPr>
                <w:rFonts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1D0A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AC119E">
            <w:pPr>
              <w:jc w:val="center"/>
              <w:rPr>
                <w:rFonts w:ascii="宋体" w:hAnsi="宋体" w:cs="宋体"/>
                <w:sz w:val="24"/>
                <w:szCs w:val="24"/>
              </w:rPr>
            </w:pPr>
            <w:r>
              <w:rPr>
                <w:rFonts w:hint="eastAsia" w:ascii="宋体" w:hAnsi="宋体" w:cs="宋体"/>
                <w:sz w:val="24"/>
                <w:szCs w:val="24"/>
              </w:rPr>
              <w:t>2.2.1</w:t>
            </w:r>
          </w:p>
        </w:tc>
        <w:tc>
          <w:tcPr>
            <w:tcW w:w="1985" w:type="dxa"/>
            <w:gridSpan w:val="2"/>
            <w:tcBorders>
              <w:top w:val="single" w:color="auto" w:sz="4" w:space="0"/>
              <w:left w:val="nil"/>
              <w:bottom w:val="single" w:color="auto" w:sz="4" w:space="0"/>
              <w:right w:val="single" w:color="auto" w:sz="4" w:space="0"/>
            </w:tcBorders>
            <w:vAlign w:val="center"/>
          </w:tcPr>
          <w:p w14:paraId="06D754F6">
            <w:pPr>
              <w:jc w:val="center"/>
              <w:rPr>
                <w:rFonts w:ascii="宋体" w:hAnsi="宋体" w:cs="宋体"/>
                <w:sz w:val="24"/>
                <w:szCs w:val="24"/>
              </w:rPr>
            </w:pPr>
            <w:r>
              <w:rPr>
                <w:rFonts w:hint="eastAsia" w:ascii="宋体" w:hAnsi="宋体" w:cs="宋体"/>
                <w:sz w:val="24"/>
                <w:szCs w:val="24"/>
              </w:rPr>
              <w:t>供应商要求澄清招标文件的截止时间</w:t>
            </w:r>
          </w:p>
        </w:tc>
        <w:tc>
          <w:tcPr>
            <w:tcW w:w="6661" w:type="dxa"/>
            <w:tcBorders>
              <w:top w:val="single" w:color="auto" w:sz="4" w:space="0"/>
              <w:left w:val="nil"/>
              <w:bottom w:val="single" w:color="auto" w:sz="4" w:space="0"/>
              <w:right w:val="single" w:color="auto" w:sz="4" w:space="0"/>
            </w:tcBorders>
            <w:vAlign w:val="center"/>
          </w:tcPr>
          <w:p w14:paraId="62692521">
            <w:pPr>
              <w:rPr>
                <w:rFonts w:ascii="宋体" w:hAnsi="宋体" w:cs="宋体"/>
                <w:sz w:val="24"/>
                <w:szCs w:val="24"/>
              </w:rPr>
            </w:pPr>
            <w:r>
              <w:rPr>
                <w:rFonts w:hint="eastAsia" w:ascii="宋体" w:hAnsi="宋体" w:cs="宋体"/>
                <w:sz w:val="24"/>
                <w:szCs w:val="24"/>
              </w:rPr>
              <w:t>投标文件递交截止时间15日前</w:t>
            </w:r>
          </w:p>
        </w:tc>
      </w:tr>
      <w:tr w14:paraId="281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7AF0BA28">
            <w:pPr>
              <w:jc w:val="center"/>
              <w:rPr>
                <w:rFonts w:ascii="宋体" w:hAnsi="宋体" w:cs="宋体"/>
                <w:sz w:val="24"/>
                <w:szCs w:val="24"/>
              </w:rPr>
            </w:pPr>
            <w:r>
              <w:rPr>
                <w:rFonts w:hint="eastAsia" w:ascii="宋体" w:hAnsi="宋体" w:cs="宋体"/>
                <w:sz w:val="24"/>
                <w:szCs w:val="24"/>
              </w:rPr>
              <w:t>2.2.2</w:t>
            </w:r>
          </w:p>
        </w:tc>
        <w:tc>
          <w:tcPr>
            <w:tcW w:w="1985" w:type="dxa"/>
            <w:gridSpan w:val="2"/>
            <w:tcBorders>
              <w:top w:val="single" w:color="auto" w:sz="4" w:space="0"/>
              <w:left w:val="nil"/>
              <w:bottom w:val="single" w:color="auto" w:sz="4" w:space="0"/>
              <w:right w:val="single" w:color="auto" w:sz="4" w:space="0"/>
            </w:tcBorders>
            <w:vAlign w:val="center"/>
          </w:tcPr>
          <w:p w14:paraId="330B91EA">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投标文件递</w:t>
            </w:r>
          </w:p>
          <w:p w14:paraId="7D6C1AFB">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交截止时间</w:t>
            </w:r>
          </w:p>
        </w:tc>
        <w:tc>
          <w:tcPr>
            <w:tcW w:w="6661" w:type="dxa"/>
            <w:tcBorders>
              <w:top w:val="single" w:color="auto" w:sz="4" w:space="0"/>
              <w:left w:val="nil"/>
              <w:bottom w:val="single" w:color="auto" w:sz="4" w:space="0"/>
              <w:right w:val="single" w:color="auto" w:sz="4" w:space="0"/>
            </w:tcBorders>
            <w:vAlign w:val="center"/>
          </w:tcPr>
          <w:p w14:paraId="43E3CB17">
            <w:pPr>
              <w:rPr>
                <w:rFonts w:hint="eastAsia" w:ascii="宋体" w:hAnsi="宋体" w:eastAsia="宋体" w:cs="宋体"/>
                <w:color w:val="0000FF"/>
                <w:sz w:val="24"/>
                <w:szCs w:val="24"/>
                <w:lang w:eastAsia="zh-CN"/>
              </w:rPr>
            </w:pP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25</w:t>
            </w:r>
            <w:r>
              <w:rPr>
                <w:rFonts w:hint="eastAsia" w:ascii="宋体" w:hAnsi="宋体" w:cs="宋体"/>
                <w:color w:val="auto"/>
                <w:sz w:val="24"/>
                <w:szCs w:val="24"/>
                <w:lang w:eastAsia="zh-CN"/>
              </w:rPr>
              <w:t>日08时30分</w:t>
            </w:r>
          </w:p>
        </w:tc>
      </w:tr>
      <w:tr w14:paraId="31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7B6F7C">
            <w:pPr>
              <w:jc w:val="center"/>
              <w:rPr>
                <w:rFonts w:ascii="宋体" w:hAnsi="宋体" w:cs="宋体"/>
                <w:sz w:val="24"/>
                <w:szCs w:val="24"/>
              </w:rPr>
            </w:pPr>
            <w:r>
              <w:rPr>
                <w:rFonts w:hint="eastAsia" w:ascii="宋体" w:hAnsi="宋体" w:cs="宋体"/>
                <w:sz w:val="24"/>
                <w:szCs w:val="24"/>
              </w:rPr>
              <w:t>2.2.3</w:t>
            </w:r>
          </w:p>
        </w:tc>
        <w:tc>
          <w:tcPr>
            <w:tcW w:w="1985" w:type="dxa"/>
            <w:gridSpan w:val="2"/>
            <w:tcBorders>
              <w:top w:val="single" w:color="auto" w:sz="4" w:space="0"/>
              <w:left w:val="nil"/>
              <w:bottom w:val="single" w:color="auto" w:sz="4" w:space="0"/>
              <w:right w:val="single" w:color="auto" w:sz="4" w:space="0"/>
            </w:tcBorders>
            <w:vAlign w:val="center"/>
          </w:tcPr>
          <w:p w14:paraId="5946F457">
            <w:pPr>
              <w:jc w:val="center"/>
              <w:rPr>
                <w:rFonts w:ascii="宋体" w:hAnsi="宋体" w:cs="宋体"/>
                <w:sz w:val="24"/>
                <w:szCs w:val="24"/>
              </w:rPr>
            </w:pPr>
            <w:r>
              <w:rPr>
                <w:rFonts w:hint="eastAsia" w:ascii="宋体" w:hAnsi="宋体" w:cs="宋体"/>
                <w:sz w:val="24"/>
                <w:szCs w:val="24"/>
              </w:rPr>
              <w:t>供应商确认收到招标文件澄清的时间</w:t>
            </w:r>
          </w:p>
        </w:tc>
        <w:tc>
          <w:tcPr>
            <w:tcW w:w="6661" w:type="dxa"/>
            <w:tcBorders>
              <w:top w:val="single" w:color="auto" w:sz="4" w:space="0"/>
              <w:left w:val="nil"/>
              <w:bottom w:val="single" w:color="auto" w:sz="4" w:space="0"/>
              <w:right w:val="single" w:color="auto" w:sz="4" w:space="0"/>
            </w:tcBorders>
            <w:vAlign w:val="center"/>
          </w:tcPr>
          <w:p w14:paraId="6A5E68ED">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581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E3E498">
            <w:pPr>
              <w:jc w:val="center"/>
              <w:rPr>
                <w:rFonts w:ascii="宋体" w:hAnsi="宋体" w:cs="宋体"/>
                <w:sz w:val="24"/>
                <w:szCs w:val="24"/>
              </w:rPr>
            </w:pPr>
            <w:r>
              <w:rPr>
                <w:rFonts w:hint="eastAsia" w:ascii="宋体" w:hAnsi="宋体" w:cs="宋体"/>
                <w:sz w:val="24"/>
                <w:szCs w:val="24"/>
              </w:rPr>
              <w:t>2.3.2</w:t>
            </w:r>
          </w:p>
        </w:tc>
        <w:tc>
          <w:tcPr>
            <w:tcW w:w="1985" w:type="dxa"/>
            <w:gridSpan w:val="2"/>
            <w:tcBorders>
              <w:top w:val="single" w:color="auto" w:sz="4" w:space="0"/>
              <w:left w:val="nil"/>
              <w:bottom w:val="single" w:color="auto" w:sz="4" w:space="0"/>
              <w:right w:val="single" w:color="auto" w:sz="4" w:space="0"/>
            </w:tcBorders>
            <w:vAlign w:val="center"/>
          </w:tcPr>
          <w:p w14:paraId="5BE09B79">
            <w:pPr>
              <w:jc w:val="center"/>
              <w:rPr>
                <w:rFonts w:ascii="宋体" w:hAnsi="宋体" w:cs="宋体"/>
                <w:sz w:val="24"/>
                <w:szCs w:val="24"/>
              </w:rPr>
            </w:pPr>
            <w:r>
              <w:rPr>
                <w:rFonts w:hint="eastAsia" w:ascii="宋体" w:hAnsi="宋体" w:cs="宋体"/>
                <w:sz w:val="24"/>
                <w:szCs w:val="24"/>
              </w:rPr>
              <w:t>供应商确认收到招标文件修改的时间</w:t>
            </w:r>
          </w:p>
        </w:tc>
        <w:tc>
          <w:tcPr>
            <w:tcW w:w="6661" w:type="dxa"/>
            <w:tcBorders>
              <w:top w:val="single" w:color="auto" w:sz="4" w:space="0"/>
              <w:left w:val="nil"/>
              <w:bottom w:val="single" w:color="auto" w:sz="4" w:space="0"/>
              <w:right w:val="single" w:color="auto" w:sz="4" w:space="0"/>
            </w:tcBorders>
            <w:vAlign w:val="center"/>
          </w:tcPr>
          <w:p w14:paraId="2A62876B">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4B0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DCEFE32">
            <w:pPr>
              <w:jc w:val="center"/>
              <w:rPr>
                <w:rFonts w:ascii="宋体" w:hAnsi="宋体" w:cs="宋体"/>
                <w:sz w:val="24"/>
                <w:szCs w:val="24"/>
              </w:rPr>
            </w:pPr>
            <w:r>
              <w:rPr>
                <w:rFonts w:hint="eastAsia" w:ascii="宋体" w:hAnsi="宋体" w:cs="宋体"/>
                <w:sz w:val="24"/>
                <w:szCs w:val="24"/>
              </w:rPr>
              <w:t>3.1.1</w:t>
            </w:r>
          </w:p>
        </w:tc>
        <w:tc>
          <w:tcPr>
            <w:tcW w:w="1985" w:type="dxa"/>
            <w:gridSpan w:val="2"/>
            <w:tcBorders>
              <w:top w:val="single" w:color="auto" w:sz="4" w:space="0"/>
              <w:left w:val="nil"/>
              <w:bottom w:val="single" w:color="auto" w:sz="4" w:space="0"/>
              <w:right w:val="single" w:color="auto" w:sz="4" w:space="0"/>
            </w:tcBorders>
            <w:vAlign w:val="center"/>
          </w:tcPr>
          <w:p w14:paraId="1EE83705">
            <w:pPr>
              <w:jc w:val="center"/>
              <w:rPr>
                <w:rFonts w:ascii="宋体" w:hAnsi="宋体" w:cs="宋体"/>
                <w:sz w:val="24"/>
                <w:szCs w:val="24"/>
              </w:rPr>
            </w:pPr>
            <w:r>
              <w:rPr>
                <w:rFonts w:hint="eastAsia" w:ascii="宋体" w:hAnsi="宋体" w:cs="宋体"/>
                <w:sz w:val="24"/>
                <w:szCs w:val="24"/>
              </w:rPr>
              <w:t>构成投标文件的其他材料</w:t>
            </w:r>
          </w:p>
        </w:tc>
        <w:tc>
          <w:tcPr>
            <w:tcW w:w="6661" w:type="dxa"/>
            <w:tcBorders>
              <w:top w:val="single" w:color="auto" w:sz="4" w:space="0"/>
              <w:left w:val="nil"/>
              <w:bottom w:val="single" w:color="auto" w:sz="4" w:space="0"/>
              <w:right w:val="single" w:color="auto" w:sz="4" w:space="0"/>
            </w:tcBorders>
            <w:vAlign w:val="center"/>
          </w:tcPr>
          <w:p w14:paraId="33FA33AC">
            <w:pPr>
              <w:spacing w:line="288" w:lineRule="auto"/>
              <w:rPr>
                <w:rFonts w:ascii="宋体" w:hAnsi="宋体" w:cs="宋体"/>
                <w:b/>
                <w:bCs/>
                <w:sz w:val="24"/>
                <w:szCs w:val="24"/>
              </w:rPr>
            </w:pPr>
            <w:r>
              <w:rPr>
                <w:rFonts w:hint="eastAsia" w:ascii="宋体" w:hAnsi="宋体" w:cs="宋体"/>
                <w:sz w:val="24"/>
                <w:szCs w:val="24"/>
              </w:rPr>
              <w:t>供应商认为与本投标可能有关的其他资料</w:t>
            </w:r>
          </w:p>
        </w:tc>
      </w:tr>
      <w:tr w14:paraId="19C3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050CE75">
            <w:pPr>
              <w:jc w:val="center"/>
              <w:rPr>
                <w:rFonts w:ascii="宋体" w:hAnsi="宋体" w:cs="宋体"/>
                <w:sz w:val="24"/>
                <w:szCs w:val="24"/>
              </w:rPr>
            </w:pPr>
            <w:r>
              <w:rPr>
                <w:rFonts w:hint="eastAsia" w:ascii="宋体" w:hAnsi="宋体" w:cs="宋体"/>
                <w:sz w:val="24"/>
                <w:szCs w:val="24"/>
              </w:rPr>
              <w:t>3.3.1</w:t>
            </w:r>
          </w:p>
        </w:tc>
        <w:tc>
          <w:tcPr>
            <w:tcW w:w="1985" w:type="dxa"/>
            <w:gridSpan w:val="2"/>
            <w:tcBorders>
              <w:top w:val="single" w:color="auto" w:sz="4" w:space="0"/>
              <w:left w:val="nil"/>
              <w:bottom w:val="single" w:color="auto" w:sz="4" w:space="0"/>
              <w:right w:val="single" w:color="auto" w:sz="4" w:space="0"/>
            </w:tcBorders>
            <w:vAlign w:val="center"/>
          </w:tcPr>
          <w:p w14:paraId="4A392101">
            <w:pPr>
              <w:jc w:val="center"/>
              <w:rPr>
                <w:rFonts w:ascii="宋体" w:hAnsi="宋体" w:cs="宋体"/>
                <w:sz w:val="24"/>
                <w:szCs w:val="24"/>
              </w:rPr>
            </w:pPr>
            <w:r>
              <w:rPr>
                <w:rFonts w:hint="eastAsia" w:ascii="宋体" w:hAnsi="宋体" w:cs="宋体"/>
                <w:sz w:val="24"/>
                <w:szCs w:val="24"/>
              </w:rPr>
              <w:t>投标有效期</w:t>
            </w:r>
          </w:p>
        </w:tc>
        <w:tc>
          <w:tcPr>
            <w:tcW w:w="6661" w:type="dxa"/>
            <w:tcBorders>
              <w:top w:val="single" w:color="auto" w:sz="4" w:space="0"/>
              <w:left w:val="nil"/>
              <w:bottom w:val="single" w:color="auto" w:sz="4" w:space="0"/>
              <w:right w:val="single" w:color="auto" w:sz="4" w:space="0"/>
            </w:tcBorders>
            <w:vAlign w:val="center"/>
          </w:tcPr>
          <w:p w14:paraId="6C93E4AD">
            <w:pPr>
              <w:rPr>
                <w:rFonts w:ascii="宋体" w:hAnsi="宋体" w:cs="宋体"/>
                <w:sz w:val="24"/>
                <w:szCs w:val="24"/>
              </w:rPr>
            </w:pPr>
            <w:r>
              <w:rPr>
                <w:rFonts w:hint="eastAsia" w:ascii="宋体" w:hAnsi="宋体" w:cs="宋体"/>
                <w:sz w:val="24"/>
                <w:szCs w:val="24"/>
              </w:rPr>
              <w:t>自投标文件递交截止之日起60日历天</w:t>
            </w:r>
          </w:p>
        </w:tc>
      </w:tr>
      <w:tr w14:paraId="6C8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D1C16BA">
            <w:pPr>
              <w:jc w:val="center"/>
              <w:rPr>
                <w:rFonts w:ascii="宋体" w:hAnsi="宋体" w:cs="宋体"/>
                <w:sz w:val="24"/>
                <w:szCs w:val="24"/>
              </w:rPr>
            </w:pPr>
            <w:r>
              <w:rPr>
                <w:rFonts w:hint="eastAsia" w:ascii="宋体" w:hAnsi="宋体" w:cs="宋体"/>
                <w:sz w:val="24"/>
                <w:szCs w:val="24"/>
              </w:rPr>
              <w:t>3.5.3</w:t>
            </w:r>
          </w:p>
        </w:tc>
        <w:tc>
          <w:tcPr>
            <w:tcW w:w="1985" w:type="dxa"/>
            <w:gridSpan w:val="2"/>
            <w:tcBorders>
              <w:top w:val="single" w:color="auto" w:sz="4" w:space="0"/>
              <w:left w:val="nil"/>
              <w:bottom w:val="single" w:color="auto" w:sz="4" w:space="0"/>
              <w:right w:val="single" w:color="auto" w:sz="4" w:space="0"/>
            </w:tcBorders>
            <w:vAlign w:val="center"/>
          </w:tcPr>
          <w:p w14:paraId="2A10A238">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14:paraId="37D40B44">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w:t>
            </w:r>
            <w:r>
              <w:rPr>
                <w:rFonts w:hint="eastAsia" w:ascii="宋体" w:hAnsi="宋体" w:cs="宋体"/>
                <w:color w:val="auto"/>
                <w:sz w:val="24"/>
                <w:szCs w:val="24"/>
                <w:u w:val="single"/>
                <w:lang w:val="en-US" w:eastAsia="zh-CN"/>
              </w:rPr>
              <w:t>22</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AE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50D59D0">
            <w:pPr>
              <w:jc w:val="center"/>
              <w:rPr>
                <w:rFonts w:ascii="宋体" w:hAnsi="宋体" w:cs="宋体"/>
                <w:sz w:val="24"/>
                <w:szCs w:val="24"/>
              </w:rPr>
            </w:pPr>
            <w:r>
              <w:rPr>
                <w:rFonts w:hint="eastAsia" w:ascii="宋体" w:hAnsi="宋体" w:cs="宋体"/>
                <w:sz w:val="24"/>
                <w:szCs w:val="24"/>
              </w:rPr>
              <w:t>3.6</w:t>
            </w:r>
          </w:p>
        </w:tc>
        <w:tc>
          <w:tcPr>
            <w:tcW w:w="1985" w:type="dxa"/>
            <w:gridSpan w:val="2"/>
            <w:tcBorders>
              <w:top w:val="single" w:color="auto" w:sz="4" w:space="0"/>
              <w:left w:val="nil"/>
              <w:bottom w:val="single" w:color="auto" w:sz="4" w:space="0"/>
              <w:right w:val="single" w:color="auto" w:sz="4" w:space="0"/>
            </w:tcBorders>
            <w:vAlign w:val="center"/>
          </w:tcPr>
          <w:p w14:paraId="52E6AC2B">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14:paraId="4DADB8BE">
            <w:pPr>
              <w:spacing w:line="288" w:lineRule="auto"/>
              <w:rPr>
                <w:rFonts w:ascii="宋体" w:hAnsi="宋体" w:cs="宋体"/>
                <w:sz w:val="24"/>
                <w:szCs w:val="24"/>
              </w:rPr>
            </w:pPr>
            <w:r>
              <w:rPr>
                <w:rFonts w:hint="eastAsia" w:ascii="宋体" w:hAnsi="宋体" w:cs="宋体"/>
                <w:sz w:val="24"/>
                <w:szCs w:val="24"/>
              </w:rPr>
              <w:t>不允许</w:t>
            </w:r>
          </w:p>
        </w:tc>
      </w:tr>
      <w:tr w14:paraId="791A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3827235">
            <w:pPr>
              <w:jc w:val="center"/>
              <w:rPr>
                <w:rFonts w:ascii="宋体" w:hAnsi="宋体" w:cs="宋体"/>
                <w:sz w:val="24"/>
                <w:szCs w:val="24"/>
              </w:rPr>
            </w:pPr>
            <w:r>
              <w:rPr>
                <w:rFonts w:hint="eastAsia" w:ascii="宋体" w:hAnsi="宋体" w:cs="宋体"/>
                <w:sz w:val="24"/>
                <w:szCs w:val="24"/>
              </w:rPr>
              <w:t>3.7.1</w:t>
            </w:r>
          </w:p>
        </w:tc>
        <w:tc>
          <w:tcPr>
            <w:tcW w:w="1985" w:type="dxa"/>
            <w:gridSpan w:val="2"/>
            <w:tcBorders>
              <w:top w:val="single" w:color="auto" w:sz="4" w:space="0"/>
              <w:left w:val="nil"/>
              <w:bottom w:val="single" w:color="auto" w:sz="4" w:space="0"/>
              <w:right w:val="single" w:color="auto" w:sz="4" w:space="0"/>
            </w:tcBorders>
            <w:vAlign w:val="center"/>
          </w:tcPr>
          <w:p w14:paraId="62EE026F">
            <w:pPr>
              <w:jc w:val="center"/>
              <w:rPr>
                <w:rFonts w:ascii="宋体" w:hAnsi="宋体" w:cs="宋体"/>
                <w:sz w:val="24"/>
                <w:szCs w:val="24"/>
              </w:rPr>
            </w:pPr>
            <w:r>
              <w:rPr>
                <w:rFonts w:hint="eastAsia" w:ascii="宋体" w:hAnsi="宋体" w:cs="宋体"/>
                <w:sz w:val="24"/>
                <w:szCs w:val="24"/>
              </w:rPr>
              <w:t>投标文件的递交</w:t>
            </w:r>
          </w:p>
        </w:tc>
        <w:tc>
          <w:tcPr>
            <w:tcW w:w="6661" w:type="dxa"/>
            <w:tcBorders>
              <w:top w:val="single" w:color="auto" w:sz="4" w:space="0"/>
              <w:left w:val="nil"/>
              <w:bottom w:val="single" w:color="auto" w:sz="4" w:space="0"/>
              <w:right w:val="single" w:color="auto" w:sz="4" w:space="0"/>
            </w:tcBorders>
            <w:vAlign w:val="center"/>
          </w:tcPr>
          <w:p w14:paraId="739B9BFF">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本项目为电子化、无纸化交易项目，开标时不再接受任何纸质资料，为保证您能投标成功，请仔细阅读招标文件和三门峡市公共资源交易中心官网业务办理指南。</w:t>
            </w:r>
            <w:r>
              <w:rPr>
                <w:rFonts w:hint="eastAsia" w:ascii="宋体" w:hAnsi="宋体" w:cs="宋体"/>
                <w:sz w:val="24"/>
                <w:szCs w:val="24"/>
              </w:rPr>
              <w:t>用CA在电子平台上传电子投标文件，</w:t>
            </w:r>
            <w:r>
              <w:rPr>
                <w:rFonts w:hint="eastAsia" w:ascii="宋体" w:hAnsi="宋体"/>
                <w:color w:val="000000"/>
                <w:sz w:val="24"/>
              </w:rPr>
              <w:t>在</w:t>
            </w:r>
            <w:r>
              <w:rPr>
                <w:rFonts w:hint="eastAsia" w:hAnsi="宋体"/>
                <w:color w:val="000000"/>
                <w:sz w:val="24"/>
              </w:rPr>
              <w:t>开标</w:t>
            </w:r>
            <w:r>
              <w:rPr>
                <w:rFonts w:hint="eastAsia" w:ascii="宋体" w:hAnsi="宋体"/>
                <w:color w:val="000000"/>
                <w:sz w:val="24"/>
              </w:rPr>
              <w:t>截止时间前成功上传至三门峡市公共资源电子化交易系统。</w:t>
            </w:r>
          </w:p>
        </w:tc>
      </w:tr>
      <w:tr w14:paraId="500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E4CBB0">
            <w:pPr>
              <w:jc w:val="center"/>
              <w:rPr>
                <w:rFonts w:ascii="宋体" w:hAnsi="宋体" w:cs="宋体"/>
                <w:sz w:val="24"/>
                <w:szCs w:val="24"/>
              </w:rPr>
            </w:pPr>
            <w:r>
              <w:rPr>
                <w:rFonts w:hint="eastAsia" w:ascii="宋体" w:hAnsi="宋体" w:cs="宋体"/>
                <w:sz w:val="24"/>
                <w:szCs w:val="24"/>
              </w:rPr>
              <w:t>3.7.2</w:t>
            </w:r>
          </w:p>
        </w:tc>
        <w:tc>
          <w:tcPr>
            <w:tcW w:w="1985" w:type="dxa"/>
            <w:gridSpan w:val="2"/>
            <w:tcBorders>
              <w:top w:val="single" w:color="auto" w:sz="4" w:space="0"/>
              <w:left w:val="nil"/>
              <w:bottom w:val="single" w:color="auto" w:sz="4" w:space="0"/>
              <w:right w:val="single" w:color="auto" w:sz="4" w:space="0"/>
            </w:tcBorders>
            <w:vAlign w:val="center"/>
          </w:tcPr>
          <w:p w14:paraId="3C0946B3">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14:paraId="2BEB8092">
            <w:pPr>
              <w:spacing w:line="400" w:lineRule="exact"/>
              <w:rPr>
                <w:rFonts w:ascii="宋体" w:hAnsi="宋体" w:cs="宋体"/>
                <w:sz w:val="24"/>
                <w:szCs w:val="24"/>
              </w:rPr>
            </w:pPr>
            <w:r>
              <w:rPr>
                <w:rFonts w:hint="eastAsia" w:ascii="宋体" w:hAnsi="宋体" w:cs="宋体"/>
                <w:sz w:val="24"/>
                <w:szCs w:val="24"/>
              </w:rPr>
              <w:t>电子化投标文件的签章：</w:t>
            </w:r>
          </w:p>
          <w:p w14:paraId="6B79FB35">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50C1D8E3">
            <w:pPr>
              <w:autoSpaceDE w:val="0"/>
              <w:autoSpaceDN w:val="0"/>
              <w:adjustRightInd w:val="0"/>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电子化投标文件具体制作文件请点击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https://download.bqpoint.com/download/downloaddetail.html?SourceFrom=Ztb&amp;ZtbSoftXiaQuCode=1506&amp;ZtbSoftType=tballinclusive</w:t>
            </w:r>
            <w:r>
              <w:rPr>
                <w:rFonts w:hint="eastAsia" w:ascii="宋体" w:hAnsi="宋体" w:cs="宋体"/>
                <w:color w:val="000000" w:themeColor="text1"/>
                <w:sz w:val="24"/>
                <w:szCs w:val="24"/>
                <w14:textFill>
                  <w14:solidFill>
                    <w14:schemeClr w14:val="tx1"/>
                  </w14:solidFill>
                </w14:textFill>
              </w:rPr>
              <w:t>进行下载。</w:t>
            </w:r>
          </w:p>
        </w:tc>
      </w:tr>
      <w:tr w14:paraId="612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FDA598">
            <w:pPr>
              <w:jc w:val="center"/>
              <w:rPr>
                <w:rFonts w:ascii="宋体" w:hAnsi="宋体" w:cs="宋体"/>
                <w:sz w:val="24"/>
                <w:szCs w:val="24"/>
              </w:rPr>
            </w:pPr>
            <w:r>
              <w:rPr>
                <w:rFonts w:hint="eastAsia" w:ascii="宋体" w:hAnsi="宋体" w:cs="宋体"/>
                <w:sz w:val="24"/>
                <w:szCs w:val="24"/>
              </w:rPr>
              <w:t>4.1</w:t>
            </w:r>
          </w:p>
        </w:tc>
        <w:tc>
          <w:tcPr>
            <w:tcW w:w="1985" w:type="dxa"/>
            <w:gridSpan w:val="2"/>
            <w:tcBorders>
              <w:top w:val="single" w:color="auto" w:sz="4" w:space="0"/>
              <w:left w:val="nil"/>
              <w:bottom w:val="single" w:color="auto" w:sz="4" w:space="0"/>
              <w:right w:val="single" w:color="auto" w:sz="4" w:space="0"/>
            </w:tcBorders>
            <w:vAlign w:val="center"/>
          </w:tcPr>
          <w:p w14:paraId="5EC4017C">
            <w:pPr>
              <w:jc w:val="center"/>
              <w:rPr>
                <w:rFonts w:ascii="宋体" w:hAnsi="宋体" w:cs="宋体"/>
                <w:sz w:val="24"/>
                <w:szCs w:val="24"/>
              </w:rPr>
            </w:pPr>
            <w:r>
              <w:rPr>
                <w:rFonts w:hint="eastAsia" w:ascii="宋体" w:hAnsi="宋体" w:cs="宋体"/>
                <w:sz w:val="24"/>
                <w:szCs w:val="24"/>
              </w:rPr>
              <w:t>递交投标文件时间、地点</w:t>
            </w:r>
          </w:p>
        </w:tc>
        <w:tc>
          <w:tcPr>
            <w:tcW w:w="6661" w:type="dxa"/>
            <w:tcBorders>
              <w:top w:val="single" w:color="auto" w:sz="4" w:space="0"/>
              <w:left w:val="nil"/>
              <w:bottom w:val="single" w:color="auto" w:sz="4" w:space="0"/>
              <w:right w:val="single" w:color="auto" w:sz="4" w:space="0"/>
            </w:tcBorders>
            <w:vAlign w:val="center"/>
          </w:tcPr>
          <w:p w14:paraId="23B17A2E">
            <w:pPr>
              <w:spacing w:line="380" w:lineRule="exact"/>
              <w:rPr>
                <w:rFonts w:ascii="宋体" w:hAnsi="宋体" w:cs="宋体"/>
                <w:color w:val="auto"/>
                <w:sz w:val="24"/>
                <w:szCs w:val="24"/>
              </w:rPr>
            </w:pPr>
            <w:r>
              <w:rPr>
                <w:rFonts w:hint="eastAsia" w:ascii="宋体" w:hAnsi="宋体" w:cs="宋体"/>
                <w:sz w:val="24"/>
                <w:szCs w:val="24"/>
              </w:rPr>
              <w:t>投标文件递交截止时</w:t>
            </w:r>
            <w:r>
              <w:rPr>
                <w:rFonts w:hint="eastAsia" w:ascii="宋体" w:hAnsi="宋体" w:cs="宋体"/>
                <w:color w:val="auto"/>
                <w:sz w:val="24"/>
                <w:szCs w:val="24"/>
              </w:rPr>
              <w:t>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25</w:t>
            </w:r>
            <w:r>
              <w:rPr>
                <w:rFonts w:hint="eastAsia" w:ascii="宋体" w:hAnsi="宋体" w:cs="宋体"/>
                <w:color w:val="auto"/>
                <w:sz w:val="24"/>
                <w:szCs w:val="24"/>
                <w:lang w:eastAsia="zh-CN"/>
              </w:rPr>
              <w:t>日08时30分</w:t>
            </w:r>
            <w:r>
              <w:rPr>
                <w:rFonts w:hint="eastAsia" w:ascii="宋体" w:hAnsi="宋体" w:cs="宋体"/>
                <w:color w:val="auto"/>
                <w:sz w:val="24"/>
                <w:szCs w:val="24"/>
              </w:rPr>
              <w:t>（北京时间）；</w:t>
            </w:r>
          </w:p>
          <w:p w14:paraId="67CF748D">
            <w:pPr>
              <w:spacing w:beforeLines="50" w:line="288" w:lineRule="auto"/>
              <w:rPr>
                <w:rFonts w:ascii="宋体" w:hAnsi="宋体" w:cs="宋体"/>
                <w:sz w:val="24"/>
                <w:szCs w:val="24"/>
              </w:rPr>
            </w:pPr>
            <w:r>
              <w:rPr>
                <w:rFonts w:hint="eastAsia" w:ascii="宋体" w:hAnsi="宋体" w:cs="宋体"/>
                <w:sz w:val="24"/>
                <w:szCs w:val="24"/>
              </w:rPr>
              <w:t>递交投标文件地点：在开标截止时间前上传至“三门峡市公共资源交易中心网站”。</w:t>
            </w:r>
          </w:p>
        </w:tc>
      </w:tr>
      <w:tr w14:paraId="69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A21061C">
            <w:pPr>
              <w:jc w:val="center"/>
              <w:rPr>
                <w:rFonts w:ascii="宋体" w:hAnsi="宋体" w:cs="宋体"/>
                <w:sz w:val="24"/>
                <w:szCs w:val="24"/>
              </w:rPr>
            </w:pPr>
            <w:r>
              <w:rPr>
                <w:rFonts w:hint="eastAsia" w:ascii="宋体" w:hAnsi="宋体" w:cs="宋体"/>
                <w:sz w:val="24"/>
                <w:szCs w:val="24"/>
              </w:rPr>
              <w:t>4.1.1</w:t>
            </w:r>
          </w:p>
        </w:tc>
        <w:tc>
          <w:tcPr>
            <w:tcW w:w="1985" w:type="dxa"/>
            <w:gridSpan w:val="2"/>
            <w:tcBorders>
              <w:top w:val="single" w:color="auto" w:sz="4" w:space="0"/>
              <w:left w:val="nil"/>
              <w:bottom w:val="single" w:color="auto" w:sz="4" w:space="0"/>
              <w:right w:val="single" w:color="auto" w:sz="4" w:space="0"/>
            </w:tcBorders>
            <w:vAlign w:val="center"/>
          </w:tcPr>
          <w:p w14:paraId="726AA4F3">
            <w:pPr>
              <w:jc w:val="center"/>
              <w:rPr>
                <w:rFonts w:ascii="宋体" w:hAnsi="宋体" w:cs="宋体"/>
                <w:sz w:val="24"/>
                <w:szCs w:val="24"/>
              </w:rPr>
            </w:pPr>
            <w:r>
              <w:rPr>
                <w:rFonts w:hint="eastAsia" w:ascii="宋体" w:hAnsi="宋体" w:cs="宋体"/>
                <w:sz w:val="24"/>
                <w:szCs w:val="24"/>
              </w:rPr>
              <w:t>是否退还投标文件</w:t>
            </w:r>
          </w:p>
        </w:tc>
        <w:tc>
          <w:tcPr>
            <w:tcW w:w="6661" w:type="dxa"/>
            <w:tcBorders>
              <w:top w:val="single" w:color="auto" w:sz="4" w:space="0"/>
              <w:left w:val="nil"/>
              <w:bottom w:val="single" w:color="auto" w:sz="4" w:space="0"/>
              <w:right w:val="single" w:color="auto" w:sz="4" w:space="0"/>
            </w:tcBorders>
            <w:vAlign w:val="center"/>
          </w:tcPr>
          <w:p w14:paraId="79F50A0E">
            <w:pPr>
              <w:spacing w:line="288" w:lineRule="auto"/>
              <w:rPr>
                <w:rFonts w:ascii="宋体" w:hAnsi="宋体" w:cs="宋体"/>
                <w:sz w:val="24"/>
                <w:szCs w:val="24"/>
              </w:rPr>
            </w:pPr>
            <w:r>
              <w:rPr>
                <w:rFonts w:hint="eastAsia" w:ascii="宋体" w:hAnsi="宋体" w:cs="宋体"/>
                <w:sz w:val="24"/>
                <w:szCs w:val="24"/>
              </w:rPr>
              <w:t>否</w:t>
            </w:r>
          </w:p>
        </w:tc>
      </w:tr>
      <w:tr w14:paraId="3F5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C92C6">
            <w:pPr>
              <w:jc w:val="center"/>
              <w:rPr>
                <w:rFonts w:ascii="宋体" w:hAnsi="宋体" w:cs="宋体"/>
                <w:sz w:val="24"/>
                <w:szCs w:val="24"/>
              </w:rPr>
            </w:pPr>
            <w:r>
              <w:rPr>
                <w:rFonts w:hint="eastAsia" w:ascii="宋体" w:hAnsi="宋体" w:cs="宋体"/>
                <w:sz w:val="24"/>
                <w:szCs w:val="24"/>
              </w:rPr>
              <w:t>5.1</w:t>
            </w:r>
          </w:p>
        </w:tc>
        <w:tc>
          <w:tcPr>
            <w:tcW w:w="1985" w:type="dxa"/>
            <w:gridSpan w:val="2"/>
            <w:tcBorders>
              <w:top w:val="single" w:color="auto" w:sz="4" w:space="0"/>
              <w:left w:val="nil"/>
              <w:bottom w:val="single" w:color="auto" w:sz="4" w:space="0"/>
              <w:right w:val="single" w:color="auto" w:sz="4" w:space="0"/>
            </w:tcBorders>
            <w:vAlign w:val="center"/>
          </w:tcPr>
          <w:p w14:paraId="7B57CA85">
            <w:pPr>
              <w:jc w:val="center"/>
              <w:rPr>
                <w:rFonts w:ascii="宋体" w:hAnsi="宋体" w:cs="宋体"/>
                <w:sz w:val="24"/>
                <w:szCs w:val="24"/>
              </w:rPr>
            </w:pPr>
            <w:r>
              <w:rPr>
                <w:rFonts w:hint="eastAsia" w:ascii="宋体" w:hAnsi="宋体" w:cs="宋体"/>
                <w:sz w:val="24"/>
                <w:szCs w:val="24"/>
              </w:rPr>
              <w:t>开标时间和</w:t>
            </w:r>
          </w:p>
          <w:p w14:paraId="4E5AD28C">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14:paraId="36790EDF">
            <w:pPr>
              <w:spacing w:line="400" w:lineRule="exact"/>
              <w:rPr>
                <w:rFonts w:hint="eastAsia" w:ascii="宋体" w:hAnsi="宋体" w:eastAsia="宋体" w:cs="宋体"/>
                <w:color w:val="auto"/>
                <w:sz w:val="24"/>
                <w:szCs w:val="24"/>
                <w:lang w:eastAsia="zh-CN"/>
              </w:rPr>
            </w:pPr>
            <w:r>
              <w:rPr>
                <w:rFonts w:hint="eastAsia" w:ascii="宋体" w:hAnsi="宋体" w:cs="宋体"/>
                <w:sz w:val="24"/>
                <w:szCs w:val="24"/>
              </w:rPr>
              <w:t>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25</w:t>
            </w:r>
            <w:r>
              <w:rPr>
                <w:rFonts w:hint="eastAsia" w:ascii="宋体" w:hAnsi="宋体" w:cs="宋体"/>
                <w:color w:val="auto"/>
                <w:sz w:val="24"/>
                <w:szCs w:val="24"/>
                <w:lang w:eastAsia="zh-CN"/>
              </w:rPr>
              <w:t>日08时30分</w:t>
            </w:r>
          </w:p>
          <w:p w14:paraId="51A47B8D">
            <w:pPr>
              <w:spacing w:line="400" w:lineRule="exact"/>
              <w:rPr>
                <w:rFonts w:ascii="宋体" w:hAnsi="宋体" w:cs="宋体"/>
                <w:sz w:val="24"/>
                <w:szCs w:val="24"/>
              </w:rPr>
            </w:pPr>
            <w:r>
              <w:rPr>
                <w:rFonts w:hint="eastAsia" w:ascii="宋体" w:hAnsi="宋体" w:cs="宋体"/>
                <w:color w:val="auto"/>
                <w:sz w:val="24"/>
                <w:szCs w:val="24"/>
              </w:rPr>
              <w:t>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开标室</w:t>
            </w:r>
          </w:p>
        </w:tc>
      </w:tr>
      <w:tr w14:paraId="407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C58FA42">
            <w:pPr>
              <w:jc w:val="center"/>
              <w:rPr>
                <w:rFonts w:ascii="宋体" w:hAnsi="宋体" w:cs="宋体"/>
                <w:sz w:val="24"/>
                <w:szCs w:val="24"/>
              </w:rPr>
            </w:pPr>
            <w:r>
              <w:rPr>
                <w:rFonts w:hint="eastAsia" w:ascii="宋体" w:hAnsi="宋体" w:cs="宋体"/>
                <w:sz w:val="24"/>
                <w:szCs w:val="24"/>
              </w:rPr>
              <w:t>5.2</w:t>
            </w:r>
          </w:p>
        </w:tc>
        <w:tc>
          <w:tcPr>
            <w:tcW w:w="1985" w:type="dxa"/>
            <w:gridSpan w:val="2"/>
            <w:tcBorders>
              <w:top w:val="single" w:color="auto" w:sz="4" w:space="0"/>
              <w:left w:val="nil"/>
              <w:bottom w:val="single" w:color="auto" w:sz="4" w:space="0"/>
              <w:right w:val="single" w:color="auto" w:sz="4" w:space="0"/>
            </w:tcBorders>
            <w:vAlign w:val="center"/>
          </w:tcPr>
          <w:p w14:paraId="12848C14">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14:paraId="1A81B553">
            <w:pPr>
              <w:jc w:val="left"/>
              <w:rPr>
                <w:rFonts w:ascii="宋体" w:hAnsi="宋体" w:cs="宋体"/>
                <w:sz w:val="24"/>
                <w:szCs w:val="24"/>
              </w:rPr>
            </w:pPr>
            <w:r>
              <w:rPr>
                <w:rFonts w:hint="eastAsia" w:ascii="宋体" w:hAnsi="宋体" w:cs="宋体"/>
                <w:sz w:val="24"/>
                <w:szCs w:val="24"/>
              </w:rPr>
              <w:t>按电子投标文件上传顺序开标</w:t>
            </w:r>
          </w:p>
        </w:tc>
      </w:tr>
      <w:tr w14:paraId="638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263F8A8">
            <w:pPr>
              <w:jc w:val="center"/>
              <w:rPr>
                <w:rFonts w:ascii="宋体" w:hAnsi="宋体" w:cs="宋体"/>
                <w:sz w:val="24"/>
                <w:szCs w:val="24"/>
              </w:rPr>
            </w:pPr>
            <w:r>
              <w:rPr>
                <w:rFonts w:hint="eastAsia" w:ascii="宋体" w:hAnsi="宋体" w:cs="宋体"/>
                <w:sz w:val="24"/>
                <w:szCs w:val="24"/>
              </w:rPr>
              <w:t>6.1.1</w:t>
            </w:r>
          </w:p>
        </w:tc>
        <w:tc>
          <w:tcPr>
            <w:tcW w:w="1985" w:type="dxa"/>
            <w:gridSpan w:val="2"/>
            <w:tcBorders>
              <w:top w:val="single" w:color="auto" w:sz="4" w:space="0"/>
              <w:left w:val="nil"/>
              <w:bottom w:val="single" w:color="auto" w:sz="4" w:space="0"/>
              <w:right w:val="single" w:color="auto" w:sz="4" w:space="0"/>
            </w:tcBorders>
            <w:vAlign w:val="center"/>
          </w:tcPr>
          <w:p w14:paraId="03EEF3A9">
            <w:pPr>
              <w:jc w:val="center"/>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的组建</w:t>
            </w:r>
          </w:p>
        </w:tc>
        <w:tc>
          <w:tcPr>
            <w:tcW w:w="6661" w:type="dxa"/>
            <w:tcBorders>
              <w:top w:val="single" w:color="auto" w:sz="4" w:space="0"/>
              <w:left w:val="nil"/>
              <w:bottom w:val="single" w:color="auto" w:sz="4" w:space="0"/>
              <w:right w:val="single" w:color="auto" w:sz="4" w:space="0"/>
            </w:tcBorders>
            <w:vAlign w:val="center"/>
          </w:tcPr>
          <w:p w14:paraId="5538FBDF">
            <w:pPr>
              <w:spacing w:line="400" w:lineRule="exact"/>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构成：</w:t>
            </w:r>
            <w:r>
              <w:rPr>
                <w:rFonts w:hint="eastAsia" w:ascii="宋体" w:hAnsi="宋体" w:cs="宋体"/>
                <w:sz w:val="24"/>
                <w:szCs w:val="24"/>
                <w:u w:val="single"/>
              </w:rPr>
              <w:t>5</w:t>
            </w:r>
            <w:r>
              <w:rPr>
                <w:rFonts w:hint="eastAsia" w:ascii="宋体" w:hAnsi="宋体" w:cs="宋体"/>
                <w:sz w:val="24"/>
                <w:szCs w:val="24"/>
              </w:rPr>
              <w:t>人，其中招标人代表</w:t>
            </w:r>
            <w:r>
              <w:rPr>
                <w:rFonts w:hint="eastAsia" w:ascii="宋体" w:hAnsi="宋体" w:cs="宋体"/>
                <w:sz w:val="24"/>
                <w:szCs w:val="24"/>
                <w:u w:val="single"/>
              </w:rPr>
              <w:t>1</w:t>
            </w:r>
            <w:r>
              <w:rPr>
                <w:rFonts w:hint="eastAsia" w:ascii="宋体" w:hAnsi="宋体" w:cs="宋体"/>
                <w:sz w:val="24"/>
                <w:szCs w:val="24"/>
              </w:rPr>
              <w:t>人，专家</w:t>
            </w:r>
            <w:r>
              <w:rPr>
                <w:rFonts w:hint="eastAsia" w:ascii="宋体" w:hAnsi="宋体" w:cs="宋体"/>
                <w:sz w:val="24"/>
                <w:szCs w:val="24"/>
                <w:u w:val="single"/>
              </w:rPr>
              <w:t>4</w:t>
            </w:r>
            <w:r>
              <w:rPr>
                <w:rFonts w:hint="eastAsia" w:ascii="宋体" w:hAnsi="宋体" w:cs="宋体"/>
                <w:sz w:val="24"/>
                <w:szCs w:val="24"/>
              </w:rPr>
              <w:t>人；</w:t>
            </w:r>
            <w:r>
              <w:rPr>
                <w:rFonts w:hint="eastAsia" w:ascii="宋体" w:hAnsi="宋体" w:cs="宋体"/>
                <w:sz w:val="24"/>
                <w:szCs w:val="24"/>
                <w:u w:val="single"/>
              </w:rPr>
              <w:t>4</w:t>
            </w:r>
            <w:r>
              <w:rPr>
                <w:rFonts w:hint="eastAsia" w:ascii="宋体" w:hAnsi="宋体" w:cs="宋体"/>
                <w:sz w:val="24"/>
                <w:szCs w:val="24"/>
              </w:rPr>
              <w:t>名专家确定方式：</w:t>
            </w:r>
            <w:r>
              <w:rPr>
                <w:rFonts w:hint="eastAsia" w:ascii="宋体" w:hAnsi="宋体"/>
                <w:kern w:val="0"/>
                <w:sz w:val="24"/>
                <w:szCs w:val="24"/>
              </w:rPr>
              <w:t>开标当天</w:t>
            </w:r>
            <w:r>
              <w:rPr>
                <w:rFonts w:hint="eastAsia" w:ascii="宋体" w:hAnsi="宋体"/>
                <w:kern w:val="0"/>
                <w:sz w:val="24"/>
                <w:szCs w:val="24"/>
                <w:lang w:val="en-US" w:eastAsia="zh-CN"/>
              </w:rPr>
              <w:t>在</w:t>
            </w:r>
            <w:r>
              <w:rPr>
                <w:rFonts w:hint="eastAsia" w:cs="宋体" w:asciiTheme="minorEastAsia" w:hAnsiTheme="minorEastAsia"/>
                <w:sz w:val="24"/>
                <w:szCs w:val="24"/>
              </w:rPr>
              <w:t>三门峡市陕州区公共资源交易中心</w:t>
            </w:r>
            <w:r>
              <w:rPr>
                <w:rFonts w:hint="eastAsia"/>
                <w:sz w:val="24"/>
                <w:szCs w:val="24"/>
              </w:rPr>
              <w:t>从</w:t>
            </w:r>
            <w:r>
              <w:rPr>
                <w:rFonts w:hint="eastAsia"/>
                <w:sz w:val="24"/>
                <w:szCs w:val="24"/>
                <w:lang w:val="en-US" w:eastAsia="zh-CN"/>
              </w:rPr>
              <w:t>河南省财政厅</w:t>
            </w:r>
            <w:r>
              <w:rPr>
                <w:rFonts w:hint="eastAsia"/>
                <w:sz w:val="24"/>
                <w:szCs w:val="24"/>
              </w:rPr>
              <w:t>专家库随机抽取确定</w:t>
            </w:r>
            <w:r>
              <w:rPr>
                <w:rFonts w:hint="eastAsia" w:ascii="宋体" w:hAnsi="宋体" w:cs="宋体"/>
                <w:sz w:val="24"/>
                <w:szCs w:val="24"/>
              </w:rPr>
              <w:t>。</w:t>
            </w:r>
          </w:p>
        </w:tc>
      </w:tr>
      <w:tr w14:paraId="69D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3A3D0574">
            <w:pPr>
              <w:jc w:val="center"/>
              <w:rPr>
                <w:rFonts w:ascii="宋体" w:hAnsi="宋体" w:cs="宋体"/>
                <w:sz w:val="24"/>
                <w:szCs w:val="24"/>
              </w:rPr>
            </w:pPr>
            <w:r>
              <w:rPr>
                <w:rFonts w:hint="eastAsia" w:ascii="宋体" w:hAnsi="宋体" w:cs="宋体"/>
                <w:sz w:val="24"/>
                <w:szCs w:val="24"/>
              </w:rPr>
              <w:t>7.1</w:t>
            </w:r>
          </w:p>
        </w:tc>
        <w:tc>
          <w:tcPr>
            <w:tcW w:w="1985" w:type="dxa"/>
            <w:gridSpan w:val="2"/>
            <w:tcBorders>
              <w:top w:val="single" w:color="auto" w:sz="4" w:space="0"/>
              <w:left w:val="nil"/>
              <w:bottom w:val="single" w:color="auto" w:sz="4" w:space="0"/>
              <w:right w:val="single" w:color="auto" w:sz="4" w:space="0"/>
            </w:tcBorders>
            <w:vAlign w:val="center"/>
          </w:tcPr>
          <w:p w14:paraId="770A76D5">
            <w:pPr>
              <w:jc w:val="center"/>
              <w:rPr>
                <w:rFonts w:ascii="宋体" w:hAnsi="宋体" w:cs="宋体"/>
                <w:sz w:val="24"/>
                <w:szCs w:val="24"/>
              </w:rPr>
            </w:pPr>
            <w:r>
              <w:rPr>
                <w:rFonts w:hint="eastAsia" w:ascii="宋体" w:hAnsi="宋体" w:cs="宋体"/>
                <w:sz w:val="24"/>
                <w:szCs w:val="24"/>
              </w:rPr>
              <w:t>是否授权</w:t>
            </w:r>
            <w:r>
              <w:rPr>
                <w:rFonts w:hint="eastAsia" w:ascii="宋体" w:hAnsi="宋体" w:cs="宋体"/>
                <w:sz w:val="24"/>
                <w:szCs w:val="24"/>
                <w:lang w:eastAsia="zh-CN"/>
              </w:rPr>
              <w:t>评标委员会</w:t>
            </w:r>
            <w:r>
              <w:rPr>
                <w:rFonts w:hint="eastAsia" w:ascii="宋体" w:hAnsi="宋体" w:cs="宋体"/>
                <w:sz w:val="24"/>
                <w:szCs w:val="24"/>
              </w:rPr>
              <w:t>确定中标人</w:t>
            </w:r>
          </w:p>
        </w:tc>
        <w:tc>
          <w:tcPr>
            <w:tcW w:w="6661" w:type="dxa"/>
            <w:tcBorders>
              <w:top w:val="single" w:color="auto" w:sz="4" w:space="0"/>
              <w:left w:val="nil"/>
              <w:bottom w:val="single" w:color="auto" w:sz="4" w:space="0"/>
              <w:right w:val="single" w:color="auto" w:sz="4" w:space="0"/>
            </w:tcBorders>
            <w:vAlign w:val="center"/>
          </w:tcPr>
          <w:p w14:paraId="60A664F3">
            <w:pPr>
              <w:spacing w:line="288" w:lineRule="auto"/>
              <w:rPr>
                <w:rFonts w:ascii="宋体" w:hAnsi="宋体" w:cs="宋体"/>
                <w:sz w:val="24"/>
                <w:szCs w:val="24"/>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14:paraId="1CA4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7E6ACD">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985" w:type="dxa"/>
            <w:gridSpan w:val="2"/>
            <w:tcBorders>
              <w:top w:val="single" w:color="auto" w:sz="4" w:space="0"/>
              <w:left w:val="nil"/>
              <w:bottom w:val="single" w:color="auto" w:sz="4" w:space="0"/>
              <w:right w:val="single" w:color="auto" w:sz="4" w:space="0"/>
            </w:tcBorders>
            <w:vAlign w:val="center"/>
          </w:tcPr>
          <w:p w14:paraId="02E580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14:paraId="53C9CB78">
            <w:pPr>
              <w:autoSpaceDE w:val="0"/>
              <w:autoSpaceDN w:val="0"/>
              <w:adjustRightInd w:val="0"/>
              <w:spacing w:line="400" w:lineRule="exact"/>
              <w:rPr>
                <w:rFonts w:ascii="宋体" w:hAnsi="宋体" w:cs="宋体"/>
                <w:sz w:val="24"/>
                <w:szCs w:val="24"/>
              </w:rPr>
            </w:pPr>
            <w:r>
              <w:rPr>
                <w:rFonts w:hint="eastAsia" w:ascii="宋体" w:hAnsi="宋体" w:cs="宋体"/>
                <w:sz w:val="24"/>
                <w:szCs w:val="24"/>
              </w:rPr>
              <w:t>招标代理费：</w:t>
            </w:r>
            <w:r>
              <w:rPr>
                <w:rFonts w:hint="eastAsia" w:ascii="宋体" w:hAnsi="宋体" w:cs="宋体"/>
                <w:kern w:val="0"/>
                <w:sz w:val="24"/>
                <w:szCs w:val="24"/>
              </w:rPr>
              <w:t>根据《河南省招标代理服务收费指导意见》收费标准计取</w:t>
            </w:r>
            <w:r>
              <w:rPr>
                <w:rFonts w:hint="eastAsia" w:ascii="宋体" w:hAnsi="宋体" w:cs="宋体"/>
                <w:color w:val="auto"/>
                <w:kern w:val="0"/>
                <w:sz w:val="24"/>
                <w:szCs w:val="24"/>
              </w:rPr>
              <w:t>，</w:t>
            </w:r>
            <w:r>
              <w:rPr>
                <w:rFonts w:hint="eastAsia" w:ascii="宋体" w:hAnsi="宋体" w:cs="宋体"/>
                <w:color w:val="auto"/>
                <w:sz w:val="24"/>
                <w:szCs w:val="24"/>
              </w:rPr>
              <w:t>取费的基数为中标价，招标代理服务费由中标人支付。</w:t>
            </w:r>
          </w:p>
        </w:tc>
      </w:tr>
      <w:tr w14:paraId="4F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3DDD5B">
            <w:pPr>
              <w:autoSpaceDE w:val="0"/>
              <w:autoSpaceDN w:val="0"/>
              <w:adjustRightInd w:val="0"/>
              <w:spacing w:line="4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1985" w:type="dxa"/>
            <w:gridSpan w:val="2"/>
            <w:tcBorders>
              <w:top w:val="single" w:color="auto" w:sz="4" w:space="0"/>
              <w:left w:val="nil"/>
              <w:bottom w:val="single" w:color="auto" w:sz="4" w:space="0"/>
              <w:right w:val="single" w:color="auto" w:sz="4" w:space="0"/>
            </w:tcBorders>
            <w:vAlign w:val="center"/>
          </w:tcPr>
          <w:p w14:paraId="1E276840">
            <w:pPr>
              <w:autoSpaceDE w:val="0"/>
              <w:autoSpaceDN w:val="0"/>
              <w:adjustRightInd w:val="0"/>
              <w:spacing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质疑与投诉</w:t>
            </w:r>
          </w:p>
        </w:tc>
        <w:tc>
          <w:tcPr>
            <w:tcW w:w="6661" w:type="dxa"/>
            <w:tcBorders>
              <w:top w:val="single" w:color="auto" w:sz="4" w:space="0"/>
              <w:left w:val="nil"/>
              <w:bottom w:val="single" w:color="auto" w:sz="4" w:space="0"/>
              <w:right w:val="single" w:color="auto" w:sz="4" w:space="0"/>
            </w:tcBorders>
            <w:vAlign w:val="center"/>
          </w:tcPr>
          <w:p w14:paraId="2E872F93">
            <w:pPr>
              <w:autoSpaceDE w:val="0"/>
              <w:autoSpaceDN w:val="0"/>
              <w:adjustRightInd w:val="0"/>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详见供应商须知：8.质疑与投诉。</w:t>
            </w:r>
          </w:p>
        </w:tc>
      </w:tr>
      <w:tr w14:paraId="04E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14:paraId="56316534">
            <w:pPr>
              <w:jc w:val="center"/>
              <w:rPr>
                <w:rFonts w:ascii="宋体" w:hAnsi="宋体" w:cs="宋体"/>
                <w:sz w:val="24"/>
                <w:szCs w:val="24"/>
              </w:rPr>
            </w:pPr>
            <w:r>
              <w:rPr>
                <w:rFonts w:hint="eastAsia" w:ascii="宋体" w:hAnsi="宋体" w:cs="宋体"/>
                <w:sz w:val="24"/>
                <w:szCs w:val="24"/>
              </w:rPr>
              <w:t>需要补充的其他内容</w:t>
            </w:r>
          </w:p>
        </w:tc>
      </w:tr>
      <w:tr w14:paraId="6678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1314E50">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5821256F">
            <w:pPr>
              <w:rPr>
                <w:rFonts w:ascii="宋体" w:hAnsi="宋体" w:cs="宋体"/>
                <w:sz w:val="24"/>
                <w:szCs w:val="24"/>
              </w:rPr>
            </w:pPr>
            <w:r>
              <w:rPr>
                <w:rFonts w:hint="eastAsia" w:ascii="宋体" w:hAnsi="宋体" w:cs="宋体"/>
                <w:sz w:val="24"/>
                <w:szCs w:val="24"/>
              </w:rPr>
              <w:t>招标控制价（人民币）</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52D5F0FE">
            <w:pPr>
              <w:rPr>
                <w:rFonts w:hint="eastAsia" w:ascii="宋体" w:hAnsi="宋体" w:eastAsia="宋体" w:cs="宋体"/>
                <w:color w:val="auto"/>
                <w:sz w:val="24"/>
                <w:szCs w:val="24"/>
                <w:lang w:eastAsia="zh-CN"/>
              </w:rPr>
            </w:pPr>
            <w:r>
              <w:rPr>
                <w:rFonts w:hint="eastAsia" w:ascii="宋体" w:hAnsi="宋体" w:cs="宋体"/>
                <w:sz w:val="24"/>
                <w:szCs w:val="24"/>
              </w:rPr>
              <w:t>大</w:t>
            </w:r>
            <w:r>
              <w:rPr>
                <w:rFonts w:hint="eastAsia" w:ascii="宋体" w:hAnsi="宋体" w:cs="宋体"/>
                <w:color w:val="auto"/>
                <w:sz w:val="24"/>
                <w:szCs w:val="24"/>
              </w:rPr>
              <w:t>写：</w:t>
            </w:r>
            <w:r>
              <w:rPr>
                <w:rFonts w:hint="eastAsia" w:ascii="宋体" w:hAnsi="宋体" w:cs="宋体"/>
                <w:color w:val="auto"/>
                <w:sz w:val="24"/>
                <w:szCs w:val="24"/>
                <w:lang w:val="en-US" w:eastAsia="zh-CN"/>
              </w:rPr>
              <w:t>肆佰叁拾玖万陆仟柒佰元整</w:t>
            </w:r>
          </w:p>
          <w:p w14:paraId="70696324">
            <w:pPr>
              <w:rPr>
                <w:rFonts w:ascii="宋体" w:hAnsi="宋体" w:cs="宋体"/>
                <w:sz w:val="24"/>
                <w:szCs w:val="24"/>
              </w:rPr>
            </w:pPr>
            <w:r>
              <w:rPr>
                <w:rFonts w:hint="eastAsia" w:ascii="宋体" w:hAnsi="宋体" w:cs="宋体"/>
                <w:color w:val="auto"/>
                <w:sz w:val="24"/>
                <w:szCs w:val="24"/>
              </w:rPr>
              <w:t>小写：</w:t>
            </w:r>
            <w:r>
              <w:rPr>
                <w:rFonts w:hint="eastAsia" w:ascii="宋体" w:hAnsi="宋体" w:cs="宋体"/>
                <w:color w:val="auto"/>
                <w:sz w:val="24"/>
                <w:szCs w:val="24"/>
                <w:lang w:val="en-US" w:eastAsia="zh-CN"/>
              </w:rPr>
              <w:t>4396700.00</w:t>
            </w:r>
            <w:r>
              <w:rPr>
                <w:rFonts w:hint="eastAsia" w:ascii="宋体" w:hAnsi="宋体" w:cs="宋体"/>
                <w:color w:val="auto"/>
                <w:sz w:val="24"/>
                <w:szCs w:val="24"/>
              </w:rPr>
              <w:t>元</w:t>
            </w:r>
          </w:p>
        </w:tc>
      </w:tr>
      <w:tr w14:paraId="3FE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4258FBD2">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.2</w:t>
            </w:r>
          </w:p>
        </w:tc>
        <w:tc>
          <w:tcPr>
            <w:tcW w:w="1701" w:type="dxa"/>
            <w:tcBorders>
              <w:top w:val="single" w:color="auto" w:sz="4" w:space="0"/>
              <w:left w:val="nil"/>
              <w:bottom w:val="single" w:color="auto" w:sz="4" w:space="0"/>
              <w:right w:val="single" w:color="auto" w:sz="4" w:space="0"/>
            </w:tcBorders>
            <w:vAlign w:val="center"/>
          </w:tcPr>
          <w:p w14:paraId="3E6EB7EC">
            <w:pPr>
              <w:jc w:val="center"/>
              <w:rPr>
                <w:rFonts w:ascii="宋体" w:hAnsi="宋体" w:cs="宋体"/>
                <w:sz w:val="24"/>
                <w:szCs w:val="24"/>
              </w:rPr>
            </w:pPr>
            <w:r>
              <w:rPr>
                <w:rFonts w:hint="eastAsia"/>
                <w:sz w:val="24"/>
              </w:rPr>
              <w:t>开标解密</w:t>
            </w:r>
          </w:p>
        </w:tc>
        <w:tc>
          <w:tcPr>
            <w:tcW w:w="6945" w:type="dxa"/>
            <w:gridSpan w:val="2"/>
            <w:tcBorders>
              <w:top w:val="single" w:color="auto" w:sz="4" w:space="0"/>
              <w:left w:val="nil"/>
              <w:bottom w:val="single" w:color="auto" w:sz="4" w:space="0"/>
              <w:right w:val="single" w:color="auto" w:sz="4" w:space="0"/>
            </w:tcBorders>
            <w:vAlign w:val="center"/>
          </w:tcPr>
          <w:p w14:paraId="7017D35E">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18A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8607CC7">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.3</w:t>
            </w:r>
          </w:p>
        </w:tc>
        <w:tc>
          <w:tcPr>
            <w:tcW w:w="1701" w:type="dxa"/>
            <w:tcBorders>
              <w:top w:val="single" w:color="auto" w:sz="4" w:space="0"/>
              <w:left w:val="nil"/>
              <w:bottom w:val="single" w:color="auto" w:sz="4" w:space="0"/>
              <w:right w:val="single" w:color="auto" w:sz="4" w:space="0"/>
            </w:tcBorders>
            <w:vAlign w:val="center"/>
          </w:tcPr>
          <w:p w14:paraId="59060D36">
            <w:pPr>
              <w:jc w:val="center"/>
              <w:rPr>
                <w:rFonts w:ascii="宋体" w:hAnsi="宋体" w:cs="宋体"/>
                <w:sz w:val="24"/>
                <w:szCs w:val="24"/>
              </w:rPr>
            </w:pPr>
            <w:r>
              <w:rPr>
                <w:rFonts w:hint="eastAsia" w:ascii="宋体" w:hAnsi="宋体" w:cs="宋体"/>
                <w:sz w:val="24"/>
                <w:szCs w:val="24"/>
              </w:rPr>
              <w:t>付款办法</w:t>
            </w:r>
          </w:p>
        </w:tc>
        <w:tc>
          <w:tcPr>
            <w:tcW w:w="6945" w:type="dxa"/>
            <w:gridSpan w:val="2"/>
            <w:tcBorders>
              <w:top w:val="single" w:color="auto" w:sz="4" w:space="0"/>
              <w:left w:val="nil"/>
              <w:bottom w:val="single" w:color="auto" w:sz="4" w:space="0"/>
              <w:right w:val="single" w:color="auto" w:sz="4" w:space="0"/>
            </w:tcBorders>
            <w:vAlign w:val="center"/>
          </w:tcPr>
          <w:p w14:paraId="592D30E5">
            <w:pPr>
              <w:spacing w:line="400" w:lineRule="exact"/>
              <w:ind w:right="-153" w:rightChars="-73"/>
              <w:jc w:val="left"/>
              <w:rPr>
                <w:rFonts w:ascii="宋体" w:hAnsi="宋体" w:cs="宋体"/>
                <w:sz w:val="24"/>
                <w:szCs w:val="24"/>
              </w:rPr>
            </w:pPr>
            <w:r>
              <w:rPr>
                <w:rFonts w:hint="eastAsia" w:ascii="宋体" w:hAnsi="宋体" w:cs="宋体"/>
                <w:sz w:val="24"/>
                <w:szCs w:val="24"/>
              </w:rPr>
              <w:t>具体以招标人与供应商签订合同为准</w:t>
            </w:r>
            <w:r>
              <w:rPr>
                <w:rFonts w:hint="eastAsia" w:cs="宋体" w:asciiTheme="minorEastAsia" w:hAnsiTheme="minorEastAsia" w:eastAsiaTheme="minorEastAsia"/>
                <w:color w:val="0000FF"/>
                <w:sz w:val="24"/>
                <w:szCs w:val="24"/>
              </w:rPr>
              <w:t>。</w:t>
            </w:r>
          </w:p>
        </w:tc>
      </w:tr>
      <w:tr w14:paraId="0799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FA73501">
            <w:pPr>
              <w:spacing w:line="312"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.4</w:t>
            </w:r>
          </w:p>
        </w:tc>
        <w:tc>
          <w:tcPr>
            <w:tcW w:w="1701" w:type="dxa"/>
            <w:tcBorders>
              <w:top w:val="single" w:color="auto" w:sz="4" w:space="0"/>
              <w:left w:val="nil"/>
              <w:bottom w:val="single" w:color="auto" w:sz="4" w:space="0"/>
              <w:right w:val="single" w:color="auto" w:sz="4" w:space="0"/>
            </w:tcBorders>
            <w:vAlign w:val="center"/>
          </w:tcPr>
          <w:p w14:paraId="423FF4AC">
            <w:pPr>
              <w:jc w:val="center"/>
              <w:rPr>
                <w:rFonts w:hint="eastAsia" w:ascii="宋体" w:hAnsi="宋体" w:cs="宋体"/>
                <w:sz w:val="24"/>
                <w:szCs w:val="24"/>
              </w:rPr>
            </w:pPr>
            <w:r>
              <w:rPr>
                <w:rFonts w:hint="eastAsia" w:ascii="宋体" w:hAnsi="宋体" w:cs="宋体"/>
                <w:sz w:val="24"/>
                <w:szCs w:val="24"/>
              </w:rPr>
              <w:t>履约保证金</w:t>
            </w:r>
          </w:p>
        </w:tc>
        <w:tc>
          <w:tcPr>
            <w:tcW w:w="6945" w:type="dxa"/>
            <w:gridSpan w:val="2"/>
            <w:tcBorders>
              <w:top w:val="single" w:color="auto" w:sz="4" w:space="0"/>
              <w:left w:val="nil"/>
              <w:bottom w:val="single" w:color="auto" w:sz="4" w:space="0"/>
              <w:right w:val="single" w:color="auto" w:sz="4" w:space="0"/>
            </w:tcBorders>
            <w:vAlign w:val="center"/>
          </w:tcPr>
          <w:p w14:paraId="02556043">
            <w:pPr>
              <w:spacing w:line="400" w:lineRule="exact"/>
              <w:ind w:right="-153" w:rightChars="-73"/>
              <w:jc w:val="left"/>
              <w:rPr>
                <w:rFonts w:hint="eastAsia" w:ascii="宋体" w:hAnsi="宋体" w:cs="宋体"/>
                <w:sz w:val="24"/>
                <w:szCs w:val="24"/>
              </w:rPr>
            </w:pPr>
            <w:r>
              <w:rPr>
                <w:rFonts w:hint="eastAsia" w:ascii="宋体" w:hAnsi="宋体" w:cs="宋体"/>
                <w:sz w:val="24"/>
                <w:szCs w:val="24"/>
              </w:rPr>
              <w:t>领取中标通知书后根据招标人要求提交。</w:t>
            </w:r>
          </w:p>
        </w:tc>
      </w:tr>
      <w:tr w14:paraId="5FBB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55418D1">
            <w:pPr>
              <w:jc w:val="center"/>
              <w:rPr>
                <w:rFonts w:ascii="宋体" w:hAnsi="宋体" w:cs="宋体"/>
                <w:b/>
                <w:bCs/>
                <w:sz w:val="24"/>
                <w:szCs w:val="24"/>
              </w:rPr>
            </w:pPr>
            <w:r>
              <w:rPr>
                <w:rFonts w:hint="eastAsia" w:ascii="宋体" w:hAnsi="宋体" w:cs="宋体"/>
                <w:sz w:val="24"/>
                <w:szCs w:val="24"/>
                <w:lang w:val="en-US" w:eastAsia="zh-CN"/>
              </w:rPr>
              <w:t>9</w:t>
            </w:r>
            <w:r>
              <w:rPr>
                <w:rFonts w:hint="eastAsia" w:ascii="宋体" w:hAnsi="宋体" w:cs="宋体"/>
                <w:sz w:val="24"/>
                <w:szCs w:val="24"/>
              </w:rPr>
              <w:t>.5</w:t>
            </w:r>
          </w:p>
        </w:tc>
        <w:tc>
          <w:tcPr>
            <w:tcW w:w="1701" w:type="dxa"/>
            <w:tcBorders>
              <w:top w:val="single" w:color="auto" w:sz="4" w:space="0"/>
              <w:left w:val="nil"/>
              <w:bottom w:val="single" w:color="auto" w:sz="4" w:space="0"/>
              <w:right w:val="single" w:color="auto" w:sz="4" w:space="0"/>
            </w:tcBorders>
            <w:vAlign w:val="center"/>
          </w:tcPr>
          <w:p w14:paraId="41969C21">
            <w:pPr>
              <w:jc w:val="center"/>
              <w:rPr>
                <w:rFonts w:ascii="宋体" w:hAnsi="宋体" w:cs="宋体"/>
                <w:sz w:val="24"/>
                <w:szCs w:val="24"/>
              </w:rPr>
            </w:pPr>
            <w:r>
              <w:rPr>
                <w:rFonts w:hint="eastAsia" w:ascii="宋体" w:hAnsi="宋体" w:cs="宋体"/>
                <w:sz w:val="24"/>
                <w:szCs w:val="24"/>
              </w:rPr>
              <w:t>招标文件的解释</w:t>
            </w:r>
          </w:p>
        </w:tc>
        <w:tc>
          <w:tcPr>
            <w:tcW w:w="6945" w:type="dxa"/>
            <w:gridSpan w:val="2"/>
            <w:tcBorders>
              <w:top w:val="single" w:color="auto" w:sz="4" w:space="0"/>
              <w:left w:val="nil"/>
              <w:bottom w:val="single" w:color="auto" w:sz="4" w:space="0"/>
              <w:right w:val="single" w:color="auto" w:sz="4" w:space="0"/>
            </w:tcBorders>
            <w:vAlign w:val="center"/>
          </w:tcPr>
          <w:p w14:paraId="0612C55F">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在符合相关法律法规的前题下，招标文件的解释权归招标人所有，本招标文件中其他部分内容与供应商须知前附表不一致的，以供应商须知前附表为准。其它未尽事宜，按国家有关法律、法规执行。</w:t>
            </w:r>
          </w:p>
        </w:tc>
      </w:tr>
      <w:tr w14:paraId="67B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823DFA">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.6</w:t>
            </w:r>
          </w:p>
        </w:tc>
        <w:tc>
          <w:tcPr>
            <w:tcW w:w="1701" w:type="dxa"/>
            <w:tcBorders>
              <w:top w:val="single" w:color="auto" w:sz="4" w:space="0"/>
              <w:left w:val="nil"/>
              <w:bottom w:val="single" w:color="auto" w:sz="4" w:space="0"/>
              <w:right w:val="single" w:color="auto" w:sz="4" w:space="0"/>
            </w:tcBorders>
            <w:vAlign w:val="center"/>
          </w:tcPr>
          <w:p w14:paraId="13BC9CA6">
            <w:pPr>
              <w:jc w:val="center"/>
              <w:rPr>
                <w:rFonts w:ascii="宋体" w:hAnsi="宋体" w:cs="宋体"/>
                <w:sz w:val="24"/>
                <w:szCs w:val="24"/>
              </w:rPr>
            </w:pPr>
            <w:r>
              <w:rPr>
                <w:rFonts w:hint="eastAsia" w:ascii="宋体" w:hAnsi="宋体" w:cs="宋体"/>
                <w:sz w:val="24"/>
                <w:szCs w:val="24"/>
              </w:rPr>
              <w:t>招标文件费用</w:t>
            </w:r>
          </w:p>
        </w:tc>
        <w:tc>
          <w:tcPr>
            <w:tcW w:w="6945" w:type="dxa"/>
            <w:gridSpan w:val="2"/>
            <w:tcBorders>
              <w:top w:val="single" w:color="auto" w:sz="4" w:space="0"/>
              <w:left w:val="nil"/>
              <w:bottom w:val="single" w:color="auto" w:sz="4" w:space="0"/>
              <w:right w:val="single" w:color="auto" w:sz="4" w:space="0"/>
            </w:tcBorders>
            <w:vAlign w:val="center"/>
          </w:tcPr>
          <w:p w14:paraId="46BA8158">
            <w:pPr>
              <w:rPr>
                <w:rFonts w:ascii="宋体" w:hAnsi="宋体" w:cs="宋体"/>
                <w:sz w:val="24"/>
                <w:szCs w:val="24"/>
              </w:rPr>
            </w:pPr>
            <w:r>
              <w:rPr>
                <w:rFonts w:hint="eastAsia" w:ascii="宋体" w:hAnsi="宋体" w:cs="宋体"/>
                <w:sz w:val="24"/>
                <w:szCs w:val="24"/>
              </w:rPr>
              <w:t>不收取</w:t>
            </w:r>
          </w:p>
        </w:tc>
      </w:tr>
      <w:tr w14:paraId="48EC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B117C">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.7</w:t>
            </w:r>
          </w:p>
        </w:tc>
        <w:tc>
          <w:tcPr>
            <w:tcW w:w="1701" w:type="dxa"/>
            <w:tcBorders>
              <w:top w:val="single" w:color="auto" w:sz="4" w:space="0"/>
              <w:left w:val="nil"/>
              <w:bottom w:val="single" w:color="auto" w:sz="4" w:space="0"/>
              <w:right w:val="single" w:color="auto" w:sz="4" w:space="0"/>
            </w:tcBorders>
            <w:vAlign w:val="center"/>
          </w:tcPr>
          <w:p w14:paraId="559D501A">
            <w:pPr>
              <w:jc w:val="center"/>
              <w:rPr>
                <w:rFonts w:ascii="宋体" w:hAnsi="宋体" w:cs="宋体"/>
                <w:sz w:val="24"/>
                <w:szCs w:val="24"/>
              </w:rPr>
            </w:pPr>
            <w:r>
              <w:rPr>
                <w:rFonts w:hint="eastAsia" w:ascii="宋体" w:hAnsi="宋体" w:cs="宋体"/>
                <w:sz w:val="24"/>
                <w:szCs w:val="24"/>
                <w:lang w:val="en-US" w:eastAsia="zh-CN"/>
              </w:rPr>
              <w:t>中标单位</w:t>
            </w:r>
            <w:r>
              <w:rPr>
                <w:rFonts w:hint="eastAsia" w:ascii="宋体" w:hAnsi="宋体" w:cs="宋体"/>
                <w:sz w:val="24"/>
                <w:szCs w:val="24"/>
              </w:rPr>
              <w:t>纸质版文件的递交</w:t>
            </w:r>
          </w:p>
        </w:tc>
        <w:tc>
          <w:tcPr>
            <w:tcW w:w="6945" w:type="dxa"/>
            <w:gridSpan w:val="2"/>
            <w:tcBorders>
              <w:top w:val="single" w:color="auto" w:sz="4" w:space="0"/>
              <w:left w:val="nil"/>
              <w:bottom w:val="single" w:color="auto" w:sz="4" w:space="0"/>
              <w:right w:val="single" w:color="auto" w:sz="4" w:space="0"/>
            </w:tcBorders>
            <w:vAlign w:val="center"/>
          </w:tcPr>
          <w:p w14:paraId="43DD871B">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1544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39A22733">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.8</w:t>
            </w:r>
          </w:p>
        </w:tc>
        <w:tc>
          <w:tcPr>
            <w:tcW w:w="1701" w:type="dxa"/>
            <w:tcBorders>
              <w:top w:val="single" w:color="auto" w:sz="4" w:space="0"/>
              <w:left w:val="nil"/>
              <w:bottom w:val="single" w:color="auto" w:sz="4" w:space="0"/>
              <w:right w:val="single" w:color="auto" w:sz="4" w:space="0"/>
            </w:tcBorders>
            <w:vAlign w:val="center"/>
          </w:tcPr>
          <w:p w14:paraId="00AA0B72">
            <w:pPr>
              <w:rPr>
                <w:rFonts w:ascii="宋体" w:hAnsi="宋体" w:cs="宋体"/>
                <w:sz w:val="24"/>
                <w:szCs w:val="24"/>
              </w:rPr>
            </w:pPr>
            <w:r>
              <w:rPr>
                <w:rFonts w:hint="eastAsia" w:ascii="宋体" w:hAnsi="宋体" w:cs="宋体"/>
                <w:sz w:val="24"/>
                <w:szCs w:val="24"/>
              </w:rPr>
              <w:t>电子化交易注</w:t>
            </w:r>
          </w:p>
          <w:p w14:paraId="706E8883">
            <w:pPr>
              <w:rPr>
                <w:rFonts w:ascii="宋体" w:hAnsi="宋体" w:cs="宋体"/>
                <w:sz w:val="24"/>
                <w:szCs w:val="24"/>
              </w:rPr>
            </w:pPr>
            <w:r>
              <w:rPr>
                <w:rFonts w:hint="eastAsia" w:ascii="宋体" w:hAnsi="宋体" w:cs="宋体"/>
                <w:sz w:val="24"/>
                <w:szCs w:val="24"/>
              </w:rPr>
              <w:t>意事项</w:t>
            </w:r>
          </w:p>
        </w:tc>
        <w:tc>
          <w:tcPr>
            <w:tcW w:w="6945" w:type="dxa"/>
            <w:gridSpan w:val="2"/>
            <w:tcBorders>
              <w:top w:val="single" w:color="auto" w:sz="4" w:space="0"/>
              <w:left w:val="nil"/>
              <w:bottom w:val="single" w:color="auto" w:sz="4" w:space="0"/>
              <w:right w:val="single" w:color="auto" w:sz="4" w:space="0"/>
            </w:tcBorders>
            <w:vAlign w:val="center"/>
          </w:tcPr>
          <w:p w14:paraId="2301FDEC">
            <w:pPr>
              <w:autoSpaceDE w:val="0"/>
              <w:autoSpaceDN w:val="0"/>
              <w:adjustRightInd w:val="0"/>
              <w:rPr>
                <w:rFonts w:ascii="宋体" w:hAnsi="宋体" w:cs="宋体"/>
                <w:color w:val="000000"/>
                <w:sz w:val="24"/>
                <w:szCs w:val="24"/>
              </w:rPr>
            </w:pPr>
            <w:r>
              <w:rPr>
                <w:rFonts w:hint="eastAsia" w:ascii="宋体" w:hAnsi="宋体" w:cs="宋体"/>
                <w:color w:val="000000"/>
                <w:sz w:val="24"/>
                <w:szCs w:val="24"/>
              </w:rPr>
              <w:t>具体要求：本项目为电子化、无纸化交易项目，投标文件是投标人、供应商（以下简称“投标人”）通过中心投标文件制作系统制作，并经过签章和加密后生成的电子版投标文件。</w:t>
            </w:r>
          </w:p>
          <w:p w14:paraId="1DDE053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电子化投标文件具体制作文件请点击</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进行下载。</w:t>
            </w:r>
          </w:p>
          <w:p w14:paraId="14903A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温馨提示：本项目为电子化、无纸化交易项目，为保证您能投标成功，请需仔细阅读以下条款。</w:t>
            </w:r>
          </w:p>
          <w:p w14:paraId="1EBF459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w:t>
            </w:r>
          </w:p>
          <w:p w14:paraId="6850D6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（一）电子化投标文件的签章</w:t>
            </w:r>
          </w:p>
          <w:p w14:paraId="5B5CC47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1、投标供应商在生成电子化投标文件后，应对电子化投标文件进行签章，未进行签章的视为无效投标。</w:t>
            </w:r>
          </w:p>
          <w:p w14:paraId="670B2E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2、招标文件中要求法定代表人或授权委托人签字或盖章的，投标供应商在进行电子化投标文件签章时，以签盖法定代表人签章为准。</w:t>
            </w:r>
          </w:p>
          <w:p w14:paraId="392EC2C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（三）电子化投标文件的格式及上传投标</w:t>
            </w:r>
          </w:p>
          <w:p w14:paraId="3C1EC9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1、投标供应商所上传的电子化投标文件，应是通过中心投标文件制作系统制作的（投标文件制作工具下载地址：</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7CBD7AD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注：投标供应商投报多个标段的，需要每个标段单独制作电子投标文件。</w:t>
            </w:r>
          </w:p>
          <w:p w14:paraId="260CB0E3">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14:paraId="4AFC46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F872D4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新点客服电话:4009980000</w:t>
            </w:r>
          </w:p>
          <w:p w14:paraId="5A3AF17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（四）电子化项目开标、解密、唱标、评标</w:t>
            </w:r>
          </w:p>
          <w:p w14:paraId="5A8035C2">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1、本项目采用无纸化进行招标，开标当日，投标供应商无需到开标现场参加开标会议，投标供应商应当在投标截止时间前，登陆不见面开标大厅选择登陆三门峡市公共资源电子招投标系统进行登陆（网址为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sz w:val="24"/>
                <w:szCs w:val="24"/>
                <w:lang w:eastAsia="zh-CN"/>
              </w:rPr>
              <w:t>http://120.194.249.36:10094/BidOpening/bidopeninghallaction/hall/login</w:t>
            </w:r>
            <w:r>
              <w:rPr>
                <w:rFonts w:hint="eastAsia" w:ascii="宋体" w:hAnsi="宋体" w:cs="宋体"/>
                <w:color w:val="000000"/>
                <w:sz w:val="24"/>
                <w:szCs w:val="24"/>
              </w:rPr>
              <w:t>）,在线准时参加开标活动并进行投标文件解密等</w:t>
            </w:r>
          </w:p>
          <w:p w14:paraId="33A4FE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7FC4F3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3、电子化投标文件解密异常的处理</w:t>
            </w:r>
          </w:p>
          <w:p w14:paraId="5F6DA7A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如出现投标供应商的电子投标文件无法解密等异常情况，投标供应商应及时致电中介服务机构说明。投标文件异常，按以下步骤进行处理：</w:t>
            </w:r>
          </w:p>
          <w:p w14:paraId="3658875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（1）首先由技术人员进行问题排查。</w:t>
            </w:r>
          </w:p>
          <w:p w14:paraId="4622B70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（2）经技术人员排查后，是投标供应商文件自身问题导致投标文件无法解密的，该投标文件将不予接收、解密和唱标。开标会议继续进行。</w:t>
            </w:r>
          </w:p>
          <w:p w14:paraId="451560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C781B9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4、待所有投标供应商投标文件解密完成后，由中介服务机构操作，对所有已解密投标文件进行唱标。</w:t>
            </w:r>
          </w:p>
          <w:p w14:paraId="4D6906D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14:paraId="2A2EE3D6">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95B887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4C0DBB0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7、如评标委员会对需要回复的投标供应商连续三次致电未接通的，视为投标供应商放弃回复，评标委员会将自行对需要回复的内容进行认定。</w:t>
            </w:r>
          </w:p>
          <w:p w14:paraId="03BF80A4">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209BE9B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22BBBD09">
            <w:pPr>
              <w:spacing w:line="400" w:lineRule="exact"/>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551E811C">
      <w:pPr>
        <w:bidi w:val="0"/>
        <w:spacing w:line="360" w:lineRule="auto"/>
        <w:rPr>
          <w:rFonts w:hint="eastAsia" w:ascii="宋体" w:hAnsi="宋体" w:eastAsia="宋体" w:cs="宋体"/>
          <w:sz w:val="24"/>
          <w:szCs w:val="24"/>
        </w:rPr>
      </w:pPr>
      <w:bookmarkStart w:id="22" w:name="_Toc38013513"/>
      <w:bookmarkStart w:id="23" w:name="_Toc28251186"/>
      <w:bookmarkStart w:id="24" w:name="_Toc16690619"/>
      <w:r>
        <w:rPr>
          <w:rFonts w:hint="eastAsia" w:ascii="宋体" w:hAnsi="宋体" w:eastAsia="宋体" w:cs="宋体"/>
          <w:b/>
          <w:bCs/>
          <w:sz w:val="28"/>
          <w:szCs w:val="28"/>
        </w:rPr>
        <w:t>1.总则</w:t>
      </w:r>
      <w:bookmarkEnd w:id="22"/>
      <w:bookmarkEnd w:id="23"/>
      <w:bookmarkEnd w:id="24"/>
    </w:p>
    <w:p w14:paraId="02ED6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5" w:name="_Toc38013514"/>
      <w:bookmarkStart w:id="26" w:name="_Toc28251187"/>
      <w:r>
        <w:rPr>
          <w:rFonts w:hint="eastAsia" w:ascii="宋体" w:hAnsi="宋体" w:eastAsia="宋体" w:cs="宋体"/>
          <w:b/>
          <w:bCs/>
          <w:sz w:val="24"/>
          <w:szCs w:val="24"/>
        </w:rPr>
        <w:t>1.1项目概况</w:t>
      </w:r>
      <w:bookmarkEnd w:id="25"/>
      <w:bookmarkEnd w:id="26"/>
    </w:p>
    <w:p w14:paraId="6F235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w:t>
      </w:r>
      <w:r>
        <w:rPr>
          <w:rFonts w:hint="eastAsia" w:ascii="宋体" w:hAnsi="宋体" w:eastAsia="宋体" w:cs="宋体"/>
          <w:sz w:val="24"/>
          <w:szCs w:val="24"/>
          <w:lang w:val="en-US" w:eastAsia="zh-CN"/>
        </w:rPr>
        <w:t>实施条例</w:t>
      </w:r>
      <w:r>
        <w:rPr>
          <w:rFonts w:hint="eastAsia" w:ascii="宋体" w:hAnsi="宋体" w:eastAsia="宋体" w:cs="宋体"/>
          <w:sz w:val="24"/>
          <w:szCs w:val="24"/>
        </w:rPr>
        <w:t>》 等有关法律、法规和规章的规定，本招标项目已具备招标条件，现对本项目进行招标。</w:t>
      </w:r>
    </w:p>
    <w:p w14:paraId="38088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本招标项目招标人：见供应商须知前附表。</w:t>
      </w:r>
    </w:p>
    <w:p w14:paraId="5A001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本招标项目招标代理机构：见供应商须知前附表。</w:t>
      </w:r>
    </w:p>
    <w:p w14:paraId="342BF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本招标项目名称：见供应商须知前附表。</w:t>
      </w:r>
    </w:p>
    <w:p w14:paraId="31958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本招标项目供货地点：见供应商须知前附表。</w:t>
      </w:r>
    </w:p>
    <w:p w14:paraId="75863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1.1.6成果归招标人所有。</w:t>
      </w:r>
    </w:p>
    <w:p w14:paraId="6ABF67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7" w:name="_Toc38013515"/>
      <w:bookmarkStart w:id="28" w:name="_Toc28251188"/>
      <w:r>
        <w:rPr>
          <w:rFonts w:hint="eastAsia" w:ascii="宋体" w:hAnsi="宋体" w:eastAsia="宋体" w:cs="宋体"/>
          <w:b/>
          <w:bCs/>
          <w:color w:val="auto"/>
          <w:sz w:val="24"/>
          <w:szCs w:val="24"/>
        </w:rPr>
        <w:t>1.2 资金来源</w:t>
      </w:r>
      <w:bookmarkEnd w:id="27"/>
      <w:bookmarkEnd w:id="28"/>
    </w:p>
    <w:p w14:paraId="66453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本招标项目的资金来源：见供应商须知前附表。</w:t>
      </w:r>
    </w:p>
    <w:p w14:paraId="3D1206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9" w:name="_Toc28251189"/>
      <w:bookmarkStart w:id="30" w:name="_Toc38013516"/>
      <w:r>
        <w:rPr>
          <w:rFonts w:hint="eastAsia" w:ascii="宋体" w:hAnsi="宋体" w:eastAsia="宋体" w:cs="宋体"/>
          <w:b/>
          <w:bCs/>
          <w:sz w:val="24"/>
          <w:szCs w:val="24"/>
        </w:rPr>
        <w:t>1.3招标范围、供货期和质量要求</w:t>
      </w:r>
      <w:bookmarkEnd w:id="29"/>
      <w:bookmarkEnd w:id="30"/>
    </w:p>
    <w:p w14:paraId="0686A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本次招标范围：见供应商须知前附表。</w:t>
      </w:r>
    </w:p>
    <w:p w14:paraId="39A8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本项目的供货期：见供应商须知前附表。</w:t>
      </w:r>
    </w:p>
    <w:p w14:paraId="120C3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本项目的</w:t>
      </w:r>
      <w:r>
        <w:rPr>
          <w:rFonts w:hint="eastAsia" w:ascii="宋体" w:hAnsi="宋体" w:eastAsia="宋体" w:cs="宋体"/>
          <w:sz w:val="24"/>
          <w:szCs w:val="24"/>
          <w:lang w:val="en-US" w:eastAsia="zh-CN"/>
        </w:rPr>
        <w:t>质保期</w:t>
      </w:r>
      <w:r>
        <w:rPr>
          <w:rFonts w:hint="eastAsia" w:ascii="宋体" w:hAnsi="宋体" w:eastAsia="宋体" w:cs="宋体"/>
          <w:sz w:val="24"/>
          <w:szCs w:val="24"/>
        </w:rPr>
        <w:t>：见供应商须知前附表。</w:t>
      </w:r>
    </w:p>
    <w:p w14:paraId="6E883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本项目的质量要求</w:t>
      </w:r>
      <w:r>
        <w:rPr>
          <w:rFonts w:hint="eastAsia" w:ascii="宋体" w:hAnsi="宋体" w:eastAsia="宋体" w:cs="宋体"/>
          <w:sz w:val="24"/>
          <w:szCs w:val="24"/>
          <w:lang w:eastAsia="zh-CN"/>
        </w:rPr>
        <w:t>：</w:t>
      </w:r>
      <w:r>
        <w:rPr>
          <w:rFonts w:hint="eastAsia" w:ascii="宋体" w:hAnsi="宋体" w:eastAsia="宋体" w:cs="宋体"/>
          <w:sz w:val="24"/>
          <w:szCs w:val="24"/>
        </w:rPr>
        <w:t>见供应商须知前附表。</w:t>
      </w:r>
    </w:p>
    <w:p w14:paraId="1E556E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1" w:name="_Toc28251190"/>
      <w:bookmarkStart w:id="32" w:name="_Toc38013517"/>
      <w:r>
        <w:rPr>
          <w:rFonts w:hint="eastAsia" w:ascii="宋体" w:hAnsi="宋体" w:eastAsia="宋体" w:cs="宋体"/>
          <w:b/>
          <w:bCs/>
          <w:sz w:val="24"/>
          <w:szCs w:val="24"/>
        </w:rPr>
        <w:t>1.4 供应商资格要求</w:t>
      </w:r>
      <w:bookmarkEnd w:id="31"/>
      <w:bookmarkEnd w:id="32"/>
    </w:p>
    <w:p w14:paraId="6A40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供应商应具备承担本项目的资质条件、能力和信誉等祥见供应商须知前附表。</w:t>
      </w:r>
    </w:p>
    <w:p w14:paraId="094DD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 供应商不得存在下列情形之一： </w:t>
      </w:r>
    </w:p>
    <w:p w14:paraId="3D87B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(l）为不具有独立法人资格的附属机构（单位）；</w:t>
      </w:r>
    </w:p>
    <w:p w14:paraId="7FC15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）为本项目提供采购代理服务的；</w:t>
      </w:r>
    </w:p>
    <w:p w14:paraId="6465D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）与本项目的采购代理机构同为一个法定代表人的；</w:t>
      </w:r>
    </w:p>
    <w:p w14:paraId="0291F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）与本项目的采购代理机构相互控股或参股的；</w:t>
      </w:r>
    </w:p>
    <w:p w14:paraId="078AD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）与本项目的采购代理机构相互任职或工作的；</w:t>
      </w:r>
    </w:p>
    <w:p w14:paraId="2D063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）被责令停业的；</w:t>
      </w:r>
    </w:p>
    <w:p w14:paraId="783BE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）被暂停或取消磋商资格的；</w:t>
      </w:r>
    </w:p>
    <w:p w14:paraId="737A7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）财产被接管或冻结的；</w:t>
      </w:r>
    </w:p>
    <w:p w14:paraId="70FB4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）在最近三年内有骗取</w:t>
      </w:r>
      <w:r>
        <w:rPr>
          <w:rFonts w:hint="eastAsia" w:ascii="宋体" w:hAnsi="宋体" w:eastAsia="宋体" w:cs="宋体"/>
          <w:sz w:val="24"/>
          <w:szCs w:val="24"/>
          <w:lang w:val="en-US" w:eastAsia="zh-CN"/>
        </w:rPr>
        <w:t>中标</w:t>
      </w:r>
      <w:r>
        <w:rPr>
          <w:rFonts w:hint="eastAsia" w:ascii="宋体" w:hAnsi="宋体" w:eastAsia="宋体" w:cs="宋体"/>
          <w:sz w:val="24"/>
          <w:szCs w:val="24"/>
        </w:rPr>
        <w:t>或严重违约或</w:t>
      </w:r>
      <w:r>
        <w:rPr>
          <w:rFonts w:hint="eastAsia" w:ascii="宋体" w:hAnsi="宋体" w:eastAsia="宋体" w:cs="宋体"/>
          <w:sz w:val="24"/>
          <w:szCs w:val="24"/>
          <w:lang w:val="en-US" w:eastAsia="zh-CN"/>
        </w:rPr>
        <w:t>在履约过程中发生</w:t>
      </w:r>
      <w:r>
        <w:rPr>
          <w:rFonts w:hint="eastAsia" w:ascii="宋体" w:hAnsi="宋体" w:eastAsia="宋体" w:cs="宋体"/>
          <w:sz w:val="24"/>
          <w:szCs w:val="24"/>
        </w:rPr>
        <w:t>重大</w:t>
      </w:r>
      <w:r>
        <w:rPr>
          <w:rFonts w:hint="eastAsia" w:ascii="宋体" w:hAnsi="宋体" w:eastAsia="宋体" w:cs="宋体"/>
          <w:sz w:val="24"/>
          <w:szCs w:val="24"/>
          <w:lang w:val="en-US" w:eastAsia="zh-CN"/>
        </w:rPr>
        <w:t>安全</w:t>
      </w:r>
      <w:r>
        <w:rPr>
          <w:rFonts w:hint="eastAsia" w:ascii="宋体" w:hAnsi="宋体" w:eastAsia="宋体" w:cs="宋体"/>
          <w:sz w:val="24"/>
          <w:szCs w:val="24"/>
        </w:rPr>
        <w:t>问题的。</w:t>
      </w:r>
    </w:p>
    <w:p w14:paraId="5A7906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3" w:name="_Toc38013518"/>
      <w:bookmarkStart w:id="34" w:name="_Toc28251191"/>
      <w:r>
        <w:rPr>
          <w:rFonts w:hint="eastAsia" w:ascii="宋体" w:hAnsi="宋体" w:eastAsia="宋体" w:cs="宋体"/>
          <w:b/>
          <w:bCs/>
          <w:sz w:val="24"/>
          <w:szCs w:val="24"/>
        </w:rPr>
        <w:t>1.5 费用承担</w:t>
      </w:r>
      <w:bookmarkEnd w:id="33"/>
      <w:bookmarkEnd w:id="34"/>
    </w:p>
    <w:p w14:paraId="29897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供应商准备和参加投标活动发生的费用自理。</w:t>
      </w:r>
    </w:p>
    <w:p w14:paraId="03FB50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5" w:name="_Toc28251192"/>
      <w:bookmarkStart w:id="36" w:name="_Toc38013519"/>
      <w:r>
        <w:rPr>
          <w:rFonts w:hint="eastAsia" w:ascii="宋体" w:hAnsi="宋体" w:eastAsia="宋体" w:cs="宋体"/>
          <w:b/>
          <w:bCs/>
          <w:sz w:val="24"/>
          <w:szCs w:val="24"/>
        </w:rPr>
        <w:t>1.6 保密</w:t>
      </w:r>
      <w:bookmarkEnd w:id="35"/>
      <w:bookmarkEnd w:id="36"/>
    </w:p>
    <w:p w14:paraId="701E1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参与招标投标活动的各方应对招标文件和投标文件中的商业和技术等秘密保密，违者应对由此造成的后果承担法律责任。</w:t>
      </w:r>
    </w:p>
    <w:p w14:paraId="77CC6E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7" w:name="_Toc28251193"/>
      <w:bookmarkStart w:id="38" w:name="_Toc38013520"/>
      <w:r>
        <w:rPr>
          <w:rFonts w:hint="eastAsia" w:ascii="宋体" w:hAnsi="宋体" w:eastAsia="宋体" w:cs="宋体"/>
          <w:b/>
          <w:bCs/>
          <w:sz w:val="24"/>
          <w:szCs w:val="24"/>
        </w:rPr>
        <w:t>1.7 语言文字</w:t>
      </w:r>
      <w:bookmarkEnd w:id="37"/>
      <w:bookmarkEnd w:id="38"/>
    </w:p>
    <w:p w14:paraId="673E3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532F40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9" w:name="_Toc28251194"/>
      <w:bookmarkStart w:id="40" w:name="_Toc38013521"/>
      <w:r>
        <w:rPr>
          <w:rFonts w:hint="eastAsia" w:ascii="宋体" w:hAnsi="宋体" w:eastAsia="宋体" w:cs="宋体"/>
          <w:b/>
          <w:bCs/>
          <w:sz w:val="24"/>
          <w:szCs w:val="24"/>
        </w:rPr>
        <w:t>1.8 计量单位</w:t>
      </w:r>
      <w:bookmarkEnd w:id="39"/>
      <w:bookmarkEnd w:id="40"/>
    </w:p>
    <w:p w14:paraId="3BBB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A27F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1" w:name="_Toc28251195"/>
      <w:bookmarkStart w:id="42" w:name="_Toc38013522"/>
      <w:r>
        <w:rPr>
          <w:rFonts w:hint="eastAsia" w:ascii="宋体" w:hAnsi="宋体" w:eastAsia="宋体" w:cs="宋体"/>
          <w:b/>
          <w:bCs/>
          <w:sz w:val="24"/>
          <w:szCs w:val="24"/>
        </w:rPr>
        <w:t>1.9 踏勘现场</w:t>
      </w:r>
      <w:bookmarkEnd w:id="41"/>
      <w:bookmarkEnd w:id="42"/>
    </w:p>
    <w:p w14:paraId="2FE5F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组</w:t>
      </w:r>
      <w:r>
        <w:rPr>
          <w:rFonts w:hint="eastAsia" w:ascii="宋体" w:hAnsi="宋体" w:eastAsia="宋体" w:cs="宋体"/>
          <w:sz w:val="24"/>
          <w:szCs w:val="24"/>
          <w:lang w:val="zh-TW" w:eastAsia="zh-TW"/>
        </w:rPr>
        <w:t>织</w:t>
      </w: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各投标单</w:t>
      </w:r>
      <w:r>
        <w:rPr>
          <w:rFonts w:hint="eastAsia" w:ascii="宋体" w:hAnsi="宋体" w:eastAsia="宋体" w:cs="宋体"/>
          <w:color w:val="auto"/>
          <w:sz w:val="24"/>
          <w:szCs w:val="24"/>
          <w:lang w:val="en-US" w:eastAsia="zh-CN"/>
        </w:rPr>
        <w:t>位须在</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cs="宋体"/>
          <w:sz w:val="24"/>
          <w:szCs w:val="24"/>
          <w:lang w:val="en-US" w:eastAsia="zh-CN"/>
        </w:rPr>
        <w:t>参加勘察现场</w:t>
      </w:r>
      <w:r>
        <w:rPr>
          <w:rFonts w:hint="eastAsia" w:ascii="宋体" w:hAnsi="宋体" w:eastAsia="宋体" w:cs="宋体"/>
          <w:sz w:val="24"/>
          <w:szCs w:val="24"/>
          <w:lang w:val="en-US" w:eastAsia="zh-CN"/>
        </w:rPr>
        <w:t>，勘察现场完成后领取勘察现场证明函。投标人将勘察现场证明函原件扫描件放在投标文件中，并单独做出真实性承诺（格式自拟）。</w:t>
      </w:r>
    </w:p>
    <w:p w14:paraId="227A4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勘察现场联系人：陈宏 联系方式：</w:t>
      </w:r>
      <w:r>
        <w:rPr>
          <w:rFonts w:hint="eastAsia" w:ascii="宋体" w:hAnsi="宋体" w:eastAsia="宋体" w:cs="宋体"/>
          <w:sz w:val="24"/>
          <w:szCs w:val="24"/>
          <w:lang w:eastAsia="zh-CN"/>
        </w:rPr>
        <w:t>13525218811</w:t>
      </w:r>
    </w:p>
    <w:p w14:paraId="0AED0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因投标人原因未能按时参加踏勘现场，招标人不再另行组织。</w:t>
      </w:r>
    </w:p>
    <w:p w14:paraId="28879D3D">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lang w:val="en-US" w:eastAsia="zh-CN"/>
        </w:rPr>
      </w:pPr>
      <w:r>
        <w:rPr>
          <w:rFonts w:hint="eastAsia" w:cs="Times New Roman"/>
          <w:sz w:val="24"/>
          <w:szCs w:val="24"/>
          <w:lang w:val="en-US" w:eastAsia="zh-CN"/>
        </w:rPr>
        <w:t>（2）参加勘察现场人员需持本单位授权委托书（委托书格式自拟）。</w:t>
      </w:r>
    </w:p>
    <w:p w14:paraId="5DF6D5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3" w:name="_Toc28251196"/>
      <w:bookmarkStart w:id="44" w:name="_Toc38013523"/>
      <w:r>
        <w:rPr>
          <w:rFonts w:hint="eastAsia" w:ascii="宋体" w:hAnsi="宋体" w:eastAsia="宋体" w:cs="宋体"/>
          <w:b/>
          <w:bCs/>
          <w:sz w:val="24"/>
          <w:szCs w:val="24"/>
        </w:rPr>
        <w:t>1.10 采购预备会</w:t>
      </w:r>
      <w:bookmarkEnd w:id="43"/>
      <w:bookmarkEnd w:id="44"/>
    </w:p>
    <w:p w14:paraId="3898F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20FDE6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5" w:name="_Toc28251197"/>
      <w:bookmarkStart w:id="46" w:name="_Toc38013524"/>
      <w:r>
        <w:rPr>
          <w:rFonts w:hint="eastAsia" w:ascii="宋体" w:hAnsi="宋体" w:eastAsia="宋体" w:cs="宋体"/>
          <w:b/>
          <w:bCs/>
          <w:sz w:val="24"/>
          <w:szCs w:val="24"/>
        </w:rPr>
        <w:t>1.11 分包</w:t>
      </w:r>
      <w:bookmarkEnd w:id="45"/>
      <w:bookmarkEnd w:id="46"/>
    </w:p>
    <w:p w14:paraId="2572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不允许分包。</w:t>
      </w:r>
    </w:p>
    <w:p w14:paraId="3A3E3D25">
      <w:pPr>
        <w:bidi w:val="0"/>
        <w:spacing w:line="360" w:lineRule="auto"/>
        <w:rPr>
          <w:rFonts w:hint="eastAsia" w:ascii="宋体" w:hAnsi="宋体" w:eastAsia="宋体" w:cs="宋体"/>
          <w:sz w:val="24"/>
          <w:szCs w:val="24"/>
        </w:rPr>
      </w:pPr>
      <w:bookmarkStart w:id="47" w:name="_Toc466566784"/>
      <w:bookmarkEnd w:id="47"/>
      <w:bookmarkStart w:id="48" w:name="_Toc466566695"/>
      <w:bookmarkStart w:id="49" w:name="_Toc38013525"/>
      <w:bookmarkStart w:id="50" w:name="_Toc16690632"/>
      <w:bookmarkStart w:id="51" w:name="_Toc28251199"/>
      <w:r>
        <w:rPr>
          <w:rFonts w:hint="eastAsia" w:ascii="宋体" w:hAnsi="宋体" w:eastAsia="宋体" w:cs="宋体"/>
          <w:b/>
          <w:bCs/>
          <w:sz w:val="28"/>
          <w:szCs w:val="28"/>
        </w:rPr>
        <w:t>2．招标文件</w:t>
      </w:r>
      <w:bookmarkEnd w:id="48"/>
      <w:bookmarkEnd w:id="49"/>
      <w:bookmarkEnd w:id="50"/>
      <w:bookmarkEnd w:id="51"/>
    </w:p>
    <w:p w14:paraId="4815D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2" w:name="_Toc28251200"/>
      <w:bookmarkStart w:id="53" w:name="_Toc38013526"/>
      <w:r>
        <w:rPr>
          <w:rFonts w:hint="eastAsia" w:ascii="宋体" w:hAnsi="宋体" w:eastAsia="宋体" w:cs="宋体"/>
          <w:b/>
          <w:bCs/>
          <w:sz w:val="24"/>
          <w:szCs w:val="24"/>
        </w:rPr>
        <w:t>2.1 招标文件的组成</w:t>
      </w:r>
      <w:bookmarkEnd w:id="52"/>
      <w:bookmarkEnd w:id="53"/>
    </w:p>
    <w:p w14:paraId="41964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14:paraId="21354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(1）招标公告；</w:t>
      </w:r>
    </w:p>
    <w:p w14:paraId="0C461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35BB3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(3）评标办法；</w:t>
      </w:r>
    </w:p>
    <w:p w14:paraId="21923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30467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采购情况及</w:t>
      </w:r>
      <w:r>
        <w:rPr>
          <w:rFonts w:hint="eastAsia" w:ascii="宋体" w:hAnsi="宋体" w:eastAsia="宋体" w:cs="宋体"/>
          <w:sz w:val="24"/>
          <w:szCs w:val="24"/>
        </w:rPr>
        <w:t>要求；</w:t>
      </w:r>
    </w:p>
    <w:p w14:paraId="1A650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14:paraId="3006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(7）其他材料</w:t>
      </w:r>
    </w:p>
    <w:p w14:paraId="5A3FB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根据本章第1.1款、第2.2 款和第2.3 款对招标文件所作的澄清、修改，构成招标文件的组成部分。</w:t>
      </w:r>
    </w:p>
    <w:p w14:paraId="202C56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4" w:name="_Toc28251201"/>
      <w:bookmarkStart w:id="55" w:name="_Toc38013527"/>
      <w:r>
        <w:rPr>
          <w:rFonts w:hint="eastAsia" w:ascii="宋体" w:hAnsi="宋体" w:eastAsia="宋体" w:cs="宋体"/>
          <w:b/>
          <w:bCs/>
          <w:sz w:val="24"/>
          <w:szCs w:val="24"/>
        </w:rPr>
        <w:t>2.2招标文件的澄清</w:t>
      </w:r>
      <w:bookmarkEnd w:id="54"/>
      <w:bookmarkEnd w:id="55"/>
    </w:p>
    <w:p w14:paraId="424F0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供应商应仔细阅读和检查招标文件的全部内容。如发现内容不完整或附件不全，应及时向招标人提出，以便补齐。如有疑问，应在供应商须知前附表规定的时间前以书面形式（包括信函、电报、传真等可以有形地表现所载内容的形式，下同），要求招标单位对招标文件予以澄清，招标人及代理机构的任何工作人员对投标单位所作的任何口头解释、介绍、答复，只能供供应商参考，对招标人和供应商均无约束力。</w:t>
      </w:r>
    </w:p>
    <w:p w14:paraId="79C4C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招标文件的澄清将在供应商须知前附表规定的时间前在《河南省政府采购网》、《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》、《三门峡市公共资源交易中心网》发布公告，也可用书面形式对投标单位进行答复，但不指明澄清问题的来源。</w:t>
      </w:r>
    </w:p>
    <w:p w14:paraId="4A118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供应商应自行查看澄清信息。</w:t>
      </w:r>
    </w:p>
    <w:p w14:paraId="7A8937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56" w:name="_Toc38013528"/>
      <w:bookmarkStart w:id="57" w:name="_Toc28251202"/>
      <w:r>
        <w:rPr>
          <w:rFonts w:hint="eastAsia" w:ascii="宋体" w:hAnsi="宋体" w:eastAsia="宋体" w:cs="宋体"/>
          <w:b/>
          <w:bCs/>
          <w:sz w:val="24"/>
          <w:szCs w:val="24"/>
        </w:rPr>
        <w:t>2.3 招标文件的修改</w:t>
      </w:r>
      <w:bookmarkEnd w:id="56"/>
      <w:bookmarkEnd w:id="57"/>
    </w:p>
    <w:p w14:paraId="31373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在投标截止时间15天前，招标人可以修改招标文件，并以变更公告形式通知所有已领取招标文件的供应商。</w:t>
      </w:r>
    </w:p>
    <w:p w14:paraId="67C40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2.3.2如果修改招标文件，会在《河南省政府采购网》、《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变更公告，不再发纸质的变更信息。提醒供应商随时注意网上发布的信息。如因供应商自身原因未看到信息，因此造成的一切后果由供应商自行承担。如果修改招标文件的时间距投标截止时间不足15天，相应延长投标截止时间。</w:t>
      </w:r>
    </w:p>
    <w:p w14:paraId="21B1CD69">
      <w:pPr>
        <w:bidi w:val="0"/>
        <w:spacing w:line="360" w:lineRule="auto"/>
        <w:rPr>
          <w:rFonts w:hint="eastAsia" w:ascii="宋体" w:hAnsi="宋体" w:eastAsia="宋体" w:cs="宋体"/>
          <w:b/>
          <w:bCs/>
          <w:sz w:val="28"/>
          <w:szCs w:val="28"/>
        </w:rPr>
      </w:pPr>
      <w:bookmarkStart w:id="58" w:name="_Toc28251203"/>
      <w:bookmarkStart w:id="59" w:name="_Toc38013529"/>
      <w:bookmarkStart w:id="60" w:name="_Toc16690636"/>
      <w:r>
        <w:rPr>
          <w:rFonts w:hint="eastAsia" w:ascii="宋体" w:hAnsi="宋体" w:eastAsia="宋体" w:cs="宋体"/>
          <w:b/>
          <w:bCs/>
          <w:sz w:val="28"/>
          <w:szCs w:val="28"/>
        </w:rPr>
        <w:t>3．投标文件</w:t>
      </w:r>
      <w:bookmarkEnd w:id="58"/>
      <w:bookmarkEnd w:id="59"/>
      <w:bookmarkEnd w:id="60"/>
    </w:p>
    <w:p w14:paraId="361A02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1" w:name="_Toc28251204"/>
      <w:bookmarkStart w:id="62" w:name="_Toc38013530"/>
      <w:r>
        <w:rPr>
          <w:rFonts w:hint="eastAsia" w:ascii="宋体" w:hAnsi="宋体" w:eastAsia="宋体" w:cs="宋体"/>
          <w:b/>
          <w:bCs/>
          <w:sz w:val="24"/>
          <w:szCs w:val="24"/>
        </w:rPr>
        <w:t>3.1 投标文件的组成</w:t>
      </w:r>
      <w:bookmarkEnd w:id="61"/>
      <w:bookmarkEnd w:id="62"/>
    </w:p>
    <w:p w14:paraId="35955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 投标文件应包括下列内容：</w:t>
      </w:r>
    </w:p>
    <w:p w14:paraId="2EA32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封面；</w:t>
      </w:r>
    </w:p>
    <w:p w14:paraId="5C597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目录（自行编制）；</w:t>
      </w:r>
    </w:p>
    <w:p w14:paraId="54410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供应商承诺书</w:t>
      </w:r>
    </w:p>
    <w:p w14:paraId="076E8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（2）投标函</w:t>
      </w:r>
      <w:r>
        <w:rPr>
          <w:rFonts w:hint="eastAsia" w:ascii="宋体" w:hAnsi="宋体" w:eastAsia="宋体" w:cs="宋体"/>
          <w:sz w:val="24"/>
          <w:szCs w:val="24"/>
          <w:lang w:val="en-US" w:eastAsia="zh-CN"/>
        </w:rPr>
        <w:t>及投标函附录</w:t>
      </w:r>
    </w:p>
    <w:p w14:paraId="00F6F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14:paraId="46E17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供应商基本情况</w:t>
      </w:r>
    </w:p>
    <w:p w14:paraId="0EAB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技术规格偏离表</w:t>
      </w:r>
    </w:p>
    <w:p w14:paraId="394ED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项目管理机构</w:t>
      </w:r>
    </w:p>
    <w:p w14:paraId="37BD5D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）技术资料</w:t>
      </w:r>
    </w:p>
    <w:p w14:paraId="1AB70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）其他材料</w:t>
      </w:r>
    </w:p>
    <w:p w14:paraId="5D721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3" w:name="_Toc28251205"/>
      <w:bookmarkStart w:id="64" w:name="_Toc38013531"/>
      <w:r>
        <w:rPr>
          <w:rFonts w:hint="eastAsia" w:ascii="宋体" w:hAnsi="宋体" w:eastAsia="宋体" w:cs="宋体"/>
          <w:b/>
          <w:bCs/>
          <w:sz w:val="24"/>
          <w:szCs w:val="24"/>
        </w:rPr>
        <w:t>3.2.投标报价</w:t>
      </w:r>
      <w:bookmarkEnd w:id="63"/>
      <w:bookmarkEnd w:id="64"/>
    </w:p>
    <w:p w14:paraId="54788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3.2.1投标报价的单价和总价均以人民币表示，金额以“元”为单位。</w:t>
      </w:r>
    </w:p>
    <w:p w14:paraId="59D22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3.2.2供应商应对本招标文件、澄清、修改及补充文件等列入招标范围的全部内容进行投标报价。</w:t>
      </w:r>
    </w:p>
    <w:p w14:paraId="6C642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3.2.3本项目招标报价依据招标文件、有关技术资料及答疑纪要，充分考虑市场价格、风险因素，在合理范围内自主报价。</w:t>
      </w:r>
    </w:p>
    <w:p w14:paraId="7D788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3.2.4招标文件中投标函、投标报价表等所有报价均一致。</w:t>
      </w:r>
    </w:p>
    <w:p w14:paraId="43AFC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3.2.5招标人不接受有任何选择的报价，投标文件中只允许有一个投标报价。</w:t>
      </w:r>
    </w:p>
    <w:p w14:paraId="7BA48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3.2.6供应商在投标截止时间前修改投标函中的投标总报价时,此修改须符合本章第4.3款的有关要求。</w:t>
      </w:r>
    </w:p>
    <w:p w14:paraId="1D925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3.2.7当供应商的投标报价大写金额和小写金额不一致的，以大写金额为准；</w:t>
      </w:r>
    </w:p>
    <w:p w14:paraId="6134B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3.2.8当供应商的投标报价高于本项目招标控制价，该供应商的投标报价为无效报价，其投标文件按无效投标文件处理。</w:t>
      </w:r>
    </w:p>
    <w:p w14:paraId="07C529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5" w:name="_Toc38013532"/>
      <w:bookmarkStart w:id="66" w:name="_Toc28251206"/>
      <w:r>
        <w:rPr>
          <w:rFonts w:hint="eastAsia" w:ascii="宋体" w:hAnsi="宋体" w:eastAsia="宋体" w:cs="宋体"/>
          <w:b/>
          <w:bCs/>
          <w:sz w:val="24"/>
          <w:szCs w:val="24"/>
        </w:rPr>
        <w:t>3.3 投标有效期</w:t>
      </w:r>
      <w:bookmarkEnd w:id="65"/>
      <w:bookmarkEnd w:id="66"/>
    </w:p>
    <w:p w14:paraId="1D1A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在供应商须知前附表规定的投标有效期内，供应商不得要求撤销或修改其投标文件。</w:t>
      </w:r>
    </w:p>
    <w:p w14:paraId="4D5B9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出现特殊情况需要延长投标有效期的，招标人以书面形式通知所有供应商延长投标有效期。供应商同意延长的，不得要求或被允许修改或撤销其投标文件；供应商拒绝延长的，其投标失效。</w:t>
      </w:r>
    </w:p>
    <w:p w14:paraId="282767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67" w:name="_Toc28251207"/>
      <w:bookmarkStart w:id="68" w:name="_Toc38013533"/>
      <w:r>
        <w:rPr>
          <w:rFonts w:hint="eastAsia" w:ascii="宋体" w:hAnsi="宋体" w:eastAsia="宋体" w:cs="宋体"/>
          <w:b/>
          <w:bCs/>
          <w:sz w:val="24"/>
          <w:szCs w:val="24"/>
        </w:rPr>
        <w:t>3.4 资格审查资料</w:t>
      </w:r>
      <w:bookmarkEnd w:id="67"/>
      <w:bookmarkEnd w:id="68"/>
    </w:p>
    <w:p w14:paraId="2ED71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供应商必须符合《中华人民共和国政府采购法》第二十二条的规定并同时具备下列条件：</w:t>
      </w:r>
    </w:p>
    <w:p w14:paraId="7088B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3.4.1、投标供应商须具有合法有效的营业执照；</w:t>
      </w:r>
    </w:p>
    <w:p w14:paraId="5EB58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w:t>
      </w:r>
      <w:r>
        <w:rPr>
          <w:rFonts w:hint="eastAsia" w:ascii="宋体" w:hAnsi="宋体" w:cs="宋体"/>
          <w:sz w:val="24"/>
          <w:szCs w:val="24"/>
          <w:lang w:eastAsia="zh-CN"/>
        </w:rPr>
        <w:t>供应商须出具本企业无商业贿赂及不正当竞争行为承诺书（格式自拟）</w:t>
      </w:r>
      <w:r>
        <w:rPr>
          <w:rFonts w:hint="eastAsia" w:ascii="宋体" w:hAnsi="宋体" w:eastAsia="宋体" w:cs="宋体"/>
          <w:sz w:val="24"/>
          <w:szCs w:val="24"/>
        </w:rPr>
        <w:t>；</w:t>
      </w:r>
    </w:p>
    <w:p w14:paraId="63022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3.4.3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宋体"/>
          <w:sz w:val="24"/>
          <w:szCs w:val="24"/>
          <w:lang w:eastAsia="zh-CN"/>
        </w:rPr>
        <w:t>；</w:t>
      </w:r>
    </w:p>
    <w:p w14:paraId="26C4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26ABC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3.4.5、</w:t>
      </w:r>
      <w:r>
        <w:rPr>
          <w:rFonts w:hint="eastAsia" w:ascii="宋体" w:hAnsi="宋体" w:eastAsia="宋体" w:cs="宋体"/>
          <w:sz w:val="24"/>
          <w:szCs w:val="24"/>
          <w:lang w:eastAsia="zh-CN"/>
        </w:rPr>
        <w:t>本项目不接受联合体投标</w:t>
      </w:r>
      <w:r>
        <w:rPr>
          <w:rFonts w:hint="eastAsia" w:ascii="宋体" w:hAnsi="宋体" w:eastAsia="宋体" w:cs="宋体"/>
          <w:sz w:val="24"/>
          <w:szCs w:val="24"/>
        </w:rPr>
        <w:t>。</w:t>
      </w:r>
    </w:p>
    <w:p w14:paraId="0C9D99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9" w:name="_Toc28251208"/>
      <w:bookmarkStart w:id="70" w:name="_Toc38013534"/>
      <w:r>
        <w:rPr>
          <w:rFonts w:hint="eastAsia" w:ascii="宋体" w:hAnsi="宋体" w:eastAsia="宋体" w:cs="宋体"/>
          <w:b/>
          <w:bCs/>
          <w:sz w:val="24"/>
          <w:szCs w:val="24"/>
        </w:rPr>
        <w:t>3.5 备选采购方案</w:t>
      </w:r>
      <w:bookmarkEnd w:id="69"/>
      <w:bookmarkEnd w:id="70"/>
    </w:p>
    <w:p w14:paraId="34083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供应商不得递交备选投标方案。</w:t>
      </w:r>
    </w:p>
    <w:p w14:paraId="38AD1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1" w:name="_Toc38013535"/>
      <w:bookmarkStart w:id="72" w:name="_Toc28251209"/>
      <w:r>
        <w:rPr>
          <w:rFonts w:hint="eastAsia" w:ascii="宋体" w:hAnsi="宋体" w:eastAsia="宋体" w:cs="宋体"/>
          <w:b/>
          <w:bCs/>
          <w:sz w:val="24"/>
          <w:szCs w:val="24"/>
        </w:rPr>
        <w:t>3.6 投标文件的编制</w:t>
      </w:r>
      <w:bookmarkEnd w:id="71"/>
      <w:bookmarkEnd w:id="72"/>
    </w:p>
    <w:p w14:paraId="6AE1B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3.6.1 投标文件应按第六章“投标文件格式”进行编写，如有必要，可以增加附页，作为投标文件的组成部分。其中，投标函在满足招标文件实质性要求的基础上，可以提出比招标文件要求更有利于招标人的承诺。</w:t>
      </w:r>
    </w:p>
    <w:p w14:paraId="693A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3.6.2 投标文件应当对招标文件中有关供货期、投标有效期、质量要求、招标范围等实质性内容作出投标。</w:t>
      </w:r>
    </w:p>
    <w:p w14:paraId="5A29E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3.6.3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3D9E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05007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73" w:name="_Toc28251210"/>
      <w:bookmarkStart w:id="74" w:name="_Toc38013536"/>
      <w:r>
        <w:rPr>
          <w:rFonts w:hint="eastAsia" w:ascii="宋体" w:hAnsi="宋体" w:eastAsia="宋体" w:cs="宋体"/>
          <w:b/>
          <w:bCs/>
          <w:sz w:val="24"/>
          <w:szCs w:val="24"/>
        </w:rPr>
        <w:t>3.7 投标文件的签署</w:t>
      </w:r>
      <w:bookmarkEnd w:id="73"/>
      <w:bookmarkEnd w:id="74"/>
    </w:p>
    <w:p w14:paraId="168D7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3.7.1投标文件的递交</w:t>
      </w:r>
    </w:p>
    <w:p w14:paraId="02BF1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本项目为电子化、无纸化交易项目，开标时不再接受任何纸质资料，为保证您能投标成功，请需仔细阅读招标文件和三门峡市公共资源交易中心官网业务办理指南。</w:t>
      </w:r>
    </w:p>
    <w:p w14:paraId="40BA4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bookmarkStart w:id="75" w:name="_Toc184635074"/>
      <w:bookmarkEnd w:id="75"/>
      <w:r>
        <w:rPr>
          <w:rFonts w:hint="eastAsia" w:ascii="宋体" w:hAnsi="宋体" w:eastAsia="宋体" w:cs="宋体"/>
          <w:sz w:val="24"/>
          <w:szCs w:val="24"/>
        </w:rPr>
        <w:t>2电子化投标文件的签章</w:t>
      </w:r>
    </w:p>
    <w:p w14:paraId="3FF7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(1)供应商在生成电子化投标文件后，应对电子化投标文件进行签章，未对电子化投标文件进行签章的视为无效招标。</w:t>
      </w:r>
    </w:p>
    <w:p w14:paraId="4A351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(2)招标文件中要求法定代表人或授权委托人签字或盖章的，供应商在进行电子化投标文件签章时，以签盖法定代表人签章为准。</w:t>
      </w:r>
    </w:p>
    <w:p w14:paraId="3025D4E2">
      <w:pPr>
        <w:bidi w:val="0"/>
        <w:spacing w:line="360" w:lineRule="auto"/>
        <w:rPr>
          <w:rFonts w:hint="eastAsia" w:ascii="宋体" w:hAnsi="宋体" w:eastAsia="宋体" w:cs="宋体"/>
          <w:b/>
          <w:bCs/>
          <w:sz w:val="28"/>
          <w:szCs w:val="28"/>
        </w:rPr>
      </w:pPr>
      <w:bookmarkStart w:id="76" w:name="_Toc28251211"/>
      <w:bookmarkStart w:id="77" w:name="_Toc38013537"/>
      <w:bookmarkStart w:id="78" w:name="_Toc16690644"/>
      <w:r>
        <w:rPr>
          <w:rFonts w:hint="eastAsia" w:ascii="宋体" w:hAnsi="宋体" w:eastAsia="宋体" w:cs="宋体"/>
          <w:b/>
          <w:bCs/>
          <w:sz w:val="28"/>
          <w:szCs w:val="28"/>
        </w:rPr>
        <w:t>4.投标</w:t>
      </w:r>
      <w:bookmarkEnd w:id="76"/>
      <w:bookmarkEnd w:id="77"/>
      <w:bookmarkEnd w:id="78"/>
    </w:p>
    <w:p w14:paraId="6C9D34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9" w:name="_Toc28251213"/>
      <w:bookmarkStart w:id="80" w:name="_Toc38013538"/>
      <w:r>
        <w:rPr>
          <w:rFonts w:hint="eastAsia" w:ascii="宋体" w:hAnsi="宋体" w:eastAsia="宋体" w:cs="宋体"/>
          <w:b/>
          <w:bCs/>
          <w:sz w:val="24"/>
          <w:szCs w:val="24"/>
        </w:rPr>
        <w:t>4.1投标文件的递交</w:t>
      </w:r>
      <w:bookmarkEnd w:id="79"/>
      <w:bookmarkEnd w:id="80"/>
    </w:p>
    <w:p w14:paraId="77D02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供应商应在规定的投标截止时间前递交投标文件。</w:t>
      </w:r>
    </w:p>
    <w:p w14:paraId="51092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供应商递交投标文件的地点：见供应商须知前附表。</w:t>
      </w:r>
    </w:p>
    <w:p w14:paraId="4B341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（3）供应商所递交的投标文件不予退还。</w:t>
      </w:r>
    </w:p>
    <w:p w14:paraId="40E25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（4）逾期送达的或者未送达指定地点的投标文件，招标人不予受理。</w:t>
      </w:r>
    </w:p>
    <w:p w14:paraId="5422A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（5）电子化投标文件的格式及上传。</w:t>
      </w:r>
    </w:p>
    <w:p w14:paraId="715DE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67BEF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DC0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b、电子化投标文件应在投标截止时间前成功上传至三门峡市公共资源电子化交易系统。至投标截止时间止，仍未上传成功的电子化投标文件，其投标文件将不予接收。</w:t>
      </w:r>
    </w:p>
    <w:p w14:paraId="2ACAC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响应人应在开标截止时间前尽早的联系中心技术人员，以便有充分的时间进行处理。响应人应充分考虑到处理技术问题和上传数据等工作所需的时间问题，响应文件未在开标截止时间前成功上传的，其响应文件不予接收。</w:t>
      </w:r>
    </w:p>
    <w:p w14:paraId="2C997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新点客服电话:4009980000</w:t>
      </w:r>
    </w:p>
    <w:p w14:paraId="64BC1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1" w:name="_Toc12604886"/>
      <w:bookmarkStart w:id="82" w:name="_Toc38013539"/>
      <w:bookmarkStart w:id="83" w:name="_Toc28251214"/>
      <w:r>
        <w:rPr>
          <w:rFonts w:hint="eastAsia" w:ascii="宋体" w:hAnsi="宋体" w:eastAsia="宋体" w:cs="宋体"/>
          <w:b/>
          <w:bCs/>
          <w:sz w:val="24"/>
          <w:szCs w:val="24"/>
        </w:rPr>
        <w:t>4.2  投标文件的修改与撤回</w:t>
      </w:r>
      <w:bookmarkEnd w:id="81"/>
      <w:bookmarkEnd w:id="82"/>
      <w:bookmarkEnd w:id="83"/>
    </w:p>
    <w:p w14:paraId="7591E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  在本章供应商须知前附表第2.2.2项规定的开标截止时间前，供应商可以修改或撤回已递交的投标文件。</w:t>
      </w:r>
    </w:p>
    <w:p w14:paraId="279FF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4" w:name="_Toc12959898"/>
      <w:bookmarkStart w:id="85" w:name="_Toc12960049"/>
      <w:r>
        <w:rPr>
          <w:rFonts w:hint="eastAsia" w:ascii="宋体" w:hAnsi="宋体" w:eastAsia="宋体" w:cs="宋体"/>
          <w:sz w:val="24"/>
          <w:szCs w:val="24"/>
        </w:rPr>
        <w:t>4.2.2 修改后的投标文件</w:t>
      </w:r>
      <w:bookmarkEnd w:id="84"/>
      <w:bookmarkEnd w:id="85"/>
      <w:r>
        <w:rPr>
          <w:rFonts w:hint="eastAsia" w:ascii="宋体" w:hAnsi="宋体" w:eastAsia="宋体" w:cs="宋体"/>
          <w:sz w:val="24"/>
          <w:szCs w:val="24"/>
        </w:rPr>
        <w:t>应在投标截止时间前成功上传至三门峡市公共资源电子化交易系统。至投标截止时间止，仍未上传成功的电子化投标文件将不予接收。</w:t>
      </w:r>
    </w:p>
    <w:p w14:paraId="07D1ADC0">
      <w:pPr>
        <w:bidi w:val="0"/>
        <w:spacing w:line="360" w:lineRule="auto"/>
        <w:rPr>
          <w:rFonts w:hint="eastAsia" w:ascii="宋体" w:hAnsi="宋体" w:eastAsia="宋体" w:cs="宋体"/>
          <w:sz w:val="24"/>
          <w:szCs w:val="24"/>
        </w:rPr>
      </w:pPr>
      <w:bookmarkStart w:id="86" w:name="_Toc28251215"/>
      <w:bookmarkStart w:id="87" w:name="_Toc16690648"/>
      <w:bookmarkStart w:id="88" w:name="_Toc38013540"/>
      <w:r>
        <w:rPr>
          <w:rFonts w:hint="eastAsia" w:ascii="宋体" w:hAnsi="宋体" w:eastAsia="宋体" w:cs="宋体"/>
          <w:b/>
          <w:bCs/>
          <w:sz w:val="28"/>
          <w:szCs w:val="28"/>
        </w:rPr>
        <w:t>5.开标</w:t>
      </w:r>
      <w:bookmarkEnd w:id="86"/>
      <w:bookmarkEnd w:id="87"/>
      <w:bookmarkEnd w:id="88"/>
    </w:p>
    <w:p w14:paraId="6806F8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9" w:name="_Toc28251216"/>
      <w:bookmarkStart w:id="90" w:name="_Toc38013541"/>
      <w:r>
        <w:rPr>
          <w:rFonts w:hint="eastAsia" w:ascii="宋体" w:hAnsi="宋体" w:eastAsia="宋体" w:cs="宋体"/>
          <w:b/>
          <w:bCs/>
          <w:sz w:val="24"/>
          <w:szCs w:val="24"/>
        </w:rPr>
        <w:t>5.1 开标时间和地点</w:t>
      </w:r>
      <w:bookmarkEnd w:id="89"/>
      <w:bookmarkEnd w:id="90"/>
    </w:p>
    <w:p w14:paraId="30E8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1" w:name="_Toc28251217"/>
      <w:bookmarkStart w:id="92" w:name="_Toc38013542"/>
      <w:r>
        <w:rPr>
          <w:rFonts w:hint="eastAsia" w:ascii="宋体" w:hAnsi="宋体" w:eastAsia="宋体" w:cs="宋体"/>
          <w:sz w:val="24"/>
          <w:szCs w:val="24"/>
          <w:lang w:val="en-US" w:eastAsia="zh-CN"/>
        </w:rPr>
        <w:t>详见招标公告及供应商须知前附表。</w:t>
      </w:r>
    </w:p>
    <w:p w14:paraId="79A45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5.2  开标程序</w:t>
      </w:r>
      <w:bookmarkEnd w:id="91"/>
      <w:bookmarkEnd w:id="92"/>
    </w:p>
    <w:p w14:paraId="2F88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按须知前附表规定的时间和地点开标。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eastAsia="宋体" w:cs="宋体"/>
          <w:sz w:val="24"/>
          <w:szCs w:val="24"/>
          <w:lang w:eastAsia="zh-CN"/>
        </w:rPr>
        <w:t>：</w:t>
      </w:r>
      <w:r>
        <w:rPr>
          <w:rFonts w:hint="eastAsia" w:ascii="宋体" w:hAnsi="宋体" w:eastAsia="宋体" w:cs="宋体"/>
          <w:sz w:val="24"/>
          <w:szCs w:val="24"/>
        </w:rPr>
        <w:t>http://120.194.249.36:10094/BidOpening/bidopeninghallaction/hall/login）,在线准时参加开标活动并进行投标文件解密等；</w:t>
      </w:r>
    </w:p>
    <w:p w14:paraId="24655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5.2.2本项目采用电子化、无纸化进行投标，开标时不再接受任何纸质资料，为保证您能投标成功，需仔细阅读招标文件和三门峡市公共资源交易中心官网业务办理指南。</w:t>
      </w:r>
    </w:p>
    <w:p w14:paraId="254B2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5.2.3投标文件在递交截止时间后上传的,招标人将不予接收：</w:t>
      </w:r>
    </w:p>
    <w:p w14:paraId="24627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5.2.4按照投标文件上传顺序进行解密；</w:t>
      </w:r>
    </w:p>
    <w:p w14:paraId="6EBD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5.2.5经确认无误后，按照投标文件报送时间顺序确定开标顺序；</w:t>
      </w:r>
    </w:p>
    <w:p w14:paraId="13B37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5.2.6开标时供应商可登录到交易系统中在开标解密栏中点击开标一览表查看自己的投标报价。如对自己的唱标内容有异议的，应在供应商解密成功后20分钟内向中介服务机构电话质疑。</w:t>
      </w:r>
    </w:p>
    <w:p w14:paraId="197C9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3" w:name="_Toc38013543"/>
      <w:bookmarkStart w:id="94" w:name="_Toc28251218"/>
      <w:r>
        <w:rPr>
          <w:rFonts w:hint="eastAsia" w:ascii="宋体" w:hAnsi="宋体" w:eastAsia="宋体" w:cs="宋体"/>
          <w:b/>
          <w:bCs/>
          <w:sz w:val="24"/>
          <w:szCs w:val="24"/>
        </w:rPr>
        <w:t>5.3</w:t>
      </w:r>
      <w:bookmarkStart w:id="95" w:name="_Toc14079476"/>
      <w:bookmarkStart w:id="96" w:name="_Toc16690652"/>
      <w:r>
        <w:rPr>
          <w:rFonts w:hint="eastAsia" w:ascii="宋体" w:hAnsi="宋体" w:eastAsia="宋体" w:cs="宋体"/>
          <w:b/>
          <w:bCs/>
          <w:sz w:val="24"/>
          <w:szCs w:val="24"/>
        </w:rPr>
        <w:t>电子化投标文件的有效性</w:t>
      </w:r>
      <w:bookmarkEnd w:id="93"/>
      <w:bookmarkEnd w:id="94"/>
    </w:p>
    <w:p w14:paraId="7CAE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开标时，电子招标投标交易平台自动提取所有电子化投标文件，按时在线解密。</w:t>
      </w:r>
    </w:p>
    <w:p w14:paraId="144C8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化投标文件有下列情形的为无效电子化投标文件，招标人不予受理：因投标人原因造成电子化投标文件未解密的，视为撤销其电子化投标文件；因投标人之外的原因造成电子化投标文件未解密的，视为撤回其电子化投标文件，投标人有权要求责任方赔偿因此遭受的直接损失。部分电子化投标文件未解密的，其他电子化投标文件的开标可以继续进行。</w:t>
      </w:r>
    </w:p>
    <w:p w14:paraId="3D89E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若电子化投标文件解密后，有效电子化投标文件不足三家的，本项目应予废标。</w:t>
      </w:r>
    </w:p>
    <w:p w14:paraId="228317C3">
      <w:pPr>
        <w:bidi w:val="0"/>
        <w:spacing w:line="360" w:lineRule="auto"/>
        <w:rPr>
          <w:rFonts w:hint="eastAsia" w:ascii="宋体" w:hAnsi="宋体" w:eastAsia="宋体" w:cs="宋体"/>
          <w:b/>
          <w:bCs/>
          <w:sz w:val="28"/>
          <w:szCs w:val="28"/>
        </w:rPr>
      </w:pPr>
      <w:bookmarkStart w:id="97" w:name="_Toc38013544"/>
      <w:bookmarkStart w:id="98" w:name="_Toc28251219"/>
      <w:r>
        <w:rPr>
          <w:rFonts w:hint="eastAsia" w:ascii="宋体" w:hAnsi="宋体" w:eastAsia="宋体" w:cs="宋体"/>
          <w:b/>
          <w:bCs/>
          <w:sz w:val="28"/>
          <w:szCs w:val="28"/>
        </w:rPr>
        <w:t>6.评标</w:t>
      </w:r>
      <w:bookmarkEnd w:id="95"/>
      <w:bookmarkEnd w:id="96"/>
      <w:bookmarkEnd w:id="97"/>
      <w:bookmarkEnd w:id="98"/>
    </w:p>
    <w:p w14:paraId="545F4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9" w:name="_Toc14079477"/>
      <w:bookmarkStart w:id="100" w:name="_Toc38013545"/>
      <w:bookmarkStart w:id="101" w:name="_Toc28251220"/>
      <w:r>
        <w:rPr>
          <w:rFonts w:hint="eastAsia" w:ascii="宋体" w:hAnsi="宋体" w:eastAsia="宋体" w:cs="宋体"/>
          <w:b/>
          <w:bCs/>
          <w:sz w:val="24"/>
          <w:szCs w:val="24"/>
        </w:rPr>
        <w:t>6.1</w:t>
      </w:r>
      <w:bookmarkEnd w:id="99"/>
      <w:bookmarkStart w:id="102" w:name="_Toc14079478"/>
      <w:r>
        <w:rPr>
          <w:rFonts w:hint="eastAsia" w:ascii="宋体" w:hAnsi="宋体" w:eastAsia="宋体" w:cs="宋体"/>
          <w:b/>
          <w:bCs/>
          <w:sz w:val="24"/>
          <w:szCs w:val="24"/>
        </w:rPr>
        <w:t>评标委员会</w:t>
      </w:r>
      <w:bookmarkEnd w:id="100"/>
      <w:bookmarkEnd w:id="101"/>
    </w:p>
    <w:p w14:paraId="3115E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评标由招标单位依法组建的评标委员会负责。评标委员会由有关技术、经济等方面的专家组成。评标委员会成员人数以及技术、经济等方面专家的确定方式见投标单位须知前附表。</w:t>
      </w:r>
    </w:p>
    <w:p w14:paraId="19E47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6BB9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（1）招标单位或投标单位的主要负责人的近亲属；</w:t>
      </w:r>
    </w:p>
    <w:p w14:paraId="62214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4DDE8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（3）与投标单位有经济利益关系，可能影响对投标公正评审的；</w:t>
      </w:r>
    </w:p>
    <w:p w14:paraId="45E9A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68097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03" w:name="_Toc28251221"/>
      <w:bookmarkStart w:id="104" w:name="_Toc38013546"/>
      <w:r>
        <w:rPr>
          <w:rFonts w:hint="eastAsia" w:ascii="宋体" w:hAnsi="宋体" w:eastAsia="宋体" w:cs="宋体"/>
          <w:b/>
          <w:bCs/>
          <w:sz w:val="24"/>
          <w:szCs w:val="24"/>
        </w:rPr>
        <w:t>6.2 评标原则</w:t>
      </w:r>
      <w:bookmarkEnd w:id="102"/>
      <w:bookmarkEnd w:id="103"/>
      <w:bookmarkEnd w:id="104"/>
    </w:p>
    <w:p w14:paraId="0DCA3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6.2.1严格按照招标文件中的所有相关规定；按照“公平、公正、科学”的原则进行评标。</w:t>
      </w:r>
    </w:p>
    <w:p w14:paraId="25ABB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6.2.2反对不正当竞争。</w:t>
      </w:r>
    </w:p>
    <w:p w14:paraId="4791A3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5" w:name="_Toc14079479"/>
      <w:bookmarkStart w:id="106" w:name="_Toc38013547"/>
      <w:bookmarkStart w:id="107" w:name="_Toc28251222"/>
      <w:r>
        <w:rPr>
          <w:rFonts w:hint="eastAsia" w:ascii="宋体" w:hAnsi="宋体" w:eastAsia="宋体" w:cs="宋体"/>
          <w:b/>
          <w:bCs/>
          <w:sz w:val="24"/>
          <w:szCs w:val="24"/>
        </w:rPr>
        <w:t>6.3评标过程的保密</w:t>
      </w:r>
      <w:bookmarkEnd w:id="105"/>
      <w:bookmarkEnd w:id="106"/>
      <w:bookmarkEnd w:id="107"/>
    </w:p>
    <w:p w14:paraId="6FB84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6.3.1投标文件的审查、澄清、评价和比较的有关资料以及中标候选人的推荐情况，与评标有关的其他任何情况均应严格保密。</w:t>
      </w:r>
    </w:p>
    <w:p w14:paraId="60FAD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6.3.2在投标文件的评审和比较、中标候选人推荐以及授予合同的过程中，供应商向招标人和</w:t>
      </w:r>
      <w:r>
        <w:rPr>
          <w:rFonts w:hint="eastAsia" w:ascii="宋体" w:hAnsi="宋体" w:eastAsia="宋体" w:cs="宋体"/>
          <w:sz w:val="24"/>
          <w:szCs w:val="24"/>
          <w:lang w:eastAsia="zh-CN"/>
        </w:rPr>
        <w:t>评标委员会</w:t>
      </w:r>
      <w:r>
        <w:rPr>
          <w:rFonts w:hint="eastAsia" w:ascii="宋体" w:hAnsi="宋体" w:eastAsia="宋体" w:cs="宋体"/>
          <w:sz w:val="24"/>
          <w:szCs w:val="24"/>
        </w:rPr>
        <w:t>施加影响的任何行为，都将会导致其投标被拒绝。</w:t>
      </w:r>
    </w:p>
    <w:p w14:paraId="39EB8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6.3.3招标人不对未中标人就评标过程以及未能中标原因作出任何解释。未中标人不得向</w:t>
      </w:r>
      <w:r>
        <w:rPr>
          <w:rFonts w:hint="eastAsia" w:ascii="宋体" w:hAnsi="宋体" w:eastAsia="宋体" w:cs="宋体"/>
          <w:sz w:val="24"/>
          <w:szCs w:val="24"/>
          <w:lang w:eastAsia="zh-CN"/>
        </w:rPr>
        <w:t>评标委员会</w:t>
      </w:r>
      <w:r>
        <w:rPr>
          <w:rFonts w:hint="eastAsia" w:ascii="宋体" w:hAnsi="宋体" w:eastAsia="宋体" w:cs="宋体"/>
          <w:sz w:val="24"/>
          <w:szCs w:val="24"/>
        </w:rPr>
        <w:t>成员和其他有关人员索问评标过程的情况和资料</w:t>
      </w:r>
    </w:p>
    <w:p w14:paraId="6E932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8" w:name="_Toc28251223"/>
      <w:bookmarkStart w:id="109" w:name="_Toc14079480"/>
      <w:bookmarkStart w:id="110" w:name="_Toc38013548"/>
      <w:r>
        <w:rPr>
          <w:rFonts w:hint="eastAsia" w:ascii="宋体" w:hAnsi="宋体" w:eastAsia="宋体" w:cs="宋体"/>
          <w:b/>
          <w:bCs/>
          <w:sz w:val="24"/>
          <w:szCs w:val="24"/>
        </w:rPr>
        <w:t>6.4投标文件的澄清</w:t>
      </w:r>
      <w:bookmarkEnd w:id="108"/>
      <w:bookmarkEnd w:id="109"/>
      <w:bookmarkEnd w:id="110"/>
    </w:p>
    <w:p w14:paraId="41389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对电子化投标文件有质疑的，将通过电子化交易系统对投标人发起质疑，并在监督人员的监督下，用免提模式致电需要答复的投标人，对质疑进行回复。投标人的回复内容不得超出投标文件的范围或者改变投标文件实质性内容，回复文件必须以经过投标人和其法定代表人签章的PDF格式文件为准，并通过电子化交易系统提交至评标委员会。凡属于</w:t>
      </w:r>
      <w:r>
        <w:rPr>
          <w:rFonts w:hint="eastAsia" w:ascii="宋体" w:hAnsi="宋体" w:eastAsia="宋体" w:cs="宋体"/>
          <w:sz w:val="24"/>
          <w:szCs w:val="24"/>
          <w:lang w:eastAsia="zh-CN"/>
        </w:rPr>
        <w:t>评标委员会</w:t>
      </w:r>
      <w:r>
        <w:rPr>
          <w:rFonts w:hint="eastAsia" w:ascii="宋体" w:hAnsi="宋体" w:eastAsia="宋体" w:cs="宋体"/>
          <w:sz w:val="24"/>
          <w:szCs w:val="24"/>
        </w:rPr>
        <w:t>在评标中发现的计算错误并进行核实的修改不在此列。</w:t>
      </w:r>
    </w:p>
    <w:p w14:paraId="0388E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如评标委员会对需要回复的投标人连续三次致电未接通的，视为投标人放弃回复，评标委员会将自行对需要回复的内容进行认定。</w:t>
      </w:r>
    </w:p>
    <w:p w14:paraId="7D0B8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1" w:name="_Toc14079481"/>
      <w:bookmarkStart w:id="112" w:name="_Toc38013549"/>
      <w:bookmarkStart w:id="113" w:name="_Toc28251224"/>
      <w:r>
        <w:rPr>
          <w:rFonts w:hint="eastAsia" w:ascii="宋体" w:hAnsi="宋体" w:eastAsia="宋体" w:cs="宋体"/>
          <w:b/>
          <w:bCs/>
          <w:sz w:val="24"/>
          <w:szCs w:val="24"/>
        </w:rPr>
        <w:t>6.5投标文件的初步评审</w:t>
      </w:r>
      <w:bookmarkEnd w:id="111"/>
      <w:bookmarkEnd w:id="112"/>
      <w:bookmarkEnd w:id="113"/>
    </w:p>
    <w:p w14:paraId="0A747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6.5.1根据初步评审要求经审查有效的投标文件，才能进行下一步评审。</w:t>
      </w:r>
    </w:p>
    <w:p w14:paraId="50F2B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6.5.2</w:t>
      </w:r>
      <w:r>
        <w:rPr>
          <w:rFonts w:hint="eastAsia" w:ascii="宋体" w:hAnsi="宋体" w:eastAsia="宋体" w:cs="宋体"/>
          <w:sz w:val="24"/>
          <w:szCs w:val="24"/>
          <w:lang w:eastAsia="zh-CN"/>
        </w:rPr>
        <w:t>评标委员会</w:t>
      </w:r>
      <w:r>
        <w:rPr>
          <w:rFonts w:hint="eastAsia" w:ascii="宋体" w:hAnsi="宋体" w:eastAsia="宋体" w:cs="宋体"/>
          <w:sz w:val="24"/>
          <w:szCs w:val="24"/>
        </w:rPr>
        <w:t>首先评定每份投标文件是否实质上投标了招标文件的要求。所谓实质上投标，是指投标文件与招标文件的所有实质性条款、条件和要求相符，无显著差异或保留，或者对合同中约定的招标人的权利和供应商的义务方面造成重大的限制，纠正这些差异或保留，将会对其他实质上投标招标文件要求的供应商的竞争地位产生不公正的影响。</w:t>
      </w:r>
    </w:p>
    <w:p w14:paraId="35521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6.5.3如果投标文件实质上不响应招标文件的要求，招标人将予以拒绝，并且不允许供应商通过修改或撤消其不符合要求的差异或保留，使之成为具有响应性的投标。</w:t>
      </w:r>
    </w:p>
    <w:p w14:paraId="39AD29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4" w:name="_Toc28251225"/>
      <w:bookmarkStart w:id="115" w:name="_Toc38013550"/>
      <w:bookmarkStart w:id="116" w:name="_Toc14079482"/>
      <w:r>
        <w:rPr>
          <w:rFonts w:hint="eastAsia" w:ascii="宋体" w:hAnsi="宋体" w:eastAsia="宋体" w:cs="宋体"/>
          <w:b/>
          <w:bCs/>
          <w:sz w:val="24"/>
          <w:szCs w:val="24"/>
        </w:rPr>
        <w:t>6.6投标文件计算错误的修正</w:t>
      </w:r>
      <w:bookmarkEnd w:id="114"/>
      <w:bookmarkEnd w:id="115"/>
      <w:bookmarkEnd w:id="116"/>
    </w:p>
    <w:p w14:paraId="3092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将对确定为实质上投标招标文件要求的投标文件进行校核，看其是否有计算或表达上的错误，修正错误的原则如下：</w:t>
      </w:r>
    </w:p>
    <w:p w14:paraId="0CD55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6.6.1如果数字表示的金额和用文字表示的金额不一致时，应以文字表示的金额为准；</w:t>
      </w:r>
    </w:p>
    <w:p w14:paraId="50E49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6.6.2当单价与数量的乘积与合价不一致时，以单价为准，除非</w:t>
      </w:r>
      <w:r>
        <w:rPr>
          <w:rFonts w:hint="eastAsia" w:ascii="宋体" w:hAnsi="宋体" w:eastAsia="宋体" w:cs="宋体"/>
          <w:sz w:val="24"/>
          <w:szCs w:val="24"/>
          <w:lang w:eastAsia="zh-CN"/>
        </w:rPr>
        <w:t>评标委员会</w:t>
      </w:r>
      <w:r>
        <w:rPr>
          <w:rFonts w:hint="eastAsia" w:ascii="宋体" w:hAnsi="宋体" w:eastAsia="宋体" w:cs="宋体"/>
          <w:sz w:val="24"/>
          <w:szCs w:val="24"/>
        </w:rPr>
        <w:t>认为单价有明显的小数点错误，此时应以标出的合价为准，并修改单价。</w:t>
      </w:r>
    </w:p>
    <w:p w14:paraId="71831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6.6.3按上述修正错误的原则及方法调整或修正投标文件的投标报价，供应商同意后，调整后的投标报价对供应商起约束作用。如果供应商不接受修正后的报价，则</w:t>
      </w:r>
      <w:r>
        <w:rPr>
          <w:rFonts w:hint="eastAsia" w:ascii="宋体" w:hAnsi="宋体" w:eastAsia="宋体" w:cs="宋体"/>
          <w:sz w:val="24"/>
          <w:szCs w:val="24"/>
          <w:lang w:eastAsia="zh-CN"/>
        </w:rPr>
        <w:t>评标委员会</w:t>
      </w:r>
      <w:r>
        <w:rPr>
          <w:rFonts w:hint="eastAsia" w:ascii="宋体" w:hAnsi="宋体" w:eastAsia="宋体" w:cs="宋体"/>
          <w:sz w:val="24"/>
          <w:szCs w:val="24"/>
        </w:rPr>
        <w:t>对其不再进行评审。</w:t>
      </w:r>
    </w:p>
    <w:p w14:paraId="04A2CE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7" w:name="_Toc28251226"/>
      <w:bookmarkStart w:id="118" w:name="_Toc14079483"/>
      <w:bookmarkStart w:id="119" w:name="_Toc38013551"/>
      <w:r>
        <w:rPr>
          <w:rFonts w:hint="eastAsia" w:ascii="宋体" w:hAnsi="宋体" w:eastAsia="宋体" w:cs="宋体"/>
          <w:b/>
          <w:bCs/>
          <w:sz w:val="24"/>
          <w:szCs w:val="24"/>
        </w:rPr>
        <w:t>6.7投标文件的评审、比较和否决</w:t>
      </w:r>
      <w:bookmarkEnd w:id="117"/>
      <w:bookmarkEnd w:id="118"/>
      <w:bookmarkEnd w:id="119"/>
    </w:p>
    <w:p w14:paraId="4CFBF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6.7.1</w:t>
      </w:r>
      <w:r>
        <w:rPr>
          <w:rFonts w:hint="eastAsia" w:ascii="宋体" w:hAnsi="宋体" w:eastAsia="宋体" w:cs="宋体"/>
          <w:sz w:val="24"/>
          <w:szCs w:val="24"/>
          <w:lang w:eastAsia="zh-CN"/>
        </w:rPr>
        <w:t>评标委员会</w:t>
      </w:r>
      <w:r>
        <w:rPr>
          <w:rFonts w:hint="eastAsia" w:ascii="宋体" w:hAnsi="宋体" w:eastAsia="宋体" w:cs="宋体"/>
          <w:sz w:val="24"/>
          <w:szCs w:val="24"/>
        </w:rPr>
        <w:t>仅对在实质上响应招标文件要求的投标文件进行评估和比较。</w:t>
      </w:r>
    </w:p>
    <w:p w14:paraId="2BA6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6.7.2在评标过程中，</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发现供应商的投标报价明显低于其他供应商的报价，并有可能低于其企业成本的，则</w:t>
      </w:r>
      <w:r>
        <w:rPr>
          <w:rFonts w:hint="eastAsia" w:ascii="宋体" w:hAnsi="宋体" w:eastAsia="宋体" w:cs="宋体"/>
          <w:sz w:val="24"/>
          <w:szCs w:val="24"/>
          <w:lang w:eastAsia="zh-CN"/>
        </w:rPr>
        <w:t>评标委员会</w:t>
      </w:r>
      <w:r>
        <w:rPr>
          <w:rFonts w:hint="eastAsia" w:ascii="宋体" w:hAnsi="宋体" w:eastAsia="宋体" w:cs="宋体"/>
          <w:sz w:val="24"/>
          <w:szCs w:val="24"/>
        </w:rPr>
        <w:t>可以以书面形式要求该供应商作出书面说明并提供相关证明材料。供应商不能合理说明或不能提供相关证明材料的，</w:t>
      </w:r>
      <w:r>
        <w:rPr>
          <w:rFonts w:hint="eastAsia" w:ascii="宋体" w:hAnsi="宋体" w:eastAsia="宋体" w:cs="宋体"/>
          <w:sz w:val="24"/>
          <w:szCs w:val="24"/>
          <w:lang w:eastAsia="zh-CN"/>
        </w:rPr>
        <w:t>评标委员会</w:t>
      </w:r>
      <w:r>
        <w:rPr>
          <w:rFonts w:hint="eastAsia" w:ascii="宋体" w:hAnsi="宋体" w:eastAsia="宋体" w:cs="宋体"/>
          <w:sz w:val="24"/>
          <w:szCs w:val="24"/>
        </w:rPr>
        <w:t>对其投标文件不再进行评审。</w:t>
      </w:r>
    </w:p>
    <w:p w14:paraId="64FEBCEE">
      <w:pPr>
        <w:bidi w:val="0"/>
        <w:spacing w:line="360" w:lineRule="auto"/>
        <w:rPr>
          <w:rFonts w:hint="eastAsia" w:ascii="宋体" w:hAnsi="宋体" w:eastAsia="宋体" w:cs="宋体"/>
          <w:sz w:val="24"/>
          <w:szCs w:val="24"/>
        </w:rPr>
      </w:pPr>
      <w:bookmarkStart w:id="120" w:name="_Toc38013552"/>
      <w:bookmarkStart w:id="121" w:name="_Toc28251227"/>
      <w:bookmarkStart w:id="122" w:name="_Toc14079484"/>
      <w:bookmarkStart w:id="123" w:name="_Toc16690660"/>
      <w:bookmarkStart w:id="124" w:name="_Toc256519755"/>
      <w:bookmarkStart w:id="125" w:name="_Toc271556721"/>
      <w:bookmarkStart w:id="126" w:name="_Toc254788523"/>
      <w:bookmarkStart w:id="127" w:name="_Toc270604617"/>
      <w:r>
        <w:rPr>
          <w:rFonts w:hint="eastAsia" w:ascii="宋体" w:hAnsi="宋体" w:eastAsia="宋体" w:cs="宋体"/>
          <w:b/>
          <w:bCs/>
          <w:sz w:val="28"/>
          <w:szCs w:val="28"/>
        </w:rPr>
        <w:t>7.合同的授予</w:t>
      </w:r>
      <w:bookmarkEnd w:id="120"/>
      <w:bookmarkEnd w:id="121"/>
      <w:bookmarkEnd w:id="122"/>
      <w:bookmarkEnd w:id="123"/>
    </w:p>
    <w:p w14:paraId="7A8D2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28" w:name="_Toc38013553"/>
      <w:bookmarkStart w:id="129" w:name="_Toc28251228"/>
      <w:bookmarkStart w:id="130" w:name="_Toc14079485"/>
      <w:r>
        <w:rPr>
          <w:rFonts w:hint="eastAsia" w:ascii="宋体" w:hAnsi="宋体" w:eastAsia="宋体" w:cs="宋体"/>
          <w:b/>
          <w:bCs/>
          <w:sz w:val="24"/>
          <w:szCs w:val="24"/>
        </w:rPr>
        <w:t>7.1定标方式</w:t>
      </w:r>
      <w:bookmarkEnd w:id="128"/>
      <w:bookmarkEnd w:id="129"/>
      <w:bookmarkEnd w:id="130"/>
    </w:p>
    <w:p w14:paraId="1036D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31" w:name="_Toc14079486"/>
      <w:r>
        <w:rPr>
          <w:rFonts w:hint="eastAsia" w:ascii="宋体" w:hAnsi="宋体" w:eastAsia="宋体" w:cs="宋体"/>
          <w:sz w:val="24"/>
          <w:szCs w:val="24"/>
          <w:lang w:eastAsia="zh-CN"/>
        </w:rPr>
        <w:t>评标委员会</w:t>
      </w:r>
      <w:r>
        <w:rPr>
          <w:rFonts w:hint="eastAsia" w:ascii="宋体" w:hAnsi="宋体" w:eastAsia="宋体" w:cs="宋体"/>
          <w:sz w:val="24"/>
          <w:szCs w:val="24"/>
        </w:rPr>
        <w:t>成员综合评审各供应商提交的投标文件，按总得分由高到低的顺序推荐3名中标候选人，招标单位依据</w:t>
      </w:r>
      <w:r>
        <w:rPr>
          <w:rFonts w:hint="eastAsia" w:ascii="宋体" w:hAnsi="宋体" w:eastAsia="宋体" w:cs="宋体"/>
          <w:sz w:val="24"/>
          <w:szCs w:val="24"/>
          <w:lang w:eastAsia="zh-CN"/>
        </w:rPr>
        <w:t>评标委员会</w:t>
      </w:r>
      <w:r>
        <w:rPr>
          <w:rFonts w:hint="eastAsia" w:ascii="宋体" w:hAnsi="宋体" w:eastAsia="宋体" w:cs="宋体"/>
          <w:sz w:val="24"/>
          <w:szCs w:val="24"/>
        </w:rPr>
        <w:t>推荐的中标候选人确定中标单位</w:t>
      </w:r>
      <w:r>
        <w:rPr>
          <w:rFonts w:hint="eastAsia" w:ascii="宋体" w:hAnsi="宋体" w:cs="宋体"/>
          <w:sz w:val="24"/>
          <w:szCs w:val="24"/>
          <w:lang w:eastAsia="zh-CN"/>
        </w:rPr>
        <w:t>，</w:t>
      </w:r>
      <w:r>
        <w:rPr>
          <w:rFonts w:hint="eastAsia" w:ascii="宋体" w:hAnsi="宋体" w:cs="宋体"/>
          <w:sz w:val="24"/>
          <w:szCs w:val="24"/>
          <w:lang w:val="en-US" w:eastAsia="zh-CN"/>
        </w:rPr>
        <w:t>中标</w:t>
      </w:r>
      <w:r>
        <w:rPr>
          <w:rFonts w:hint="eastAsia" w:ascii="宋体" w:hAnsi="宋体" w:eastAsia="宋体" w:cs="宋体"/>
          <w:sz w:val="24"/>
          <w:szCs w:val="24"/>
        </w:rPr>
        <w:t>结果经招标人审核后发布</w:t>
      </w:r>
      <w:r>
        <w:rPr>
          <w:rFonts w:hint="eastAsia" w:ascii="宋体" w:hAnsi="宋体" w:cs="宋体"/>
          <w:sz w:val="24"/>
          <w:szCs w:val="24"/>
          <w:lang w:val="en-US" w:eastAsia="zh-CN"/>
        </w:rPr>
        <w:t>中标</w:t>
      </w:r>
      <w:r>
        <w:rPr>
          <w:rFonts w:hint="eastAsia" w:ascii="宋体" w:hAnsi="宋体" w:eastAsia="宋体" w:cs="宋体"/>
          <w:sz w:val="24"/>
          <w:szCs w:val="24"/>
        </w:rPr>
        <w:t>公告。</w:t>
      </w:r>
      <w:bookmarkEnd w:id="131"/>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如第一</w:t>
      </w:r>
      <w:r>
        <w:rPr>
          <w:rFonts w:hint="eastAsia" w:ascii="宋体" w:hAnsi="宋体" w:eastAsia="宋体" w:cs="宋体"/>
          <w:sz w:val="24"/>
          <w:szCs w:val="24"/>
          <w:lang w:val="en-US" w:eastAsia="zh-CN"/>
        </w:rPr>
        <w:t>中标候选人放弃中标，</w:t>
      </w:r>
      <w:r>
        <w:rPr>
          <w:rFonts w:hint="eastAsia" w:ascii="宋体" w:hAnsi="宋体" w:eastAsia="宋体" w:cs="宋体"/>
          <w:sz w:val="24"/>
          <w:szCs w:val="24"/>
        </w:rPr>
        <w:t>因不可抗力不能履行合同、不按照要求提交履约保证金，或者被查实存在影响中标结果的违法行为等情形，不符合中标条件的，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候选人名单排序依次确定其他成交候选人为</w:t>
      </w:r>
      <w:r>
        <w:rPr>
          <w:rFonts w:hint="eastAsia" w:ascii="宋体" w:hAnsi="宋体" w:eastAsia="宋体" w:cs="宋体"/>
          <w:sz w:val="24"/>
          <w:szCs w:val="24"/>
          <w:lang w:val="en-US" w:eastAsia="zh-CN"/>
        </w:rPr>
        <w:t>中标单位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45299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2E750D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2" w:name="_Toc14079487"/>
      <w:bookmarkStart w:id="133" w:name="_Toc28251229"/>
      <w:bookmarkStart w:id="134" w:name="_Toc38013554"/>
      <w:r>
        <w:rPr>
          <w:rFonts w:hint="eastAsia" w:ascii="宋体" w:hAnsi="宋体" w:eastAsia="宋体" w:cs="宋体"/>
          <w:b/>
          <w:bCs/>
          <w:sz w:val="24"/>
          <w:szCs w:val="24"/>
        </w:rPr>
        <w:t>7.2中标通知</w:t>
      </w:r>
      <w:bookmarkEnd w:id="132"/>
      <w:bookmarkEnd w:id="133"/>
      <w:bookmarkEnd w:id="134"/>
    </w:p>
    <w:p w14:paraId="192BE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招标人</w:t>
      </w:r>
      <w:r>
        <w:rPr>
          <w:rFonts w:hint="eastAsia" w:ascii="宋体" w:hAnsi="宋体" w:eastAsia="宋体" w:cs="宋体"/>
          <w:sz w:val="24"/>
          <w:szCs w:val="24"/>
        </w:rPr>
        <w:t>或者</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代理机构应当在</w:t>
      </w:r>
      <w:r>
        <w:rPr>
          <w:rFonts w:hint="eastAsia" w:ascii="宋体" w:hAnsi="宋体" w:eastAsia="宋体" w:cs="宋体"/>
          <w:sz w:val="24"/>
          <w:szCs w:val="24"/>
          <w:lang w:val="en-US" w:eastAsia="zh-CN"/>
        </w:rPr>
        <w:t>中标单位</w:t>
      </w:r>
      <w:r>
        <w:rPr>
          <w:rFonts w:hint="eastAsia" w:ascii="宋体" w:hAnsi="宋体" w:eastAsia="宋体" w:cs="宋体"/>
          <w:sz w:val="24"/>
          <w:szCs w:val="24"/>
        </w:rPr>
        <w:t>确定后2个工作日内，在《河南省政府采购网》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《中国招标投标公共服务平台》等网站上发布</w:t>
      </w:r>
      <w:r>
        <w:rPr>
          <w:rFonts w:hint="eastAsia" w:ascii="宋体" w:hAnsi="宋体" w:eastAsia="宋体" w:cs="宋体"/>
          <w:sz w:val="24"/>
          <w:szCs w:val="24"/>
          <w:lang w:val="en-US" w:eastAsia="zh-CN"/>
        </w:rPr>
        <w:t>中标结果</w:t>
      </w:r>
      <w:r>
        <w:rPr>
          <w:rFonts w:hint="eastAsia" w:ascii="宋体" w:hAnsi="宋体" w:eastAsia="宋体" w:cs="宋体"/>
          <w:sz w:val="24"/>
          <w:szCs w:val="24"/>
        </w:rPr>
        <w:t>公告，同时向</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发出</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通知书》对</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p>
    <w:p w14:paraId="5F5E00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5" w:name="_Toc38013555"/>
      <w:bookmarkStart w:id="136" w:name="_Toc28251230"/>
      <w:bookmarkStart w:id="137" w:name="_Toc14079488"/>
      <w:r>
        <w:rPr>
          <w:rFonts w:hint="eastAsia" w:ascii="宋体" w:hAnsi="宋体" w:eastAsia="宋体" w:cs="宋体"/>
          <w:b/>
          <w:bCs/>
          <w:sz w:val="24"/>
          <w:szCs w:val="24"/>
        </w:rPr>
        <w:t>7.3合同的授予</w:t>
      </w:r>
      <w:bookmarkEnd w:id="135"/>
      <w:bookmarkEnd w:id="136"/>
      <w:bookmarkEnd w:id="137"/>
    </w:p>
    <w:p w14:paraId="2A931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本招标项目的招标合同将授予按本须知办法确定的中标人。</w:t>
      </w:r>
    </w:p>
    <w:p w14:paraId="57139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7.3.1招标人与中标人将于中标通知书发出之日起30日内，按照招标文件和中标人的投标文件签订合同。不得订立背离合同实质性内容的协议。</w:t>
      </w:r>
    </w:p>
    <w:p w14:paraId="6A07A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7.3.2中标人无正当理由拒签合同的，则招标人将废除授标，给招标人造成的损失的，供应商还应对损失部分予以赔偿，同时依法承担相应的法律责任。</w:t>
      </w:r>
    </w:p>
    <w:p w14:paraId="715BE7D8">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8.</w:t>
      </w:r>
      <w:r>
        <w:rPr>
          <w:rFonts w:hint="eastAsia" w:ascii="宋体" w:hAnsi="宋体" w:eastAsia="宋体" w:cs="宋体"/>
          <w:b/>
          <w:bCs/>
          <w:sz w:val="28"/>
          <w:szCs w:val="28"/>
          <w:lang w:val="en-US" w:eastAsia="zh-CN"/>
        </w:rPr>
        <w:t>质疑与投诉</w:t>
      </w:r>
    </w:p>
    <w:p w14:paraId="0B7566B0">
      <w:pPr>
        <w:numPr>
          <w:ilvl w:val="0"/>
          <w:numId w:val="0"/>
        </w:numPr>
        <w:spacing w:line="500" w:lineRule="exact"/>
        <w:ind w:firstLine="480" w:firstLineChars="200"/>
        <w:rPr>
          <w:rFonts w:hint="eastAsia" w:ascii="宋体" w:hAnsi="宋体" w:cs="宋体"/>
          <w:sz w:val="24"/>
          <w:szCs w:val="24"/>
        </w:rPr>
      </w:pPr>
      <w:r>
        <w:rPr>
          <w:rFonts w:hint="eastAsia" w:ascii="宋体" w:hAnsi="宋体" w:cs="宋体"/>
          <w:kern w:val="2"/>
          <w:sz w:val="24"/>
          <w:szCs w:val="24"/>
          <w:lang w:val="en-US" w:eastAsia="zh-CN" w:bidi="ar-SA"/>
        </w:rPr>
        <w:t>8</w:t>
      </w:r>
      <w:r>
        <w:rPr>
          <w:rFonts w:hint="eastAsia" w:ascii="宋体" w:hAnsi="宋体" w:cs="宋体"/>
          <w:sz w:val="24"/>
          <w:szCs w:val="24"/>
        </w:rPr>
        <w:t xml:space="preserve">.1 </w:t>
      </w:r>
      <w:r>
        <w:rPr>
          <w:rFonts w:hint="eastAsia" w:ascii="宋体" w:hAnsi="宋体" w:cs="宋体"/>
          <w:sz w:val="24"/>
          <w:szCs w:val="24"/>
          <w:lang w:val="en-US" w:eastAsia="zh-CN"/>
        </w:rPr>
        <w:t>投标人</w:t>
      </w:r>
      <w:r>
        <w:rPr>
          <w:rFonts w:hint="eastAsia" w:ascii="宋体" w:hAnsi="宋体" w:cs="宋体"/>
          <w:sz w:val="24"/>
          <w:szCs w:val="24"/>
        </w:rPr>
        <w:t>认为</w:t>
      </w:r>
      <w:r>
        <w:rPr>
          <w:rFonts w:hint="eastAsia" w:ascii="宋体" w:hAnsi="宋体" w:cs="宋体"/>
          <w:sz w:val="24"/>
          <w:szCs w:val="24"/>
          <w:lang w:val="en-US" w:eastAsia="zh-CN"/>
        </w:rPr>
        <w:t>招标</w:t>
      </w:r>
      <w:r>
        <w:rPr>
          <w:rFonts w:hint="eastAsia" w:ascii="宋体" w:hAnsi="宋体" w:cs="宋体"/>
          <w:sz w:val="24"/>
          <w:szCs w:val="24"/>
        </w:rPr>
        <w:t>文件使自己的合法权益受到损害的，应在递交</w:t>
      </w:r>
      <w:r>
        <w:rPr>
          <w:rFonts w:hint="eastAsia" w:ascii="宋体" w:hAnsi="宋体" w:cs="宋体"/>
          <w:sz w:val="24"/>
          <w:szCs w:val="24"/>
          <w:lang w:val="en-US" w:eastAsia="zh-CN"/>
        </w:rPr>
        <w:t>投标</w:t>
      </w:r>
      <w:r>
        <w:rPr>
          <w:rFonts w:hint="eastAsia" w:ascii="宋体" w:hAnsi="宋体" w:cs="宋体"/>
          <w:sz w:val="24"/>
          <w:szCs w:val="24"/>
        </w:rPr>
        <w:t>文件截止时间</w:t>
      </w:r>
      <w:r>
        <w:rPr>
          <w:rFonts w:hint="eastAsia" w:ascii="宋体" w:hAnsi="宋体" w:cs="宋体"/>
          <w:sz w:val="24"/>
          <w:szCs w:val="24"/>
          <w:lang w:val="en-US" w:eastAsia="zh-CN"/>
        </w:rPr>
        <w:t>1</w:t>
      </w:r>
      <w:r>
        <w:rPr>
          <w:rFonts w:hint="eastAsia" w:ascii="宋体" w:hAnsi="宋体" w:cs="宋体"/>
          <w:sz w:val="24"/>
          <w:szCs w:val="24"/>
        </w:rPr>
        <w:t>5日之前提出质疑</w:t>
      </w:r>
      <w:r>
        <w:rPr>
          <w:rFonts w:hint="eastAsia" w:ascii="宋体" w:hAnsi="宋体" w:cs="宋体"/>
          <w:sz w:val="24"/>
          <w:szCs w:val="24"/>
          <w:lang w:eastAsia="zh-CN"/>
        </w:rPr>
        <w:t>；</w:t>
      </w:r>
      <w:r>
        <w:rPr>
          <w:rFonts w:hint="eastAsia" w:ascii="宋体" w:hAnsi="宋体" w:cs="宋体"/>
          <w:sz w:val="24"/>
          <w:szCs w:val="24"/>
          <w:lang w:val="en-US" w:eastAsia="zh-CN"/>
        </w:rPr>
        <w:t>投标人</w:t>
      </w:r>
      <w:r>
        <w:rPr>
          <w:rFonts w:hint="eastAsia" w:ascii="宋体" w:hAnsi="宋体" w:cs="宋体"/>
          <w:sz w:val="24"/>
          <w:szCs w:val="24"/>
        </w:rPr>
        <w:t>对</w:t>
      </w:r>
      <w:r>
        <w:rPr>
          <w:rFonts w:hint="eastAsia" w:ascii="宋体" w:hAnsi="宋体" w:cs="宋体"/>
          <w:sz w:val="24"/>
          <w:szCs w:val="24"/>
          <w:lang w:val="en-US" w:eastAsia="zh-CN"/>
        </w:rPr>
        <w:t>招投标</w:t>
      </w:r>
      <w:r>
        <w:rPr>
          <w:rFonts w:hint="eastAsia" w:ascii="宋体" w:hAnsi="宋体" w:cs="宋体"/>
          <w:sz w:val="24"/>
          <w:szCs w:val="24"/>
        </w:rPr>
        <w:t>过程和</w:t>
      </w:r>
      <w:r>
        <w:rPr>
          <w:rFonts w:hint="eastAsia" w:ascii="宋体" w:hAnsi="宋体" w:cs="宋体"/>
          <w:sz w:val="24"/>
          <w:szCs w:val="24"/>
          <w:lang w:val="en-US" w:eastAsia="zh-CN"/>
        </w:rPr>
        <w:t>中标</w:t>
      </w:r>
      <w:r>
        <w:rPr>
          <w:rFonts w:hint="eastAsia" w:ascii="宋体" w:hAnsi="宋体" w:cs="宋体"/>
          <w:sz w:val="24"/>
          <w:szCs w:val="24"/>
        </w:rPr>
        <w:t>结果使自己的合法权益受到损害的，应当在知道或者应知其权益受到损害之日起7个工作日内提出质疑。</w:t>
      </w:r>
      <w:r>
        <w:rPr>
          <w:rFonts w:hint="eastAsia" w:ascii="宋体" w:hAnsi="宋体" w:cs="宋体"/>
          <w:sz w:val="24"/>
          <w:szCs w:val="24"/>
          <w:lang w:val="en-US" w:eastAsia="zh-CN"/>
        </w:rPr>
        <w:t>投标人</w:t>
      </w:r>
      <w:r>
        <w:rPr>
          <w:rFonts w:hint="eastAsia" w:ascii="宋体" w:hAnsi="宋体" w:cs="宋体"/>
          <w:sz w:val="24"/>
          <w:szCs w:val="24"/>
        </w:rPr>
        <w:t>对</w:t>
      </w:r>
      <w:r>
        <w:rPr>
          <w:rFonts w:hint="eastAsia" w:ascii="宋体" w:hAnsi="宋体" w:cs="宋体"/>
          <w:sz w:val="24"/>
          <w:szCs w:val="24"/>
          <w:lang w:val="en-US" w:eastAsia="zh-CN"/>
        </w:rPr>
        <w:t>招标</w:t>
      </w:r>
      <w:r>
        <w:rPr>
          <w:rFonts w:hint="eastAsia" w:ascii="宋体" w:hAnsi="宋体" w:cs="宋体"/>
          <w:sz w:val="24"/>
          <w:szCs w:val="24"/>
        </w:rPr>
        <w:t>人或</w:t>
      </w:r>
      <w:r>
        <w:rPr>
          <w:rFonts w:hint="eastAsia" w:ascii="宋体" w:hAnsi="宋体" w:cs="宋体"/>
          <w:sz w:val="24"/>
          <w:szCs w:val="24"/>
          <w:lang w:val="en-US" w:eastAsia="zh-CN"/>
        </w:rPr>
        <w:t>招标</w:t>
      </w:r>
      <w:r>
        <w:rPr>
          <w:rFonts w:hint="eastAsia" w:ascii="宋体" w:hAnsi="宋体" w:cs="宋体"/>
          <w:sz w:val="24"/>
          <w:szCs w:val="24"/>
        </w:rPr>
        <w:t>代理机构的质疑答复不满意或</w:t>
      </w:r>
      <w:r>
        <w:rPr>
          <w:rFonts w:hint="eastAsia" w:ascii="宋体" w:hAnsi="宋体" w:cs="宋体"/>
          <w:sz w:val="24"/>
          <w:szCs w:val="24"/>
          <w:lang w:val="en-US" w:eastAsia="zh-CN"/>
        </w:rPr>
        <w:t>招标</w:t>
      </w:r>
      <w:r>
        <w:rPr>
          <w:rFonts w:hint="eastAsia" w:ascii="宋体" w:hAnsi="宋体" w:cs="宋体"/>
          <w:sz w:val="24"/>
          <w:szCs w:val="24"/>
        </w:rPr>
        <w:t>人或</w:t>
      </w:r>
      <w:r>
        <w:rPr>
          <w:rFonts w:hint="eastAsia" w:ascii="宋体" w:hAnsi="宋体" w:cs="宋体"/>
          <w:sz w:val="24"/>
          <w:szCs w:val="24"/>
          <w:lang w:val="en-US" w:eastAsia="zh-CN"/>
        </w:rPr>
        <w:t>招标</w:t>
      </w:r>
      <w:r>
        <w:rPr>
          <w:rFonts w:hint="eastAsia" w:ascii="宋体" w:hAnsi="宋体" w:cs="宋体"/>
          <w:sz w:val="24"/>
          <w:szCs w:val="24"/>
        </w:rPr>
        <w:t>代理机构未在规定时间内作出答复的，可以在答复期满后15个工作日内向同级财政部门投诉。</w:t>
      </w:r>
    </w:p>
    <w:p w14:paraId="6D05F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szCs w:val="24"/>
          <w:lang w:val="en-US" w:eastAsia="zh-CN"/>
        </w:rPr>
      </w:pPr>
      <w:r>
        <w:rPr>
          <w:rFonts w:hint="eastAsia" w:ascii="宋体" w:hAnsi="宋体" w:cs="宋体"/>
          <w:sz w:val="24"/>
          <w:szCs w:val="24"/>
          <w:lang w:val="en-US" w:eastAsia="zh-CN"/>
        </w:rPr>
        <w:t>8.2</w:t>
      </w:r>
      <w:r>
        <w:rPr>
          <w:rFonts w:hint="eastAsia" w:ascii="宋体" w:hAnsi="宋体" w:cs="宋体"/>
          <w:sz w:val="24"/>
          <w:szCs w:val="24"/>
        </w:rPr>
        <w:t>质疑、投诉应当采用书面形式，质疑书、投诉书均应明确阐述</w:t>
      </w:r>
      <w:r>
        <w:rPr>
          <w:rFonts w:hint="eastAsia" w:ascii="宋体" w:hAnsi="宋体" w:cs="宋体"/>
          <w:sz w:val="24"/>
          <w:szCs w:val="24"/>
          <w:lang w:val="en-US" w:eastAsia="zh-CN"/>
        </w:rPr>
        <w:t>招标</w:t>
      </w:r>
      <w:r>
        <w:rPr>
          <w:rFonts w:hint="eastAsia" w:ascii="宋体" w:hAnsi="宋体" w:cs="宋体"/>
          <w:sz w:val="24"/>
          <w:szCs w:val="24"/>
        </w:rPr>
        <w:t>文件、</w:t>
      </w:r>
      <w:r>
        <w:rPr>
          <w:rFonts w:hint="eastAsia" w:ascii="宋体" w:hAnsi="宋体" w:cs="宋体"/>
          <w:sz w:val="24"/>
          <w:szCs w:val="24"/>
          <w:lang w:val="en-US" w:eastAsia="zh-CN"/>
        </w:rPr>
        <w:t>招投标</w:t>
      </w:r>
      <w:r>
        <w:rPr>
          <w:rFonts w:hint="eastAsia" w:ascii="宋体" w:hAnsi="宋体" w:cs="宋体"/>
          <w:sz w:val="24"/>
          <w:szCs w:val="24"/>
        </w:rPr>
        <w:t>过程和</w:t>
      </w:r>
      <w:r>
        <w:rPr>
          <w:rFonts w:hint="eastAsia" w:ascii="宋体" w:hAnsi="宋体" w:cs="宋体"/>
          <w:sz w:val="24"/>
          <w:szCs w:val="24"/>
          <w:lang w:val="en-US" w:eastAsia="zh-CN"/>
        </w:rPr>
        <w:t>中标</w:t>
      </w:r>
      <w:r>
        <w:rPr>
          <w:rFonts w:hint="eastAsia" w:ascii="宋体" w:hAnsi="宋体" w:cs="宋体"/>
          <w:sz w:val="24"/>
          <w:szCs w:val="24"/>
        </w:rPr>
        <w:t>结果中使自己合法权益受到损害的实质性内容，提供</w:t>
      </w:r>
      <w:r>
        <w:rPr>
          <w:rFonts w:hint="eastAsia" w:ascii="宋体" w:hAnsi="宋体" w:cs="宋体"/>
          <w:sz w:val="24"/>
          <w:szCs w:val="24"/>
          <w:lang w:val="en-US" w:eastAsia="zh-CN"/>
        </w:rPr>
        <w:t>相关事实、依据和证据及其来源或线索，便于有关单位调查、答复、处理。</w:t>
      </w:r>
    </w:p>
    <w:p w14:paraId="29DDA05C">
      <w:pPr>
        <w:pStyle w:val="2"/>
        <w:keepNext w:val="0"/>
        <w:keepLines w:val="0"/>
        <w:pageBreakBefore/>
        <w:spacing w:before="120" w:after="120" w:line="400" w:lineRule="exact"/>
        <w:jc w:val="center"/>
        <w:rPr>
          <w:rFonts w:ascii="宋体" w:hAnsi="宋体" w:cs="宋体"/>
          <w:b w:val="0"/>
          <w:bCs w:val="0"/>
          <w:kern w:val="0"/>
          <w:sz w:val="24"/>
          <w:szCs w:val="24"/>
        </w:rPr>
      </w:pPr>
      <w:bookmarkStart w:id="138" w:name="_Toc19311"/>
      <w:bookmarkStart w:id="139" w:name="_Toc23321"/>
      <w:bookmarkStart w:id="140" w:name="_Toc11726"/>
      <w:bookmarkStart w:id="141" w:name="_Toc5478"/>
      <w:r>
        <w:rPr>
          <w:rFonts w:hint="eastAsia" w:ascii="黑体" w:hAnsi="黑体" w:eastAsia="黑体"/>
          <w:sz w:val="36"/>
          <w:szCs w:val="36"/>
        </w:rPr>
        <w:t>第三章 评标办法</w:t>
      </w:r>
      <w:bookmarkEnd w:id="138"/>
      <w:bookmarkEnd w:id="139"/>
      <w:bookmarkEnd w:id="140"/>
    </w:p>
    <w:p w14:paraId="1FCE4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2" w:name="_Toc38013557"/>
      <w:bookmarkStart w:id="143" w:name="_Toc28251232"/>
      <w:r>
        <w:rPr>
          <w:rFonts w:hint="eastAsia" w:ascii="宋体" w:hAnsi="宋体" w:eastAsia="宋体" w:cs="宋体"/>
          <w:b/>
          <w:bCs/>
          <w:sz w:val="28"/>
          <w:szCs w:val="28"/>
        </w:rPr>
        <w:t>1.评标方法</w:t>
      </w:r>
      <w:bookmarkEnd w:id="142"/>
      <w:bookmarkEnd w:id="143"/>
    </w:p>
    <w:p w14:paraId="18728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本次评标采用综合评标法。</w:t>
      </w:r>
      <w:r>
        <w:rPr>
          <w:rFonts w:hint="eastAsia" w:ascii="宋体" w:hAnsi="宋体" w:eastAsia="宋体" w:cs="宋体"/>
          <w:sz w:val="24"/>
          <w:szCs w:val="24"/>
          <w:lang w:eastAsia="zh-CN"/>
        </w:rPr>
        <w:t>评标委员会</w:t>
      </w:r>
      <w:r>
        <w:rPr>
          <w:rFonts w:hint="eastAsia" w:ascii="宋体" w:hAnsi="宋体" w:eastAsia="宋体" w:cs="宋体"/>
          <w:sz w:val="24"/>
          <w:szCs w:val="24"/>
        </w:rPr>
        <w:t>对满足招标文件实质性要求的投标文件，按本章节规定的评分标准进行综合评分，并按得分由高到低顺序推荐3名中标候选人。综合评分相</w:t>
      </w:r>
      <w:r>
        <w:rPr>
          <w:rFonts w:hint="eastAsia" w:ascii="宋体" w:hAnsi="宋体" w:eastAsia="宋体" w:cs="宋体"/>
          <w:sz w:val="24"/>
          <w:szCs w:val="24"/>
          <w:lang w:val="en-US" w:eastAsia="zh-CN"/>
        </w:rPr>
        <w:t>同</w:t>
      </w:r>
      <w:r>
        <w:rPr>
          <w:rFonts w:hint="eastAsia" w:ascii="宋体" w:hAnsi="宋体" w:eastAsia="宋体" w:cs="宋体"/>
          <w:sz w:val="24"/>
          <w:szCs w:val="24"/>
        </w:rPr>
        <w:t>时，按照最</w:t>
      </w:r>
      <w:r>
        <w:rPr>
          <w:rFonts w:hint="eastAsia" w:ascii="宋体" w:hAnsi="宋体" w:eastAsia="宋体" w:cs="宋体"/>
          <w:sz w:val="24"/>
          <w:szCs w:val="24"/>
          <w:lang w:val="en-US" w:eastAsia="zh-CN"/>
        </w:rPr>
        <w:t>终</w:t>
      </w:r>
      <w:r>
        <w:rPr>
          <w:rFonts w:hint="eastAsia" w:ascii="宋体" w:hAnsi="宋体" w:eastAsia="宋体" w:cs="宋体"/>
          <w:sz w:val="24"/>
          <w:szCs w:val="24"/>
        </w:rPr>
        <w:t>报价由低到高的顺序推荐</w:t>
      </w:r>
      <w:r>
        <w:rPr>
          <w:rFonts w:hint="eastAsia" w:ascii="宋体" w:hAnsi="宋体" w:eastAsia="宋体" w:cs="宋体"/>
          <w:sz w:val="24"/>
          <w:szCs w:val="24"/>
          <w:lang w:eastAsia="zh-CN"/>
        </w:rPr>
        <w:t>，</w:t>
      </w:r>
      <w:r>
        <w:rPr>
          <w:rFonts w:hint="eastAsia" w:ascii="宋体" w:hAnsi="宋体" w:eastAsia="宋体" w:cs="宋体"/>
          <w:sz w:val="24"/>
          <w:szCs w:val="24"/>
        </w:rPr>
        <w:t>最</w:t>
      </w:r>
      <w:r>
        <w:rPr>
          <w:rFonts w:hint="eastAsia" w:ascii="宋体" w:hAnsi="宋体" w:eastAsia="宋体" w:cs="宋体"/>
          <w:sz w:val="24"/>
          <w:szCs w:val="24"/>
          <w:lang w:val="en-US" w:eastAsia="zh-CN"/>
        </w:rPr>
        <w:t>终</w:t>
      </w:r>
      <w:r>
        <w:rPr>
          <w:rFonts w:hint="eastAsia" w:ascii="宋体" w:hAnsi="宋体" w:eastAsia="宋体" w:cs="宋体"/>
          <w:sz w:val="24"/>
          <w:szCs w:val="24"/>
        </w:rPr>
        <w:t>报价</w:t>
      </w:r>
      <w:r>
        <w:rPr>
          <w:rFonts w:hint="eastAsia" w:ascii="宋体" w:hAnsi="宋体" w:eastAsia="宋体" w:cs="宋体"/>
          <w:sz w:val="24"/>
          <w:szCs w:val="24"/>
          <w:lang w:val="en-US" w:eastAsia="zh-CN"/>
        </w:rPr>
        <w:t>也</w:t>
      </w:r>
      <w:r>
        <w:rPr>
          <w:rFonts w:hint="eastAsia" w:ascii="宋体" w:hAnsi="宋体" w:eastAsia="宋体" w:cs="宋体"/>
          <w:sz w:val="24"/>
          <w:szCs w:val="24"/>
        </w:rPr>
        <w:t>相同的，</w:t>
      </w:r>
      <w:r>
        <w:rPr>
          <w:rFonts w:hint="eastAsia" w:ascii="宋体" w:hAnsi="宋体" w:eastAsia="宋体" w:cs="宋体"/>
          <w:sz w:val="24"/>
          <w:szCs w:val="24"/>
          <w:lang w:val="en-US" w:eastAsia="zh-CN"/>
        </w:rPr>
        <w:t>按照技术得分由高到低顺序推荐。</w:t>
      </w:r>
    </w:p>
    <w:p w14:paraId="671E7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4" w:name="_Toc19618"/>
      <w:bookmarkEnd w:id="144"/>
      <w:bookmarkStart w:id="145" w:name="_Toc179632619"/>
      <w:bookmarkEnd w:id="145"/>
      <w:bookmarkStart w:id="146" w:name="_Toc28030"/>
      <w:bookmarkEnd w:id="146"/>
      <w:bookmarkStart w:id="147" w:name="_Toc28251233"/>
      <w:bookmarkStart w:id="148" w:name="_Toc29880"/>
      <w:bookmarkStart w:id="149" w:name="_Toc38013558"/>
      <w:r>
        <w:rPr>
          <w:rFonts w:hint="eastAsia" w:ascii="宋体" w:hAnsi="宋体" w:eastAsia="宋体" w:cs="宋体"/>
          <w:b/>
          <w:bCs/>
          <w:sz w:val="28"/>
          <w:szCs w:val="28"/>
        </w:rPr>
        <w:t>2. 评审标准</w:t>
      </w:r>
      <w:bookmarkEnd w:id="147"/>
      <w:bookmarkEnd w:id="148"/>
      <w:bookmarkEnd w:id="149"/>
    </w:p>
    <w:p w14:paraId="52AC2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0" w:name="_Toc12931"/>
      <w:bookmarkEnd w:id="150"/>
      <w:bookmarkStart w:id="151" w:name="_Toc31847"/>
      <w:bookmarkEnd w:id="151"/>
      <w:bookmarkStart w:id="152" w:name="_Toc23196"/>
      <w:bookmarkEnd w:id="152"/>
      <w:bookmarkStart w:id="153" w:name="_Toc179632620"/>
      <w:bookmarkEnd w:id="153"/>
      <w:bookmarkStart w:id="154" w:name="_Toc38013559"/>
      <w:bookmarkStart w:id="155" w:name="_Toc16690667"/>
      <w:bookmarkStart w:id="156" w:name="_Toc28251234"/>
      <w:r>
        <w:rPr>
          <w:rFonts w:hint="eastAsia" w:ascii="宋体" w:hAnsi="宋体" w:eastAsia="宋体" w:cs="宋体"/>
          <w:b/>
          <w:bCs/>
          <w:sz w:val="24"/>
          <w:szCs w:val="24"/>
        </w:rPr>
        <w:t>2.1 初步评审标准</w:t>
      </w:r>
      <w:bookmarkEnd w:id="154"/>
      <w:bookmarkEnd w:id="155"/>
      <w:bookmarkEnd w:id="156"/>
    </w:p>
    <w:p w14:paraId="00E31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11B4A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6F1AD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5D6A6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7" w:name="_Toc607"/>
      <w:bookmarkEnd w:id="157"/>
      <w:bookmarkStart w:id="158" w:name="_Toc16603"/>
      <w:bookmarkEnd w:id="158"/>
      <w:bookmarkStart w:id="159" w:name="_Toc179632621"/>
      <w:bookmarkEnd w:id="159"/>
      <w:bookmarkStart w:id="160" w:name="_Toc11804"/>
      <w:bookmarkEnd w:id="160"/>
      <w:bookmarkStart w:id="161" w:name="_Toc38013560"/>
      <w:bookmarkStart w:id="162" w:name="_Toc28251235"/>
      <w:bookmarkStart w:id="163" w:name="_Toc16690668"/>
      <w:r>
        <w:rPr>
          <w:rFonts w:hint="eastAsia" w:ascii="宋体" w:hAnsi="宋体" w:eastAsia="宋体" w:cs="宋体"/>
          <w:b/>
          <w:bCs/>
          <w:sz w:val="24"/>
          <w:szCs w:val="24"/>
        </w:rPr>
        <w:t>2.2 分值构成与评分标准</w:t>
      </w:r>
      <w:bookmarkEnd w:id="161"/>
      <w:bookmarkEnd w:id="162"/>
      <w:bookmarkEnd w:id="163"/>
    </w:p>
    <w:p w14:paraId="5E713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5A23D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（1）投标报价的权重占</w:t>
      </w:r>
      <w:r>
        <w:rPr>
          <w:rFonts w:hint="eastAsia" w:ascii="宋体" w:hAnsi="宋体" w:eastAsia="宋体" w:cs="宋体"/>
          <w:sz w:val="24"/>
          <w:szCs w:val="24"/>
          <w:lang w:val="en-US" w:eastAsia="zh-CN"/>
        </w:rPr>
        <w:t>30</w:t>
      </w:r>
      <w:r>
        <w:rPr>
          <w:rFonts w:hint="eastAsia" w:ascii="宋体" w:hAnsi="宋体" w:eastAsia="宋体" w:cs="宋体"/>
          <w:sz w:val="24"/>
          <w:szCs w:val="24"/>
        </w:rPr>
        <w:t>%</w:t>
      </w:r>
    </w:p>
    <w:p w14:paraId="15E3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（2）技术标的权重占</w:t>
      </w:r>
      <w:r>
        <w:rPr>
          <w:rFonts w:hint="eastAsia" w:ascii="宋体" w:hAnsi="宋体" w:eastAsia="宋体" w:cs="宋体"/>
          <w:sz w:val="24"/>
          <w:szCs w:val="24"/>
          <w:lang w:val="en-US" w:eastAsia="zh-CN"/>
        </w:rPr>
        <w:t>55</w:t>
      </w:r>
      <w:r>
        <w:rPr>
          <w:rFonts w:hint="eastAsia" w:ascii="宋体" w:hAnsi="宋体" w:eastAsia="宋体" w:cs="宋体"/>
          <w:sz w:val="24"/>
          <w:szCs w:val="24"/>
        </w:rPr>
        <w:t>%</w:t>
      </w:r>
    </w:p>
    <w:p w14:paraId="6E124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（3）商务标的权重占</w:t>
      </w:r>
      <w:r>
        <w:rPr>
          <w:rFonts w:hint="eastAsia" w:ascii="宋体" w:hAnsi="宋体" w:eastAsia="宋体" w:cs="宋体"/>
          <w:sz w:val="24"/>
          <w:szCs w:val="24"/>
          <w:lang w:val="en-US" w:eastAsia="zh-CN"/>
        </w:rPr>
        <w:t>15</w:t>
      </w:r>
      <w:r>
        <w:rPr>
          <w:rFonts w:hint="eastAsia" w:ascii="宋体" w:hAnsi="宋体" w:eastAsia="宋体" w:cs="宋体"/>
          <w:sz w:val="24"/>
          <w:szCs w:val="24"/>
        </w:rPr>
        <w:t>%</w:t>
      </w:r>
    </w:p>
    <w:p w14:paraId="6A989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评分标准：见评标办法前附表。</w:t>
      </w:r>
    </w:p>
    <w:p w14:paraId="0E059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4" w:name="_Toc152045604"/>
      <w:bookmarkEnd w:id="164"/>
      <w:bookmarkStart w:id="165" w:name="_Toc144974571"/>
      <w:bookmarkEnd w:id="165"/>
      <w:bookmarkStart w:id="166" w:name="_Toc25534"/>
      <w:bookmarkEnd w:id="166"/>
      <w:bookmarkStart w:id="167" w:name="_Toc179632622"/>
      <w:bookmarkEnd w:id="167"/>
      <w:bookmarkStart w:id="168" w:name="_Toc11715"/>
      <w:bookmarkEnd w:id="168"/>
      <w:bookmarkStart w:id="169" w:name="_Toc13158"/>
      <w:bookmarkEnd w:id="169"/>
      <w:bookmarkStart w:id="170" w:name="_Toc38013561"/>
      <w:bookmarkStart w:id="171" w:name="_Toc152042381"/>
      <w:bookmarkStart w:id="172" w:name="_Toc28251236"/>
      <w:r>
        <w:rPr>
          <w:rFonts w:hint="eastAsia" w:ascii="宋体" w:hAnsi="宋体" w:eastAsia="宋体" w:cs="宋体"/>
          <w:b/>
          <w:bCs/>
          <w:sz w:val="28"/>
          <w:szCs w:val="28"/>
        </w:rPr>
        <w:t>3. 评标程序</w:t>
      </w:r>
      <w:bookmarkEnd w:id="170"/>
      <w:bookmarkEnd w:id="171"/>
      <w:bookmarkEnd w:id="172"/>
    </w:p>
    <w:p w14:paraId="1601E1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73" w:name="_Toc152042382"/>
      <w:bookmarkEnd w:id="173"/>
      <w:bookmarkStart w:id="174" w:name="_Toc31010"/>
      <w:bookmarkEnd w:id="174"/>
      <w:bookmarkStart w:id="175" w:name="_Toc30372"/>
      <w:bookmarkEnd w:id="175"/>
      <w:bookmarkStart w:id="176" w:name="_Toc8644"/>
      <w:bookmarkEnd w:id="176"/>
      <w:bookmarkStart w:id="177" w:name="_Toc152045605"/>
      <w:bookmarkEnd w:id="177"/>
      <w:bookmarkStart w:id="178" w:name="_Toc144974572"/>
      <w:bookmarkEnd w:id="178"/>
      <w:bookmarkStart w:id="179" w:name="_Toc16690670"/>
      <w:bookmarkStart w:id="180" w:name="_Toc179632623"/>
      <w:bookmarkStart w:id="181" w:name="_Toc28251237"/>
      <w:bookmarkStart w:id="182" w:name="_Toc38013562"/>
      <w:r>
        <w:rPr>
          <w:rFonts w:hint="eastAsia" w:ascii="宋体" w:hAnsi="宋体" w:eastAsia="宋体" w:cs="宋体"/>
          <w:b/>
          <w:bCs/>
          <w:sz w:val="24"/>
          <w:szCs w:val="24"/>
        </w:rPr>
        <w:t>3.1 初步评审</w:t>
      </w:r>
      <w:bookmarkEnd w:id="179"/>
      <w:bookmarkEnd w:id="180"/>
      <w:bookmarkEnd w:id="181"/>
      <w:bookmarkEnd w:id="182"/>
    </w:p>
    <w:p w14:paraId="66B6B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3.1.1招标人根据本章规定得资格评审办法对投标人进行资格审查，资格审查资料以投标人投标文件中所附资料为准，进行核验。通过资格审查的投标人由</w:t>
      </w:r>
      <w:r>
        <w:rPr>
          <w:rFonts w:hint="eastAsia" w:ascii="宋体" w:hAnsi="宋体" w:eastAsia="宋体" w:cs="宋体"/>
          <w:sz w:val="24"/>
          <w:szCs w:val="24"/>
          <w:lang w:eastAsia="zh-CN"/>
        </w:rPr>
        <w:t>评标委员会</w:t>
      </w:r>
      <w:r>
        <w:rPr>
          <w:rFonts w:hint="eastAsia" w:ascii="宋体" w:hAnsi="宋体" w:eastAsia="宋体" w:cs="宋体"/>
          <w:sz w:val="24"/>
          <w:szCs w:val="24"/>
        </w:rPr>
        <w:t>依据本章第2.1款规定的标准对投标文件进行形式评审、响应性评审。有一项不符合评审标准的，其投标将被否决。</w:t>
      </w:r>
    </w:p>
    <w:p w14:paraId="60E1F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3.1.2供应商有以下情形之一的，其投标作无效标处理：</w:t>
      </w:r>
    </w:p>
    <w:p w14:paraId="5AA6F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6EC6B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w:t>
      </w:r>
      <w:r>
        <w:rPr>
          <w:rFonts w:hint="eastAsia" w:ascii="宋体" w:hAnsi="宋体" w:eastAsia="宋体" w:cs="宋体"/>
          <w:sz w:val="24"/>
          <w:szCs w:val="24"/>
          <w:lang w:eastAsia="zh-CN"/>
        </w:rPr>
        <w:t>评标委员会</w:t>
      </w:r>
      <w:r>
        <w:rPr>
          <w:rFonts w:hint="eastAsia" w:ascii="宋体" w:hAnsi="宋体" w:eastAsia="宋体" w:cs="宋体"/>
          <w:sz w:val="24"/>
          <w:szCs w:val="24"/>
        </w:rPr>
        <w:t>要求澄清、说明或补正的。</w:t>
      </w:r>
    </w:p>
    <w:p w14:paraId="77DD4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3.1.3投标报价有算术错误的，</w:t>
      </w:r>
      <w:r>
        <w:rPr>
          <w:rFonts w:hint="eastAsia" w:ascii="宋体" w:hAnsi="宋体" w:eastAsia="宋体" w:cs="宋体"/>
          <w:sz w:val="24"/>
          <w:szCs w:val="24"/>
          <w:lang w:eastAsia="zh-CN"/>
        </w:rPr>
        <w:t>评标委员会</w:t>
      </w:r>
      <w:r>
        <w:rPr>
          <w:rFonts w:hint="eastAsia" w:ascii="宋体" w:hAnsi="宋体" w:eastAsia="宋体" w:cs="宋体"/>
          <w:sz w:val="24"/>
          <w:szCs w:val="24"/>
        </w:rPr>
        <w:t>按以下原则对投标报价进行修正，修正的价格经供应商书面确认后具有约束力。供应商不接受修正价格的，其投标将被否决。</w:t>
      </w:r>
    </w:p>
    <w:p w14:paraId="38342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3" w:name="_Toc152042383"/>
      <w:bookmarkEnd w:id="183"/>
      <w:r>
        <w:rPr>
          <w:rFonts w:hint="eastAsia" w:ascii="宋体" w:hAnsi="宋体" w:eastAsia="宋体" w:cs="宋体"/>
          <w:sz w:val="24"/>
          <w:szCs w:val="24"/>
        </w:rPr>
        <w:t>（1）投标文件中的大写金额与小写金额不一致的，以大写金额为准；</w:t>
      </w:r>
    </w:p>
    <w:p w14:paraId="3FF14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10327A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84" w:name="_Toc179632624"/>
      <w:bookmarkEnd w:id="184"/>
      <w:bookmarkStart w:id="185" w:name="_Toc152042384"/>
      <w:bookmarkEnd w:id="185"/>
      <w:bookmarkStart w:id="186" w:name="_Toc144974573"/>
      <w:bookmarkEnd w:id="186"/>
      <w:bookmarkStart w:id="187" w:name="_Toc28251238"/>
      <w:bookmarkStart w:id="188" w:name="_Toc38013563"/>
      <w:bookmarkStart w:id="189" w:name="_Toc16690671"/>
      <w:bookmarkStart w:id="190" w:name="_Toc152045606"/>
      <w:r>
        <w:rPr>
          <w:rFonts w:hint="eastAsia" w:ascii="宋体" w:hAnsi="宋体" w:eastAsia="宋体" w:cs="宋体"/>
          <w:b/>
          <w:bCs/>
          <w:sz w:val="24"/>
          <w:szCs w:val="24"/>
        </w:rPr>
        <w:t>3.2 详细评审</w:t>
      </w:r>
      <w:bookmarkEnd w:id="187"/>
      <w:bookmarkEnd w:id="188"/>
      <w:bookmarkEnd w:id="189"/>
      <w:bookmarkEnd w:id="190"/>
    </w:p>
    <w:p w14:paraId="5ED5E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lang w:eastAsia="zh-CN"/>
        </w:rPr>
        <w:t>评标委员会</w:t>
      </w:r>
      <w:r>
        <w:rPr>
          <w:rFonts w:hint="eastAsia" w:ascii="宋体" w:hAnsi="宋体" w:eastAsia="宋体" w:cs="宋体"/>
          <w:sz w:val="24"/>
          <w:szCs w:val="24"/>
        </w:rPr>
        <w:t>按本章第2.2款规定的量化因素和分值进行打分，并计算出综合评估得分。</w:t>
      </w:r>
    </w:p>
    <w:p w14:paraId="167B3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Pr>
          <w:rFonts w:hint="eastAsia" w:ascii="宋体" w:hAnsi="宋体" w:eastAsia="宋体" w:cs="宋体"/>
          <w:sz w:val="24"/>
          <w:szCs w:val="24"/>
          <w:lang w:eastAsia="zh-CN"/>
        </w:rPr>
        <w:t>评标委员会</w:t>
      </w:r>
      <w:r>
        <w:rPr>
          <w:rFonts w:hint="eastAsia" w:ascii="宋体" w:hAnsi="宋体" w:eastAsia="宋体" w:cs="宋体"/>
          <w:sz w:val="24"/>
          <w:szCs w:val="24"/>
        </w:rPr>
        <w:t>认定该供应商以低于成本报价投标，其投标作无效标处理。</w:t>
      </w:r>
    </w:p>
    <w:p w14:paraId="03470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p>
    <w:p w14:paraId="6BE76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5001A6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91" w:name="_Toc389384087"/>
      <w:bookmarkEnd w:id="191"/>
      <w:bookmarkStart w:id="192" w:name="_Toc421805017"/>
      <w:bookmarkEnd w:id="192"/>
      <w:bookmarkStart w:id="193" w:name="_Toc401512224"/>
      <w:bookmarkEnd w:id="193"/>
      <w:bookmarkStart w:id="194" w:name="_Toc152042385"/>
      <w:bookmarkEnd w:id="194"/>
      <w:bookmarkStart w:id="195" w:name="_Toc387498748"/>
      <w:bookmarkEnd w:id="195"/>
      <w:bookmarkStart w:id="196" w:name="_Toc421698384"/>
      <w:bookmarkEnd w:id="196"/>
      <w:bookmarkStart w:id="197" w:name="_Toc423358132"/>
      <w:bookmarkEnd w:id="197"/>
      <w:bookmarkStart w:id="198" w:name="_Toc144974575"/>
      <w:bookmarkEnd w:id="198"/>
      <w:bookmarkStart w:id="199" w:name="_Toc466566711"/>
      <w:bookmarkEnd w:id="199"/>
      <w:bookmarkStart w:id="200" w:name="_Toc418608950"/>
      <w:bookmarkEnd w:id="200"/>
      <w:bookmarkStart w:id="201" w:name="_Toc418605429"/>
      <w:bookmarkEnd w:id="201"/>
      <w:bookmarkStart w:id="202" w:name="_Toc401926485"/>
      <w:bookmarkEnd w:id="202"/>
      <w:bookmarkStart w:id="203" w:name="_Toc179632625"/>
      <w:bookmarkEnd w:id="203"/>
      <w:bookmarkStart w:id="204" w:name="_Toc466566800"/>
      <w:bookmarkEnd w:id="204"/>
      <w:bookmarkStart w:id="205" w:name="_Toc152045607"/>
      <w:bookmarkStart w:id="206" w:name="_Toc16690672"/>
      <w:bookmarkStart w:id="207" w:name="_Toc38013564"/>
      <w:bookmarkStart w:id="208" w:name="_Toc28251239"/>
      <w:r>
        <w:rPr>
          <w:rFonts w:hint="eastAsia" w:ascii="宋体" w:hAnsi="宋体" w:eastAsia="宋体" w:cs="宋体"/>
          <w:b/>
          <w:bCs/>
          <w:sz w:val="24"/>
          <w:szCs w:val="24"/>
        </w:rPr>
        <w:t xml:space="preserve">3.3 </w:t>
      </w:r>
      <w:bookmarkEnd w:id="205"/>
      <w:r>
        <w:rPr>
          <w:rFonts w:hint="eastAsia" w:ascii="宋体" w:hAnsi="宋体" w:eastAsia="宋体" w:cs="宋体"/>
          <w:b/>
          <w:bCs/>
          <w:sz w:val="24"/>
          <w:szCs w:val="24"/>
        </w:rPr>
        <w:t>投标文件的澄清和补正</w:t>
      </w:r>
      <w:bookmarkEnd w:id="206"/>
      <w:bookmarkEnd w:id="207"/>
      <w:bookmarkEnd w:id="208"/>
    </w:p>
    <w:p w14:paraId="489E4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eastAsia="宋体" w:cs="宋体"/>
          <w:sz w:val="24"/>
          <w:szCs w:val="24"/>
          <w:lang w:eastAsia="zh-CN"/>
        </w:rPr>
        <w:t>评标委员会</w:t>
      </w:r>
      <w:r>
        <w:rPr>
          <w:rFonts w:hint="eastAsia" w:ascii="宋体" w:hAnsi="宋体" w:eastAsia="宋体" w:cs="宋体"/>
          <w:sz w:val="24"/>
          <w:szCs w:val="24"/>
        </w:rPr>
        <w:t>不接受供应商主动提出的澄清、说明或补正。</w:t>
      </w:r>
    </w:p>
    <w:p w14:paraId="7073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澄清、说明和补正不得改变投标文件的实质性内容（算术性错误修正的除外）。供应商的书面澄清、说明和补正属于投标文件的组成部分。</w:t>
      </w:r>
    </w:p>
    <w:p w14:paraId="3A5B0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3.3.3 </w:t>
      </w:r>
      <w:r>
        <w:rPr>
          <w:rFonts w:hint="eastAsia" w:ascii="宋体" w:hAnsi="宋体" w:eastAsia="宋体" w:cs="宋体"/>
          <w:sz w:val="24"/>
          <w:szCs w:val="24"/>
          <w:lang w:eastAsia="zh-CN"/>
        </w:rPr>
        <w:t>评标委员会</w:t>
      </w:r>
      <w:r>
        <w:rPr>
          <w:rFonts w:hint="eastAsia" w:ascii="宋体" w:hAnsi="宋体" w:eastAsia="宋体" w:cs="宋体"/>
          <w:sz w:val="24"/>
          <w:szCs w:val="24"/>
        </w:rPr>
        <w:t>对供应商提交的澄清、说明或补正有疑问的，可以要求供应商进一步澄清、说明或补正，直至满足</w:t>
      </w:r>
      <w:r>
        <w:rPr>
          <w:rFonts w:hint="eastAsia" w:ascii="宋体" w:hAnsi="宋体" w:eastAsia="宋体" w:cs="宋体"/>
          <w:sz w:val="24"/>
          <w:szCs w:val="24"/>
          <w:lang w:eastAsia="zh-CN"/>
        </w:rPr>
        <w:t>评标委员会</w:t>
      </w:r>
      <w:r>
        <w:rPr>
          <w:rFonts w:hint="eastAsia" w:ascii="宋体" w:hAnsi="宋体" w:eastAsia="宋体" w:cs="宋体"/>
          <w:sz w:val="24"/>
          <w:szCs w:val="24"/>
        </w:rPr>
        <w:t>的要求。</w:t>
      </w:r>
    </w:p>
    <w:p w14:paraId="05C4F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09" w:name="_Toc179632626"/>
      <w:bookmarkEnd w:id="209"/>
      <w:bookmarkStart w:id="210" w:name="_Toc421698385"/>
      <w:bookmarkEnd w:id="210"/>
      <w:bookmarkStart w:id="211" w:name="_Toc401512225"/>
      <w:bookmarkEnd w:id="211"/>
      <w:bookmarkStart w:id="212" w:name="_Toc418608951"/>
      <w:bookmarkEnd w:id="212"/>
      <w:bookmarkStart w:id="213" w:name="_Toc466566712"/>
      <w:bookmarkEnd w:id="213"/>
      <w:bookmarkStart w:id="214" w:name="_Toc421805018"/>
      <w:bookmarkEnd w:id="214"/>
      <w:bookmarkStart w:id="215" w:name="_Toc389384088"/>
      <w:bookmarkEnd w:id="215"/>
      <w:bookmarkStart w:id="216" w:name="_Toc418605430"/>
      <w:bookmarkEnd w:id="216"/>
      <w:bookmarkStart w:id="217" w:name="_Toc152045608"/>
      <w:bookmarkEnd w:id="217"/>
      <w:bookmarkStart w:id="218" w:name="_Toc401926486"/>
      <w:bookmarkEnd w:id="218"/>
      <w:bookmarkStart w:id="219" w:name="_Toc152042386"/>
      <w:bookmarkEnd w:id="219"/>
      <w:bookmarkStart w:id="220" w:name="_Toc423358133"/>
      <w:bookmarkEnd w:id="220"/>
      <w:bookmarkStart w:id="221" w:name="_Toc144974576"/>
      <w:bookmarkEnd w:id="221"/>
      <w:bookmarkStart w:id="222" w:name="_Toc466566801"/>
      <w:bookmarkEnd w:id="222"/>
      <w:bookmarkStart w:id="223" w:name="_Toc387498749"/>
      <w:bookmarkStart w:id="224" w:name="_Toc16690673"/>
      <w:bookmarkStart w:id="225" w:name="_Toc28251240"/>
      <w:bookmarkStart w:id="226" w:name="_Toc38013565"/>
      <w:r>
        <w:rPr>
          <w:rFonts w:hint="eastAsia" w:ascii="宋体" w:hAnsi="宋体" w:eastAsia="宋体" w:cs="宋体"/>
          <w:b/>
          <w:bCs/>
          <w:sz w:val="24"/>
          <w:szCs w:val="24"/>
        </w:rPr>
        <w:t>3.4供应商的总得分</w:t>
      </w:r>
      <w:bookmarkEnd w:id="223"/>
      <w:bookmarkEnd w:id="224"/>
      <w:bookmarkEnd w:id="225"/>
      <w:bookmarkEnd w:id="226"/>
    </w:p>
    <w:p w14:paraId="523FD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评标委员会</w:t>
      </w:r>
      <w:r>
        <w:rPr>
          <w:rFonts w:hint="eastAsia" w:ascii="宋体" w:hAnsi="宋体" w:eastAsia="宋体" w:cs="宋体"/>
          <w:sz w:val="24"/>
          <w:szCs w:val="24"/>
        </w:rPr>
        <w:t>完成对技术标、投标报价和商务标得分的汇总后，取平均值作为该供应商的最终得分。</w:t>
      </w:r>
    </w:p>
    <w:p w14:paraId="0C66B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4BE18D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27" w:name="_Toc28251241"/>
      <w:bookmarkStart w:id="228" w:name="_Toc38013566"/>
      <w:bookmarkStart w:id="229" w:name="_Toc16690674"/>
      <w:r>
        <w:rPr>
          <w:rFonts w:hint="eastAsia" w:ascii="宋体" w:hAnsi="宋体" w:eastAsia="宋体" w:cs="宋体"/>
          <w:b/>
          <w:bCs/>
          <w:sz w:val="24"/>
          <w:szCs w:val="24"/>
        </w:rPr>
        <w:t>3.5评标结果</w:t>
      </w:r>
      <w:bookmarkEnd w:id="227"/>
      <w:bookmarkEnd w:id="228"/>
      <w:bookmarkEnd w:id="229"/>
    </w:p>
    <w:p w14:paraId="5FF55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w:t>
      </w:r>
      <w:r>
        <w:rPr>
          <w:rFonts w:hint="eastAsia" w:ascii="宋体" w:hAnsi="宋体" w:eastAsia="宋体" w:cs="宋体"/>
          <w:sz w:val="24"/>
          <w:szCs w:val="24"/>
          <w:lang w:eastAsia="zh-CN"/>
        </w:rPr>
        <w:t>评标委员会</w:t>
      </w:r>
      <w:r>
        <w:rPr>
          <w:rFonts w:hint="eastAsia" w:ascii="宋体" w:hAnsi="宋体" w:eastAsia="宋体" w:cs="宋体"/>
          <w:sz w:val="24"/>
          <w:szCs w:val="24"/>
        </w:rPr>
        <w:t>按照得分由高到低的顺序推荐3名中标候选人。</w:t>
      </w:r>
    </w:p>
    <w:p w14:paraId="2C352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w:t>
      </w:r>
      <w:r>
        <w:rPr>
          <w:rFonts w:hint="eastAsia" w:ascii="宋体" w:hAnsi="宋体" w:eastAsia="宋体" w:cs="宋体"/>
          <w:sz w:val="24"/>
          <w:szCs w:val="24"/>
          <w:lang w:eastAsia="zh-CN"/>
        </w:rPr>
        <w:t>评标委员会</w:t>
      </w:r>
      <w:r>
        <w:rPr>
          <w:rFonts w:hint="eastAsia" w:ascii="宋体" w:hAnsi="宋体" w:eastAsia="宋体" w:cs="宋体"/>
          <w:sz w:val="24"/>
          <w:szCs w:val="24"/>
        </w:rPr>
        <w:t>完成评标后，应当向招标人提交书面评标报告。</w:t>
      </w:r>
      <w:bookmarkStart w:id="230" w:name="_Toc12961084"/>
      <w:bookmarkStart w:id="231" w:name="_Toc12959919"/>
    </w:p>
    <w:p w14:paraId="60BA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rPr>
      </w:pPr>
      <w:r>
        <w:rPr>
          <w:rFonts w:hint="eastAsia" w:ascii="宋体" w:hAnsi="宋体" w:eastAsia="宋体" w:cs="宋体"/>
          <w:sz w:val="24"/>
          <w:szCs w:val="24"/>
          <w:lang w:val="en-US" w:eastAsia="zh-CN"/>
        </w:rPr>
        <w:t>3.5.3评标报告应当由评标委员会全体人员签字认可。评标委员会成员对评标报告有异议的评标委员会按照少数服从多数的原则推荐中标候选人，招标程序继续进行。对评标报告有异议的评标委员会成员，应当在报告上签署不同意见并说明理由，由评标委员会书面记录相关情况。评标委员会成员拒绝在报告上签字又不书面说明其不同意见和理由的，视为同意评标报告。</w:t>
      </w:r>
    </w:p>
    <w:p w14:paraId="771E2B84">
      <w:pPr>
        <w:rPr>
          <w:rFonts w:hint="eastAsia" w:ascii="宋体" w:hAnsi="宋体" w:cs="宋体"/>
          <w:b/>
          <w:bCs/>
          <w:sz w:val="28"/>
          <w:szCs w:val="28"/>
        </w:rPr>
      </w:pPr>
      <w:r>
        <w:rPr>
          <w:rFonts w:hint="eastAsia" w:ascii="宋体" w:hAnsi="宋体" w:cs="宋体"/>
          <w:b/>
          <w:bCs/>
          <w:sz w:val="28"/>
          <w:szCs w:val="28"/>
        </w:rPr>
        <w:br w:type="page"/>
      </w:r>
    </w:p>
    <w:p w14:paraId="3B9B36D1">
      <w:pPr>
        <w:spacing w:line="480" w:lineRule="auto"/>
        <w:jc w:val="center"/>
        <w:rPr>
          <w:rFonts w:ascii="宋体" w:hAnsi="宋体"/>
          <w:b/>
          <w:sz w:val="28"/>
          <w:szCs w:val="28"/>
        </w:rPr>
      </w:pPr>
      <w:r>
        <w:rPr>
          <w:rFonts w:hint="eastAsia" w:ascii="宋体" w:hAnsi="宋体" w:cs="宋体"/>
          <w:b/>
          <w:bCs/>
          <w:sz w:val="28"/>
          <w:szCs w:val="28"/>
        </w:rPr>
        <w:t>初步评审表</w:t>
      </w:r>
      <w:bookmarkEnd w:id="230"/>
      <w:bookmarkEnd w:id="231"/>
    </w:p>
    <w:tbl>
      <w:tblPr>
        <w:tblStyle w:val="4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2160"/>
        <w:gridCol w:w="5252"/>
      </w:tblGrid>
      <w:tr w14:paraId="5717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0EEB7C2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2160" w:type="dxa"/>
            <w:tcBorders>
              <w:top w:val="single" w:color="auto" w:sz="4" w:space="0"/>
              <w:left w:val="nil"/>
              <w:bottom w:val="single" w:color="auto" w:sz="4" w:space="0"/>
              <w:right w:val="single" w:color="auto" w:sz="4" w:space="0"/>
            </w:tcBorders>
            <w:vAlign w:val="center"/>
          </w:tcPr>
          <w:p w14:paraId="260AFD84">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5252" w:type="dxa"/>
            <w:tcBorders>
              <w:top w:val="single" w:color="auto" w:sz="4" w:space="0"/>
              <w:left w:val="nil"/>
              <w:bottom w:val="single" w:color="auto" w:sz="4" w:space="0"/>
              <w:right w:val="single" w:color="auto" w:sz="4" w:space="0"/>
            </w:tcBorders>
            <w:vAlign w:val="center"/>
          </w:tcPr>
          <w:p w14:paraId="3AB6117D">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626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1" w:type="dxa"/>
            <w:vMerge w:val="restart"/>
            <w:tcBorders>
              <w:top w:val="nil"/>
              <w:left w:val="single" w:color="auto" w:sz="4" w:space="0"/>
              <w:bottom w:val="single" w:color="auto" w:sz="4" w:space="0"/>
              <w:right w:val="single" w:color="auto" w:sz="4" w:space="0"/>
            </w:tcBorders>
            <w:vAlign w:val="center"/>
          </w:tcPr>
          <w:p w14:paraId="5DAD15DF">
            <w:pPr>
              <w:spacing w:line="400" w:lineRule="exact"/>
              <w:jc w:val="center"/>
              <w:rPr>
                <w:rFonts w:ascii="宋体" w:hAnsi="宋体" w:cs="宋体"/>
                <w:sz w:val="24"/>
                <w:szCs w:val="24"/>
              </w:rPr>
            </w:pPr>
            <w:r>
              <w:rPr>
                <w:rFonts w:hint="eastAsia" w:ascii="宋体" w:hAnsi="宋体" w:cs="宋体"/>
                <w:sz w:val="24"/>
                <w:szCs w:val="24"/>
              </w:rPr>
              <w:t>2.1.1</w:t>
            </w:r>
          </w:p>
        </w:tc>
        <w:tc>
          <w:tcPr>
            <w:tcW w:w="745" w:type="dxa"/>
            <w:vMerge w:val="restart"/>
            <w:tcBorders>
              <w:top w:val="nil"/>
              <w:left w:val="nil"/>
              <w:bottom w:val="single" w:color="auto" w:sz="4" w:space="0"/>
              <w:right w:val="single" w:color="auto" w:sz="4" w:space="0"/>
            </w:tcBorders>
            <w:vAlign w:val="center"/>
          </w:tcPr>
          <w:p w14:paraId="0AA13361">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2160" w:type="dxa"/>
            <w:tcBorders>
              <w:top w:val="single" w:color="auto" w:sz="4" w:space="0"/>
              <w:left w:val="nil"/>
              <w:bottom w:val="single" w:color="auto" w:sz="4" w:space="0"/>
              <w:right w:val="single" w:color="auto" w:sz="4" w:space="0"/>
            </w:tcBorders>
            <w:vAlign w:val="center"/>
          </w:tcPr>
          <w:p w14:paraId="6A273D9A">
            <w:pPr>
              <w:spacing w:line="320" w:lineRule="exact"/>
              <w:jc w:val="center"/>
              <w:rPr>
                <w:rFonts w:ascii="宋体" w:hAnsi="宋体" w:cs="宋体"/>
                <w:sz w:val="24"/>
                <w:szCs w:val="24"/>
              </w:rPr>
            </w:pPr>
            <w:r>
              <w:rPr>
                <w:rFonts w:hint="eastAsia" w:ascii="宋体" w:hAnsi="宋体" w:cs="宋体"/>
                <w:sz w:val="24"/>
                <w:szCs w:val="24"/>
              </w:rPr>
              <w:t>供应商名称</w:t>
            </w:r>
          </w:p>
        </w:tc>
        <w:tc>
          <w:tcPr>
            <w:tcW w:w="5252" w:type="dxa"/>
            <w:tcBorders>
              <w:top w:val="single" w:color="auto" w:sz="4" w:space="0"/>
              <w:left w:val="nil"/>
              <w:bottom w:val="single" w:color="auto" w:sz="4" w:space="0"/>
              <w:right w:val="single" w:color="auto" w:sz="4" w:space="0"/>
            </w:tcBorders>
            <w:vAlign w:val="center"/>
          </w:tcPr>
          <w:p w14:paraId="607EE5CB">
            <w:pPr>
              <w:jc w:val="left"/>
              <w:rPr>
                <w:rFonts w:ascii="宋体" w:hAnsi="宋体" w:cs="宋体"/>
                <w:sz w:val="24"/>
                <w:szCs w:val="24"/>
              </w:rPr>
            </w:pPr>
            <w:r>
              <w:rPr>
                <w:rFonts w:hint="eastAsia" w:ascii="宋体" w:hAnsi="宋体" w:cs="宋体"/>
                <w:sz w:val="24"/>
                <w:szCs w:val="24"/>
              </w:rPr>
              <w:t>与营业执照、组织机构代码证、税务登记证（或三证合一营业执照）一致</w:t>
            </w:r>
          </w:p>
        </w:tc>
      </w:tr>
      <w:tr w14:paraId="1BB5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1" w:type="dxa"/>
            <w:vMerge w:val="continue"/>
            <w:tcBorders>
              <w:top w:val="nil"/>
              <w:left w:val="single" w:color="auto" w:sz="4" w:space="0"/>
              <w:bottom w:val="single" w:color="auto" w:sz="4" w:space="0"/>
              <w:right w:val="single" w:color="auto" w:sz="4" w:space="0"/>
            </w:tcBorders>
            <w:vAlign w:val="center"/>
          </w:tcPr>
          <w:p w14:paraId="1BB5DC33">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0A90BAE1">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89698F">
            <w:pPr>
              <w:spacing w:line="320" w:lineRule="exact"/>
              <w:jc w:val="center"/>
              <w:rPr>
                <w:rFonts w:ascii="宋体" w:hAnsi="宋体" w:cs="宋体"/>
                <w:sz w:val="24"/>
                <w:szCs w:val="24"/>
              </w:rPr>
            </w:pPr>
            <w:r>
              <w:rPr>
                <w:rFonts w:hint="eastAsia" w:ascii="宋体" w:hAnsi="宋体" w:cs="宋体"/>
                <w:sz w:val="24"/>
              </w:rPr>
              <w:t>投标文件签字盖章</w:t>
            </w:r>
          </w:p>
        </w:tc>
        <w:tc>
          <w:tcPr>
            <w:tcW w:w="5252" w:type="dxa"/>
            <w:tcBorders>
              <w:top w:val="single" w:color="auto" w:sz="4" w:space="0"/>
              <w:left w:val="nil"/>
              <w:bottom w:val="single" w:color="auto" w:sz="4" w:space="0"/>
              <w:right w:val="single" w:color="auto" w:sz="4" w:space="0"/>
            </w:tcBorders>
            <w:vAlign w:val="center"/>
          </w:tcPr>
          <w:p w14:paraId="18631329">
            <w:pPr>
              <w:jc w:val="left"/>
              <w:rPr>
                <w:rFonts w:ascii="宋体" w:hAnsi="宋体" w:cs="宋体"/>
                <w:sz w:val="24"/>
                <w:szCs w:val="24"/>
              </w:rPr>
            </w:pPr>
            <w:r>
              <w:rPr>
                <w:rFonts w:hint="eastAsia" w:ascii="宋体" w:hAnsi="宋体"/>
                <w:color w:val="000000" w:themeColor="text1"/>
                <w:sz w:val="24"/>
                <w:szCs w:val="24"/>
                <w14:textFill>
                  <w14:solidFill>
                    <w14:schemeClr w14:val="tx1"/>
                  </w14:solidFill>
                </w14:textFill>
              </w:rPr>
              <w:t>符合招标文件要求</w:t>
            </w:r>
          </w:p>
        </w:tc>
      </w:tr>
      <w:tr w14:paraId="5C7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1" w:type="dxa"/>
            <w:vMerge w:val="continue"/>
            <w:tcBorders>
              <w:top w:val="nil"/>
              <w:left w:val="single" w:color="auto" w:sz="4" w:space="0"/>
              <w:bottom w:val="single" w:color="auto" w:sz="4" w:space="0"/>
              <w:right w:val="single" w:color="auto" w:sz="4" w:space="0"/>
            </w:tcBorders>
            <w:vAlign w:val="center"/>
          </w:tcPr>
          <w:p w14:paraId="62B4AAE5">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7F5A95CC">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70A08EE">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5252" w:type="dxa"/>
            <w:tcBorders>
              <w:top w:val="single" w:color="auto" w:sz="4" w:space="0"/>
              <w:left w:val="nil"/>
              <w:bottom w:val="single" w:color="auto" w:sz="4" w:space="0"/>
              <w:right w:val="single" w:color="auto" w:sz="4" w:space="0"/>
            </w:tcBorders>
            <w:vAlign w:val="center"/>
          </w:tcPr>
          <w:p w14:paraId="15457FA2">
            <w:pPr>
              <w:jc w:val="left"/>
              <w:rPr>
                <w:rFonts w:ascii="宋体" w:hAnsi="宋体" w:cs="宋体"/>
                <w:sz w:val="24"/>
                <w:szCs w:val="24"/>
              </w:rPr>
            </w:pPr>
            <w:r>
              <w:rPr>
                <w:rFonts w:hint="eastAsia" w:ascii="宋体" w:hAnsi="宋体" w:cs="宋体"/>
                <w:sz w:val="24"/>
                <w:szCs w:val="24"/>
              </w:rPr>
              <w:t>投标招标文件要求，符合“投标文件格式”的要求</w:t>
            </w:r>
          </w:p>
        </w:tc>
      </w:tr>
      <w:tr w14:paraId="38E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41" w:type="dxa"/>
            <w:vMerge w:val="continue"/>
            <w:tcBorders>
              <w:top w:val="nil"/>
              <w:left w:val="single" w:color="auto" w:sz="4" w:space="0"/>
              <w:bottom w:val="single" w:color="auto" w:sz="4" w:space="0"/>
              <w:right w:val="single" w:color="auto" w:sz="4" w:space="0"/>
            </w:tcBorders>
            <w:vAlign w:val="center"/>
          </w:tcPr>
          <w:p w14:paraId="7E1E7A5C">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60A0F363">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3DCA08C">
            <w:pPr>
              <w:spacing w:line="320" w:lineRule="exact"/>
              <w:jc w:val="center"/>
              <w:rPr>
                <w:rFonts w:ascii="宋体" w:hAnsi="宋体" w:cs="宋体"/>
                <w:sz w:val="24"/>
                <w:szCs w:val="24"/>
              </w:rPr>
            </w:pPr>
            <w:r>
              <w:rPr>
                <w:rFonts w:hint="eastAsia" w:ascii="宋体" w:hAnsi="宋体" w:cs="宋体"/>
                <w:sz w:val="24"/>
                <w:szCs w:val="24"/>
              </w:rPr>
              <w:t>报价唯一</w:t>
            </w:r>
          </w:p>
        </w:tc>
        <w:tc>
          <w:tcPr>
            <w:tcW w:w="5252" w:type="dxa"/>
            <w:tcBorders>
              <w:top w:val="single" w:color="auto" w:sz="4" w:space="0"/>
              <w:left w:val="nil"/>
              <w:bottom w:val="single" w:color="auto" w:sz="4" w:space="0"/>
              <w:right w:val="single" w:color="auto" w:sz="4" w:space="0"/>
            </w:tcBorders>
            <w:vAlign w:val="center"/>
          </w:tcPr>
          <w:p w14:paraId="6C57D778">
            <w:pPr>
              <w:jc w:val="left"/>
              <w:rPr>
                <w:rFonts w:ascii="宋体" w:hAnsi="宋体" w:cs="宋体"/>
                <w:sz w:val="24"/>
                <w:szCs w:val="24"/>
              </w:rPr>
            </w:pPr>
            <w:r>
              <w:rPr>
                <w:rFonts w:hint="eastAsia" w:ascii="宋体" w:hAnsi="宋体" w:cs="宋体"/>
                <w:sz w:val="24"/>
                <w:szCs w:val="24"/>
              </w:rPr>
              <w:t>只能有一个有效投标报价</w:t>
            </w:r>
          </w:p>
        </w:tc>
      </w:tr>
      <w:tr w14:paraId="52FC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738AB3C">
            <w:pPr>
              <w:spacing w:line="400" w:lineRule="exact"/>
              <w:jc w:val="center"/>
              <w:rPr>
                <w:rFonts w:ascii="宋体" w:hAnsi="宋体" w:cs="宋体"/>
                <w:sz w:val="24"/>
                <w:szCs w:val="24"/>
              </w:rPr>
            </w:pPr>
            <w:r>
              <w:rPr>
                <w:rFonts w:hint="eastAsia" w:ascii="宋体" w:hAnsi="宋体" w:cs="宋体"/>
                <w:sz w:val="24"/>
                <w:szCs w:val="24"/>
              </w:rPr>
              <w:t>2.1.2</w:t>
            </w:r>
          </w:p>
        </w:tc>
        <w:tc>
          <w:tcPr>
            <w:tcW w:w="745" w:type="dxa"/>
            <w:vMerge w:val="restart"/>
            <w:tcBorders>
              <w:top w:val="nil"/>
              <w:left w:val="nil"/>
              <w:right w:val="single" w:color="auto" w:sz="4" w:space="0"/>
            </w:tcBorders>
            <w:vAlign w:val="center"/>
          </w:tcPr>
          <w:p w14:paraId="2877BF4F">
            <w:pPr>
              <w:spacing w:line="400" w:lineRule="exact"/>
              <w:jc w:val="center"/>
              <w:rPr>
                <w:rFonts w:ascii="宋体" w:hAnsi="宋体" w:cs="宋体"/>
                <w:color w:val="auto"/>
                <w:sz w:val="24"/>
                <w:szCs w:val="24"/>
              </w:rPr>
            </w:pPr>
            <w:r>
              <w:rPr>
                <w:rFonts w:hint="eastAsia" w:ascii="宋体" w:hAnsi="宋体" w:cs="宋体"/>
                <w:color w:val="auto"/>
                <w:sz w:val="24"/>
                <w:szCs w:val="24"/>
              </w:rPr>
              <w:t>资格 评审</w:t>
            </w:r>
          </w:p>
          <w:p w14:paraId="79FA3813">
            <w:pPr>
              <w:spacing w:line="400" w:lineRule="exact"/>
              <w:jc w:val="center"/>
              <w:rPr>
                <w:rFonts w:ascii="宋体" w:hAnsi="宋体" w:cs="宋体"/>
                <w:sz w:val="24"/>
                <w:szCs w:val="24"/>
              </w:rPr>
            </w:pPr>
            <w:r>
              <w:rPr>
                <w:rFonts w:hint="eastAsia" w:ascii="宋体" w:hAnsi="宋体" w:cs="宋体"/>
                <w:color w:val="auto"/>
                <w:sz w:val="24"/>
                <w:szCs w:val="24"/>
              </w:rPr>
              <w:t>标准</w:t>
            </w:r>
          </w:p>
        </w:tc>
        <w:tc>
          <w:tcPr>
            <w:tcW w:w="2160" w:type="dxa"/>
            <w:tcBorders>
              <w:top w:val="single" w:color="auto" w:sz="4" w:space="0"/>
              <w:left w:val="nil"/>
              <w:bottom w:val="single" w:color="auto" w:sz="4" w:space="0"/>
              <w:right w:val="single" w:color="auto" w:sz="4" w:space="0"/>
            </w:tcBorders>
            <w:vAlign w:val="center"/>
          </w:tcPr>
          <w:p w14:paraId="034854B6">
            <w:pPr>
              <w:spacing w:line="320" w:lineRule="exact"/>
              <w:jc w:val="center"/>
              <w:rPr>
                <w:rFonts w:ascii="宋体" w:hAnsi="宋体" w:cs="宋体"/>
                <w:sz w:val="24"/>
                <w:szCs w:val="24"/>
              </w:rPr>
            </w:pPr>
            <w:r>
              <w:rPr>
                <w:rFonts w:hint="eastAsia" w:ascii="宋体" w:hAnsi="宋体" w:cs="宋体"/>
                <w:sz w:val="24"/>
                <w:szCs w:val="24"/>
                <w:lang w:val="zh-TW"/>
              </w:rPr>
              <w:t>供应商必须符合《中华人民共和国政府采购法》第二十二条的规定</w:t>
            </w:r>
          </w:p>
        </w:tc>
        <w:tc>
          <w:tcPr>
            <w:tcW w:w="5252" w:type="dxa"/>
            <w:tcBorders>
              <w:top w:val="single" w:color="auto" w:sz="4" w:space="0"/>
              <w:left w:val="nil"/>
              <w:bottom w:val="single" w:color="auto" w:sz="4" w:space="0"/>
              <w:right w:val="single" w:color="auto" w:sz="4" w:space="0"/>
            </w:tcBorders>
            <w:vAlign w:val="center"/>
          </w:tcPr>
          <w:p w14:paraId="0D2C7B34">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提供相关资料或承诺书。</w:t>
            </w:r>
          </w:p>
        </w:tc>
      </w:tr>
      <w:tr w14:paraId="7E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28E4202C">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6EA4081">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08792E21">
            <w:pPr>
              <w:spacing w:line="320" w:lineRule="exact"/>
              <w:jc w:val="center"/>
              <w:rPr>
                <w:rFonts w:hint="eastAsia" w:ascii="宋体" w:hAnsi="宋体" w:cs="宋体"/>
                <w:sz w:val="24"/>
                <w:szCs w:val="24"/>
              </w:rPr>
            </w:pPr>
            <w:r>
              <w:rPr>
                <w:rFonts w:hint="eastAsia" w:ascii="宋体" w:hAnsi="宋体" w:cs="宋体"/>
                <w:sz w:val="24"/>
                <w:szCs w:val="24"/>
              </w:rPr>
              <w:t>营业执照</w:t>
            </w:r>
          </w:p>
        </w:tc>
        <w:tc>
          <w:tcPr>
            <w:tcW w:w="5252" w:type="dxa"/>
            <w:tcBorders>
              <w:top w:val="single" w:color="auto" w:sz="4" w:space="0"/>
              <w:left w:val="nil"/>
              <w:bottom w:val="single" w:color="auto" w:sz="4" w:space="0"/>
              <w:right w:val="single" w:color="auto" w:sz="4" w:space="0"/>
            </w:tcBorders>
            <w:vAlign w:val="center"/>
          </w:tcPr>
          <w:p w14:paraId="099717BA">
            <w:pPr>
              <w:jc w:val="left"/>
              <w:rPr>
                <w:rFonts w:hint="eastAsia" w:ascii="宋体" w:hAnsi="宋体" w:cs="宋体"/>
                <w:sz w:val="24"/>
                <w:szCs w:val="24"/>
              </w:rPr>
            </w:pPr>
            <w:r>
              <w:rPr>
                <w:rFonts w:hint="eastAsia" w:ascii="宋体" w:hAnsi="宋体" w:cs="宋体"/>
                <w:sz w:val="24"/>
                <w:szCs w:val="24"/>
                <w:lang w:eastAsia="zh-CN"/>
              </w:rPr>
              <w:t>投标供应商须具有合法有效的营业执照。</w:t>
            </w:r>
          </w:p>
        </w:tc>
      </w:tr>
      <w:tr w14:paraId="47EB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1" w:type="dxa"/>
            <w:vMerge w:val="continue"/>
            <w:tcBorders>
              <w:left w:val="single" w:color="auto" w:sz="4" w:space="0"/>
              <w:right w:val="single" w:color="auto" w:sz="4" w:space="0"/>
            </w:tcBorders>
            <w:vAlign w:val="center"/>
          </w:tcPr>
          <w:p w14:paraId="7CDE6336">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101AA72A">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EEE5753">
            <w:pPr>
              <w:spacing w:line="320" w:lineRule="exact"/>
              <w:jc w:val="center"/>
              <w:rPr>
                <w:rFonts w:ascii="宋体" w:hAnsi="宋体" w:cs="宋体"/>
                <w:sz w:val="24"/>
                <w:szCs w:val="24"/>
              </w:rPr>
            </w:pPr>
            <w:r>
              <w:rPr>
                <w:rFonts w:hint="eastAsia" w:ascii="宋体" w:hAnsi="宋体" w:cs="宋体"/>
                <w:sz w:val="24"/>
                <w:szCs w:val="24"/>
              </w:rPr>
              <w:t>信用查询</w:t>
            </w:r>
          </w:p>
        </w:tc>
        <w:tc>
          <w:tcPr>
            <w:tcW w:w="5252" w:type="dxa"/>
            <w:tcBorders>
              <w:top w:val="single" w:color="auto" w:sz="4" w:space="0"/>
              <w:left w:val="nil"/>
              <w:bottom w:val="single" w:color="auto" w:sz="4" w:space="0"/>
              <w:right w:val="single" w:color="auto" w:sz="4" w:space="0"/>
            </w:tcBorders>
            <w:vAlign w:val="center"/>
          </w:tcPr>
          <w:p w14:paraId="4B0FC19A">
            <w:pPr>
              <w:jc w:val="left"/>
              <w:rPr>
                <w:rFonts w:hint="default" w:ascii="宋体" w:hAnsi="宋体" w:cs="宋体"/>
                <w:sz w:val="24"/>
                <w:szCs w:val="24"/>
                <w:lang w:val="en-US"/>
              </w:rPr>
            </w:pPr>
            <w:r>
              <w:rPr>
                <w:rFonts w:hint="eastAsia" w:ascii="宋体" w:hAnsi="宋体" w:cs="宋体"/>
                <w:sz w:val="24"/>
                <w:szCs w:val="24"/>
                <w:lang w:val="en-US" w:eastAsia="zh-CN"/>
              </w:rPr>
              <w:t>按要求提供</w:t>
            </w:r>
            <w:r>
              <w:rPr>
                <w:rFonts w:hint="eastAsia" w:ascii="宋体" w:hAnsi="宋体" w:cs="宋体"/>
                <w:sz w:val="24"/>
                <w:szCs w:val="24"/>
                <w:lang w:val="zh-TW" w:eastAsia="zh-CN"/>
              </w:rPr>
              <w:t>失信被执行人、重大税收违法失信主体、政府采购严重违法失信行为</w:t>
            </w:r>
            <w:r>
              <w:rPr>
                <w:rFonts w:hint="eastAsia" w:ascii="宋体" w:hAnsi="宋体" w:cs="宋体"/>
                <w:sz w:val="24"/>
                <w:szCs w:val="24"/>
                <w:lang w:val="en-US" w:eastAsia="zh-CN"/>
              </w:rPr>
              <w:t>记录名单的查询截图。</w:t>
            </w:r>
          </w:p>
        </w:tc>
      </w:tr>
      <w:tr w14:paraId="57C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41" w:type="dxa"/>
            <w:vMerge w:val="continue"/>
            <w:tcBorders>
              <w:left w:val="single" w:color="auto" w:sz="4" w:space="0"/>
              <w:right w:val="single" w:color="auto" w:sz="4" w:space="0"/>
            </w:tcBorders>
            <w:vAlign w:val="center"/>
          </w:tcPr>
          <w:p w14:paraId="1C5C5DE2">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052C336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A9F9F2E">
            <w:pPr>
              <w:spacing w:line="320" w:lineRule="exact"/>
              <w:jc w:val="center"/>
              <w:rPr>
                <w:rFonts w:ascii="宋体" w:hAnsi="宋体" w:cs="宋体"/>
                <w:sz w:val="24"/>
                <w:szCs w:val="24"/>
              </w:rPr>
            </w:pPr>
            <w:r>
              <w:rPr>
                <w:rFonts w:hint="eastAsia" w:ascii="宋体" w:hAnsi="宋体"/>
                <w:color w:val="000000" w:themeColor="text1"/>
                <w:kern w:val="0"/>
                <w:sz w:val="24"/>
                <w:szCs w:val="24"/>
                <w14:textFill>
                  <w14:solidFill>
                    <w14:schemeClr w14:val="tx1"/>
                  </w14:solidFill>
                </w14:textFill>
              </w:rPr>
              <w:t>无商业贿赂</w:t>
            </w:r>
            <w:r>
              <w:rPr>
                <w:rFonts w:hint="eastAsia" w:ascii="宋体" w:hAnsi="宋体"/>
                <w:color w:val="000000" w:themeColor="text1"/>
                <w:kern w:val="0"/>
                <w:sz w:val="24"/>
                <w:szCs w:val="24"/>
                <w:lang w:val="en-US" w:eastAsia="zh-CN"/>
                <w14:textFill>
                  <w14:solidFill>
                    <w14:schemeClr w14:val="tx1"/>
                  </w14:solidFill>
                </w14:textFill>
              </w:rPr>
              <w:t>及</w:t>
            </w:r>
            <w:r>
              <w:rPr>
                <w:rFonts w:hint="eastAsia" w:ascii="宋体" w:hAnsi="宋体"/>
                <w:color w:val="000000" w:themeColor="text1"/>
                <w:kern w:val="0"/>
                <w:sz w:val="24"/>
                <w:szCs w:val="24"/>
                <w14:textFill>
                  <w14:solidFill>
                    <w14:schemeClr w14:val="tx1"/>
                  </w14:solidFill>
                </w14:textFill>
              </w:rPr>
              <w:t>不正当竞争行为承诺书</w:t>
            </w:r>
          </w:p>
        </w:tc>
        <w:tc>
          <w:tcPr>
            <w:tcW w:w="5252" w:type="dxa"/>
            <w:tcBorders>
              <w:top w:val="single" w:color="auto" w:sz="4" w:space="0"/>
              <w:left w:val="nil"/>
              <w:bottom w:val="single" w:color="auto" w:sz="4" w:space="0"/>
              <w:right w:val="single" w:color="auto" w:sz="4" w:space="0"/>
            </w:tcBorders>
            <w:vAlign w:val="center"/>
          </w:tcPr>
          <w:p w14:paraId="6AE7E380">
            <w:pPr>
              <w:jc w:val="left"/>
              <w:rPr>
                <w:rFonts w:ascii="宋体" w:hAnsi="宋体" w:cs="宋体"/>
                <w:sz w:val="24"/>
                <w:szCs w:val="24"/>
              </w:rPr>
            </w:pPr>
            <w:r>
              <w:rPr>
                <w:rFonts w:hint="eastAsia" w:ascii="宋体" w:hAnsi="宋体" w:cs="宋体"/>
                <w:sz w:val="24"/>
                <w:szCs w:val="24"/>
                <w:lang w:val="zh-TW" w:eastAsia="zh-CN"/>
              </w:rPr>
              <w:t>供应商须出具本企业无商业贿赂</w:t>
            </w:r>
            <w:r>
              <w:rPr>
                <w:rFonts w:hint="eastAsia" w:ascii="宋体" w:hAnsi="宋体" w:cs="宋体"/>
                <w:sz w:val="24"/>
                <w:szCs w:val="24"/>
                <w:lang w:val="en-US" w:eastAsia="zh-CN"/>
              </w:rPr>
              <w:t>及</w:t>
            </w:r>
            <w:r>
              <w:rPr>
                <w:rFonts w:hint="eastAsia" w:ascii="宋体" w:hAnsi="宋体" w:cs="宋体"/>
                <w:sz w:val="24"/>
                <w:szCs w:val="24"/>
                <w:lang w:val="zh-TW" w:eastAsia="zh-CN"/>
              </w:rPr>
              <w:t>不正当竞争行为承诺书（格式自拟）。</w:t>
            </w:r>
          </w:p>
        </w:tc>
      </w:tr>
      <w:tr w14:paraId="083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41" w:type="dxa"/>
            <w:vMerge w:val="continue"/>
            <w:tcBorders>
              <w:left w:val="single" w:color="auto" w:sz="4" w:space="0"/>
              <w:right w:val="single" w:color="auto" w:sz="4" w:space="0"/>
            </w:tcBorders>
            <w:vAlign w:val="center"/>
          </w:tcPr>
          <w:p w14:paraId="33446448">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535DCCC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4A4EA23F">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企业控股和管理关系</w:t>
            </w:r>
          </w:p>
        </w:tc>
        <w:tc>
          <w:tcPr>
            <w:tcW w:w="5252" w:type="dxa"/>
            <w:tcBorders>
              <w:top w:val="single" w:color="auto" w:sz="4" w:space="0"/>
              <w:left w:val="nil"/>
              <w:bottom w:val="single" w:color="auto" w:sz="4" w:space="0"/>
              <w:right w:val="single" w:color="auto" w:sz="4" w:space="0"/>
            </w:tcBorders>
            <w:vAlign w:val="center"/>
          </w:tcPr>
          <w:p w14:paraId="3887FB25">
            <w:pPr>
              <w:jc w:val="both"/>
              <w:rPr>
                <w:rFonts w:hint="eastAsia" w:ascii="宋体" w:hAnsi="宋体" w:cs="宋体"/>
                <w:sz w:val="24"/>
                <w:szCs w:val="24"/>
                <w:lang w:val="zh-TW" w:eastAsia="zh-CN"/>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sz w:val="24"/>
                <w:szCs w:val="24"/>
                <w:lang w:val="zh-TW" w:eastAsia="zh-CN"/>
              </w:rPr>
              <w:t>。</w:t>
            </w:r>
          </w:p>
        </w:tc>
      </w:tr>
      <w:tr w14:paraId="4DF9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41" w:type="dxa"/>
            <w:vMerge w:val="continue"/>
            <w:tcBorders>
              <w:left w:val="single" w:color="auto" w:sz="4" w:space="0"/>
              <w:bottom w:val="single" w:color="auto" w:sz="4" w:space="0"/>
              <w:right w:val="single" w:color="auto" w:sz="4" w:space="0"/>
            </w:tcBorders>
            <w:vAlign w:val="center"/>
          </w:tcPr>
          <w:p w14:paraId="1219A9E5">
            <w:pPr>
              <w:widowControl/>
              <w:jc w:val="left"/>
              <w:rPr>
                <w:rFonts w:ascii="宋体" w:hAnsi="宋体" w:cs="宋体"/>
                <w:sz w:val="24"/>
                <w:szCs w:val="24"/>
              </w:rPr>
            </w:pPr>
          </w:p>
        </w:tc>
        <w:tc>
          <w:tcPr>
            <w:tcW w:w="745" w:type="dxa"/>
            <w:vMerge w:val="continue"/>
            <w:tcBorders>
              <w:left w:val="nil"/>
              <w:bottom w:val="single" w:color="auto" w:sz="4" w:space="0"/>
              <w:right w:val="single" w:color="auto" w:sz="4" w:space="0"/>
            </w:tcBorders>
            <w:vAlign w:val="center"/>
          </w:tcPr>
          <w:p w14:paraId="37E859F6">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D9CFC5A">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非联合体投标声明</w:t>
            </w:r>
            <w:bookmarkStart w:id="313" w:name="_GoBack"/>
            <w:bookmarkEnd w:id="313"/>
          </w:p>
        </w:tc>
        <w:tc>
          <w:tcPr>
            <w:tcW w:w="5252" w:type="dxa"/>
            <w:tcBorders>
              <w:top w:val="single" w:color="auto" w:sz="4" w:space="0"/>
              <w:left w:val="nil"/>
              <w:bottom w:val="single" w:color="auto" w:sz="4" w:space="0"/>
              <w:right w:val="single" w:color="auto" w:sz="4" w:space="0"/>
            </w:tcBorders>
            <w:vAlign w:val="center"/>
          </w:tcPr>
          <w:p w14:paraId="223C7BE2">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olor w:val="000000" w:themeColor="text1"/>
                <w:kern w:val="0"/>
                <w:sz w:val="24"/>
                <w:szCs w:val="24"/>
                <w:lang w:val="en-US" w:eastAsia="zh-CN"/>
                <w14:textFill>
                  <w14:solidFill>
                    <w14:schemeClr w14:val="tx1"/>
                  </w14:solidFill>
                </w14:textFill>
              </w:rPr>
              <w:t>非联合体投标声明，格式自拟。</w:t>
            </w:r>
          </w:p>
        </w:tc>
      </w:tr>
      <w:tr w14:paraId="774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restart"/>
            <w:tcBorders>
              <w:top w:val="nil"/>
              <w:left w:val="single" w:color="auto" w:sz="4" w:space="0"/>
              <w:bottom w:val="single" w:color="auto" w:sz="4" w:space="0"/>
              <w:right w:val="single" w:color="auto" w:sz="4" w:space="0"/>
            </w:tcBorders>
            <w:vAlign w:val="center"/>
          </w:tcPr>
          <w:p w14:paraId="3C76427E">
            <w:pPr>
              <w:rPr>
                <w:rFonts w:ascii="宋体" w:hAnsi="宋体" w:cs="宋体"/>
                <w:sz w:val="24"/>
                <w:szCs w:val="24"/>
              </w:rPr>
            </w:pPr>
            <w:r>
              <w:rPr>
                <w:rFonts w:hint="eastAsia" w:ascii="宋体" w:hAnsi="宋体" w:cs="宋体"/>
                <w:sz w:val="24"/>
                <w:szCs w:val="24"/>
              </w:rPr>
              <w:t>2.1.3</w:t>
            </w:r>
          </w:p>
        </w:tc>
        <w:tc>
          <w:tcPr>
            <w:tcW w:w="745" w:type="dxa"/>
            <w:vMerge w:val="restart"/>
            <w:tcBorders>
              <w:top w:val="single" w:color="auto" w:sz="4" w:space="0"/>
              <w:left w:val="nil"/>
              <w:bottom w:val="single" w:color="auto" w:sz="4" w:space="0"/>
              <w:right w:val="single" w:color="auto" w:sz="4" w:space="0"/>
            </w:tcBorders>
            <w:vAlign w:val="center"/>
          </w:tcPr>
          <w:p w14:paraId="3F14F4BC">
            <w:pPr>
              <w:jc w:val="center"/>
              <w:rPr>
                <w:rFonts w:ascii="宋体" w:hAnsi="宋体" w:cs="宋体"/>
                <w:sz w:val="24"/>
                <w:szCs w:val="24"/>
              </w:rPr>
            </w:pPr>
            <w:r>
              <w:rPr>
                <w:rFonts w:hint="eastAsia" w:ascii="宋体" w:hAnsi="宋体" w:cs="宋体"/>
                <w:sz w:val="24"/>
                <w:szCs w:val="24"/>
              </w:rPr>
              <w:t>响</w:t>
            </w:r>
          </w:p>
          <w:p w14:paraId="71260565">
            <w:pPr>
              <w:jc w:val="center"/>
              <w:rPr>
                <w:rFonts w:ascii="宋体" w:hAnsi="宋体" w:cs="宋体"/>
                <w:sz w:val="24"/>
                <w:szCs w:val="24"/>
              </w:rPr>
            </w:pPr>
            <w:r>
              <w:rPr>
                <w:rFonts w:hint="eastAsia" w:ascii="宋体" w:hAnsi="宋体" w:cs="宋体"/>
                <w:sz w:val="24"/>
                <w:szCs w:val="24"/>
              </w:rPr>
              <w:t>应</w:t>
            </w:r>
          </w:p>
          <w:p w14:paraId="184BB8DB">
            <w:pPr>
              <w:jc w:val="center"/>
              <w:rPr>
                <w:rFonts w:ascii="宋体" w:hAnsi="宋体" w:cs="宋体"/>
                <w:sz w:val="24"/>
                <w:szCs w:val="24"/>
              </w:rPr>
            </w:pPr>
            <w:r>
              <w:rPr>
                <w:rFonts w:hint="eastAsia" w:ascii="宋体" w:hAnsi="宋体" w:cs="宋体"/>
                <w:sz w:val="24"/>
                <w:szCs w:val="24"/>
              </w:rPr>
              <w:t>性</w:t>
            </w:r>
          </w:p>
          <w:p w14:paraId="7A103244">
            <w:pPr>
              <w:jc w:val="center"/>
              <w:rPr>
                <w:rFonts w:ascii="宋体" w:hAnsi="宋体" w:cs="宋体"/>
                <w:sz w:val="24"/>
                <w:szCs w:val="24"/>
              </w:rPr>
            </w:pPr>
            <w:r>
              <w:rPr>
                <w:rFonts w:hint="eastAsia" w:ascii="宋体" w:hAnsi="宋体" w:cs="宋体"/>
                <w:sz w:val="24"/>
                <w:szCs w:val="24"/>
              </w:rPr>
              <w:t>评</w:t>
            </w:r>
          </w:p>
          <w:p w14:paraId="30D37322">
            <w:pPr>
              <w:jc w:val="center"/>
              <w:rPr>
                <w:rFonts w:ascii="宋体" w:hAnsi="宋体" w:cs="宋体"/>
                <w:sz w:val="24"/>
                <w:szCs w:val="24"/>
              </w:rPr>
            </w:pPr>
            <w:r>
              <w:rPr>
                <w:rFonts w:hint="eastAsia" w:ascii="宋体" w:hAnsi="宋体" w:cs="宋体"/>
                <w:sz w:val="24"/>
                <w:szCs w:val="24"/>
              </w:rPr>
              <w:t>审</w:t>
            </w:r>
          </w:p>
        </w:tc>
        <w:tc>
          <w:tcPr>
            <w:tcW w:w="2160" w:type="dxa"/>
            <w:tcBorders>
              <w:top w:val="single" w:color="auto" w:sz="4" w:space="0"/>
              <w:left w:val="nil"/>
              <w:bottom w:val="single" w:color="auto" w:sz="4" w:space="0"/>
              <w:right w:val="single" w:color="auto" w:sz="4" w:space="0"/>
            </w:tcBorders>
            <w:vAlign w:val="center"/>
          </w:tcPr>
          <w:p w14:paraId="4CC70BDA">
            <w:pPr>
              <w:jc w:val="center"/>
              <w:rPr>
                <w:rFonts w:ascii="宋体" w:hAnsi="宋体" w:cs="宋体"/>
                <w:sz w:val="24"/>
                <w:szCs w:val="24"/>
              </w:rPr>
            </w:pPr>
            <w:r>
              <w:rPr>
                <w:rFonts w:hint="eastAsia" w:ascii="宋体" w:hAnsi="宋体" w:cs="宋体"/>
                <w:sz w:val="24"/>
                <w:szCs w:val="24"/>
              </w:rPr>
              <w:t>投标内容</w:t>
            </w:r>
          </w:p>
        </w:tc>
        <w:tc>
          <w:tcPr>
            <w:tcW w:w="5252" w:type="dxa"/>
            <w:tcBorders>
              <w:top w:val="single" w:color="auto" w:sz="4" w:space="0"/>
              <w:left w:val="nil"/>
              <w:bottom w:val="single" w:color="auto" w:sz="4" w:space="0"/>
              <w:right w:val="single" w:color="auto" w:sz="4" w:space="0"/>
            </w:tcBorders>
            <w:vAlign w:val="center"/>
          </w:tcPr>
          <w:p w14:paraId="0576B16E">
            <w:pPr>
              <w:jc w:val="left"/>
              <w:rPr>
                <w:rFonts w:ascii="宋体" w:hAnsi="宋体" w:cs="宋体"/>
                <w:sz w:val="24"/>
                <w:szCs w:val="24"/>
              </w:rPr>
            </w:pPr>
            <w:r>
              <w:rPr>
                <w:rFonts w:hint="eastAsia" w:ascii="宋体" w:hAnsi="宋体"/>
                <w:sz w:val="24"/>
                <w:szCs w:val="24"/>
              </w:rPr>
              <w:t>与本项目招标范围一致</w:t>
            </w:r>
          </w:p>
        </w:tc>
      </w:tr>
      <w:tr w14:paraId="1074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1" w:type="dxa"/>
            <w:vMerge w:val="continue"/>
            <w:tcBorders>
              <w:top w:val="nil"/>
              <w:left w:val="single" w:color="auto" w:sz="4" w:space="0"/>
              <w:bottom w:val="single" w:color="auto" w:sz="4" w:space="0"/>
              <w:right w:val="single" w:color="auto" w:sz="4" w:space="0"/>
            </w:tcBorders>
            <w:vAlign w:val="center"/>
          </w:tcPr>
          <w:p w14:paraId="1C2576DD">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03B658A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1AAACA9E">
            <w:pPr>
              <w:jc w:val="center"/>
              <w:rPr>
                <w:rFonts w:ascii="宋体" w:hAnsi="宋体" w:cs="宋体"/>
                <w:sz w:val="24"/>
                <w:szCs w:val="24"/>
              </w:rPr>
            </w:pPr>
            <w:r>
              <w:rPr>
                <w:rFonts w:hint="eastAsia" w:ascii="宋体" w:hAnsi="宋体" w:cs="宋体"/>
                <w:sz w:val="24"/>
                <w:szCs w:val="24"/>
              </w:rPr>
              <w:t>供货期</w:t>
            </w:r>
          </w:p>
        </w:tc>
        <w:tc>
          <w:tcPr>
            <w:tcW w:w="5252" w:type="dxa"/>
            <w:tcBorders>
              <w:top w:val="single" w:color="auto" w:sz="4" w:space="0"/>
              <w:left w:val="nil"/>
              <w:bottom w:val="single" w:color="auto" w:sz="4" w:space="0"/>
              <w:right w:val="single" w:color="auto" w:sz="4" w:space="0"/>
            </w:tcBorders>
            <w:vAlign w:val="center"/>
          </w:tcPr>
          <w:p w14:paraId="7D876BD1">
            <w:pPr>
              <w:spacing w:line="440" w:lineRule="exact"/>
              <w:jc w:val="left"/>
              <w:rPr>
                <w:rFonts w:ascii="宋体" w:hAnsi="宋体"/>
                <w:sz w:val="24"/>
                <w:szCs w:val="24"/>
              </w:rPr>
            </w:pPr>
            <w:r>
              <w:rPr>
                <w:rFonts w:hint="eastAsia" w:ascii="宋体" w:hAnsi="宋体" w:cs="宋体"/>
                <w:color w:val="auto"/>
                <w:sz w:val="24"/>
                <w:szCs w:val="24"/>
                <w:lang w:eastAsia="zh-CN"/>
              </w:rPr>
              <w:t>自合同签订之日起6个月。</w:t>
            </w:r>
          </w:p>
        </w:tc>
      </w:tr>
      <w:tr w14:paraId="4E7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continue"/>
            <w:tcBorders>
              <w:top w:val="nil"/>
              <w:left w:val="single" w:color="auto" w:sz="4" w:space="0"/>
              <w:bottom w:val="single" w:color="auto" w:sz="4" w:space="0"/>
              <w:right w:val="single" w:color="auto" w:sz="4" w:space="0"/>
            </w:tcBorders>
            <w:vAlign w:val="center"/>
          </w:tcPr>
          <w:p w14:paraId="0E19FCB5">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4021BC9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492A52">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5252" w:type="dxa"/>
            <w:tcBorders>
              <w:top w:val="single" w:color="auto" w:sz="4" w:space="0"/>
              <w:left w:val="nil"/>
              <w:bottom w:val="single" w:color="auto" w:sz="4" w:space="0"/>
              <w:right w:val="single" w:color="auto" w:sz="4" w:space="0"/>
            </w:tcBorders>
            <w:vAlign w:val="center"/>
          </w:tcPr>
          <w:p w14:paraId="16E4EF57">
            <w:pPr>
              <w:spacing w:line="440" w:lineRule="exact"/>
              <w:jc w:val="left"/>
              <w:rPr>
                <w:rFonts w:hint="eastAsia" w:ascii="宋体" w:hAnsi="宋体" w:eastAsia="宋体"/>
                <w:sz w:val="24"/>
                <w:szCs w:val="24"/>
                <w:lang w:eastAsia="zh-CN"/>
              </w:rPr>
            </w:pPr>
            <w:r>
              <w:rPr>
                <w:rFonts w:hint="eastAsia" w:ascii="宋体" w:hAnsi="宋体" w:eastAsia="宋体" w:cs="宋体"/>
                <w:sz w:val="24"/>
                <w:szCs w:val="24"/>
              </w:rPr>
              <w:t>自验收合格使用之日起1年</w:t>
            </w:r>
            <w:r>
              <w:rPr>
                <w:rFonts w:hint="eastAsia" w:ascii="宋体" w:hAnsi="宋体" w:cs="宋体"/>
                <w:sz w:val="24"/>
                <w:szCs w:val="24"/>
                <w:lang w:eastAsia="zh-CN"/>
              </w:rPr>
              <w:t>。</w:t>
            </w:r>
          </w:p>
        </w:tc>
      </w:tr>
      <w:tr w14:paraId="3ADA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1" w:type="dxa"/>
            <w:vMerge w:val="continue"/>
            <w:tcBorders>
              <w:top w:val="nil"/>
              <w:left w:val="single" w:color="auto" w:sz="4" w:space="0"/>
              <w:bottom w:val="single" w:color="auto" w:sz="4" w:space="0"/>
              <w:right w:val="single" w:color="auto" w:sz="4" w:space="0"/>
            </w:tcBorders>
            <w:vAlign w:val="center"/>
          </w:tcPr>
          <w:p w14:paraId="28F877D8">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6D648530">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491E399">
            <w:pPr>
              <w:jc w:val="center"/>
              <w:rPr>
                <w:rFonts w:ascii="宋体" w:hAnsi="宋体" w:cs="宋体"/>
                <w:sz w:val="24"/>
                <w:szCs w:val="24"/>
              </w:rPr>
            </w:pPr>
            <w:r>
              <w:rPr>
                <w:rFonts w:hint="eastAsia" w:ascii="宋体" w:hAnsi="宋体" w:cs="宋体"/>
                <w:sz w:val="24"/>
                <w:szCs w:val="24"/>
              </w:rPr>
              <w:t>质量要求</w:t>
            </w:r>
          </w:p>
        </w:tc>
        <w:tc>
          <w:tcPr>
            <w:tcW w:w="5252" w:type="dxa"/>
            <w:tcBorders>
              <w:top w:val="single" w:color="auto" w:sz="4" w:space="0"/>
              <w:left w:val="nil"/>
              <w:bottom w:val="single" w:color="auto" w:sz="4" w:space="0"/>
              <w:right w:val="single" w:color="auto" w:sz="4" w:space="0"/>
            </w:tcBorders>
            <w:vAlign w:val="center"/>
          </w:tcPr>
          <w:p w14:paraId="63AD260C">
            <w:pPr>
              <w:spacing w:line="440" w:lineRule="exact"/>
              <w:jc w:val="left"/>
              <w:rPr>
                <w:rFonts w:ascii="宋体" w:hAnsi="宋体"/>
                <w:sz w:val="24"/>
                <w:szCs w:val="24"/>
              </w:rPr>
            </w:pPr>
            <w:r>
              <w:rPr>
                <w:rFonts w:hint="eastAsia" w:ascii="宋体" w:hAnsi="宋体" w:cs="宋体"/>
                <w:sz w:val="24"/>
                <w:szCs w:val="24"/>
                <w:lang w:eastAsia="zh-CN"/>
              </w:rPr>
              <w:t>符合国家及地方行业相关规范及采购人要求。</w:t>
            </w:r>
          </w:p>
        </w:tc>
      </w:tr>
      <w:tr w14:paraId="317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1" w:type="dxa"/>
            <w:vMerge w:val="continue"/>
            <w:tcBorders>
              <w:top w:val="nil"/>
              <w:left w:val="single" w:color="auto" w:sz="4" w:space="0"/>
              <w:bottom w:val="single" w:color="auto" w:sz="4" w:space="0"/>
              <w:right w:val="single" w:color="auto" w:sz="4" w:space="0"/>
            </w:tcBorders>
            <w:vAlign w:val="center"/>
          </w:tcPr>
          <w:p w14:paraId="543B00CE">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345D106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29C89AE">
            <w:pPr>
              <w:jc w:val="center"/>
              <w:rPr>
                <w:rFonts w:ascii="宋体" w:hAnsi="宋体" w:cs="宋体"/>
                <w:sz w:val="24"/>
                <w:szCs w:val="24"/>
              </w:rPr>
            </w:pPr>
            <w:r>
              <w:rPr>
                <w:rFonts w:hint="eastAsia" w:ascii="宋体" w:hAnsi="宋体" w:cs="宋体"/>
                <w:sz w:val="24"/>
                <w:szCs w:val="24"/>
              </w:rPr>
              <w:t>投标有效期</w:t>
            </w:r>
          </w:p>
        </w:tc>
        <w:tc>
          <w:tcPr>
            <w:tcW w:w="5252" w:type="dxa"/>
            <w:tcBorders>
              <w:top w:val="single" w:color="auto" w:sz="4" w:space="0"/>
              <w:left w:val="nil"/>
              <w:bottom w:val="single" w:color="auto" w:sz="4" w:space="0"/>
              <w:right w:val="single" w:color="auto" w:sz="4" w:space="0"/>
            </w:tcBorders>
            <w:vAlign w:val="center"/>
          </w:tcPr>
          <w:p w14:paraId="7E618799">
            <w:pPr>
              <w:jc w:val="left"/>
              <w:rPr>
                <w:rFonts w:ascii="宋体" w:hAnsi="宋体" w:cs="宋体"/>
                <w:sz w:val="24"/>
                <w:szCs w:val="24"/>
              </w:rPr>
            </w:pPr>
            <w:r>
              <w:rPr>
                <w:rFonts w:hint="eastAsia" w:ascii="宋体" w:hAnsi="宋体"/>
                <w:sz w:val="24"/>
                <w:szCs w:val="24"/>
              </w:rPr>
              <w:t>自投标文件递交截止之日起60日历天</w:t>
            </w:r>
          </w:p>
        </w:tc>
      </w:tr>
      <w:tr w14:paraId="0F0F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41" w:type="dxa"/>
            <w:vMerge w:val="continue"/>
            <w:tcBorders>
              <w:top w:val="nil"/>
              <w:left w:val="single" w:color="auto" w:sz="4" w:space="0"/>
              <w:bottom w:val="single" w:color="auto" w:sz="4" w:space="0"/>
              <w:right w:val="single" w:color="auto" w:sz="4" w:space="0"/>
            </w:tcBorders>
            <w:vAlign w:val="center"/>
          </w:tcPr>
          <w:p w14:paraId="6DB1B077">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7E369BC9">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9506BC8">
            <w:pPr>
              <w:pStyle w:val="25"/>
              <w:spacing w:line="360" w:lineRule="auto"/>
              <w:jc w:val="center"/>
              <w:rPr>
                <w:rFonts w:hAnsi="宋体" w:cs="宋体"/>
                <w:sz w:val="24"/>
                <w:szCs w:val="24"/>
              </w:rPr>
            </w:pPr>
            <w:r>
              <w:rPr>
                <w:rFonts w:hint="eastAsia" w:hAnsi="宋体" w:cs="宋体"/>
                <w:sz w:val="24"/>
                <w:szCs w:val="24"/>
              </w:rPr>
              <w:t>投标报价</w:t>
            </w:r>
          </w:p>
        </w:tc>
        <w:tc>
          <w:tcPr>
            <w:tcW w:w="5252" w:type="dxa"/>
            <w:tcBorders>
              <w:top w:val="single" w:color="auto" w:sz="4" w:space="0"/>
              <w:left w:val="nil"/>
              <w:bottom w:val="single" w:color="auto" w:sz="4" w:space="0"/>
              <w:right w:val="single" w:color="auto" w:sz="4" w:space="0"/>
            </w:tcBorders>
            <w:vAlign w:val="center"/>
          </w:tcPr>
          <w:p w14:paraId="60ED49DA">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2F07ADDB">
      <w:pPr>
        <w:spacing w:line="320" w:lineRule="exact"/>
        <w:rPr>
          <w:rFonts w:ascii="宋体" w:hAnsi="宋体" w:cs="宋体"/>
          <w:b/>
          <w:bCs/>
          <w:kern w:val="0"/>
          <w:sz w:val="24"/>
          <w:szCs w:val="24"/>
        </w:rPr>
      </w:pPr>
      <w:bookmarkStart w:id="232" w:name="_Toc12961085"/>
      <w:bookmarkStart w:id="233" w:name="_Toc12959920"/>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以上评审相关原件以投标文件中上传资料为准。开标结束后由招标人</w:t>
      </w:r>
      <w:r>
        <w:rPr>
          <w:rFonts w:hint="eastAsia" w:hAnsi="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对投标文件中所附资格资料进行核查；投标人未按要求上传资料的或上传的资料不符合招标文件要求的均视为资格审查不通过，资格审查不通过的投标人按无效投标处理，不再进行下一步的评标。</w:t>
      </w:r>
    </w:p>
    <w:p w14:paraId="40C7ADC4">
      <w:pPr>
        <w:spacing w:line="480" w:lineRule="auto"/>
        <w:jc w:val="center"/>
        <w:rPr>
          <w:rFonts w:ascii="宋体" w:hAnsi="宋体" w:cs="宋体"/>
          <w:b/>
          <w:bCs/>
          <w:color w:val="000000" w:themeColor="text1"/>
          <w:sz w:val="28"/>
          <w:szCs w:val="28"/>
          <w14:textFill>
            <w14:solidFill>
              <w14:schemeClr w14:val="tx1"/>
            </w14:solidFill>
          </w14:textFill>
        </w:rPr>
      </w:pPr>
    </w:p>
    <w:p w14:paraId="7FC3663D">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63844A24">
      <w:pPr>
        <w:spacing w:line="48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详细评审表</w:t>
      </w:r>
      <w:bookmarkEnd w:id="232"/>
      <w:bookmarkEnd w:id="233"/>
    </w:p>
    <w:tbl>
      <w:tblPr>
        <w:tblStyle w:val="47"/>
        <w:tblW w:w="9180" w:type="dxa"/>
        <w:tblInd w:w="0" w:type="dxa"/>
        <w:tblLayout w:type="fixed"/>
        <w:tblCellMar>
          <w:top w:w="0" w:type="dxa"/>
          <w:left w:w="108" w:type="dxa"/>
          <w:bottom w:w="0" w:type="dxa"/>
          <w:right w:w="108" w:type="dxa"/>
        </w:tblCellMar>
      </w:tblPr>
      <w:tblGrid>
        <w:gridCol w:w="936"/>
        <w:gridCol w:w="1313"/>
        <w:gridCol w:w="237"/>
        <w:gridCol w:w="6694"/>
      </w:tblGrid>
      <w:tr w14:paraId="704088BF">
        <w:tblPrEx>
          <w:tblCellMar>
            <w:top w:w="0" w:type="dxa"/>
            <w:left w:w="108" w:type="dxa"/>
            <w:bottom w:w="0" w:type="dxa"/>
            <w:right w:w="108" w:type="dxa"/>
          </w:tblCellMar>
        </w:tblPrEx>
        <w:trPr>
          <w:trHeight w:val="570" w:hRule="atLeast"/>
        </w:trPr>
        <w:tc>
          <w:tcPr>
            <w:tcW w:w="936" w:type="dxa"/>
            <w:tcBorders>
              <w:top w:val="single" w:color="auto" w:sz="4" w:space="0"/>
              <w:left w:val="single" w:color="auto" w:sz="4" w:space="0"/>
              <w:bottom w:val="single" w:color="auto" w:sz="4" w:space="0"/>
              <w:right w:val="single" w:color="auto" w:sz="4" w:space="0"/>
            </w:tcBorders>
            <w:vAlign w:val="center"/>
          </w:tcPr>
          <w:p w14:paraId="0DB3FDCC">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1550" w:type="dxa"/>
            <w:gridSpan w:val="2"/>
            <w:tcBorders>
              <w:top w:val="single" w:color="auto" w:sz="4" w:space="0"/>
              <w:left w:val="nil"/>
              <w:bottom w:val="single" w:color="auto" w:sz="4" w:space="0"/>
              <w:right w:val="single" w:color="auto" w:sz="4" w:space="0"/>
            </w:tcBorders>
            <w:vAlign w:val="center"/>
          </w:tcPr>
          <w:p w14:paraId="38BDE3C0">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6694" w:type="dxa"/>
            <w:tcBorders>
              <w:top w:val="single" w:color="auto" w:sz="4" w:space="0"/>
              <w:left w:val="nil"/>
              <w:bottom w:val="single" w:color="auto" w:sz="4" w:space="0"/>
              <w:right w:val="single" w:color="auto" w:sz="4" w:space="0"/>
            </w:tcBorders>
            <w:vAlign w:val="center"/>
          </w:tcPr>
          <w:p w14:paraId="5111D2B0">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7946A301">
        <w:tblPrEx>
          <w:tblCellMar>
            <w:top w:w="0" w:type="dxa"/>
            <w:left w:w="108" w:type="dxa"/>
            <w:bottom w:w="0" w:type="dxa"/>
            <w:right w:w="108" w:type="dxa"/>
          </w:tblCellMar>
        </w:tblPrEx>
        <w:trPr>
          <w:trHeight w:val="1545" w:hRule="atLeast"/>
        </w:trPr>
        <w:tc>
          <w:tcPr>
            <w:tcW w:w="936" w:type="dxa"/>
            <w:tcBorders>
              <w:top w:val="nil"/>
              <w:left w:val="single" w:color="auto" w:sz="4" w:space="0"/>
              <w:bottom w:val="single" w:color="auto" w:sz="4" w:space="0"/>
              <w:right w:val="single" w:color="auto" w:sz="4" w:space="0"/>
            </w:tcBorders>
            <w:vAlign w:val="center"/>
          </w:tcPr>
          <w:p w14:paraId="3E354C17">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1550" w:type="dxa"/>
            <w:gridSpan w:val="2"/>
            <w:tcBorders>
              <w:top w:val="nil"/>
              <w:left w:val="nil"/>
              <w:bottom w:val="single" w:color="auto" w:sz="4" w:space="0"/>
              <w:right w:val="single" w:color="auto" w:sz="4" w:space="0"/>
            </w:tcBorders>
            <w:vAlign w:val="center"/>
          </w:tcPr>
          <w:p w14:paraId="6A4A3395">
            <w:pPr>
              <w:widowControl/>
              <w:jc w:val="center"/>
              <w:rPr>
                <w:rFonts w:ascii="宋体" w:hAnsi="宋体" w:cs="宋体"/>
                <w:color w:val="auto"/>
                <w:kern w:val="0"/>
                <w:sz w:val="24"/>
              </w:rPr>
            </w:pPr>
            <w:r>
              <w:rPr>
                <w:rFonts w:hint="eastAsia" w:ascii="宋体" w:hAnsi="宋体" w:cs="宋体"/>
                <w:color w:val="auto"/>
                <w:kern w:val="0"/>
                <w:sz w:val="24"/>
              </w:rPr>
              <w:t>投标报价</w:t>
            </w:r>
          </w:p>
          <w:p w14:paraId="160B2FD7">
            <w:pPr>
              <w:widowControl/>
              <w:jc w:val="center"/>
              <w:rPr>
                <w:rFonts w:ascii="宋体" w:hAnsi="宋体" w:cs="宋体"/>
                <w:color w:val="000000"/>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c>
          <w:tcPr>
            <w:tcW w:w="6694" w:type="dxa"/>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1、投标报价高于“最高限价”的，采购人将不予接受，且本次投标做无效处理；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30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ind w:firstLine="482" w:firstLineChars="200"/>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b/>
                <w:bCs/>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b/>
                <w:bCs/>
                <w:kern w:val="0"/>
                <w:sz w:val="24"/>
                <w:szCs w:val="24"/>
                <w:lang w:val="en-US" w:eastAsia="zh-CN"/>
              </w:rPr>
              <w:t>最终投标报价</w:t>
            </w:r>
            <w:r>
              <w:rPr>
                <w:rFonts w:hint="eastAsia" w:asciiTheme="minorEastAsia" w:hAnsiTheme="minorEastAsia" w:eastAsiaTheme="minorEastAsia" w:cstheme="minorEastAsia"/>
                <w:b/>
                <w:bCs/>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27D861E7">
            <w:pPr>
              <w:widowControl/>
              <w:spacing w:line="400" w:lineRule="exact"/>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本项目为</w:t>
            </w:r>
            <w:r>
              <w:rPr>
                <w:rFonts w:hint="eastAsia" w:asciiTheme="minorEastAsia" w:hAnsiTheme="minorEastAsia" w:eastAsiaTheme="minorEastAsia" w:cstheme="minorEastAsia"/>
                <w:kern w:val="0"/>
                <w:sz w:val="24"/>
                <w:szCs w:val="24"/>
                <w:lang w:val="zh-CN" w:eastAsia="zh-CN"/>
              </w:rPr>
              <w:t>非专门面向中小企业采购项目，</w:t>
            </w:r>
            <w:r>
              <w:rPr>
                <w:rFonts w:hint="eastAsia" w:asciiTheme="minorEastAsia" w:hAnsiTheme="minorEastAsia" w:eastAsiaTheme="minorEastAsia" w:cstheme="minorEastAsia"/>
                <w:kern w:val="0"/>
                <w:sz w:val="24"/>
                <w:szCs w:val="24"/>
                <w:lang w:val="en-US" w:eastAsia="zh-CN"/>
              </w:rPr>
              <w:t>小型、微型企业、监狱企业、</w:t>
            </w:r>
            <w:r>
              <w:rPr>
                <w:rFonts w:hint="eastAsia" w:asciiTheme="minorEastAsia" w:hAnsiTheme="minorEastAsia" w:eastAsiaTheme="minorEastAsia" w:cstheme="minorEastAsia"/>
                <w:kern w:val="0"/>
                <w:sz w:val="24"/>
                <w:szCs w:val="24"/>
                <w:lang w:val="zh-CN" w:eastAsia="zh-CN"/>
              </w:rPr>
              <w:t>残疾人福利性单位</w:t>
            </w:r>
            <w:r>
              <w:rPr>
                <w:rFonts w:hint="eastAsia" w:asciiTheme="minorEastAsia" w:hAnsiTheme="minorEastAsia" w:eastAsiaTheme="minorEastAsia" w:cstheme="minorEastAsia"/>
                <w:kern w:val="0"/>
                <w:sz w:val="24"/>
                <w:szCs w:val="24"/>
                <w:lang w:val="en-US" w:eastAsia="zh-CN"/>
              </w:rPr>
              <w:t>按以下要求进行评标价格调整：</w:t>
            </w:r>
          </w:p>
          <w:p w14:paraId="3F840B05">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）对小型和微型企业产品的价格给予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w:t>
            </w:r>
          </w:p>
          <w:p w14:paraId="3F25EBB4">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监</w:t>
            </w:r>
            <w:r>
              <w:rPr>
                <w:rFonts w:hint="eastAsia" w:asciiTheme="minorEastAsia" w:hAnsiTheme="minorEastAsia" w:eastAsiaTheme="minorEastAsia" w:cstheme="minorEastAsia"/>
                <w:kern w:val="0"/>
                <w:sz w:val="24"/>
                <w:szCs w:val="24"/>
                <w:lang w:val="zh-CN" w:eastAsia="zh-CN"/>
              </w:rPr>
              <w:t>狱企业可视同小微企业，在价格评审时给予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0%的扣除，用扣除后的价格参与评审。狱企业属于小、微型企业的，不重复享受政策优惠。</w:t>
            </w:r>
          </w:p>
          <w:p w14:paraId="03C87020">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）残疾人福利性单位视同小型、微型企业，在价格评审时给予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0%的扣除，用扣除后的价格参与评审。残疾人福利性单位属于小、微型企业的，不重复享受政策优惠 。</w:t>
            </w:r>
          </w:p>
          <w:p w14:paraId="040F0A89">
            <w:pPr>
              <w:spacing w:line="276" w:lineRule="auto"/>
              <w:jc w:val="left"/>
              <w:rPr>
                <w:sz w:val="18"/>
                <w:szCs w:val="18"/>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1B833A33">
        <w:tblPrEx>
          <w:tblCellMar>
            <w:top w:w="0" w:type="dxa"/>
            <w:left w:w="108" w:type="dxa"/>
            <w:bottom w:w="0" w:type="dxa"/>
            <w:right w:w="108" w:type="dxa"/>
          </w:tblCellMar>
        </w:tblPrEx>
        <w:trPr>
          <w:trHeight w:val="1174" w:hRule="atLeast"/>
        </w:trPr>
        <w:tc>
          <w:tcPr>
            <w:tcW w:w="936" w:type="dxa"/>
            <w:vMerge w:val="restart"/>
            <w:tcBorders>
              <w:top w:val="nil"/>
              <w:left w:val="single" w:color="auto" w:sz="4" w:space="0"/>
              <w:right w:val="single" w:color="auto" w:sz="4" w:space="0"/>
            </w:tcBorders>
            <w:vAlign w:val="center"/>
          </w:tcPr>
          <w:p w14:paraId="544A21DD">
            <w:pPr>
              <w:pStyle w:val="43"/>
              <w:spacing w:line="280" w:lineRule="exact"/>
              <w:jc w:val="center"/>
              <w:rPr>
                <w:color w:val="000000"/>
                <w:sz w:val="24"/>
                <w:szCs w:val="24"/>
              </w:rPr>
            </w:pPr>
            <w:r>
              <w:rPr>
                <w:rFonts w:hint="eastAsia"/>
                <w:color w:val="000000"/>
                <w:sz w:val="24"/>
                <w:szCs w:val="24"/>
              </w:rPr>
              <w:t>2、技术标评审（</w:t>
            </w:r>
            <w:r>
              <w:rPr>
                <w:rFonts w:hint="eastAsia"/>
                <w:color w:val="000000"/>
                <w:sz w:val="24"/>
                <w:szCs w:val="24"/>
                <w:lang w:val="en-US" w:eastAsia="zh-CN"/>
              </w:rPr>
              <w:t>55</w:t>
            </w:r>
            <w:r>
              <w:rPr>
                <w:rFonts w:hint="eastAsia"/>
                <w:color w:val="000000"/>
                <w:sz w:val="24"/>
                <w:szCs w:val="24"/>
              </w:rPr>
              <w:t xml:space="preserve">分） </w:t>
            </w:r>
          </w:p>
          <w:p w14:paraId="219968DC">
            <w:pPr>
              <w:pStyle w:val="43"/>
              <w:spacing w:line="280" w:lineRule="exact"/>
              <w:jc w:val="center"/>
              <w:rPr>
                <w:color w:val="000000"/>
                <w:sz w:val="24"/>
              </w:rPr>
            </w:pPr>
          </w:p>
          <w:p w14:paraId="425F9CAB">
            <w:pPr>
              <w:pStyle w:val="43"/>
              <w:spacing w:line="280" w:lineRule="exact"/>
              <w:jc w:val="center"/>
              <w:rPr>
                <w:color w:val="000000"/>
                <w:sz w:val="24"/>
                <w:szCs w:val="24"/>
              </w:rPr>
            </w:pPr>
          </w:p>
        </w:tc>
        <w:tc>
          <w:tcPr>
            <w:tcW w:w="1550" w:type="dxa"/>
            <w:gridSpan w:val="2"/>
            <w:tcBorders>
              <w:top w:val="nil"/>
              <w:left w:val="nil"/>
              <w:bottom w:val="single" w:color="auto" w:sz="4" w:space="0"/>
              <w:right w:val="single" w:color="auto" w:sz="4" w:space="0"/>
            </w:tcBorders>
            <w:vAlign w:val="center"/>
          </w:tcPr>
          <w:p w14:paraId="205774C3">
            <w:pPr>
              <w:widowControl/>
              <w:jc w:val="center"/>
              <w:rPr>
                <w:rFonts w:hint="eastAsia" w:ascii="宋体" w:hAnsi="宋体"/>
                <w:kern w:val="0"/>
                <w:sz w:val="24"/>
                <w:szCs w:val="24"/>
                <w:shd w:val="clear" w:color="auto" w:fill="FFFFFF"/>
              </w:rPr>
            </w:pPr>
            <w:r>
              <w:rPr>
                <w:rFonts w:hint="eastAsia" w:ascii="宋体" w:hAnsi="宋体"/>
                <w:kern w:val="0"/>
                <w:sz w:val="24"/>
                <w:szCs w:val="24"/>
                <w:shd w:val="clear" w:color="auto" w:fill="FFFFFF"/>
              </w:rPr>
              <w:t>技术参数</w:t>
            </w:r>
          </w:p>
          <w:p w14:paraId="749F09F4">
            <w:pPr>
              <w:widowControl/>
              <w:jc w:val="center"/>
              <w:rPr>
                <w:rFonts w:ascii="宋体" w:hAnsi="宋体" w:cs="宋体"/>
                <w:color w:val="000000"/>
                <w:kern w:val="0"/>
                <w:sz w:val="24"/>
              </w:rPr>
            </w:pPr>
            <w:r>
              <w:rPr>
                <w:rFonts w:hint="eastAsia" w:ascii="宋体" w:hAnsi="宋体"/>
                <w:kern w:val="0"/>
                <w:sz w:val="24"/>
                <w:szCs w:val="24"/>
                <w:shd w:val="clear" w:color="auto" w:fill="FFFFFF"/>
              </w:rPr>
              <w:t>（3</w:t>
            </w:r>
            <w:r>
              <w:rPr>
                <w:rFonts w:hint="eastAsia" w:ascii="宋体" w:hAnsi="宋体"/>
                <w:kern w:val="0"/>
                <w:sz w:val="24"/>
                <w:szCs w:val="24"/>
                <w:shd w:val="clear" w:color="auto" w:fill="FFFFFF"/>
                <w:lang w:val="en-US" w:eastAsia="zh-CN"/>
              </w:rPr>
              <w:t>5</w:t>
            </w:r>
            <w:r>
              <w:rPr>
                <w:rFonts w:hint="eastAsia" w:ascii="宋体" w:hAnsi="宋体"/>
                <w:kern w:val="0"/>
                <w:sz w:val="24"/>
                <w:szCs w:val="24"/>
                <w:shd w:val="clear" w:color="auto" w:fill="FFFFFF"/>
              </w:rPr>
              <w:t>分）</w:t>
            </w:r>
          </w:p>
        </w:tc>
        <w:tc>
          <w:tcPr>
            <w:tcW w:w="6694" w:type="dxa"/>
            <w:tcBorders>
              <w:top w:val="nil"/>
              <w:left w:val="nil"/>
              <w:bottom w:val="single" w:color="auto" w:sz="4" w:space="0"/>
              <w:right w:val="single" w:color="auto" w:sz="4" w:space="0"/>
            </w:tcBorders>
            <w:vAlign w:val="center"/>
          </w:tcPr>
          <w:p w14:paraId="1C6C84FD">
            <w:pPr>
              <w:widowControl/>
              <w:jc w:val="left"/>
              <w:rPr>
                <w:rFonts w:ascii="宋体" w:hAnsi="宋体"/>
                <w:kern w:val="0"/>
                <w:sz w:val="24"/>
                <w:szCs w:val="24"/>
                <w:shd w:val="clear" w:color="auto" w:fill="FFFFFF"/>
              </w:rPr>
            </w:pPr>
            <w:r>
              <w:rPr>
                <w:rFonts w:hint="eastAsia" w:ascii="Times New Roman" w:hAnsi="Times New Roman" w:eastAsia="宋体" w:cs="Times New Roman"/>
                <w:sz w:val="24"/>
                <w:szCs w:val="24"/>
                <w:lang w:val="en-US" w:eastAsia="zh-CN"/>
              </w:rPr>
              <w:t>根据投标文件对招标文件要求的技术指标响应情况，判断所投货物技术指标是否满足招标文件的要求，所投产品各项技术指标要求均完全满足招标文件要求的得35分；“▲”号技术条款不满足招标文件要求的，每项扣1.5分； “▲”以外的技术条款不满足的，扣 1 分，扣完为止。</w:t>
            </w:r>
          </w:p>
        </w:tc>
      </w:tr>
      <w:tr w14:paraId="17175829">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3645C146">
            <w:pPr>
              <w:pStyle w:val="43"/>
              <w:spacing w:line="280" w:lineRule="exact"/>
              <w:jc w:val="center"/>
              <w:rPr>
                <w:color w:val="000000"/>
                <w:sz w:val="24"/>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5A08D034">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项目基本认识（2分）</w:t>
            </w:r>
          </w:p>
        </w:tc>
        <w:tc>
          <w:tcPr>
            <w:tcW w:w="6694" w:type="dxa"/>
            <w:tcBorders>
              <w:top w:val="single" w:color="auto" w:sz="4" w:space="0"/>
              <w:left w:val="nil"/>
              <w:bottom w:val="single" w:color="auto" w:sz="4" w:space="0"/>
              <w:right w:val="single" w:color="auto" w:sz="4" w:space="0"/>
            </w:tcBorders>
            <w:vAlign w:val="center"/>
          </w:tcPr>
          <w:p w14:paraId="144DA77A">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投标人对本项目的建设背景、项目需求、实施目标 </w:t>
            </w:r>
          </w:p>
          <w:p w14:paraId="4391C8E4">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等的理解和把握准确度得2分，未提供不得分。</w:t>
            </w:r>
          </w:p>
        </w:tc>
      </w:tr>
      <w:tr w14:paraId="760D7A09">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0DB8B7F9">
            <w:pPr>
              <w:pStyle w:val="43"/>
              <w:spacing w:line="280" w:lineRule="exact"/>
              <w:jc w:val="center"/>
              <w:rPr>
                <w:color w:val="000000"/>
                <w:sz w:val="24"/>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14:paraId="5396C054">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项目实施方案</w:t>
            </w:r>
          </w:p>
          <w:p w14:paraId="10716C5A">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（5分）</w:t>
            </w:r>
          </w:p>
        </w:tc>
        <w:tc>
          <w:tcPr>
            <w:tcW w:w="6694" w:type="dxa"/>
            <w:tcBorders>
              <w:top w:val="single" w:color="auto" w:sz="4" w:space="0"/>
              <w:left w:val="nil"/>
              <w:bottom w:val="single" w:color="auto" w:sz="4" w:space="0"/>
              <w:right w:val="single" w:color="auto" w:sz="4" w:space="0"/>
            </w:tcBorders>
            <w:shd w:val="clear" w:color="auto" w:fill="auto"/>
            <w:vAlign w:val="top"/>
          </w:tcPr>
          <w:p w14:paraId="0F9EDEB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方案内容包括实施的整体方案、实施过程的重点、难点分析、面对突发情况处理； </w:t>
            </w:r>
          </w:p>
          <w:p w14:paraId="08E777C0">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 提供的方案全面详实、完整可行、针对性强、科学合理，得5分。 </w:t>
            </w:r>
          </w:p>
          <w:p w14:paraId="49622F4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提供的方案较完整、针对性强、合理，得3分；</w:t>
            </w:r>
          </w:p>
          <w:p w14:paraId="7A5FD19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提供的方案不够完整合理，针对性不强得</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 xml:space="preserve">分； </w:t>
            </w:r>
          </w:p>
          <w:p w14:paraId="3E7FF127">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 不提供方案的，得0分。</w:t>
            </w:r>
          </w:p>
        </w:tc>
      </w:tr>
      <w:tr w14:paraId="7D7F2785">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7DD1D9B">
            <w:pPr>
              <w:pStyle w:val="43"/>
              <w:spacing w:line="280" w:lineRule="exact"/>
              <w:jc w:val="center"/>
              <w:rPr>
                <w:color w:val="000000"/>
                <w:sz w:val="24"/>
              </w:rPr>
            </w:pPr>
          </w:p>
        </w:tc>
        <w:tc>
          <w:tcPr>
            <w:tcW w:w="1550" w:type="dxa"/>
            <w:gridSpan w:val="2"/>
            <w:tcBorders>
              <w:top w:val="nil"/>
              <w:left w:val="nil"/>
              <w:bottom w:val="single" w:color="auto" w:sz="4" w:space="0"/>
              <w:right w:val="single" w:color="auto" w:sz="4" w:space="0"/>
            </w:tcBorders>
            <w:shd w:val="clear" w:color="auto" w:fill="auto"/>
            <w:vAlign w:val="center"/>
          </w:tcPr>
          <w:p w14:paraId="2457F04F">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质量保证方案</w:t>
            </w:r>
          </w:p>
          <w:p w14:paraId="708738AB">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（3分）</w:t>
            </w:r>
          </w:p>
        </w:tc>
        <w:tc>
          <w:tcPr>
            <w:tcW w:w="6694" w:type="dxa"/>
            <w:tcBorders>
              <w:top w:val="nil"/>
              <w:left w:val="nil"/>
              <w:bottom w:val="single" w:color="auto" w:sz="4" w:space="0"/>
              <w:right w:val="single" w:color="auto" w:sz="4" w:space="0"/>
            </w:tcBorders>
            <w:shd w:val="clear" w:color="auto" w:fill="auto"/>
            <w:vAlign w:val="top"/>
          </w:tcPr>
          <w:p w14:paraId="17F8C36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方案内容包括运输及安装过程中质量控制的形式、方案、措施。 </w:t>
            </w:r>
          </w:p>
          <w:p w14:paraId="66E7AC4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 提供的方案全面详实、完整可行、可实施性强、科学合理 ，得3分。 </w:t>
            </w:r>
          </w:p>
          <w:p w14:paraId="07A76354">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 提供的方案较完整、可实施性一般、合理，得1分；  </w:t>
            </w:r>
          </w:p>
          <w:p w14:paraId="7292A178">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不提供方案的，得0分。</w:t>
            </w:r>
          </w:p>
        </w:tc>
      </w:tr>
      <w:tr w14:paraId="086D6040">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4A61C10B">
            <w:pPr>
              <w:pStyle w:val="43"/>
              <w:spacing w:line="280" w:lineRule="exact"/>
              <w:jc w:val="center"/>
              <w:rPr>
                <w:color w:val="000000"/>
                <w:sz w:val="24"/>
              </w:rPr>
            </w:pPr>
          </w:p>
        </w:tc>
        <w:tc>
          <w:tcPr>
            <w:tcW w:w="1550" w:type="dxa"/>
            <w:gridSpan w:val="2"/>
            <w:tcBorders>
              <w:top w:val="nil"/>
              <w:left w:val="nil"/>
              <w:bottom w:val="single" w:color="auto" w:sz="4" w:space="0"/>
              <w:right w:val="single" w:color="auto" w:sz="4" w:space="0"/>
            </w:tcBorders>
            <w:shd w:val="clear" w:color="auto" w:fill="auto"/>
            <w:vAlign w:val="center"/>
          </w:tcPr>
          <w:p w14:paraId="1A5BC5B5">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售后服务方案</w:t>
            </w:r>
          </w:p>
          <w:p w14:paraId="127380D6">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（3分）</w:t>
            </w:r>
          </w:p>
        </w:tc>
        <w:tc>
          <w:tcPr>
            <w:tcW w:w="6694" w:type="dxa"/>
            <w:tcBorders>
              <w:top w:val="nil"/>
              <w:left w:val="nil"/>
              <w:bottom w:val="single" w:color="auto" w:sz="4" w:space="0"/>
              <w:right w:val="single" w:color="auto" w:sz="4" w:space="0"/>
            </w:tcBorders>
            <w:shd w:val="clear" w:color="auto" w:fill="auto"/>
            <w:vAlign w:val="top"/>
          </w:tcPr>
          <w:p w14:paraId="5CCC787F">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 提供的售后服务方案完整可行、科学合理、针对性强得3分。 </w:t>
            </w:r>
          </w:p>
          <w:p w14:paraId="5FCDB83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 提供的售后服务方案完整可行、科学合理、针对性一般，得1分； </w:t>
            </w:r>
          </w:p>
          <w:p w14:paraId="77241770">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不提供售后服务方案的，得0分。</w:t>
            </w:r>
          </w:p>
        </w:tc>
      </w:tr>
      <w:tr w14:paraId="03801F5D">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253674A7">
            <w:pPr>
              <w:pStyle w:val="43"/>
              <w:spacing w:line="280" w:lineRule="exact"/>
              <w:jc w:val="center"/>
              <w:rPr>
                <w:color w:val="000000"/>
                <w:sz w:val="24"/>
              </w:rPr>
            </w:pPr>
          </w:p>
        </w:tc>
        <w:tc>
          <w:tcPr>
            <w:tcW w:w="1550" w:type="dxa"/>
            <w:gridSpan w:val="2"/>
            <w:tcBorders>
              <w:top w:val="nil"/>
              <w:left w:val="nil"/>
              <w:bottom w:val="single" w:color="auto" w:sz="4" w:space="0"/>
              <w:right w:val="single" w:color="auto" w:sz="4" w:space="0"/>
            </w:tcBorders>
            <w:shd w:val="clear" w:color="auto" w:fill="auto"/>
            <w:vAlign w:val="center"/>
          </w:tcPr>
          <w:p w14:paraId="658E7694">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布点方案</w:t>
            </w:r>
          </w:p>
          <w:p w14:paraId="07E77896">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（5分）</w:t>
            </w:r>
          </w:p>
        </w:tc>
        <w:tc>
          <w:tcPr>
            <w:tcW w:w="6694" w:type="dxa"/>
            <w:tcBorders>
              <w:top w:val="nil"/>
              <w:left w:val="nil"/>
              <w:bottom w:val="single" w:color="auto" w:sz="4" w:space="0"/>
              <w:right w:val="single" w:color="auto" w:sz="4" w:space="0"/>
            </w:tcBorders>
            <w:shd w:val="clear" w:color="auto" w:fill="auto"/>
            <w:vAlign w:val="top"/>
          </w:tcPr>
          <w:p w14:paraId="34D5683F">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针对本项目提供入河排污口标识牌、一体化水质监测站、水质自动监测微型站、视频监控的布点方案，方案应包含位置信息、影像信息、选址说明、难点分析及应对措施等。</w:t>
            </w:r>
          </w:p>
          <w:p w14:paraId="172B3D98">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 提供的方案全面详实、完整可行、可实施性强、科学合理 ，得5分。 </w:t>
            </w:r>
          </w:p>
          <w:p w14:paraId="704D5F25">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 提供的方案较完整、可实施性一般、合理，得3分；  </w:t>
            </w:r>
          </w:p>
          <w:p w14:paraId="290F03E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不提供方案的，得0分。</w:t>
            </w:r>
          </w:p>
        </w:tc>
      </w:tr>
      <w:tr w14:paraId="42BF411B">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7E83CB91">
            <w:pPr>
              <w:pStyle w:val="43"/>
              <w:spacing w:line="280" w:lineRule="exact"/>
              <w:jc w:val="center"/>
              <w:rPr>
                <w:color w:val="000000"/>
                <w:sz w:val="24"/>
              </w:rPr>
            </w:pPr>
          </w:p>
        </w:tc>
        <w:tc>
          <w:tcPr>
            <w:tcW w:w="1550" w:type="dxa"/>
            <w:gridSpan w:val="2"/>
            <w:tcBorders>
              <w:top w:val="nil"/>
              <w:left w:val="nil"/>
              <w:bottom w:val="single" w:color="auto" w:sz="4" w:space="0"/>
              <w:right w:val="single" w:color="auto" w:sz="4" w:space="0"/>
            </w:tcBorders>
            <w:shd w:val="clear" w:color="auto" w:fill="auto"/>
            <w:vAlign w:val="center"/>
          </w:tcPr>
          <w:p w14:paraId="20E4560F">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软件平台设计方案</w:t>
            </w:r>
          </w:p>
          <w:p w14:paraId="5A9344E7">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（2分）</w:t>
            </w:r>
          </w:p>
        </w:tc>
        <w:tc>
          <w:tcPr>
            <w:tcW w:w="6694" w:type="dxa"/>
            <w:tcBorders>
              <w:top w:val="nil"/>
              <w:left w:val="nil"/>
              <w:bottom w:val="single" w:color="auto" w:sz="4" w:space="0"/>
              <w:right w:val="single" w:color="auto" w:sz="4" w:space="0"/>
            </w:tcBorders>
            <w:shd w:val="clear" w:color="auto" w:fill="auto"/>
            <w:vAlign w:val="top"/>
          </w:tcPr>
          <w:p w14:paraId="1681AB6F">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投标人提供详细具体的入河排污口综合管理平台设计方案，包括平台的总体设计方案，功能设计方案，</w:t>
            </w:r>
          </w:p>
          <w:p w14:paraId="6706F4D7">
            <w:pPr>
              <w:widowControl/>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提供的方案全面详实、完整可行、可实施性强、科学合理 ，得2分；</w:t>
            </w:r>
          </w:p>
          <w:p w14:paraId="62E42AC5">
            <w:pPr>
              <w:widowControl/>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提供的方案较完整、可实施性一般得1分</w:t>
            </w:r>
            <w:r>
              <w:rPr>
                <w:rFonts w:hint="eastAsia" w:cs="Times New Roman"/>
                <w:sz w:val="24"/>
                <w:szCs w:val="24"/>
                <w:lang w:val="en-US" w:eastAsia="zh-CN"/>
              </w:rPr>
              <w:t>；</w:t>
            </w:r>
          </w:p>
          <w:p w14:paraId="3D89A0A1">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3、未提供不得分。</w:t>
            </w:r>
          </w:p>
        </w:tc>
      </w:tr>
      <w:tr w14:paraId="5D06F957">
        <w:tblPrEx>
          <w:tblCellMar>
            <w:top w:w="0" w:type="dxa"/>
            <w:left w:w="108" w:type="dxa"/>
            <w:bottom w:w="0" w:type="dxa"/>
            <w:right w:w="108" w:type="dxa"/>
          </w:tblCellMar>
        </w:tblPrEx>
        <w:trPr>
          <w:trHeight w:val="557" w:hRule="atLeast"/>
        </w:trPr>
        <w:tc>
          <w:tcPr>
            <w:tcW w:w="936" w:type="dxa"/>
            <w:vMerge w:val="continue"/>
            <w:tcBorders>
              <w:left w:val="single" w:color="auto" w:sz="4" w:space="0"/>
              <w:bottom w:val="single" w:color="auto" w:sz="4" w:space="0"/>
              <w:right w:val="single" w:color="auto" w:sz="4" w:space="0"/>
            </w:tcBorders>
            <w:vAlign w:val="center"/>
          </w:tcPr>
          <w:p w14:paraId="28BF5BED">
            <w:pPr>
              <w:pStyle w:val="43"/>
              <w:spacing w:line="280" w:lineRule="exact"/>
              <w:jc w:val="center"/>
              <w:rPr>
                <w:color w:val="000000"/>
                <w:sz w:val="24"/>
              </w:rPr>
            </w:pPr>
          </w:p>
        </w:tc>
        <w:tc>
          <w:tcPr>
            <w:tcW w:w="8244" w:type="dxa"/>
            <w:gridSpan w:val="3"/>
            <w:tcBorders>
              <w:top w:val="single" w:color="auto" w:sz="4" w:space="0"/>
              <w:left w:val="single" w:color="auto" w:sz="4" w:space="0"/>
              <w:bottom w:val="single" w:color="auto" w:sz="4" w:space="0"/>
              <w:right w:val="single" w:color="auto" w:sz="4" w:space="0"/>
            </w:tcBorders>
            <w:vAlign w:val="center"/>
          </w:tcPr>
          <w:p w14:paraId="2D8A19C1">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备注：以上项目若有缺项的，该项为0分；不缺项的，不低于最低分。</w:t>
            </w:r>
          </w:p>
        </w:tc>
      </w:tr>
      <w:tr w14:paraId="44A6814B">
        <w:tblPrEx>
          <w:tblCellMar>
            <w:top w:w="0" w:type="dxa"/>
            <w:left w:w="108" w:type="dxa"/>
            <w:bottom w:w="0" w:type="dxa"/>
            <w:right w:w="108" w:type="dxa"/>
          </w:tblCellMar>
        </w:tblPrEx>
        <w:trPr>
          <w:trHeight w:val="840" w:hRule="atLeast"/>
        </w:trPr>
        <w:tc>
          <w:tcPr>
            <w:tcW w:w="936" w:type="dxa"/>
            <w:vMerge w:val="restart"/>
            <w:tcBorders>
              <w:top w:val="single" w:color="auto" w:sz="4" w:space="0"/>
              <w:left w:val="single" w:color="auto" w:sz="4" w:space="0"/>
              <w:right w:val="single" w:color="auto" w:sz="4" w:space="0"/>
            </w:tcBorders>
            <w:vAlign w:val="center"/>
          </w:tcPr>
          <w:p w14:paraId="79AB829E">
            <w:pPr>
              <w:jc w:val="center"/>
              <w:rPr>
                <w:rFonts w:ascii="宋体" w:hAnsi="宋体" w:cs="宋体"/>
                <w:color w:val="000000"/>
                <w:kern w:val="0"/>
                <w:sz w:val="24"/>
              </w:rPr>
            </w:pPr>
            <w:r>
              <w:rPr>
                <w:rFonts w:hint="eastAsia" w:ascii="宋体" w:hAnsi="宋体" w:cs="宋体"/>
                <w:color w:val="000000"/>
                <w:kern w:val="0"/>
                <w:sz w:val="24"/>
              </w:rPr>
              <w:t>3、商务标评审（</w:t>
            </w:r>
            <w:r>
              <w:rPr>
                <w:rFonts w:hint="eastAsia" w:ascii="宋体" w:hAnsi="宋体" w:cs="宋体"/>
                <w:color w:val="000000"/>
                <w:kern w:val="0"/>
                <w:sz w:val="24"/>
                <w:lang w:val="en-US" w:eastAsia="zh-CN"/>
              </w:rPr>
              <w:t>15</w:t>
            </w:r>
            <w:r>
              <w:rPr>
                <w:rFonts w:hint="eastAsia" w:ascii="宋体" w:hAnsi="宋体" w:cs="宋体"/>
                <w:color w:val="000000"/>
                <w:kern w:val="0"/>
                <w:sz w:val="24"/>
              </w:rPr>
              <w:t>分）</w:t>
            </w:r>
          </w:p>
        </w:tc>
        <w:tc>
          <w:tcPr>
            <w:tcW w:w="1313" w:type="dxa"/>
            <w:tcBorders>
              <w:top w:val="single" w:color="auto" w:sz="4" w:space="0"/>
              <w:left w:val="nil"/>
              <w:bottom w:val="single" w:color="auto" w:sz="4" w:space="0"/>
              <w:right w:val="single" w:color="auto" w:sz="4" w:space="0"/>
            </w:tcBorders>
            <w:vAlign w:val="center"/>
          </w:tcPr>
          <w:p w14:paraId="13381F0D">
            <w:pPr>
              <w:widowControl/>
              <w:ind w:firstLine="240" w:firstLineChars="1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业绩</w:t>
            </w:r>
          </w:p>
          <w:p w14:paraId="58823B68">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（2分）</w:t>
            </w:r>
          </w:p>
        </w:tc>
        <w:tc>
          <w:tcPr>
            <w:tcW w:w="6931" w:type="dxa"/>
            <w:gridSpan w:val="2"/>
            <w:tcBorders>
              <w:top w:val="single" w:color="auto" w:sz="4" w:space="0"/>
              <w:left w:val="nil"/>
              <w:bottom w:val="single" w:color="auto" w:sz="4" w:space="0"/>
              <w:right w:val="single" w:color="auto" w:sz="4" w:space="0"/>
            </w:tcBorders>
            <w:vAlign w:val="center"/>
          </w:tcPr>
          <w:p w14:paraId="07EC034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提供 202</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 xml:space="preserve"> 年1</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月</w:t>
            </w:r>
            <w:r>
              <w:rPr>
                <w:rFonts w:hint="eastAsia" w:cs="Times New Roman"/>
                <w:sz w:val="24"/>
                <w:szCs w:val="24"/>
                <w:lang w:val="en-US" w:eastAsia="zh-CN"/>
              </w:rPr>
              <w:t>0</w:t>
            </w:r>
            <w:r>
              <w:rPr>
                <w:rFonts w:hint="eastAsia" w:ascii="Times New Roman" w:hAnsi="Times New Roman" w:eastAsia="宋体" w:cs="Times New Roman"/>
                <w:sz w:val="24"/>
                <w:szCs w:val="24"/>
                <w:lang w:val="en-US" w:eastAsia="zh-CN"/>
              </w:rPr>
              <w:t>1日以来（以合同签订时间为准） 所承接的与项目类似业绩的（排污口类、环境监管类）。每提供一份得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 xml:space="preserve">分，最高得2分，未提供不得分。 </w:t>
            </w:r>
          </w:p>
          <w:p w14:paraId="4930CF5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备注：投标人需提供</w:t>
            </w:r>
            <w:r>
              <w:rPr>
                <w:rFonts w:hint="eastAsia" w:cs="Times New Roman"/>
                <w:sz w:val="24"/>
                <w:szCs w:val="24"/>
                <w:lang w:val="en-US" w:eastAsia="zh-CN"/>
              </w:rPr>
              <w:t>完整、清晰</w:t>
            </w:r>
            <w:r>
              <w:rPr>
                <w:rFonts w:hint="eastAsia" w:ascii="Times New Roman" w:hAnsi="Times New Roman" w:eastAsia="宋体" w:cs="Times New Roman"/>
                <w:sz w:val="24"/>
                <w:szCs w:val="24"/>
                <w:lang w:val="en-US" w:eastAsia="zh-CN"/>
              </w:rPr>
              <w:t>合同扫描件、中标通知书扫描件，</w:t>
            </w:r>
            <w:r>
              <w:rPr>
                <w:rFonts w:hint="eastAsia" w:cs="Times New Roman"/>
                <w:sz w:val="24"/>
                <w:szCs w:val="24"/>
                <w:lang w:val="en-US" w:eastAsia="zh-CN"/>
              </w:rPr>
              <w:t>时间以合同签订时间为准，</w:t>
            </w:r>
            <w:r>
              <w:rPr>
                <w:rFonts w:hint="eastAsia" w:ascii="Times New Roman" w:hAnsi="Times New Roman" w:eastAsia="宋体" w:cs="Times New Roman"/>
                <w:sz w:val="24"/>
                <w:szCs w:val="24"/>
                <w:lang w:val="en-US" w:eastAsia="zh-CN"/>
              </w:rPr>
              <w:t>未提供不得分。</w:t>
            </w:r>
          </w:p>
        </w:tc>
      </w:tr>
      <w:tr w14:paraId="5A7E3991">
        <w:tblPrEx>
          <w:tblCellMar>
            <w:top w:w="0" w:type="dxa"/>
            <w:left w:w="108" w:type="dxa"/>
            <w:bottom w:w="0" w:type="dxa"/>
            <w:right w:w="108" w:type="dxa"/>
          </w:tblCellMar>
        </w:tblPrEx>
        <w:trPr>
          <w:trHeight w:val="840" w:hRule="atLeast"/>
        </w:trPr>
        <w:tc>
          <w:tcPr>
            <w:tcW w:w="936" w:type="dxa"/>
            <w:vMerge w:val="continue"/>
            <w:tcBorders>
              <w:left w:val="single" w:color="auto" w:sz="4" w:space="0"/>
              <w:right w:val="single" w:color="auto" w:sz="4" w:space="0"/>
            </w:tcBorders>
            <w:vAlign w:val="center"/>
          </w:tcPr>
          <w:p w14:paraId="0B86A7D7">
            <w:pPr>
              <w:jc w:val="center"/>
              <w:rPr>
                <w:rFonts w:hint="eastAsia" w:ascii="宋体" w:hAnsi="宋体" w:cs="宋体"/>
                <w:color w:val="000000"/>
                <w:kern w:val="0"/>
                <w:sz w:val="24"/>
              </w:rPr>
            </w:pPr>
          </w:p>
        </w:tc>
        <w:tc>
          <w:tcPr>
            <w:tcW w:w="1313" w:type="dxa"/>
            <w:tcBorders>
              <w:top w:val="single" w:color="auto" w:sz="4" w:space="0"/>
              <w:left w:val="nil"/>
              <w:bottom w:val="single" w:color="auto" w:sz="4" w:space="0"/>
              <w:right w:val="single" w:color="auto" w:sz="4" w:space="0"/>
            </w:tcBorders>
            <w:shd w:val="clear" w:color="auto" w:fill="auto"/>
            <w:vAlign w:val="center"/>
          </w:tcPr>
          <w:p w14:paraId="356B9CA5">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企业实力</w:t>
            </w:r>
          </w:p>
          <w:p w14:paraId="3456A714">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（2分）</w:t>
            </w:r>
          </w:p>
        </w:tc>
        <w:tc>
          <w:tcPr>
            <w:tcW w:w="6931" w:type="dxa"/>
            <w:gridSpan w:val="2"/>
            <w:tcBorders>
              <w:top w:val="single" w:color="auto" w:sz="4" w:space="0"/>
              <w:left w:val="nil"/>
              <w:bottom w:val="single" w:color="auto" w:sz="4" w:space="0"/>
              <w:right w:val="single" w:color="auto" w:sz="4" w:space="0"/>
            </w:tcBorders>
            <w:shd w:val="clear" w:color="auto" w:fill="auto"/>
            <w:vAlign w:val="center"/>
          </w:tcPr>
          <w:p w14:paraId="1015E51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投标人</w:t>
            </w:r>
            <w:r>
              <w:rPr>
                <w:rFonts w:hint="eastAsia" w:cs="Times New Roman"/>
                <w:sz w:val="24"/>
                <w:szCs w:val="24"/>
                <w:lang w:val="en-US" w:eastAsia="zh-CN"/>
              </w:rPr>
              <w:t>同时</w:t>
            </w:r>
            <w:r>
              <w:rPr>
                <w:rFonts w:hint="eastAsia" w:ascii="Times New Roman" w:hAnsi="Times New Roman" w:eastAsia="宋体" w:cs="Times New Roman"/>
                <w:sz w:val="24"/>
                <w:szCs w:val="24"/>
                <w:lang w:val="en-US" w:eastAsia="zh-CN"/>
              </w:rPr>
              <w:t>具备 ISO9001 质量管理体系认证证书</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ISO14001 环境管理体系认证证书</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ISO</w:t>
            </w:r>
            <w:r>
              <w:rPr>
                <w:rFonts w:hint="eastAsia" w:cs="Times New Roman"/>
                <w:sz w:val="24"/>
                <w:szCs w:val="24"/>
                <w:lang w:val="en-US" w:eastAsia="zh-CN"/>
              </w:rPr>
              <w:t>45</w:t>
            </w:r>
            <w:r>
              <w:rPr>
                <w:rFonts w:hint="eastAsia" w:ascii="Times New Roman" w:hAnsi="Times New Roman" w:eastAsia="宋体" w:cs="Times New Roman"/>
                <w:sz w:val="24"/>
                <w:szCs w:val="24"/>
                <w:lang w:val="en-US" w:eastAsia="zh-CN"/>
              </w:rPr>
              <w:t>001</w:t>
            </w:r>
            <w:r>
              <w:rPr>
                <w:rFonts w:hint="eastAsia" w:cs="Times New Roman"/>
                <w:sz w:val="24"/>
                <w:szCs w:val="24"/>
                <w:lang w:val="en-US" w:eastAsia="zh-CN"/>
              </w:rPr>
              <w:t>职业健康安全管理体系认证证书</w:t>
            </w:r>
            <w:r>
              <w:rPr>
                <w:rFonts w:hint="eastAsia" w:ascii="Times New Roman" w:hAnsi="Times New Roman" w:eastAsia="宋体" w:cs="Times New Roman"/>
                <w:sz w:val="24"/>
                <w:szCs w:val="24"/>
                <w:lang w:val="en-US" w:eastAsia="zh-CN"/>
              </w:rPr>
              <w:t>得2分，</w:t>
            </w:r>
            <w:r>
              <w:rPr>
                <w:rFonts w:hint="eastAsia" w:cs="Times New Roman"/>
                <w:sz w:val="24"/>
                <w:szCs w:val="24"/>
                <w:lang w:val="en-US" w:eastAsia="zh-CN"/>
              </w:rPr>
              <w:t>缺任何一项或不</w:t>
            </w:r>
            <w:r>
              <w:rPr>
                <w:rFonts w:hint="eastAsia" w:ascii="Times New Roman" w:hAnsi="Times New Roman" w:eastAsia="宋体" w:cs="Times New Roman"/>
                <w:sz w:val="24"/>
                <w:szCs w:val="24"/>
                <w:lang w:val="en-US" w:eastAsia="zh-CN"/>
              </w:rPr>
              <w:t>提供</w:t>
            </w:r>
            <w:r>
              <w:rPr>
                <w:rFonts w:hint="eastAsia" w:cs="Times New Roman"/>
                <w:sz w:val="24"/>
                <w:szCs w:val="24"/>
                <w:lang w:val="en-US" w:eastAsia="zh-CN"/>
              </w:rPr>
              <w:t>者</w:t>
            </w:r>
            <w:r>
              <w:rPr>
                <w:rFonts w:hint="eastAsia" w:ascii="Times New Roman" w:hAnsi="Times New Roman" w:eastAsia="宋体" w:cs="Times New Roman"/>
                <w:sz w:val="24"/>
                <w:szCs w:val="24"/>
                <w:lang w:val="en-US" w:eastAsia="zh-CN"/>
              </w:rPr>
              <w:t>不得分。</w:t>
            </w:r>
          </w:p>
        </w:tc>
      </w:tr>
      <w:tr w14:paraId="6313C049">
        <w:tblPrEx>
          <w:tblCellMar>
            <w:top w:w="0" w:type="dxa"/>
            <w:left w:w="108" w:type="dxa"/>
            <w:bottom w:w="0" w:type="dxa"/>
            <w:right w:w="108" w:type="dxa"/>
          </w:tblCellMar>
        </w:tblPrEx>
        <w:trPr>
          <w:trHeight w:val="270" w:hRule="atLeast"/>
        </w:trPr>
        <w:tc>
          <w:tcPr>
            <w:tcW w:w="936" w:type="dxa"/>
            <w:vMerge w:val="continue"/>
            <w:tcBorders>
              <w:left w:val="single" w:color="auto" w:sz="4" w:space="0"/>
              <w:right w:val="single" w:color="auto" w:sz="4" w:space="0"/>
            </w:tcBorders>
            <w:vAlign w:val="center"/>
          </w:tcPr>
          <w:p w14:paraId="7EF8DF06">
            <w:pPr>
              <w:jc w:val="center"/>
              <w:rPr>
                <w:rFonts w:ascii="宋体" w:hAnsi="宋体" w:cs="宋体"/>
                <w:color w:val="000000"/>
                <w:kern w:val="0"/>
                <w:sz w:val="24"/>
              </w:rPr>
            </w:pPr>
          </w:p>
        </w:tc>
        <w:tc>
          <w:tcPr>
            <w:tcW w:w="1313" w:type="dxa"/>
            <w:tcBorders>
              <w:top w:val="single" w:color="auto" w:sz="4" w:space="0"/>
              <w:left w:val="nil"/>
              <w:bottom w:val="single" w:color="auto" w:sz="4" w:space="0"/>
              <w:right w:val="single" w:color="auto" w:sz="4" w:space="0"/>
            </w:tcBorders>
            <w:shd w:val="clear" w:color="auto" w:fill="auto"/>
            <w:vAlign w:val="center"/>
          </w:tcPr>
          <w:p w14:paraId="0FBB732C">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项目人员配备</w:t>
            </w:r>
          </w:p>
          <w:p w14:paraId="645CB248">
            <w:pPr>
              <w:widowControl/>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（3分）</w:t>
            </w:r>
          </w:p>
        </w:tc>
        <w:tc>
          <w:tcPr>
            <w:tcW w:w="6931" w:type="dxa"/>
            <w:gridSpan w:val="2"/>
            <w:tcBorders>
              <w:top w:val="single" w:color="auto" w:sz="4" w:space="0"/>
              <w:left w:val="nil"/>
              <w:bottom w:val="single" w:color="auto" w:sz="4" w:space="0"/>
              <w:right w:val="single" w:color="auto" w:sz="4" w:space="0"/>
            </w:tcBorders>
            <w:shd w:val="clear" w:color="auto" w:fill="auto"/>
            <w:vAlign w:val="center"/>
          </w:tcPr>
          <w:p w14:paraId="5B19C47F">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w:t>
            </w:r>
            <w:r>
              <w:rPr>
                <w:rFonts w:hint="eastAsia" w:cs="Times New Roman"/>
                <w:sz w:val="24"/>
                <w:szCs w:val="24"/>
                <w:lang w:val="en-US" w:eastAsia="zh-CN"/>
              </w:rPr>
              <w:t>负责人</w:t>
            </w:r>
            <w:r>
              <w:rPr>
                <w:rFonts w:hint="eastAsia" w:ascii="Times New Roman" w:hAnsi="Times New Roman" w:eastAsia="宋体" w:cs="Times New Roman"/>
                <w:sz w:val="24"/>
                <w:szCs w:val="24"/>
                <w:lang w:val="en-US" w:eastAsia="zh-CN"/>
              </w:rPr>
              <w:t>具有计算机专业高级工程师证书或PMP证书的得3分，未提供不得分。</w:t>
            </w:r>
          </w:p>
          <w:p w14:paraId="0F64621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注：需提供以上人员的身份证、相关证书、投标截止日前半年内连续3个月投标人为其缴纳社会保险的证明材料复印件或扫描件。</w:t>
            </w:r>
          </w:p>
        </w:tc>
      </w:tr>
      <w:tr w14:paraId="36678AC9">
        <w:tblPrEx>
          <w:tblCellMar>
            <w:top w:w="0" w:type="dxa"/>
            <w:left w:w="108" w:type="dxa"/>
            <w:bottom w:w="0" w:type="dxa"/>
            <w:right w:w="108" w:type="dxa"/>
          </w:tblCellMar>
        </w:tblPrEx>
        <w:trPr>
          <w:trHeight w:val="270" w:hRule="atLeast"/>
        </w:trPr>
        <w:tc>
          <w:tcPr>
            <w:tcW w:w="936" w:type="dxa"/>
            <w:vMerge w:val="continue"/>
            <w:tcBorders>
              <w:left w:val="single" w:color="auto" w:sz="4" w:space="0"/>
              <w:right w:val="single" w:color="auto" w:sz="4" w:space="0"/>
            </w:tcBorders>
            <w:vAlign w:val="center"/>
          </w:tcPr>
          <w:p w14:paraId="1FE5433E">
            <w:pPr>
              <w:jc w:val="center"/>
              <w:rPr>
                <w:rFonts w:ascii="宋体" w:hAnsi="宋体" w:cs="宋体"/>
                <w:color w:val="000000"/>
                <w:kern w:val="0"/>
                <w:sz w:val="24"/>
              </w:rPr>
            </w:pPr>
          </w:p>
        </w:tc>
        <w:tc>
          <w:tcPr>
            <w:tcW w:w="1313" w:type="dxa"/>
            <w:tcBorders>
              <w:top w:val="single" w:color="auto" w:sz="4" w:space="0"/>
              <w:left w:val="nil"/>
              <w:bottom w:val="single" w:color="auto" w:sz="4" w:space="0"/>
              <w:right w:val="single" w:color="auto" w:sz="4" w:space="0"/>
            </w:tcBorders>
            <w:shd w:val="clear" w:color="auto" w:fill="auto"/>
            <w:vAlign w:val="center"/>
          </w:tcPr>
          <w:p w14:paraId="66AA9A38">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产品成熟度</w:t>
            </w:r>
          </w:p>
          <w:p w14:paraId="541038B0">
            <w:pPr>
              <w:widowControl/>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（3分）</w:t>
            </w:r>
          </w:p>
        </w:tc>
        <w:tc>
          <w:tcPr>
            <w:tcW w:w="6931" w:type="dxa"/>
            <w:gridSpan w:val="2"/>
            <w:tcBorders>
              <w:top w:val="single" w:color="auto" w:sz="4" w:space="0"/>
              <w:left w:val="nil"/>
              <w:bottom w:val="single" w:color="auto" w:sz="4" w:space="0"/>
              <w:right w:val="single" w:color="auto" w:sz="4" w:space="0"/>
            </w:tcBorders>
            <w:shd w:val="clear" w:color="auto" w:fill="auto"/>
            <w:vAlign w:val="center"/>
          </w:tcPr>
          <w:p w14:paraId="66A556F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投标人熟悉本项目建设相关内容，软件开发能力成熟，提供涉及以下相关类别的（排污口溯源类、 “排污口物联网监测”类、“排污口综合管理” 类、“排污口大数据”类、“排污口协同管理”类）软件著作权或其他知识产权成果证明的</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每</w:t>
            </w:r>
            <w:r>
              <w:rPr>
                <w:rFonts w:hint="eastAsia" w:ascii="Times New Roman" w:hAnsi="Times New Roman" w:eastAsia="宋体" w:cs="Times New Roman"/>
                <w:color w:val="auto"/>
                <w:sz w:val="24"/>
                <w:szCs w:val="24"/>
                <w:lang w:val="en-US" w:eastAsia="zh-CN"/>
              </w:rPr>
              <w:t>提供一个类别得1分</w:t>
            </w:r>
            <w:r>
              <w:rPr>
                <w:rFonts w:hint="eastAsia" w:cs="Times New Roman"/>
                <w:color w:val="auto"/>
                <w:sz w:val="24"/>
                <w:szCs w:val="24"/>
                <w:lang w:val="en-US" w:eastAsia="zh-CN"/>
              </w:rPr>
              <w:t>（同一类别最多得1分）</w:t>
            </w:r>
            <w:r>
              <w:rPr>
                <w:rFonts w:hint="eastAsia" w:ascii="Times New Roman" w:hAnsi="Times New Roman" w:eastAsia="宋体" w:cs="Times New Roman"/>
                <w:color w:val="auto"/>
                <w:sz w:val="24"/>
                <w:szCs w:val="24"/>
                <w:lang w:val="en-US" w:eastAsia="zh-CN"/>
              </w:rPr>
              <w:t>，最多得3分，未提供不得分。</w:t>
            </w:r>
          </w:p>
        </w:tc>
      </w:tr>
      <w:tr w14:paraId="4D91A39A">
        <w:tblPrEx>
          <w:tblCellMar>
            <w:top w:w="0" w:type="dxa"/>
            <w:left w:w="108" w:type="dxa"/>
            <w:bottom w:w="0" w:type="dxa"/>
            <w:right w:w="108" w:type="dxa"/>
          </w:tblCellMar>
        </w:tblPrEx>
        <w:trPr>
          <w:trHeight w:val="270" w:hRule="atLeast"/>
        </w:trPr>
        <w:tc>
          <w:tcPr>
            <w:tcW w:w="936" w:type="dxa"/>
            <w:vMerge w:val="continue"/>
            <w:tcBorders>
              <w:left w:val="single" w:color="auto" w:sz="4" w:space="0"/>
              <w:bottom w:val="single" w:color="auto" w:sz="4" w:space="0"/>
              <w:right w:val="single" w:color="auto" w:sz="4" w:space="0"/>
            </w:tcBorders>
            <w:vAlign w:val="center"/>
          </w:tcPr>
          <w:p w14:paraId="5917AFA2">
            <w:pPr>
              <w:jc w:val="center"/>
              <w:rPr>
                <w:rFonts w:ascii="宋体" w:hAnsi="宋体" w:cs="宋体"/>
                <w:color w:val="000000"/>
                <w:kern w:val="0"/>
                <w:sz w:val="24"/>
              </w:rPr>
            </w:pPr>
          </w:p>
        </w:tc>
        <w:tc>
          <w:tcPr>
            <w:tcW w:w="1313" w:type="dxa"/>
            <w:tcBorders>
              <w:top w:val="single" w:color="auto" w:sz="4" w:space="0"/>
              <w:left w:val="nil"/>
              <w:bottom w:val="single" w:color="auto" w:sz="4" w:space="0"/>
              <w:right w:val="single" w:color="auto" w:sz="4" w:space="0"/>
            </w:tcBorders>
            <w:shd w:val="clear" w:color="auto" w:fill="auto"/>
            <w:vAlign w:val="center"/>
          </w:tcPr>
          <w:p w14:paraId="1EA56DBA">
            <w:pPr>
              <w:widowControl/>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勘察现场</w:t>
            </w:r>
          </w:p>
          <w:p w14:paraId="7475ABDF">
            <w:pPr>
              <w:widowControl/>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（5分）</w:t>
            </w:r>
          </w:p>
          <w:p w14:paraId="60E44609">
            <w:pPr>
              <w:widowControl/>
              <w:jc w:val="center"/>
              <w:rPr>
                <w:rFonts w:hint="eastAsia" w:ascii="Times New Roman" w:hAnsi="Times New Roman" w:eastAsia="宋体" w:cs="Times New Roman"/>
                <w:sz w:val="24"/>
                <w:szCs w:val="24"/>
                <w:lang w:val="en-US" w:eastAsia="zh-CN"/>
              </w:rPr>
            </w:pPr>
          </w:p>
        </w:tc>
        <w:tc>
          <w:tcPr>
            <w:tcW w:w="6931" w:type="dxa"/>
            <w:gridSpan w:val="2"/>
            <w:tcBorders>
              <w:top w:val="single" w:color="auto" w:sz="4" w:space="0"/>
              <w:left w:val="nil"/>
              <w:bottom w:val="single" w:color="auto" w:sz="4" w:space="0"/>
              <w:right w:val="single" w:color="auto" w:sz="4" w:space="0"/>
            </w:tcBorders>
            <w:shd w:val="clear" w:color="auto" w:fill="auto"/>
            <w:vAlign w:val="center"/>
          </w:tcPr>
          <w:p w14:paraId="5AF4B9FA">
            <w:pPr>
              <w:widowControl/>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因项目情况复杂，技术要求较高，为使供应商充分了解评估建设地点基本情况及后期服务工作，避免盲目投标，保障项目后期的顺利实施，</w:t>
            </w:r>
            <w:r>
              <w:rPr>
                <w:rFonts w:hint="eastAsia" w:cs="Times New Roman"/>
                <w:sz w:val="24"/>
                <w:szCs w:val="24"/>
                <w:lang w:val="en-US" w:eastAsia="zh-CN"/>
              </w:rPr>
              <w:t>投标人可根据“供应商须知前附表1.9.1勘察现场”说明</w:t>
            </w:r>
            <w:r>
              <w:rPr>
                <w:rFonts w:hint="eastAsia" w:ascii="Times New Roman" w:hAnsi="Times New Roman" w:eastAsia="宋体" w:cs="Times New Roman"/>
                <w:sz w:val="24"/>
                <w:szCs w:val="24"/>
                <w:lang w:val="en-US" w:eastAsia="zh-CN"/>
              </w:rPr>
              <w:t>对供货现场和周围环境</w:t>
            </w:r>
            <w:r>
              <w:rPr>
                <w:rFonts w:hint="eastAsia" w:cs="Times New Roman"/>
                <w:sz w:val="24"/>
                <w:szCs w:val="24"/>
                <w:lang w:val="en-US" w:eastAsia="zh-CN"/>
              </w:rPr>
              <w:t>进行现场勘察。</w:t>
            </w:r>
            <w:r>
              <w:rPr>
                <w:rFonts w:hint="eastAsia" w:ascii="Times New Roman" w:hAnsi="Times New Roman" w:eastAsia="宋体" w:cs="Times New Roman"/>
                <w:sz w:val="24"/>
                <w:szCs w:val="24"/>
                <w:lang w:val="en-US" w:eastAsia="zh-CN"/>
              </w:rPr>
              <w:t>采购人</w:t>
            </w:r>
            <w:r>
              <w:rPr>
                <w:rFonts w:hint="eastAsia" w:cs="Times New Roman"/>
                <w:sz w:val="24"/>
                <w:szCs w:val="24"/>
                <w:lang w:val="en-US" w:eastAsia="zh-CN"/>
              </w:rPr>
              <w:t>为按时参加勘察现场的供应商</w:t>
            </w:r>
            <w:r>
              <w:rPr>
                <w:rFonts w:hint="eastAsia" w:ascii="Times New Roman" w:hAnsi="Times New Roman" w:eastAsia="宋体" w:cs="Times New Roman"/>
                <w:sz w:val="24"/>
                <w:szCs w:val="24"/>
                <w:lang w:val="en-US" w:eastAsia="zh-CN"/>
              </w:rPr>
              <w:t>开具加盖采购单位公章的勘察证明函。供应商将勘察证明函原件</w:t>
            </w:r>
            <w:r>
              <w:rPr>
                <w:rFonts w:hint="eastAsia" w:cs="Times New Roman"/>
                <w:sz w:val="24"/>
                <w:szCs w:val="24"/>
                <w:lang w:val="en-US" w:eastAsia="zh-CN"/>
              </w:rPr>
              <w:t>扫描件</w:t>
            </w:r>
            <w:r>
              <w:rPr>
                <w:rFonts w:hint="eastAsia" w:ascii="Times New Roman" w:hAnsi="Times New Roman" w:eastAsia="宋体" w:cs="Times New Roman"/>
                <w:sz w:val="24"/>
                <w:szCs w:val="24"/>
                <w:lang w:val="en-US" w:eastAsia="zh-CN"/>
              </w:rPr>
              <w:t>放在投标文件中</w:t>
            </w:r>
            <w:r>
              <w:rPr>
                <w:rFonts w:hint="eastAsia" w:cs="Times New Roman"/>
                <w:sz w:val="24"/>
                <w:szCs w:val="24"/>
                <w:lang w:val="en-US" w:eastAsia="zh-CN"/>
              </w:rPr>
              <w:t>并</w:t>
            </w:r>
            <w:r>
              <w:rPr>
                <w:rFonts w:hint="eastAsia" w:ascii="Times New Roman" w:hAnsi="Times New Roman" w:eastAsia="宋体" w:cs="Times New Roman"/>
                <w:sz w:val="24"/>
                <w:szCs w:val="24"/>
                <w:lang w:val="en-US" w:eastAsia="zh-CN"/>
              </w:rPr>
              <w:t>提供</w:t>
            </w:r>
            <w:r>
              <w:rPr>
                <w:rFonts w:hint="eastAsia" w:ascii="宋体" w:hAnsi="宋体" w:eastAsia="宋体" w:cs="宋体"/>
                <w:color w:val="auto"/>
                <w:sz w:val="24"/>
                <w:lang w:val="en-US" w:eastAsia="zh-CN"/>
              </w:rPr>
              <w:t>真实性承诺</w:t>
            </w:r>
            <w:r>
              <w:rPr>
                <w:rFonts w:hint="eastAsia" w:ascii="宋体" w:hAnsi="宋体" w:cs="宋体"/>
                <w:color w:val="auto"/>
                <w:sz w:val="24"/>
                <w:lang w:val="en-US" w:eastAsia="zh-CN"/>
              </w:rPr>
              <w:t>（格式自拟）</w:t>
            </w:r>
            <w:r>
              <w:rPr>
                <w:rFonts w:hint="eastAsia" w:ascii="Times New Roman" w:hAnsi="Times New Roman" w:eastAsia="宋体" w:cs="Times New Roman"/>
                <w:color w:val="auto"/>
                <w:sz w:val="24"/>
                <w:szCs w:val="24"/>
                <w:lang w:val="en-US" w:eastAsia="zh-CN"/>
              </w:rPr>
              <w:t>的得</w:t>
            </w:r>
            <w:r>
              <w:rPr>
                <w:rFonts w:hint="eastAsia" w:ascii="Times New Roman" w:hAnsi="Times New Roman" w:eastAsia="宋体" w:cs="Times New Roman"/>
                <w:sz w:val="24"/>
                <w:szCs w:val="24"/>
                <w:lang w:val="en-US" w:eastAsia="zh-CN"/>
              </w:rPr>
              <w:t>5分，未提供不得分。</w:t>
            </w:r>
          </w:p>
        </w:tc>
      </w:tr>
    </w:tbl>
    <w:p w14:paraId="3151BE8D">
      <w:pPr>
        <w:adjustRightInd w:val="0"/>
        <w:snapToGrid w:val="0"/>
        <w:spacing w:line="400" w:lineRule="exact"/>
        <w:ind w:firstLine="422" w:firstLineChars="200"/>
        <w:jc w:val="left"/>
        <w:rPr>
          <w:rFonts w:ascii="宋体" w:hAnsi="宋体" w:cs="宋体"/>
          <w:b/>
          <w:bCs/>
          <w:color w:val="000000" w:themeColor="text1"/>
          <w:sz w:val="28"/>
          <w:szCs w:val="28"/>
          <w14:textFill>
            <w14:solidFill>
              <w14:schemeClr w14:val="tx1"/>
            </w14:solidFill>
          </w14:textFill>
        </w:rPr>
      </w:pPr>
      <w:r>
        <w:rPr>
          <w:rFonts w:hint="eastAsia" w:ascii="宋体" w:hAnsi="宋体"/>
          <w:b/>
        </w:rPr>
        <w:t>注：投标文件中所有参与评审需提供的证件、证明、证书、文件及业绩等资料均附原件扫描件。</w:t>
      </w:r>
    </w:p>
    <w:p w14:paraId="39E8D36A">
      <w:pPr>
        <w:framePr w:w="8681" w:wrap="around" w:vAnchor="margin" w:hAnchor="text" w:x="1843" w:y="1"/>
        <w:spacing w:line="480" w:lineRule="auto"/>
        <w:jc w:val="center"/>
        <w:rPr>
          <w:rFonts w:ascii="宋体" w:hAnsi="宋体" w:cs="宋体"/>
          <w:b/>
          <w:bCs/>
          <w:sz w:val="28"/>
          <w:szCs w:val="28"/>
        </w:rPr>
        <w:sectPr>
          <w:footerReference r:id="rId6" w:type="default"/>
          <w:pgSz w:w="11900" w:h="16838"/>
          <w:pgMar w:top="1134" w:right="1270" w:bottom="1134" w:left="1560" w:header="720" w:footer="680" w:gutter="0"/>
          <w:pgNumType w:fmt="decimal" w:start="1"/>
          <w:cols w:space="720" w:num="1"/>
          <w:docGrid w:type="lines" w:linePitch="360" w:charSpace="0"/>
        </w:sectPr>
      </w:pPr>
    </w:p>
    <w:p w14:paraId="228C2C65">
      <w:pPr>
        <w:pageBreakBefore/>
        <w:spacing w:line="360" w:lineRule="auto"/>
        <w:jc w:val="center"/>
        <w:rPr>
          <w:rFonts w:ascii="宋体" w:hAnsi="宋体" w:cs="宋体"/>
          <w:b/>
          <w:bCs/>
          <w:sz w:val="36"/>
          <w:szCs w:val="36"/>
        </w:rPr>
      </w:pPr>
      <w:bookmarkStart w:id="234" w:name="_Toc22303"/>
      <w:bookmarkStart w:id="235" w:name="_Toc20375"/>
      <w:bookmarkStart w:id="236" w:name="_Toc20878"/>
      <w:r>
        <w:rPr>
          <w:rStyle w:val="59"/>
          <w:rFonts w:hint="eastAsia" w:ascii="黑体" w:hAnsi="黑体" w:eastAsia="黑体"/>
          <w:b w:val="0"/>
          <w:bCs w:val="0"/>
          <w:sz w:val="36"/>
          <w:szCs w:val="36"/>
        </w:rPr>
        <w:t>第四章 合同条款及格式</w:t>
      </w:r>
      <w:bookmarkEnd w:id="234"/>
      <w:bookmarkEnd w:id="235"/>
      <w:bookmarkEnd w:id="236"/>
    </w:p>
    <w:p w14:paraId="7532DD03">
      <w:pPr>
        <w:pStyle w:val="18"/>
        <w:spacing w:before="190" w:line="219" w:lineRule="auto"/>
        <w:jc w:val="center"/>
        <w:rPr>
          <w:sz w:val="28"/>
          <w:szCs w:val="28"/>
        </w:rPr>
      </w:pPr>
      <w:r>
        <w:rPr>
          <w:spacing w:val="-2"/>
          <w:sz w:val="28"/>
          <w:szCs w:val="28"/>
        </w:rPr>
        <w:t>（仅供参考，以实际签订合同为准）</w:t>
      </w:r>
    </w:p>
    <w:p w14:paraId="332A6CAB">
      <w:pPr>
        <w:spacing w:line="171" w:lineRule="exact"/>
      </w:pPr>
    </w:p>
    <w:p w14:paraId="5B1D4501">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2" w:firstLineChars="300"/>
        <w:jc w:val="left"/>
        <w:textAlignment w:val="auto"/>
        <w:rPr>
          <w:rFonts w:ascii="宋体" w:hAnsi="宋体" w:eastAsia="宋体" w:cs="宋体"/>
          <w:sz w:val="20"/>
          <w:szCs w:val="20"/>
        </w:rPr>
      </w:pPr>
      <w:r>
        <w:rPr>
          <w:rFonts w:ascii="宋体" w:hAnsi="宋体" w:eastAsia="宋体" w:cs="宋体"/>
          <w:spacing w:val="2"/>
          <w:sz w:val="20"/>
          <w:szCs w:val="20"/>
        </w:rPr>
        <w:t>甲方(需方)</w:t>
      </w:r>
      <w:r>
        <w:rPr>
          <w:rFonts w:ascii="宋体" w:hAnsi="宋体" w:eastAsia="宋体" w:cs="宋体"/>
          <w:spacing w:val="-60"/>
          <w:sz w:val="20"/>
          <w:szCs w:val="20"/>
        </w:rPr>
        <w:t xml:space="preserve"> </w:t>
      </w:r>
      <w:r>
        <w:rPr>
          <w:rFonts w:ascii="宋体" w:hAnsi="宋体" w:eastAsia="宋体" w:cs="宋体"/>
          <w:spacing w:val="2"/>
          <w:sz w:val="20"/>
          <w:szCs w:val="20"/>
        </w:rPr>
        <w:t>:</w:t>
      </w:r>
    </w:p>
    <w:p w14:paraId="0671E039">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8" w:firstLineChars="300"/>
        <w:jc w:val="left"/>
        <w:textAlignment w:val="auto"/>
        <w:rPr>
          <w:rFonts w:ascii="宋体" w:hAnsi="宋体" w:eastAsia="宋体" w:cs="宋体"/>
          <w:sz w:val="20"/>
          <w:szCs w:val="20"/>
        </w:rPr>
      </w:pPr>
      <w:r>
        <w:rPr>
          <w:rFonts w:ascii="宋体" w:hAnsi="宋体" w:eastAsia="宋体" w:cs="宋体"/>
          <w:spacing w:val="3"/>
          <w:sz w:val="20"/>
          <w:szCs w:val="20"/>
        </w:rPr>
        <w:t>乙方(供方)</w:t>
      </w:r>
      <w:r>
        <w:rPr>
          <w:rFonts w:ascii="宋体" w:hAnsi="宋体" w:eastAsia="宋体" w:cs="宋体"/>
          <w:spacing w:val="-60"/>
          <w:sz w:val="20"/>
          <w:szCs w:val="20"/>
        </w:rPr>
        <w:t xml:space="preserve"> </w:t>
      </w:r>
      <w:r>
        <w:rPr>
          <w:rFonts w:ascii="宋体" w:hAnsi="宋体" w:eastAsia="宋体" w:cs="宋体"/>
          <w:spacing w:val="3"/>
          <w:sz w:val="20"/>
          <w:szCs w:val="20"/>
        </w:rPr>
        <w:t>:</w:t>
      </w:r>
    </w:p>
    <w:p w14:paraId="1C6B911A">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380" w:firstLineChars="200"/>
        <w:textAlignment w:val="auto"/>
      </w:pPr>
      <w:r>
        <w:rPr>
          <w:spacing w:val="-10"/>
        </w:rPr>
        <w:t>签订地点: （实际签订地点）</w:t>
      </w:r>
    </w:p>
    <w:p w14:paraId="19C3E166">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rPr>
          <w:spacing w:val="-2"/>
        </w:rPr>
      </w:pPr>
      <w:r>
        <w:rPr>
          <w:spacing w:val="-2"/>
        </w:rPr>
        <w:t>经甲乙双方协商一致，订立本合同，以便共同遵守。</w:t>
      </w:r>
    </w:p>
    <w:p w14:paraId="729B2199">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pPr>
      <w:r>
        <w:rPr>
          <w:spacing w:val="-2"/>
        </w:rPr>
        <w:t>一、物资名称、规格型号、数量、单价和金额</w:t>
      </w:r>
    </w:p>
    <w:tbl>
      <w:tblPr>
        <w:tblStyle w:val="252"/>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06"/>
        <w:gridCol w:w="2447"/>
        <w:gridCol w:w="694"/>
        <w:gridCol w:w="722"/>
        <w:gridCol w:w="1151"/>
        <w:gridCol w:w="1365"/>
        <w:gridCol w:w="979"/>
      </w:tblGrid>
      <w:tr w14:paraId="5F39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vAlign w:val="top"/>
          </w:tcPr>
          <w:p w14:paraId="529265A1">
            <w:pPr>
              <w:spacing w:before="208" w:line="210" w:lineRule="auto"/>
              <w:ind w:left="38"/>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1406" w:type="dxa"/>
            <w:vAlign w:val="top"/>
          </w:tcPr>
          <w:p w14:paraId="5B876129">
            <w:pPr>
              <w:spacing w:before="194" w:line="222" w:lineRule="auto"/>
              <w:ind w:left="468"/>
              <w:rPr>
                <w:rFonts w:ascii="宋体" w:hAnsi="宋体" w:eastAsia="宋体" w:cs="宋体"/>
                <w:sz w:val="24"/>
                <w:szCs w:val="24"/>
              </w:rPr>
            </w:pPr>
            <w:r>
              <w:rPr>
                <w:rFonts w:ascii="宋体" w:hAnsi="宋体" w:eastAsia="宋体" w:cs="宋体"/>
                <w:spacing w:val="-4"/>
                <w:sz w:val="24"/>
                <w:szCs w:val="24"/>
              </w:rPr>
              <w:t>名称</w:t>
            </w:r>
          </w:p>
        </w:tc>
        <w:tc>
          <w:tcPr>
            <w:tcW w:w="2447" w:type="dxa"/>
            <w:vAlign w:val="top"/>
          </w:tcPr>
          <w:p w14:paraId="4EF91749">
            <w:pPr>
              <w:spacing w:before="193" w:line="220" w:lineRule="auto"/>
              <w:ind w:left="750"/>
              <w:rPr>
                <w:rFonts w:ascii="宋体" w:hAnsi="宋体" w:eastAsia="宋体" w:cs="宋体"/>
                <w:sz w:val="24"/>
                <w:szCs w:val="24"/>
              </w:rPr>
            </w:pPr>
            <w:r>
              <w:rPr>
                <w:rFonts w:ascii="宋体" w:hAnsi="宋体" w:eastAsia="宋体" w:cs="宋体"/>
                <w:spacing w:val="-2"/>
                <w:sz w:val="24"/>
                <w:szCs w:val="24"/>
              </w:rPr>
              <w:t>规格型号</w:t>
            </w:r>
          </w:p>
        </w:tc>
        <w:tc>
          <w:tcPr>
            <w:tcW w:w="694" w:type="dxa"/>
            <w:vAlign w:val="top"/>
          </w:tcPr>
          <w:p w14:paraId="112B5B17">
            <w:pPr>
              <w:spacing w:before="225" w:line="209" w:lineRule="auto"/>
              <w:jc w:val="center"/>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单位</w:t>
            </w:r>
          </w:p>
        </w:tc>
        <w:tc>
          <w:tcPr>
            <w:tcW w:w="722" w:type="dxa"/>
            <w:vAlign w:val="top"/>
          </w:tcPr>
          <w:p w14:paraId="3903F300">
            <w:pPr>
              <w:spacing w:before="193" w:line="220" w:lineRule="auto"/>
              <w:ind w:left="128"/>
              <w:rPr>
                <w:rFonts w:ascii="宋体" w:hAnsi="宋体" w:eastAsia="宋体" w:cs="宋体"/>
                <w:sz w:val="24"/>
                <w:szCs w:val="24"/>
              </w:rPr>
            </w:pPr>
            <w:r>
              <w:rPr>
                <w:rFonts w:ascii="宋体" w:hAnsi="宋体" w:eastAsia="宋体" w:cs="宋体"/>
                <w:spacing w:val="-3"/>
                <w:sz w:val="24"/>
                <w:szCs w:val="24"/>
              </w:rPr>
              <w:t>数量</w:t>
            </w:r>
          </w:p>
        </w:tc>
        <w:tc>
          <w:tcPr>
            <w:tcW w:w="1151" w:type="dxa"/>
            <w:vAlign w:val="top"/>
          </w:tcPr>
          <w:p w14:paraId="29A690B5">
            <w:pPr>
              <w:spacing w:before="194" w:line="218" w:lineRule="auto"/>
              <w:ind w:left="345"/>
              <w:rPr>
                <w:rFonts w:ascii="宋体" w:hAnsi="宋体" w:eastAsia="宋体" w:cs="宋体"/>
                <w:sz w:val="24"/>
                <w:szCs w:val="24"/>
              </w:rPr>
            </w:pPr>
            <w:r>
              <w:rPr>
                <w:rFonts w:ascii="宋体" w:hAnsi="宋体" w:eastAsia="宋体" w:cs="宋体"/>
                <w:spacing w:val="-3"/>
                <w:sz w:val="24"/>
                <w:szCs w:val="24"/>
              </w:rPr>
              <w:t>单价</w:t>
            </w:r>
          </w:p>
        </w:tc>
        <w:tc>
          <w:tcPr>
            <w:tcW w:w="1365" w:type="dxa"/>
            <w:vAlign w:val="top"/>
          </w:tcPr>
          <w:p w14:paraId="63377674">
            <w:pPr>
              <w:spacing w:before="193" w:line="220" w:lineRule="auto"/>
              <w:ind w:left="452"/>
              <w:rPr>
                <w:rFonts w:ascii="宋体" w:hAnsi="宋体" w:eastAsia="宋体" w:cs="宋体"/>
                <w:sz w:val="24"/>
                <w:szCs w:val="24"/>
              </w:rPr>
            </w:pPr>
            <w:r>
              <w:rPr>
                <w:rFonts w:ascii="宋体" w:hAnsi="宋体" w:eastAsia="宋体" w:cs="宋体"/>
                <w:spacing w:val="-3"/>
                <w:sz w:val="24"/>
                <w:szCs w:val="24"/>
              </w:rPr>
              <w:t>金额</w:t>
            </w:r>
          </w:p>
        </w:tc>
        <w:tc>
          <w:tcPr>
            <w:tcW w:w="979" w:type="dxa"/>
            <w:vAlign w:val="top"/>
          </w:tcPr>
          <w:p w14:paraId="0C5F1941">
            <w:pPr>
              <w:spacing w:before="194" w:line="221" w:lineRule="auto"/>
              <w:ind w:left="259"/>
              <w:rPr>
                <w:rFonts w:ascii="宋体" w:hAnsi="宋体" w:eastAsia="宋体" w:cs="宋体"/>
                <w:sz w:val="24"/>
                <w:szCs w:val="24"/>
              </w:rPr>
            </w:pPr>
            <w:r>
              <w:rPr>
                <w:rFonts w:ascii="宋体" w:hAnsi="宋体" w:eastAsia="宋体" w:cs="宋体"/>
                <w:spacing w:val="-4"/>
                <w:sz w:val="24"/>
                <w:szCs w:val="24"/>
              </w:rPr>
              <w:t>备注</w:t>
            </w:r>
          </w:p>
        </w:tc>
      </w:tr>
      <w:tr w14:paraId="7395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386563B2">
            <w:pPr>
              <w:spacing w:before="79" w:line="181" w:lineRule="auto"/>
              <w:ind w:left="290"/>
              <w:rPr>
                <w:rFonts w:ascii="宋体" w:hAnsi="宋体" w:eastAsia="宋体" w:cs="宋体"/>
                <w:sz w:val="24"/>
                <w:szCs w:val="24"/>
              </w:rPr>
            </w:pPr>
            <w:r>
              <w:rPr>
                <w:rFonts w:ascii="宋体" w:hAnsi="宋体" w:eastAsia="宋体" w:cs="宋体"/>
                <w:sz w:val="24"/>
                <w:szCs w:val="24"/>
              </w:rPr>
              <w:t>1</w:t>
            </w:r>
          </w:p>
        </w:tc>
        <w:tc>
          <w:tcPr>
            <w:tcW w:w="1406" w:type="dxa"/>
            <w:vAlign w:val="top"/>
          </w:tcPr>
          <w:p w14:paraId="70580D13">
            <w:pPr>
              <w:pStyle w:val="253"/>
            </w:pPr>
          </w:p>
        </w:tc>
        <w:tc>
          <w:tcPr>
            <w:tcW w:w="2447" w:type="dxa"/>
            <w:vAlign w:val="top"/>
          </w:tcPr>
          <w:p w14:paraId="3810811C">
            <w:pPr>
              <w:pStyle w:val="253"/>
            </w:pPr>
          </w:p>
        </w:tc>
        <w:tc>
          <w:tcPr>
            <w:tcW w:w="694" w:type="dxa"/>
            <w:vAlign w:val="top"/>
          </w:tcPr>
          <w:p w14:paraId="4C7914F9">
            <w:pPr>
              <w:pStyle w:val="253"/>
            </w:pPr>
          </w:p>
        </w:tc>
        <w:tc>
          <w:tcPr>
            <w:tcW w:w="722" w:type="dxa"/>
            <w:vAlign w:val="top"/>
          </w:tcPr>
          <w:p w14:paraId="508287D3">
            <w:pPr>
              <w:pStyle w:val="253"/>
            </w:pPr>
          </w:p>
        </w:tc>
        <w:tc>
          <w:tcPr>
            <w:tcW w:w="1151" w:type="dxa"/>
            <w:vAlign w:val="top"/>
          </w:tcPr>
          <w:p w14:paraId="50701D13">
            <w:pPr>
              <w:pStyle w:val="253"/>
            </w:pPr>
          </w:p>
        </w:tc>
        <w:tc>
          <w:tcPr>
            <w:tcW w:w="1365" w:type="dxa"/>
            <w:vAlign w:val="top"/>
          </w:tcPr>
          <w:p w14:paraId="66F935AA">
            <w:pPr>
              <w:pStyle w:val="253"/>
            </w:pPr>
          </w:p>
        </w:tc>
        <w:tc>
          <w:tcPr>
            <w:tcW w:w="979" w:type="dxa"/>
            <w:vAlign w:val="top"/>
          </w:tcPr>
          <w:p w14:paraId="714D845C">
            <w:pPr>
              <w:pStyle w:val="253"/>
            </w:pPr>
          </w:p>
        </w:tc>
      </w:tr>
      <w:tr w14:paraId="0448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57" w:type="dxa"/>
            <w:vAlign w:val="top"/>
          </w:tcPr>
          <w:p w14:paraId="21A9EDC6">
            <w:pPr>
              <w:spacing w:before="83" w:line="180" w:lineRule="auto"/>
              <w:ind w:left="276"/>
              <w:rPr>
                <w:rFonts w:ascii="宋体" w:hAnsi="宋体" w:eastAsia="宋体" w:cs="宋体"/>
                <w:sz w:val="24"/>
                <w:szCs w:val="24"/>
              </w:rPr>
            </w:pPr>
            <w:r>
              <w:rPr>
                <w:rFonts w:ascii="宋体" w:hAnsi="宋体" w:eastAsia="宋体" w:cs="宋体"/>
                <w:sz w:val="24"/>
                <w:szCs w:val="24"/>
              </w:rPr>
              <w:t>2</w:t>
            </w:r>
          </w:p>
        </w:tc>
        <w:tc>
          <w:tcPr>
            <w:tcW w:w="1406" w:type="dxa"/>
            <w:vAlign w:val="top"/>
          </w:tcPr>
          <w:p w14:paraId="2682C291">
            <w:pPr>
              <w:pStyle w:val="253"/>
            </w:pPr>
          </w:p>
        </w:tc>
        <w:tc>
          <w:tcPr>
            <w:tcW w:w="2447" w:type="dxa"/>
            <w:vAlign w:val="top"/>
          </w:tcPr>
          <w:p w14:paraId="05B272ED">
            <w:pPr>
              <w:pStyle w:val="253"/>
            </w:pPr>
          </w:p>
        </w:tc>
        <w:tc>
          <w:tcPr>
            <w:tcW w:w="694" w:type="dxa"/>
            <w:vAlign w:val="top"/>
          </w:tcPr>
          <w:p w14:paraId="1137ADA0">
            <w:pPr>
              <w:pStyle w:val="253"/>
            </w:pPr>
          </w:p>
        </w:tc>
        <w:tc>
          <w:tcPr>
            <w:tcW w:w="722" w:type="dxa"/>
            <w:vAlign w:val="top"/>
          </w:tcPr>
          <w:p w14:paraId="17590526">
            <w:pPr>
              <w:pStyle w:val="253"/>
            </w:pPr>
          </w:p>
        </w:tc>
        <w:tc>
          <w:tcPr>
            <w:tcW w:w="1151" w:type="dxa"/>
            <w:vAlign w:val="top"/>
          </w:tcPr>
          <w:p w14:paraId="7840C12E">
            <w:pPr>
              <w:pStyle w:val="253"/>
            </w:pPr>
          </w:p>
        </w:tc>
        <w:tc>
          <w:tcPr>
            <w:tcW w:w="1365" w:type="dxa"/>
            <w:vAlign w:val="top"/>
          </w:tcPr>
          <w:p w14:paraId="29BC8059">
            <w:pPr>
              <w:pStyle w:val="253"/>
            </w:pPr>
          </w:p>
        </w:tc>
        <w:tc>
          <w:tcPr>
            <w:tcW w:w="979" w:type="dxa"/>
            <w:vAlign w:val="top"/>
          </w:tcPr>
          <w:p w14:paraId="21CE2B89">
            <w:pPr>
              <w:pStyle w:val="253"/>
            </w:pPr>
          </w:p>
        </w:tc>
      </w:tr>
      <w:tr w14:paraId="71E6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7C469B7C">
            <w:pPr>
              <w:spacing w:before="82" w:line="179" w:lineRule="auto"/>
              <w:ind w:left="277"/>
              <w:rPr>
                <w:rFonts w:ascii="宋体" w:hAnsi="宋体" w:eastAsia="宋体" w:cs="宋体"/>
                <w:sz w:val="24"/>
                <w:szCs w:val="24"/>
              </w:rPr>
            </w:pPr>
            <w:r>
              <w:rPr>
                <w:rFonts w:ascii="宋体" w:hAnsi="宋体" w:eastAsia="宋体" w:cs="宋体"/>
                <w:sz w:val="24"/>
                <w:szCs w:val="24"/>
              </w:rPr>
              <w:t>3</w:t>
            </w:r>
          </w:p>
        </w:tc>
        <w:tc>
          <w:tcPr>
            <w:tcW w:w="1406" w:type="dxa"/>
            <w:vAlign w:val="top"/>
          </w:tcPr>
          <w:p w14:paraId="095CA4B2">
            <w:pPr>
              <w:pStyle w:val="253"/>
            </w:pPr>
          </w:p>
        </w:tc>
        <w:tc>
          <w:tcPr>
            <w:tcW w:w="2447" w:type="dxa"/>
            <w:vAlign w:val="top"/>
          </w:tcPr>
          <w:p w14:paraId="2DC039A0">
            <w:pPr>
              <w:pStyle w:val="253"/>
            </w:pPr>
          </w:p>
        </w:tc>
        <w:tc>
          <w:tcPr>
            <w:tcW w:w="694" w:type="dxa"/>
            <w:vAlign w:val="top"/>
          </w:tcPr>
          <w:p w14:paraId="2FAF98F7">
            <w:pPr>
              <w:pStyle w:val="253"/>
            </w:pPr>
          </w:p>
        </w:tc>
        <w:tc>
          <w:tcPr>
            <w:tcW w:w="722" w:type="dxa"/>
            <w:vAlign w:val="top"/>
          </w:tcPr>
          <w:p w14:paraId="3099B26A">
            <w:pPr>
              <w:pStyle w:val="253"/>
            </w:pPr>
          </w:p>
        </w:tc>
        <w:tc>
          <w:tcPr>
            <w:tcW w:w="1151" w:type="dxa"/>
            <w:vAlign w:val="top"/>
          </w:tcPr>
          <w:p w14:paraId="642DA3DC">
            <w:pPr>
              <w:pStyle w:val="253"/>
            </w:pPr>
          </w:p>
        </w:tc>
        <w:tc>
          <w:tcPr>
            <w:tcW w:w="1365" w:type="dxa"/>
            <w:vAlign w:val="top"/>
          </w:tcPr>
          <w:p w14:paraId="6EE366CD">
            <w:pPr>
              <w:pStyle w:val="253"/>
            </w:pPr>
          </w:p>
        </w:tc>
        <w:tc>
          <w:tcPr>
            <w:tcW w:w="979" w:type="dxa"/>
            <w:vAlign w:val="top"/>
          </w:tcPr>
          <w:p w14:paraId="1D578730">
            <w:pPr>
              <w:pStyle w:val="253"/>
            </w:pPr>
          </w:p>
        </w:tc>
      </w:tr>
      <w:tr w14:paraId="5978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3" w:type="dxa"/>
            <w:gridSpan w:val="2"/>
            <w:vAlign w:val="top"/>
          </w:tcPr>
          <w:p w14:paraId="5144BC58">
            <w:pPr>
              <w:spacing w:before="42" w:line="215" w:lineRule="auto"/>
              <w:ind w:left="319"/>
              <w:rPr>
                <w:rFonts w:ascii="宋体" w:hAnsi="宋体" w:eastAsia="宋体" w:cs="宋体"/>
                <w:sz w:val="24"/>
                <w:szCs w:val="24"/>
              </w:rPr>
            </w:pPr>
            <w:r>
              <w:rPr>
                <w:rFonts w:ascii="宋体" w:hAnsi="宋体" w:eastAsia="宋体" w:cs="宋体"/>
                <w:spacing w:val="-4"/>
                <w:sz w:val="24"/>
                <w:szCs w:val="24"/>
              </w:rPr>
              <w:t>合计（大写）</w:t>
            </w:r>
          </w:p>
        </w:tc>
        <w:tc>
          <w:tcPr>
            <w:tcW w:w="6379" w:type="dxa"/>
            <w:gridSpan w:val="5"/>
            <w:vAlign w:val="top"/>
          </w:tcPr>
          <w:p w14:paraId="232815FE">
            <w:pPr>
              <w:pStyle w:val="253"/>
            </w:pPr>
          </w:p>
        </w:tc>
        <w:tc>
          <w:tcPr>
            <w:tcW w:w="979" w:type="dxa"/>
            <w:vAlign w:val="top"/>
          </w:tcPr>
          <w:p w14:paraId="43C2354E">
            <w:pPr>
              <w:pStyle w:val="253"/>
            </w:pPr>
          </w:p>
        </w:tc>
      </w:tr>
    </w:tbl>
    <w:p w14:paraId="1371364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二、质量要求及技术标准</w:t>
      </w:r>
    </w:p>
    <w:p w14:paraId="637F51E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1、所供物资严格按国家或行业标准提供，满足国家强制质保要求。</w:t>
      </w:r>
    </w:p>
    <w:p w14:paraId="3DCF2C5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2、所供物资技术标准以招标文件要求为准。</w:t>
      </w:r>
    </w:p>
    <w:p w14:paraId="51EC9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3、其他技术要求或未列明情况由乙方主动和甲方协商确定。</w:t>
      </w:r>
    </w:p>
    <w:p w14:paraId="5FEDD2BE">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三、交货时间及数量</w:t>
      </w:r>
    </w:p>
    <w:p w14:paraId="6D57719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0" w:firstLineChars="200"/>
        <w:textAlignment w:val="auto"/>
      </w:pPr>
      <w:r>
        <w:rPr>
          <w:spacing w:val="-10"/>
        </w:rPr>
        <w:t>按甲方要求供货，</w:t>
      </w:r>
      <w:r>
        <w:rPr>
          <w:spacing w:val="64"/>
        </w:rPr>
        <w:t xml:space="preserve"> </w:t>
      </w:r>
      <w:r>
        <w:rPr>
          <w:u w:val="single" w:color="auto"/>
        </w:rPr>
        <w:t xml:space="preserve">     </w:t>
      </w:r>
      <w:r>
        <w:rPr>
          <w:spacing w:val="-110"/>
        </w:rPr>
        <w:t xml:space="preserve"> </w:t>
      </w:r>
      <w:r>
        <w:rPr>
          <w:spacing w:val="-10"/>
        </w:rPr>
        <w:t>年</w:t>
      </w:r>
      <w:r>
        <w:rPr>
          <w:spacing w:val="-10"/>
          <w:u w:val="single" w:color="auto"/>
        </w:rPr>
        <w:t xml:space="preserve">    </w:t>
      </w:r>
      <w:r>
        <w:rPr>
          <w:spacing w:val="-105"/>
        </w:rPr>
        <w:t xml:space="preserve"> </w:t>
      </w:r>
      <w:r>
        <w:rPr>
          <w:spacing w:val="-10"/>
        </w:rPr>
        <w:t>月</w:t>
      </w:r>
      <w:r>
        <w:rPr>
          <w:spacing w:val="-10"/>
          <w:u w:val="single" w:color="auto"/>
        </w:rPr>
        <w:t xml:space="preserve">    </w:t>
      </w:r>
      <w:r>
        <w:rPr>
          <w:spacing w:val="-69"/>
        </w:rPr>
        <w:t xml:space="preserve"> </w:t>
      </w:r>
      <w:r>
        <w:rPr>
          <w:spacing w:val="-10"/>
        </w:rPr>
        <w:t>日前全部到齐并验收移交。</w:t>
      </w:r>
    </w:p>
    <w:p w14:paraId="2E049FC4">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四、履约保证金履约保证金的形式</w:t>
      </w:r>
    </w:p>
    <w:p w14:paraId="6780852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default" w:eastAsiaTheme="minorEastAsia"/>
          <w:u w:val="single"/>
          <w:lang w:val="en-US" w:eastAsia="zh-CN"/>
        </w:rPr>
      </w:pPr>
      <w:r>
        <w:rPr>
          <w:spacing w:val="-3"/>
        </w:rPr>
        <w:t>履约保证金</w:t>
      </w:r>
      <w:r>
        <w:rPr>
          <w:rFonts w:hint="eastAsia"/>
          <w:spacing w:val="-3"/>
          <w:lang w:val="en-US" w:eastAsia="zh-CN"/>
        </w:rPr>
        <w:t>数额及缴纳形式：</w:t>
      </w:r>
      <w:r>
        <w:rPr>
          <w:rFonts w:hint="eastAsia"/>
          <w:spacing w:val="-3"/>
          <w:u w:val="single"/>
          <w:lang w:val="en-US" w:eastAsia="zh-CN"/>
        </w:rPr>
        <w:t xml:space="preserve">  （根据甲方要求缴纳）   </w:t>
      </w:r>
    </w:p>
    <w:p w14:paraId="1469C24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五、交货地点及方式</w:t>
      </w:r>
    </w:p>
    <w:p w14:paraId="15A1DE38">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交货地点为甲方指定地点，乙方负责卸车</w:t>
      </w:r>
      <w:r>
        <w:rPr>
          <w:rFonts w:hint="eastAsia"/>
          <w:spacing w:val="-2"/>
          <w:lang w:eastAsia="zh-CN"/>
        </w:rPr>
        <w:t>、</w:t>
      </w:r>
      <w:r>
        <w:rPr>
          <w:rFonts w:hint="eastAsia"/>
          <w:spacing w:val="-2"/>
          <w:lang w:val="en-US" w:eastAsia="zh-CN"/>
        </w:rPr>
        <w:t>安装、调试等相关服务</w:t>
      </w:r>
      <w:r>
        <w:rPr>
          <w:spacing w:val="-2"/>
        </w:rPr>
        <w:t>。</w:t>
      </w:r>
    </w:p>
    <w:p w14:paraId="3ED4069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六、包装标准及要求和费用负担</w:t>
      </w:r>
    </w:p>
    <w:p w14:paraId="682F9E3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按国家或行业标准包装， 包装要具有良好的防护措施， 以确保货物安全运抵甲方指定地点， 否则乙方将承担货物损坏、丢失的责任和经济损失； 包装物免回收， 费用由乙方负担。</w:t>
      </w:r>
    </w:p>
    <w:p w14:paraId="3FBD143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七、运输方式及到达站港、费用负担</w:t>
      </w:r>
    </w:p>
    <w:p w14:paraId="75CB999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1、乙方采用汽车专车送货，发生的运输费和装卸费由乙方承</w:t>
      </w:r>
      <w:r>
        <w:rPr>
          <w:spacing w:val="-3"/>
        </w:rPr>
        <w:t>担。</w:t>
      </w:r>
    </w:p>
    <w:p w14:paraId="5B1D4EE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2、货到约定交货地点交付前发生的货物丢失、损坏、意外事故、人身损害等风险所造成的一切责任和费用均由乙方承担。</w:t>
      </w:r>
    </w:p>
    <w:p w14:paraId="1F1CF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rPr>
          <w:spacing w:val="-1"/>
        </w:rPr>
      </w:pPr>
      <w:r>
        <w:rPr>
          <w:spacing w:val="-1"/>
        </w:rPr>
        <w:t>3、货物交付时和交付后，因乙方在货物中夹带易燃易爆、有害物质等给甲方设施造成破坏或人员受到伤害，乙方不仅承担由此造成的经济损失，而且要承担法律责任。</w:t>
      </w:r>
    </w:p>
    <w:p w14:paraId="78C6F32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八、验收标准、方法、证明文件及提出异议期限</w:t>
      </w:r>
    </w:p>
    <w:p w14:paraId="39237EF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92" w:firstLineChars="200"/>
        <w:textAlignment w:val="auto"/>
        <w:rPr>
          <w:spacing w:val="-2"/>
        </w:rPr>
      </w:pPr>
      <w:r>
        <w:rPr>
          <w:spacing w:val="-7"/>
        </w:rPr>
        <w:t>由采购站、甲方和乙方相关人员现场组织验收。验收内容包括</w:t>
      </w:r>
      <w:r>
        <w:rPr>
          <w:spacing w:val="-8"/>
        </w:rPr>
        <w:t>：</w:t>
      </w:r>
      <w:r>
        <w:rPr>
          <w:spacing w:val="51"/>
        </w:rPr>
        <w:t xml:space="preserve"> </w:t>
      </w:r>
      <w:r>
        <w:rPr>
          <w:spacing w:val="-8"/>
        </w:rPr>
        <w:t>查验质量是否符合</w:t>
      </w:r>
      <w:r>
        <w:t xml:space="preserve"> </w:t>
      </w:r>
      <w:r>
        <w:rPr>
          <w:spacing w:val="-2"/>
        </w:rPr>
        <w:t>投标文件中对于品牌及国标的要求，有无损坏或以次充好的情况；查验数量有无短缺，</w:t>
      </w:r>
      <w:r>
        <w:rPr>
          <w:spacing w:val="12"/>
        </w:rPr>
        <w:t xml:space="preserve"> </w:t>
      </w:r>
      <w:r>
        <w:rPr>
          <w:spacing w:val="-8"/>
        </w:rPr>
        <w:t>检查规格型号是否一致，</w:t>
      </w:r>
      <w:r>
        <w:rPr>
          <w:spacing w:val="-41"/>
        </w:rPr>
        <w:t xml:space="preserve"> </w:t>
      </w:r>
      <w:r>
        <w:rPr>
          <w:spacing w:val="-8"/>
        </w:rPr>
        <w:t>检查包装是否完好；</w:t>
      </w:r>
      <w:r>
        <w:rPr>
          <w:spacing w:val="52"/>
        </w:rPr>
        <w:t xml:space="preserve"> </w:t>
      </w:r>
      <w:r>
        <w:rPr>
          <w:spacing w:val="-8"/>
        </w:rPr>
        <w:t>查验检测报告、合格</w:t>
      </w:r>
      <w:r>
        <w:rPr>
          <w:spacing w:val="-2"/>
        </w:rPr>
        <w:t>证等证明文件是否齐 全。发生验收纠纷时做好商务记录，报主管部门协调解决。验收清单一式三份：乙方、采购站、甲方各一份。提出异议期限： 双方如有异议， 可在本合同签章前提出； 否则， 视为对本合同及合同条款无任何异议。</w:t>
      </w:r>
    </w:p>
    <w:p w14:paraId="0E0010B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九、结算方式及期限</w:t>
      </w:r>
    </w:p>
    <w:p w14:paraId="4660AD9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rFonts w:hint="default" w:eastAsiaTheme="minorEastAsia"/>
          <w:spacing w:val="-2"/>
          <w:u w:val="single"/>
          <w:lang w:val="en-US" w:eastAsia="zh-CN"/>
        </w:rPr>
      </w:pPr>
      <w:r>
        <w:rPr>
          <w:spacing w:val="-2"/>
        </w:rPr>
        <w:t>结算方式及期限</w:t>
      </w:r>
      <w:r>
        <w:rPr>
          <w:rFonts w:hint="eastAsia"/>
          <w:spacing w:val="-2"/>
          <w:lang w:eastAsia="zh-CN"/>
        </w:rPr>
        <w:t>：</w:t>
      </w:r>
      <w:r>
        <w:rPr>
          <w:rFonts w:hint="eastAsia"/>
          <w:spacing w:val="-2"/>
          <w:u w:val="single"/>
          <w:lang w:eastAsia="zh-CN"/>
        </w:rPr>
        <w:t>（</w:t>
      </w:r>
      <w:r>
        <w:rPr>
          <w:rFonts w:hint="eastAsia"/>
          <w:spacing w:val="-2"/>
          <w:u w:val="single"/>
          <w:lang w:val="en-US" w:eastAsia="zh-CN"/>
        </w:rPr>
        <w:t>双方签订合同时协商确定</w:t>
      </w:r>
      <w:r>
        <w:rPr>
          <w:rFonts w:hint="eastAsia"/>
          <w:spacing w:val="-2"/>
          <w:u w:val="single"/>
          <w:lang w:eastAsia="zh-CN"/>
        </w:rPr>
        <w:t>）</w:t>
      </w:r>
      <w:r>
        <w:rPr>
          <w:rFonts w:hint="eastAsia"/>
          <w:spacing w:val="-2"/>
          <w:u w:val="single"/>
          <w:lang w:val="en-US" w:eastAsia="zh-CN"/>
        </w:rPr>
        <w:t xml:space="preserve"> </w:t>
      </w:r>
    </w:p>
    <w:p w14:paraId="129B108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十、保修期限、技术培训及售后服务</w:t>
      </w:r>
    </w:p>
    <w:p w14:paraId="00B81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按照乙方投标文件承诺，乙方须向甲方提供</w:t>
      </w:r>
      <w:r>
        <w:rPr>
          <w:spacing w:val="-109"/>
        </w:rPr>
        <w:t xml:space="preserve"> </w:t>
      </w:r>
      <w:r>
        <w:rPr>
          <w:u w:val="single" w:color="auto"/>
        </w:rPr>
        <w:t xml:space="preserve">     </w:t>
      </w:r>
      <w:r>
        <w:rPr>
          <w:spacing w:val="-110"/>
        </w:rPr>
        <w:t xml:space="preserve"> </w:t>
      </w:r>
      <w:r>
        <w:rPr>
          <w:spacing w:val="-1"/>
        </w:rPr>
        <w:t>年的产品保修期。在保修期内产</w:t>
      </w:r>
      <w:r>
        <w:t xml:space="preserve"> </w:t>
      </w:r>
      <w:r>
        <w:rPr>
          <w:spacing w:val="-12"/>
        </w:rPr>
        <w:t>品质量出现问题或因产品质量引起的相关问题，</w:t>
      </w:r>
      <w:r>
        <w:rPr>
          <w:spacing w:val="82"/>
        </w:rPr>
        <w:t xml:space="preserve"> </w:t>
      </w:r>
      <w:r>
        <w:rPr>
          <w:spacing w:val="-12"/>
        </w:rPr>
        <w:t>由乙方承担经济及法律责任；</w:t>
      </w:r>
      <w:r>
        <w:rPr>
          <w:spacing w:val="60"/>
        </w:rPr>
        <w:t xml:space="preserve"> </w:t>
      </w:r>
      <w:r>
        <w:rPr>
          <w:spacing w:val="-12"/>
        </w:rPr>
        <w:t>因使用不</w:t>
      </w:r>
      <w:r>
        <w:t xml:space="preserve"> </w:t>
      </w:r>
      <w:r>
        <w:rPr>
          <w:spacing w:val="-7"/>
        </w:rPr>
        <w:t>当、违规操作或自然灾害引起的事故，</w:t>
      </w:r>
      <w:r>
        <w:rPr>
          <w:spacing w:val="70"/>
        </w:rPr>
        <w:t xml:space="preserve"> </w:t>
      </w:r>
      <w:r>
        <w:rPr>
          <w:spacing w:val="-7"/>
        </w:rPr>
        <w:t>乙方不承担相关经济及法律责任。投标文件中有</w:t>
      </w:r>
      <w:r>
        <w:rPr>
          <w:spacing w:val="-3"/>
        </w:rPr>
        <w:t>关售后服务承诺在质保期限内始终有效。</w:t>
      </w:r>
    </w:p>
    <w:p w14:paraId="730101B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十一、违约责任</w:t>
      </w:r>
    </w:p>
    <w:p w14:paraId="649DF1C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1、乙方必须按甲方要求按时交货；若推迟交货时间每增加 1</w:t>
      </w:r>
      <w:r>
        <w:rPr>
          <w:spacing w:val="-37"/>
        </w:rPr>
        <w:t xml:space="preserve"> </w:t>
      </w:r>
      <w:r>
        <w:rPr>
          <w:spacing w:val="-3"/>
        </w:rPr>
        <w:t>个工作日按合同总数</w:t>
      </w:r>
      <w:r>
        <w:t xml:space="preserve"> </w:t>
      </w:r>
      <w:r>
        <w:rPr>
          <w:spacing w:val="-9"/>
        </w:rPr>
        <w:t>的</w:t>
      </w:r>
      <w:r>
        <w:rPr>
          <w:spacing w:val="-46"/>
        </w:rPr>
        <w:t xml:space="preserve"> </w:t>
      </w:r>
      <w:r>
        <w:rPr>
          <w:spacing w:val="-9"/>
        </w:rPr>
        <w:t>5‰累计赔偿甲方违约金，</w:t>
      </w:r>
      <w:r>
        <w:rPr>
          <w:spacing w:val="43"/>
        </w:rPr>
        <w:t xml:space="preserve"> </w:t>
      </w:r>
      <w:r>
        <w:rPr>
          <w:spacing w:val="-9"/>
        </w:rPr>
        <w:t>如推迟</w:t>
      </w:r>
      <w:r>
        <w:rPr>
          <w:spacing w:val="-45"/>
        </w:rPr>
        <w:t xml:space="preserve"> </w:t>
      </w:r>
      <w:r>
        <w:rPr>
          <w:spacing w:val="-9"/>
        </w:rPr>
        <w:t>30</w:t>
      </w:r>
      <w:r>
        <w:rPr>
          <w:spacing w:val="-46"/>
        </w:rPr>
        <w:t xml:space="preserve"> </w:t>
      </w:r>
      <w:r>
        <w:rPr>
          <w:spacing w:val="-9"/>
        </w:rPr>
        <w:t>天以上赔偿甲</w:t>
      </w:r>
      <w:r>
        <w:rPr>
          <w:spacing w:val="-10"/>
        </w:rPr>
        <w:t>方违约金按合同总数的</w:t>
      </w:r>
      <w:r>
        <w:rPr>
          <w:spacing w:val="-45"/>
        </w:rPr>
        <w:t xml:space="preserve"> </w:t>
      </w:r>
      <w:r>
        <w:rPr>
          <w:spacing w:val="-10"/>
        </w:rPr>
        <w:t>50%计，</w:t>
      </w:r>
      <w:r>
        <w:rPr>
          <w:spacing w:val="-42"/>
        </w:rPr>
        <w:t xml:space="preserve"> </w:t>
      </w:r>
      <w:r>
        <w:rPr>
          <w:spacing w:val="-10"/>
        </w:rPr>
        <w:t>并</w:t>
      </w:r>
      <w:r>
        <w:rPr>
          <w:spacing w:val="-4"/>
        </w:rPr>
        <w:t>承担由此造成的一切损失及后果（扣除甲方原因影响天数或不可抗力影响天</w:t>
      </w:r>
      <w:r>
        <w:rPr>
          <w:spacing w:val="-5"/>
        </w:rPr>
        <w:t>数）。</w:t>
      </w:r>
    </w:p>
    <w:p w14:paraId="67CFCD3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spacing w:val="-9"/>
        </w:rPr>
      </w:pPr>
      <w:r>
        <w:t>2、双方享受同等义务与责任。当出现</w:t>
      </w:r>
      <w:r>
        <w:rPr>
          <w:spacing w:val="-9"/>
        </w:rPr>
        <w:t>质量、货款、交货期纠纷，并造成对方损失的，违约一方应当承担相应责任。</w:t>
      </w:r>
    </w:p>
    <w:p w14:paraId="4E7B311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十二、合同争议解决方式</w:t>
      </w:r>
    </w:p>
    <w:p w14:paraId="34A8CB5C">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当出现合同争议时， 双方应友好协商解决； 当协商难以解决时， 双方均可以书面形式向上级部门反映情况或请求法律解决。</w:t>
      </w:r>
    </w:p>
    <w:p w14:paraId="21E7594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十三、不可抗力</w:t>
      </w:r>
    </w:p>
    <w:p w14:paraId="65BC5C0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不可抗力是指自然灾害(地震、泥石流、洪涝灾害等)、战争等情况。</w:t>
      </w:r>
    </w:p>
    <w:p w14:paraId="61795DB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十四、其他约定事项</w:t>
      </w:r>
    </w:p>
    <w:p w14:paraId="18515BF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1、乙方应无异议响应甲方招标文件要求，不得转让应履行的合同义务。</w:t>
      </w:r>
    </w:p>
    <w:p w14:paraId="2FD16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2、质保期内，产品如出现质量或其他内在问题，乙方无条件更换新品。</w:t>
      </w:r>
    </w:p>
    <w:p w14:paraId="67F6B2F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3、如乙方提供证明的文件不齐全、无到货验收单者，甲方有权拒付余款，乙方必须在甲方要求限期内改正，然后方可申请余款。</w:t>
      </w:r>
    </w:p>
    <w:p w14:paraId="1745CB2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4、分批运送的具体货物清单由需求部门向合同签订方和乙方提供，提供的需求清单以书面形式传递，内容要详细、准确，清单要求编号和日期完整。</w:t>
      </w:r>
    </w:p>
    <w:p w14:paraId="0244FE6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spacing w:val="-3"/>
        </w:rPr>
      </w:pPr>
      <w:r>
        <w:rPr>
          <w:spacing w:val="-3"/>
        </w:rPr>
        <w:t>十五、合同附件</w:t>
      </w:r>
    </w:p>
    <w:p w14:paraId="4ED6AE5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eastAsia"/>
          <w:spacing w:val="-3"/>
          <w:lang w:val="en-US" w:eastAsia="zh-CN"/>
        </w:rPr>
      </w:pPr>
      <w:r>
        <w:rPr>
          <w:rFonts w:hint="eastAsia"/>
          <w:spacing w:val="-3"/>
          <w:lang w:val="en-US" w:eastAsia="zh-CN"/>
        </w:rPr>
        <w:t>双方根据项目情况添加附件。</w:t>
      </w:r>
    </w:p>
    <w:p w14:paraId="1EFF0C06">
      <w:pPr>
        <w:pStyle w:val="18"/>
        <w:spacing w:before="78" w:line="370" w:lineRule="auto"/>
        <w:ind w:left="490"/>
        <w:rPr>
          <w:rFonts w:hint="default"/>
          <w:spacing w:val="-15"/>
          <w:lang w:val="en-US" w:eastAsia="zh-CN"/>
        </w:rPr>
      </w:pPr>
      <w:r>
        <w:rPr>
          <w:rFonts w:hint="eastAsia"/>
          <w:spacing w:val="-15"/>
          <w:lang w:val="en-US" w:eastAsia="zh-CN"/>
        </w:rPr>
        <w:t>十六、合同期限及份数</w:t>
      </w:r>
    </w:p>
    <w:p w14:paraId="4738EED7">
      <w:pPr>
        <w:pStyle w:val="18"/>
        <w:spacing w:before="78" w:line="370" w:lineRule="auto"/>
        <w:ind w:left="490"/>
      </w:pPr>
      <w:r>
        <w:rPr>
          <w:spacing w:val="-15"/>
        </w:rPr>
        <w:t>合同有效期：</w:t>
      </w:r>
      <w:r>
        <w:rPr>
          <w:spacing w:val="55"/>
        </w:rPr>
        <w:t xml:space="preserve"> </w:t>
      </w:r>
      <w:r>
        <w:rPr>
          <w:u w:val="single" w:color="auto"/>
        </w:rPr>
        <w:t xml:space="preserve">   </w:t>
      </w:r>
      <w:r>
        <w:rPr>
          <w:rFonts w:hint="eastAsia"/>
          <w:u w:val="single" w:color="auto"/>
          <w:lang w:val="en-US" w:eastAsia="zh-CN"/>
        </w:rPr>
        <w:t xml:space="preserve">  </w:t>
      </w:r>
      <w:r>
        <w:rPr>
          <w:u w:val="single" w:color="auto"/>
        </w:rPr>
        <w:t xml:space="preserve">  </w:t>
      </w:r>
      <w:r>
        <w:rPr>
          <w:spacing w:val="-109"/>
        </w:rPr>
        <w:t xml:space="preserve"> </w:t>
      </w:r>
      <w:r>
        <w:rPr>
          <w:spacing w:val="-15"/>
        </w:rPr>
        <w:t>年</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105"/>
        </w:rPr>
        <w:t xml:space="preserve"> </w:t>
      </w:r>
      <w:r>
        <w:rPr>
          <w:spacing w:val="-15"/>
        </w:rPr>
        <w:t>月</w:t>
      </w:r>
      <w:r>
        <w:rPr>
          <w:u w:val="single" w:color="auto"/>
        </w:rPr>
        <w:t xml:space="preserve">  </w:t>
      </w:r>
      <w:r>
        <w:rPr>
          <w:rFonts w:hint="eastAsia"/>
          <w:u w:val="single" w:color="auto"/>
          <w:lang w:val="en-US" w:eastAsia="zh-CN"/>
        </w:rPr>
        <w:t xml:space="preserve">   </w:t>
      </w:r>
      <w:r>
        <w:rPr>
          <w:u w:val="single" w:color="auto"/>
        </w:rPr>
        <w:t xml:space="preserve"> </w:t>
      </w:r>
      <w:r>
        <w:rPr>
          <w:spacing w:val="-70"/>
        </w:rPr>
        <w:t xml:space="preserve"> </w:t>
      </w:r>
      <w:r>
        <w:rPr>
          <w:spacing w:val="-15"/>
        </w:rPr>
        <w:t>日至</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日，到期自</w:t>
      </w:r>
      <w:r>
        <w:rPr>
          <w:spacing w:val="-16"/>
        </w:rPr>
        <w:t>行废止。</w:t>
      </w:r>
    </w:p>
    <w:p w14:paraId="49098C74">
      <w:pPr>
        <w:pStyle w:val="18"/>
        <w:spacing w:before="2" w:line="218" w:lineRule="auto"/>
        <w:ind w:left="490"/>
        <w:rPr>
          <w:rFonts w:hint="default" w:eastAsiaTheme="minorEastAsia"/>
          <w:lang w:val="en-US" w:eastAsia="zh-CN"/>
        </w:rPr>
      </w:pPr>
      <w:r>
        <w:rPr>
          <w:spacing w:val="-6"/>
        </w:rPr>
        <w:t>本合同一式</w:t>
      </w:r>
      <w:r>
        <w:rPr>
          <w:spacing w:val="-34"/>
        </w:rPr>
        <w:t xml:space="preserve"> </w:t>
      </w:r>
      <w:r>
        <w:rPr>
          <w:spacing w:val="-6"/>
          <w:u w:val="single"/>
        </w:rPr>
        <w:t>6</w:t>
      </w:r>
      <w:r>
        <w:rPr>
          <w:spacing w:val="-51"/>
          <w:u w:val="single"/>
        </w:rPr>
        <w:t xml:space="preserve"> </w:t>
      </w:r>
      <w:r>
        <w:rPr>
          <w:rFonts w:hint="eastAsia"/>
          <w:spacing w:val="-51"/>
          <w:u w:val="single"/>
          <w:lang w:val="en-US" w:eastAsia="zh-CN"/>
        </w:rPr>
        <w:t xml:space="preserve">     </w:t>
      </w:r>
      <w:r>
        <w:rPr>
          <w:spacing w:val="-6"/>
        </w:rPr>
        <w:t>份</w:t>
      </w:r>
      <w:r>
        <w:rPr>
          <w:rFonts w:hint="eastAsia"/>
          <w:spacing w:val="-6"/>
          <w:lang w:eastAsia="zh-CN"/>
        </w:rPr>
        <w:t>，</w:t>
      </w:r>
      <w:r>
        <w:rPr>
          <w:rFonts w:hint="eastAsia"/>
          <w:spacing w:val="-6"/>
          <w:lang w:val="en-US" w:eastAsia="zh-CN"/>
        </w:rPr>
        <w:t>双方各执</w:t>
      </w:r>
      <w:r>
        <w:rPr>
          <w:rFonts w:hint="eastAsia"/>
          <w:spacing w:val="-6"/>
          <w:u w:val="single"/>
          <w:lang w:val="en-US" w:eastAsia="zh-CN"/>
        </w:rPr>
        <w:t>3</w:t>
      </w:r>
      <w:r>
        <w:rPr>
          <w:rFonts w:hint="eastAsia"/>
          <w:spacing w:val="-6"/>
          <w:lang w:val="en-US" w:eastAsia="zh-CN"/>
        </w:rPr>
        <w:t>份。</w:t>
      </w:r>
    </w:p>
    <w:p w14:paraId="2EAB09E2">
      <w:pPr>
        <w:spacing w:line="179" w:lineRule="exact"/>
      </w:pPr>
    </w:p>
    <w:tbl>
      <w:tblPr>
        <w:tblStyle w:val="252"/>
        <w:tblW w:w="913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6"/>
        <w:gridCol w:w="4563"/>
      </w:tblGrid>
      <w:tr w14:paraId="46D1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170F5519">
            <w:pPr>
              <w:spacing w:before="47" w:line="217" w:lineRule="auto"/>
              <w:ind w:left="130"/>
              <w:rPr>
                <w:rFonts w:ascii="宋体" w:hAnsi="宋体" w:eastAsia="宋体" w:cs="宋体"/>
                <w:sz w:val="24"/>
                <w:szCs w:val="24"/>
              </w:rPr>
            </w:pPr>
            <w:r>
              <w:rPr>
                <w:rFonts w:ascii="宋体" w:hAnsi="宋体" w:eastAsia="宋体" w:cs="宋体"/>
                <w:spacing w:val="-4"/>
                <w:sz w:val="24"/>
                <w:szCs w:val="24"/>
              </w:rPr>
              <w:t>需方(甲方)：</w:t>
            </w:r>
          </w:p>
        </w:tc>
        <w:tc>
          <w:tcPr>
            <w:tcW w:w="4563" w:type="dxa"/>
            <w:vAlign w:val="top"/>
          </w:tcPr>
          <w:p w14:paraId="43F89F06">
            <w:pPr>
              <w:spacing w:before="47" w:line="217" w:lineRule="auto"/>
              <w:ind w:left="116"/>
              <w:rPr>
                <w:rFonts w:ascii="宋体" w:hAnsi="宋体" w:eastAsia="宋体" w:cs="宋体"/>
                <w:sz w:val="24"/>
                <w:szCs w:val="24"/>
              </w:rPr>
            </w:pPr>
            <w:r>
              <w:rPr>
                <w:rFonts w:ascii="宋体" w:hAnsi="宋体" w:eastAsia="宋体" w:cs="宋体"/>
                <w:spacing w:val="-2"/>
                <w:sz w:val="24"/>
                <w:szCs w:val="24"/>
              </w:rPr>
              <w:t>供方(乙方)：</w:t>
            </w:r>
          </w:p>
        </w:tc>
      </w:tr>
      <w:tr w14:paraId="72297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624B32E5">
            <w:pPr>
              <w:spacing w:before="47" w:line="216" w:lineRule="auto"/>
              <w:ind w:left="119"/>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c>
          <w:tcPr>
            <w:tcW w:w="4563" w:type="dxa"/>
            <w:vAlign w:val="top"/>
          </w:tcPr>
          <w:p w14:paraId="1D169379">
            <w:pPr>
              <w:spacing w:before="47" w:line="216" w:lineRule="auto"/>
              <w:ind w:left="118"/>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r>
      <w:tr w14:paraId="48A5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576" w:type="dxa"/>
            <w:vAlign w:val="top"/>
          </w:tcPr>
          <w:p w14:paraId="2FEAC58C">
            <w:pPr>
              <w:spacing w:before="44" w:line="216" w:lineRule="auto"/>
              <w:ind w:left="119"/>
              <w:rPr>
                <w:rFonts w:ascii="宋体" w:hAnsi="宋体" w:eastAsia="宋体" w:cs="宋体"/>
                <w:sz w:val="24"/>
                <w:szCs w:val="24"/>
              </w:rPr>
            </w:pPr>
            <w:r>
              <w:rPr>
                <w:rFonts w:ascii="宋体" w:hAnsi="宋体" w:eastAsia="宋体" w:cs="宋体"/>
                <w:spacing w:val="-11"/>
                <w:sz w:val="24"/>
                <w:szCs w:val="24"/>
              </w:rPr>
              <w:t>单位地址：</w:t>
            </w:r>
          </w:p>
        </w:tc>
        <w:tc>
          <w:tcPr>
            <w:tcW w:w="4563" w:type="dxa"/>
            <w:vAlign w:val="top"/>
          </w:tcPr>
          <w:p w14:paraId="318A963C">
            <w:pPr>
              <w:spacing w:before="44" w:line="216" w:lineRule="auto"/>
              <w:ind w:left="118"/>
              <w:rPr>
                <w:rFonts w:ascii="宋体" w:hAnsi="宋体" w:eastAsia="宋体" w:cs="宋体"/>
                <w:sz w:val="24"/>
                <w:szCs w:val="24"/>
              </w:rPr>
            </w:pPr>
            <w:r>
              <w:rPr>
                <w:rFonts w:ascii="宋体" w:hAnsi="宋体" w:eastAsia="宋体" w:cs="宋体"/>
                <w:spacing w:val="-11"/>
                <w:sz w:val="24"/>
                <w:szCs w:val="24"/>
              </w:rPr>
              <w:t>单位地址：</w:t>
            </w:r>
          </w:p>
        </w:tc>
      </w:tr>
      <w:tr w14:paraId="6B75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217E45F4">
            <w:pPr>
              <w:spacing w:before="47" w:line="216" w:lineRule="auto"/>
              <w:ind w:left="118"/>
              <w:rPr>
                <w:rFonts w:ascii="宋体" w:hAnsi="宋体" w:eastAsia="宋体" w:cs="宋体"/>
                <w:sz w:val="24"/>
                <w:szCs w:val="24"/>
              </w:rPr>
            </w:pPr>
            <w:r>
              <w:rPr>
                <w:rFonts w:ascii="宋体" w:hAnsi="宋体" w:eastAsia="宋体" w:cs="宋体"/>
                <w:spacing w:val="-10"/>
                <w:sz w:val="24"/>
                <w:szCs w:val="24"/>
              </w:rPr>
              <w:t>法定代表人：</w:t>
            </w:r>
          </w:p>
        </w:tc>
        <w:tc>
          <w:tcPr>
            <w:tcW w:w="4563" w:type="dxa"/>
            <w:vAlign w:val="top"/>
          </w:tcPr>
          <w:p w14:paraId="29F3BACC">
            <w:pPr>
              <w:spacing w:before="47" w:line="216" w:lineRule="auto"/>
              <w:ind w:left="117"/>
              <w:rPr>
                <w:rFonts w:ascii="宋体" w:hAnsi="宋体" w:eastAsia="宋体" w:cs="宋体"/>
                <w:sz w:val="24"/>
                <w:szCs w:val="24"/>
              </w:rPr>
            </w:pPr>
            <w:r>
              <w:rPr>
                <w:rFonts w:ascii="宋体" w:hAnsi="宋体" w:eastAsia="宋体" w:cs="宋体"/>
                <w:spacing w:val="-10"/>
                <w:sz w:val="24"/>
                <w:szCs w:val="24"/>
              </w:rPr>
              <w:t>法定代表人：</w:t>
            </w:r>
          </w:p>
        </w:tc>
      </w:tr>
      <w:tr w14:paraId="74D4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576" w:type="dxa"/>
            <w:vAlign w:val="top"/>
          </w:tcPr>
          <w:p w14:paraId="06052F00">
            <w:pPr>
              <w:spacing w:before="45" w:line="215" w:lineRule="auto"/>
              <w:ind w:left="116"/>
              <w:rPr>
                <w:rFonts w:ascii="宋体" w:hAnsi="宋体" w:eastAsia="宋体" w:cs="宋体"/>
                <w:sz w:val="24"/>
                <w:szCs w:val="24"/>
              </w:rPr>
            </w:pPr>
            <w:r>
              <w:rPr>
                <w:rFonts w:ascii="宋体" w:hAnsi="宋体" w:eastAsia="宋体" w:cs="宋体"/>
                <w:spacing w:val="-9"/>
                <w:sz w:val="24"/>
                <w:szCs w:val="24"/>
              </w:rPr>
              <w:t>委托代理人：</w:t>
            </w:r>
          </w:p>
        </w:tc>
        <w:tc>
          <w:tcPr>
            <w:tcW w:w="4563" w:type="dxa"/>
            <w:vAlign w:val="top"/>
          </w:tcPr>
          <w:p w14:paraId="64E38B1B">
            <w:pPr>
              <w:spacing w:before="45" w:line="215" w:lineRule="auto"/>
              <w:ind w:left="115"/>
              <w:rPr>
                <w:rFonts w:ascii="宋体" w:hAnsi="宋体" w:eastAsia="宋体" w:cs="宋体"/>
                <w:sz w:val="24"/>
                <w:szCs w:val="24"/>
              </w:rPr>
            </w:pPr>
            <w:r>
              <w:rPr>
                <w:rFonts w:ascii="宋体" w:hAnsi="宋体" w:eastAsia="宋体" w:cs="宋体"/>
                <w:spacing w:val="-9"/>
                <w:sz w:val="24"/>
                <w:szCs w:val="24"/>
              </w:rPr>
              <w:t>委托代理人：</w:t>
            </w:r>
          </w:p>
        </w:tc>
      </w:tr>
      <w:tr w14:paraId="1D50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576" w:type="dxa"/>
            <w:vAlign w:val="top"/>
          </w:tcPr>
          <w:p w14:paraId="027194C6">
            <w:pPr>
              <w:spacing w:before="48" w:line="215" w:lineRule="auto"/>
              <w:ind w:left="145"/>
              <w:rPr>
                <w:rFonts w:ascii="宋体" w:hAnsi="宋体" w:eastAsia="宋体" w:cs="宋体"/>
                <w:sz w:val="24"/>
                <w:szCs w:val="24"/>
              </w:rPr>
            </w:pPr>
            <w:r>
              <w:rPr>
                <w:rFonts w:ascii="宋体" w:hAnsi="宋体" w:eastAsia="宋体" w:cs="宋体"/>
                <w:spacing w:val="-15"/>
                <w:sz w:val="24"/>
                <w:szCs w:val="24"/>
              </w:rPr>
              <w:t>电话号码：</w:t>
            </w:r>
          </w:p>
        </w:tc>
        <w:tc>
          <w:tcPr>
            <w:tcW w:w="4563" w:type="dxa"/>
            <w:vAlign w:val="top"/>
          </w:tcPr>
          <w:p w14:paraId="68B95229">
            <w:pPr>
              <w:spacing w:before="48" w:line="215" w:lineRule="auto"/>
              <w:ind w:left="144"/>
              <w:rPr>
                <w:rFonts w:ascii="宋体" w:hAnsi="宋体" w:eastAsia="宋体" w:cs="宋体"/>
                <w:sz w:val="24"/>
                <w:szCs w:val="24"/>
              </w:rPr>
            </w:pPr>
            <w:r>
              <w:rPr>
                <w:rFonts w:ascii="宋体" w:hAnsi="宋体" w:eastAsia="宋体" w:cs="宋体"/>
                <w:spacing w:val="-15"/>
                <w:sz w:val="24"/>
                <w:szCs w:val="24"/>
              </w:rPr>
              <w:t>电话号码：</w:t>
            </w:r>
          </w:p>
        </w:tc>
      </w:tr>
      <w:tr w14:paraId="0BE1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266DDDE4">
            <w:pPr>
              <w:spacing w:before="46" w:line="214" w:lineRule="auto"/>
              <w:ind w:left="118"/>
              <w:rPr>
                <w:rFonts w:ascii="宋体" w:hAnsi="宋体" w:eastAsia="宋体" w:cs="宋体"/>
                <w:sz w:val="24"/>
                <w:szCs w:val="24"/>
              </w:rPr>
            </w:pPr>
            <w:r>
              <w:rPr>
                <w:rFonts w:ascii="宋体" w:hAnsi="宋体" w:eastAsia="宋体" w:cs="宋体"/>
                <w:spacing w:val="-11"/>
                <w:sz w:val="24"/>
                <w:szCs w:val="24"/>
              </w:rPr>
              <w:t>开户全称：</w:t>
            </w:r>
          </w:p>
        </w:tc>
        <w:tc>
          <w:tcPr>
            <w:tcW w:w="4563" w:type="dxa"/>
            <w:vAlign w:val="top"/>
          </w:tcPr>
          <w:p w14:paraId="66B9143F">
            <w:pPr>
              <w:spacing w:before="46" w:line="214" w:lineRule="auto"/>
              <w:ind w:left="117"/>
              <w:rPr>
                <w:rFonts w:ascii="宋体" w:hAnsi="宋体" w:eastAsia="宋体" w:cs="宋体"/>
                <w:sz w:val="24"/>
                <w:szCs w:val="24"/>
              </w:rPr>
            </w:pPr>
            <w:r>
              <w:rPr>
                <w:rFonts w:ascii="宋体" w:hAnsi="宋体" w:eastAsia="宋体" w:cs="宋体"/>
                <w:spacing w:val="-11"/>
                <w:sz w:val="24"/>
                <w:szCs w:val="24"/>
              </w:rPr>
              <w:t>开户全称：</w:t>
            </w:r>
          </w:p>
        </w:tc>
      </w:tr>
      <w:tr w14:paraId="4342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576" w:type="dxa"/>
            <w:vAlign w:val="top"/>
          </w:tcPr>
          <w:p w14:paraId="53CC8B30">
            <w:pPr>
              <w:spacing w:before="49" w:line="214" w:lineRule="auto"/>
              <w:ind w:left="118"/>
              <w:rPr>
                <w:rFonts w:ascii="宋体" w:hAnsi="宋体" w:eastAsia="宋体" w:cs="宋体"/>
                <w:sz w:val="24"/>
                <w:szCs w:val="24"/>
              </w:rPr>
            </w:pPr>
            <w:r>
              <w:rPr>
                <w:rFonts w:ascii="宋体" w:hAnsi="宋体" w:eastAsia="宋体" w:cs="宋体"/>
                <w:spacing w:val="-11"/>
                <w:sz w:val="24"/>
                <w:szCs w:val="24"/>
              </w:rPr>
              <w:t>开户银行：</w:t>
            </w:r>
          </w:p>
        </w:tc>
        <w:tc>
          <w:tcPr>
            <w:tcW w:w="4563" w:type="dxa"/>
            <w:vAlign w:val="top"/>
          </w:tcPr>
          <w:p w14:paraId="26127F11">
            <w:pPr>
              <w:spacing w:before="49" w:line="214" w:lineRule="auto"/>
              <w:ind w:left="117"/>
              <w:rPr>
                <w:rFonts w:ascii="宋体" w:hAnsi="宋体" w:eastAsia="宋体" w:cs="宋体"/>
                <w:sz w:val="24"/>
                <w:szCs w:val="24"/>
              </w:rPr>
            </w:pPr>
            <w:r>
              <w:rPr>
                <w:rFonts w:ascii="宋体" w:hAnsi="宋体" w:eastAsia="宋体" w:cs="宋体"/>
                <w:spacing w:val="-11"/>
                <w:sz w:val="24"/>
                <w:szCs w:val="24"/>
              </w:rPr>
              <w:t>开户银行：</w:t>
            </w:r>
          </w:p>
        </w:tc>
      </w:tr>
      <w:tr w14:paraId="0475B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30F41373">
            <w:pPr>
              <w:spacing w:before="46" w:line="214" w:lineRule="auto"/>
              <w:ind w:left="118"/>
              <w:rPr>
                <w:rFonts w:ascii="宋体" w:hAnsi="宋体" w:eastAsia="宋体" w:cs="宋体"/>
                <w:sz w:val="24"/>
                <w:szCs w:val="24"/>
              </w:rPr>
            </w:pPr>
            <w:r>
              <w:rPr>
                <w:rFonts w:ascii="宋体" w:hAnsi="宋体" w:eastAsia="宋体" w:cs="宋体"/>
                <w:spacing w:val="-11"/>
                <w:sz w:val="24"/>
                <w:szCs w:val="24"/>
              </w:rPr>
              <w:t>银行帐号：</w:t>
            </w:r>
          </w:p>
        </w:tc>
        <w:tc>
          <w:tcPr>
            <w:tcW w:w="4563" w:type="dxa"/>
            <w:vAlign w:val="top"/>
          </w:tcPr>
          <w:p w14:paraId="479C77E8">
            <w:pPr>
              <w:spacing w:before="46" w:line="214" w:lineRule="auto"/>
              <w:ind w:left="117"/>
              <w:rPr>
                <w:rFonts w:ascii="宋体" w:hAnsi="宋体" w:eastAsia="宋体" w:cs="宋体"/>
                <w:sz w:val="24"/>
                <w:szCs w:val="24"/>
              </w:rPr>
            </w:pPr>
            <w:r>
              <w:rPr>
                <w:rFonts w:ascii="宋体" w:hAnsi="宋体" w:eastAsia="宋体" w:cs="宋体"/>
                <w:spacing w:val="-11"/>
                <w:sz w:val="24"/>
                <w:szCs w:val="24"/>
              </w:rPr>
              <w:t>银行帐号：</w:t>
            </w:r>
          </w:p>
        </w:tc>
      </w:tr>
      <w:tr w14:paraId="6ACFD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576" w:type="dxa"/>
            <w:vAlign w:val="top"/>
          </w:tcPr>
          <w:p w14:paraId="08538CB9">
            <w:pPr>
              <w:spacing w:before="51" w:line="216" w:lineRule="auto"/>
              <w:ind w:left="134"/>
              <w:rPr>
                <w:rFonts w:ascii="宋体" w:hAnsi="宋体" w:eastAsia="宋体" w:cs="宋体"/>
                <w:sz w:val="24"/>
                <w:szCs w:val="24"/>
              </w:rPr>
            </w:pPr>
            <w:r>
              <w:rPr>
                <w:rFonts w:ascii="宋体" w:hAnsi="宋体" w:eastAsia="宋体" w:cs="宋体"/>
                <w:spacing w:val="-14"/>
                <w:sz w:val="24"/>
                <w:szCs w:val="24"/>
              </w:rPr>
              <w:t>邮政编码：</w:t>
            </w:r>
          </w:p>
        </w:tc>
        <w:tc>
          <w:tcPr>
            <w:tcW w:w="4563" w:type="dxa"/>
            <w:vAlign w:val="top"/>
          </w:tcPr>
          <w:p w14:paraId="57A0F81D">
            <w:pPr>
              <w:spacing w:before="51" w:line="216" w:lineRule="auto"/>
              <w:ind w:left="133"/>
              <w:rPr>
                <w:rFonts w:ascii="宋体" w:hAnsi="宋体" w:eastAsia="宋体" w:cs="宋体"/>
                <w:sz w:val="24"/>
                <w:szCs w:val="24"/>
              </w:rPr>
            </w:pPr>
            <w:r>
              <w:rPr>
                <w:rFonts w:ascii="宋体" w:hAnsi="宋体" w:eastAsia="宋体" w:cs="宋体"/>
                <w:spacing w:val="-14"/>
                <w:sz w:val="24"/>
                <w:szCs w:val="24"/>
              </w:rPr>
              <w:t>邮政编码：</w:t>
            </w:r>
          </w:p>
        </w:tc>
      </w:tr>
    </w:tbl>
    <w:p w14:paraId="38A803C8">
      <w:pPr>
        <w:spacing w:line="258" w:lineRule="auto"/>
        <w:rPr>
          <w:rFonts w:ascii="Arial"/>
          <w:sz w:val="21"/>
        </w:rPr>
      </w:pPr>
    </w:p>
    <w:p w14:paraId="35FD533D">
      <w:pPr>
        <w:jc w:val="center"/>
        <w:rPr>
          <w:rFonts w:ascii="宋体" w:hAnsi="宋体" w:cs="宋体"/>
          <w:b/>
          <w:bCs/>
          <w:sz w:val="24"/>
          <w:szCs w:val="24"/>
        </w:rPr>
      </w:pPr>
    </w:p>
    <w:p w14:paraId="78CC7173">
      <w:pPr>
        <w:widowControl/>
        <w:jc w:val="left"/>
        <w:rPr>
          <w:rStyle w:val="59"/>
          <w:rFonts w:ascii="黑体" w:hAnsi="黑体" w:eastAsia="黑体"/>
          <w:sz w:val="36"/>
          <w:szCs w:val="36"/>
        </w:rPr>
        <w:sectPr>
          <w:headerReference r:id="rId7" w:type="default"/>
          <w:footerReference r:id="rId8" w:type="default"/>
          <w:pgSz w:w="11906" w:h="16838"/>
          <w:pgMar w:top="1440" w:right="1270" w:bottom="1440" w:left="1559" w:header="851" w:footer="992" w:gutter="0"/>
          <w:pgNumType w:fmt="decimal"/>
          <w:cols w:space="720" w:num="1"/>
          <w:docGrid w:type="lines" w:linePitch="312" w:charSpace="0"/>
        </w:sectPr>
      </w:pPr>
      <w:bookmarkStart w:id="237" w:name="_Toc12464209"/>
      <w:bookmarkStart w:id="238" w:name="_Toc514226064"/>
      <w:bookmarkStart w:id="239" w:name="_Toc632"/>
      <w:bookmarkStart w:id="240" w:name="_Toc377025612"/>
      <w:bookmarkStart w:id="241" w:name="_Toc512673808"/>
    </w:p>
    <w:p w14:paraId="79F1E631">
      <w:pPr>
        <w:pStyle w:val="2"/>
        <w:numPr>
          <w:ilvl w:val="0"/>
          <w:numId w:val="0"/>
        </w:numPr>
        <w:spacing w:before="240" w:after="240"/>
        <w:ind w:left="240" w:leftChars="0" w:firstLine="0" w:firstLineChars="0"/>
        <w:jc w:val="center"/>
        <w:rPr>
          <w:rStyle w:val="59"/>
          <w:rFonts w:hint="eastAsia" w:ascii="黑体" w:hAnsi="黑体" w:eastAsia="黑体"/>
          <w:b w:val="0"/>
          <w:bCs w:val="0"/>
          <w:color w:val="auto"/>
          <w:sz w:val="36"/>
          <w:szCs w:val="36"/>
          <w:lang w:val="en-US" w:eastAsia="zh-CN" w:bidi="ar-SA"/>
        </w:rPr>
      </w:pPr>
      <w:bookmarkStart w:id="242" w:name="_Toc1402"/>
      <w:bookmarkStart w:id="243" w:name="_Toc20280"/>
      <w:r>
        <w:rPr>
          <w:rFonts w:hint="eastAsia" w:ascii="黑体" w:hAnsi="黑体" w:eastAsia="黑体" w:cs="Times New Roman"/>
          <w:b w:val="0"/>
          <w:bCs w:val="0"/>
          <w:color w:val="auto"/>
          <w:kern w:val="44"/>
          <w:sz w:val="36"/>
          <w:szCs w:val="36"/>
          <w:lang w:val="en-US" w:eastAsia="zh-CN" w:bidi="ar-SA"/>
        </w:rPr>
        <w:t xml:space="preserve">第五章 </w:t>
      </w:r>
      <w:r>
        <w:rPr>
          <w:rStyle w:val="59"/>
          <w:rFonts w:hint="eastAsia" w:ascii="黑体" w:hAnsi="黑体" w:eastAsia="黑体"/>
          <w:b w:val="0"/>
          <w:bCs w:val="0"/>
          <w:color w:val="auto"/>
          <w:sz w:val="36"/>
          <w:szCs w:val="36"/>
          <w:lang w:val="en-US" w:eastAsia="zh-CN" w:bidi="ar-SA"/>
        </w:rPr>
        <w:t>采购清单及要求</w:t>
      </w:r>
      <w:bookmarkEnd w:id="237"/>
      <w:bookmarkEnd w:id="242"/>
      <w:bookmarkEnd w:id="243"/>
      <w:bookmarkStart w:id="244" w:name="_Hlk113461754"/>
      <w:bookmarkStart w:id="245" w:name="_Toc534207356"/>
    </w:p>
    <w:p w14:paraId="1BB0C114">
      <w:pPr>
        <w:bidi w:val="0"/>
        <w:rPr>
          <w:rFonts w:hint="default"/>
          <w:b/>
          <w:bCs/>
          <w:sz w:val="28"/>
          <w:szCs w:val="28"/>
          <w:lang w:val="en-US" w:eastAsia="zh-CN"/>
        </w:rPr>
      </w:pPr>
      <w:r>
        <w:rPr>
          <w:rFonts w:hint="eastAsia"/>
          <w:b/>
          <w:bCs/>
          <w:sz w:val="28"/>
          <w:szCs w:val="28"/>
          <w:lang w:val="en-US" w:eastAsia="zh-CN"/>
        </w:rPr>
        <w:t>一、采购清单：</w:t>
      </w:r>
    </w:p>
    <w:tbl>
      <w:tblPr>
        <w:tblStyle w:val="47"/>
        <w:tblW w:w="90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2137"/>
        <w:gridCol w:w="3428"/>
        <w:gridCol w:w="765"/>
        <w:gridCol w:w="881"/>
        <w:gridCol w:w="881"/>
      </w:tblGrid>
      <w:tr w14:paraId="4915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B0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8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8B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89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7E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CFB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6093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3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标志标识牌</w:t>
            </w:r>
          </w:p>
        </w:tc>
        <w:tc>
          <w:tcPr>
            <w:tcW w:w="3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0D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入河排污口标识牌</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D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3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1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7D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1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7C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智能视频监控设备</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3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智能高清球机视频监控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6A723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5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C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1D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F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93CA">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前端NVR（含4T硬盘）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50FE5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E4FF8D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3ACDF5E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D22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D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C4B9">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2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0E81AF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4F8706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C6108F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C54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1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8EBB">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E23BCE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557C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3AC8039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C73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C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F8A4">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8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6693DA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05E1AC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62694F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185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0CEF">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6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C2963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166ADD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E71383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630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E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D57D">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0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ONU交换机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5CB92E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F1D7E5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6531D7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1E5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6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7068">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2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光纤终端盒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F6E33A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47E4DE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F904E7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8E7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DE86">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太阳能供电系统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F1D3B2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EF979D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5CA32B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3BA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D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689C">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F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72723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82B814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E613B5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E0D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4FE2">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F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8422F9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54BACF2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32993A2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64D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B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6F75">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4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41F5C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34DE5F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572AD2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102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4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CC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一体化水质自动监测站</w:t>
            </w:r>
          </w:p>
        </w:tc>
        <w:tc>
          <w:tcPr>
            <w:tcW w:w="3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6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温度、PH水质自动监测模块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18B3F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7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F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60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56BF">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7637A6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EB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76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A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2ACB">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浊度自动监测模块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540ACB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D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3C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6D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74BEC">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B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溶解氧水质自动监测模块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F447C6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E2A6F9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5DAE29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DFF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B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4F97">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3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COD水质自动监测模块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5F2D0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53A8604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3DFCE1D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3BB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B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EE6C">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4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BA81A5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169E70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7E7A85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462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0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7</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A2A3">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数据传输及采集系统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91B703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043EDC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9ED601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89E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8</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F8C1">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9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监测设备立杆（含施工）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4CF8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325306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534745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740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3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9</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56B8">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3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喷塑电控箱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3BCD0F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88BFCA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8587CF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61C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1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Fonts w:hint="eastAsia" w:ascii="宋体" w:hAnsi="宋体" w:cs="宋体"/>
                <w:i w:val="0"/>
                <w:iCs w:val="0"/>
                <w:color w:val="000000"/>
                <w:kern w:val="0"/>
                <w:sz w:val="21"/>
                <w:szCs w:val="21"/>
                <w:u w:val="none"/>
                <w:lang w:val="en-US" w:eastAsia="zh-CN" w:bidi="ar"/>
              </w:rPr>
              <w:t>0</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E0ED">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太阳能供电系统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6363FC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56643CB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65CE2E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CC4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EF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水质自动监测微型站</w:t>
            </w:r>
          </w:p>
        </w:tc>
        <w:tc>
          <w:tcPr>
            <w:tcW w:w="3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8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温度、PH水质自动监测模块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D6591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80E653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1FC13F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802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F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0373">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3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B45AE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F87BD9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C656AC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1CF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F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8D1AA">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浊度自动监测模块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6886BA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EC9DC8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90E715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F82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2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A29A">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3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溶解氧水质自动监测模块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D8E1F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30998F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34D8B8D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2A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056E">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F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4"/>
                <w:rFonts w:hint="eastAsia" w:ascii="宋体" w:hAnsi="宋体" w:eastAsia="宋体" w:cs="宋体"/>
                <w:sz w:val="21"/>
                <w:szCs w:val="21"/>
                <w:lang w:val="en-US" w:eastAsia="zh-CN" w:bidi="ar"/>
              </w:rPr>
              <w:t>COD</w:t>
            </w:r>
            <w:r>
              <w:rPr>
                <w:rStyle w:val="255"/>
                <w:rFonts w:hint="eastAsia" w:ascii="宋体" w:hAnsi="宋体" w:eastAsia="宋体" w:cs="宋体"/>
                <w:sz w:val="21"/>
                <w:szCs w:val="21"/>
                <w:lang w:val="en-US" w:eastAsia="zh-CN" w:bidi="ar"/>
              </w:rPr>
              <w:t>Mn</w:t>
            </w:r>
            <w:r>
              <w:rPr>
                <w:rStyle w:val="256"/>
                <w:rFonts w:hint="eastAsia" w:ascii="宋体" w:hAnsi="宋体" w:eastAsia="宋体" w:cs="宋体"/>
                <w:sz w:val="21"/>
                <w:szCs w:val="21"/>
                <w:lang w:val="en-US" w:eastAsia="zh-CN" w:bidi="ar"/>
              </w:rPr>
              <w:t>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5A9D82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40D1E3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72EDED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306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5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34BA">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0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594DEB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797E8B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476C9E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E4B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9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16DE">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4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B9DD9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FCA6E4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E551FC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64C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5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4C7F">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总磷水质自动分析仪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FA2A16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F4F6A7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51CEBE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095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2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133F">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E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水质采样器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E2011A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531CC3F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BC99D4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CC1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1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89EB">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数据传输及采集系统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F094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1077C4A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6EA654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AD6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2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6F22">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采水系统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B3B023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70B79B0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68692A1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2DF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1A5A">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6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VPN通信单元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D9C9E3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2E2206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3CBC1E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400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8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3F82">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D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UPS稳压电源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373EEA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5E8BB02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2382858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344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A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824E">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A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64D573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9B9580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A00552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A6F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F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B976">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E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网络传输服务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3E9AE3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5D3A755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9D53BE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C43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B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7292">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1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一体化机柜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7DC00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402080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top"/>
          </w:tcPr>
          <w:p w14:paraId="401FD16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B20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流量监测设备</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D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流量监测设备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9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0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C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F0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3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F8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入河排污口综合管理平台</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F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入河排污口数据资源管理中心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5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0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C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26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C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2</w:t>
            </w: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62E6">
            <w:pPr>
              <w:jc w:val="center"/>
              <w:rPr>
                <w:rFonts w:hint="eastAsia" w:ascii="宋体" w:hAnsi="宋体" w:eastAsia="宋体" w:cs="宋体"/>
                <w:i w:val="0"/>
                <w:iCs w:val="0"/>
                <w:color w:val="000000"/>
                <w:sz w:val="21"/>
                <w:szCs w:val="21"/>
                <w:u w:val="none"/>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4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入河排污口一张图管理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2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A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F4774AF">
      <w:pPr>
        <w:rPr>
          <w:rFonts w:hint="eastAsia"/>
          <w:lang w:val="en-US" w:eastAsia="zh-CN"/>
        </w:rPr>
      </w:pPr>
    </w:p>
    <w:p w14:paraId="7D6A2FE9">
      <w:pPr>
        <w:bidi w:val="0"/>
        <w:rPr>
          <w:rFonts w:hint="eastAsia" w:ascii="宋体" w:hAnsi="宋体"/>
          <w:sz w:val="36"/>
          <w:szCs w:val="36"/>
        </w:rPr>
      </w:pPr>
      <w:r>
        <w:rPr>
          <w:rFonts w:hint="eastAsia"/>
          <w:b/>
          <w:bCs/>
          <w:sz w:val="28"/>
          <w:szCs w:val="28"/>
          <w:lang w:val="en-US" w:eastAsia="zh-CN"/>
        </w:rPr>
        <w:t>二、主要设备技术参数要求</w:t>
      </w:r>
    </w:p>
    <w:tbl>
      <w:tblPr>
        <w:tblStyle w:val="4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884"/>
        <w:gridCol w:w="1488"/>
        <w:gridCol w:w="6196"/>
      </w:tblGrid>
      <w:tr w14:paraId="39BD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Align w:val="center"/>
          </w:tcPr>
          <w:p w14:paraId="3F70FBAE">
            <w:pPr>
              <w:widowControl/>
              <w:jc w:val="center"/>
              <w:rPr>
                <w:rFonts w:hint="eastAsia" w:ascii="宋体" w:hAnsi="宋体" w:cs="宋体"/>
                <w:color w:val="000000"/>
                <w:kern w:val="0"/>
                <w:szCs w:val="21"/>
              </w:rPr>
            </w:pPr>
            <w:bookmarkStart w:id="246" w:name="OLE_LINK4"/>
            <w:r>
              <w:rPr>
                <w:rFonts w:hint="eastAsia" w:ascii="宋体" w:hAnsi="宋体" w:cs="宋体"/>
                <w:color w:val="000000"/>
                <w:kern w:val="0"/>
                <w:szCs w:val="21"/>
              </w:rPr>
              <w:t>序号</w:t>
            </w:r>
          </w:p>
        </w:tc>
        <w:tc>
          <w:tcPr>
            <w:tcW w:w="1312" w:type="pct"/>
            <w:gridSpan w:val="2"/>
            <w:vAlign w:val="center"/>
          </w:tcPr>
          <w:p w14:paraId="6C74099D">
            <w:pPr>
              <w:widowControl/>
              <w:jc w:val="center"/>
              <w:rPr>
                <w:rFonts w:hint="eastAsia" w:ascii="宋体" w:hAnsi="宋体" w:cs="宋体"/>
                <w:color w:val="000000"/>
                <w:kern w:val="0"/>
                <w:szCs w:val="21"/>
              </w:rPr>
            </w:pPr>
            <w:r>
              <w:rPr>
                <w:rFonts w:hint="eastAsia" w:ascii="宋体" w:hAnsi="宋体" w:cs="宋体"/>
                <w:color w:val="000000"/>
                <w:kern w:val="0"/>
                <w:szCs w:val="21"/>
              </w:rPr>
              <w:t>类别</w:t>
            </w:r>
          </w:p>
        </w:tc>
        <w:tc>
          <w:tcPr>
            <w:tcW w:w="3427" w:type="pct"/>
            <w:vAlign w:val="center"/>
          </w:tcPr>
          <w:p w14:paraId="3AA1D03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技术参数</w:t>
            </w:r>
          </w:p>
        </w:tc>
      </w:tr>
      <w:tr w14:paraId="123D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0" w:type="pct"/>
            <w:vMerge w:val="restart"/>
            <w:vAlign w:val="center"/>
          </w:tcPr>
          <w:p w14:paraId="43F97BB0">
            <w:pPr>
              <w:pStyle w:val="173"/>
              <w:widowControl/>
              <w:numPr>
                <w:ilvl w:val="0"/>
                <w:numId w:val="1"/>
              </w:numPr>
              <w:tabs>
                <w:tab w:val="left" w:pos="0"/>
              </w:tabs>
              <w:spacing w:before="0" w:line="240" w:lineRule="auto"/>
              <w:ind w:left="0" w:firstLine="0" w:firstLineChars="0"/>
              <w:jc w:val="center"/>
              <w:rPr>
                <w:rFonts w:hint="eastAsia" w:ascii="宋体" w:hAnsi="宋体"/>
                <w:color w:val="000000"/>
                <w:kern w:val="0"/>
                <w:szCs w:val="21"/>
              </w:rPr>
            </w:pPr>
          </w:p>
        </w:tc>
        <w:tc>
          <w:tcPr>
            <w:tcW w:w="489" w:type="pct"/>
            <w:vMerge w:val="restart"/>
            <w:vAlign w:val="center"/>
          </w:tcPr>
          <w:p w14:paraId="756D7B49">
            <w:pPr>
              <w:widowControl/>
              <w:jc w:val="center"/>
              <w:rPr>
                <w:rFonts w:hint="eastAsia" w:ascii="宋体" w:hAnsi="宋体" w:cs="宋体"/>
                <w:color w:val="000000"/>
                <w:kern w:val="0"/>
                <w:szCs w:val="21"/>
              </w:rPr>
            </w:pPr>
            <w:r>
              <w:t>标识牌</w:t>
            </w:r>
          </w:p>
        </w:tc>
        <w:tc>
          <w:tcPr>
            <w:tcW w:w="822" w:type="pct"/>
            <w:vAlign w:val="center"/>
          </w:tcPr>
          <w:p w14:paraId="747C9C2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标识牌</w:t>
            </w:r>
          </w:p>
          <w:p w14:paraId="550AEDC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面板</w:t>
            </w:r>
          </w:p>
        </w:tc>
        <w:tc>
          <w:tcPr>
            <w:tcW w:w="3427" w:type="pct"/>
            <w:vAlign w:val="top"/>
          </w:tcPr>
          <w:p w14:paraId="1F51834D">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1、防腐要求：标志牌的端面做防腐处理；</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2、标志牌材质： 1.5-2mm冷轧钢板；</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3、标识牌尺寸：640*400mm；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4、标志牌的表面处理要求：搪瓷处理或贴膜处理；标志牌的端面及立柱要经过防腐处理。</w:t>
            </w:r>
          </w:p>
        </w:tc>
      </w:tr>
      <w:tr w14:paraId="6317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0" w:type="pct"/>
            <w:vMerge w:val="continue"/>
            <w:vAlign w:val="center"/>
          </w:tcPr>
          <w:p w14:paraId="2089A59C">
            <w:pPr>
              <w:widowControl/>
              <w:jc w:val="center"/>
            </w:pPr>
          </w:p>
        </w:tc>
        <w:tc>
          <w:tcPr>
            <w:tcW w:w="489" w:type="pct"/>
            <w:vMerge w:val="continue"/>
            <w:vAlign w:val="center"/>
          </w:tcPr>
          <w:p w14:paraId="594F9524">
            <w:pPr>
              <w:widowControl/>
              <w:jc w:val="center"/>
            </w:pPr>
          </w:p>
        </w:tc>
        <w:tc>
          <w:tcPr>
            <w:tcW w:w="822" w:type="pct"/>
            <w:vAlign w:val="center"/>
          </w:tcPr>
          <w:p w14:paraId="3EB611C7">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标识牌</w:t>
            </w:r>
          </w:p>
          <w:p w14:paraId="1ED2E31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铝槽</w:t>
            </w:r>
          </w:p>
        </w:tc>
        <w:tc>
          <w:tcPr>
            <w:tcW w:w="3427" w:type="pct"/>
            <w:vAlign w:val="center"/>
          </w:tcPr>
          <w:p w14:paraId="5EEE20D9">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1、标识牌边框要求采用铝槽。    </w:t>
            </w:r>
          </w:p>
        </w:tc>
      </w:tr>
      <w:tr w14:paraId="1A04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0" w:type="pct"/>
            <w:vMerge w:val="continue"/>
            <w:vAlign w:val="center"/>
          </w:tcPr>
          <w:p w14:paraId="3502F543">
            <w:pPr>
              <w:widowControl/>
              <w:jc w:val="center"/>
              <w:rPr>
                <w:rFonts w:hint="eastAsia" w:ascii="宋体" w:hAnsi="宋体" w:cs="宋体"/>
                <w:color w:val="000000"/>
                <w:kern w:val="0"/>
                <w:szCs w:val="21"/>
              </w:rPr>
            </w:pPr>
          </w:p>
        </w:tc>
        <w:tc>
          <w:tcPr>
            <w:tcW w:w="489" w:type="pct"/>
            <w:vMerge w:val="continue"/>
            <w:vAlign w:val="center"/>
          </w:tcPr>
          <w:p w14:paraId="55CDEEE9">
            <w:pPr>
              <w:widowControl/>
              <w:jc w:val="center"/>
              <w:rPr>
                <w:rFonts w:hint="eastAsia" w:ascii="宋体" w:hAnsi="宋体" w:cs="宋体"/>
                <w:color w:val="000000"/>
                <w:kern w:val="0"/>
                <w:szCs w:val="21"/>
              </w:rPr>
            </w:pPr>
          </w:p>
        </w:tc>
        <w:tc>
          <w:tcPr>
            <w:tcW w:w="822" w:type="pct"/>
            <w:vAlign w:val="center"/>
          </w:tcPr>
          <w:p w14:paraId="2EE718B6">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标识牌</w:t>
            </w:r>
          </w:p>
          <w:p w14:paraId="3631A9C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管码</w:t>
            </w:r>
          </w:p>
        </w:tc>
        <w:tc>
          <w:tcPr>
            <w:tcW w:w="3427" w:type="pct"/>
            <w:vAlign w:val="center"/>
          </w:tcPr>
          <w:p w14:paraId="158AD121">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1.包含排污口名称、编码、类型、管理单位、责任主体、监督电话、二维码等。                                                                                                     2、二维码应关联排污口详细信息，包括：牌面上所有信息，以及经纬度、详细地址、排水去向和排放要求。   </w:t>
            </w:r>
          </w:p>
        </w:tc>
      </w:tr>
      <w:tr w14:paraId="02DF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0" w:type="pct"/>
            <w:vMerge w:val="continue"/>
            <w:vAlign w:val="center"/>
          </w:tcPr>
          <w:p w14:paraId="4AABBFA8">
            <w:pPr>
              <w:widowControl/>
              <w:jc w:val="center"/>
              <w:rPr>
                <w:rFonts w:hint="eastAsia" w:ascii="宋体" w:hAnsi="宋体" w:cs="宋体"/>
                <w:color w:val="000000"/>
                <w:kern w:val="0"/>
                <w:szCs w:val="21"/>
              </w:rPr>
            </w:pPr>
          </w:p>
        </w:tc>
        <w:tc>
          <w:tcPr>
            <w:tcW w:w="489" w:type="pct"/>
            <w:vMerge w:val="continue"/>
            <w:vAlign w:val="center"/>
          </w:tcPr>
          <w:p w14:paraId="25106A68">
            <w:pPr>
              <w:widowControl/>
              <w:jc w:val="center"/>
              <w:rPr>
                <w:rFonts w:hint="eastAsia" w:ascii="宋体" w:hAnsi="宋体" w:cs="宋体"/>
                <w:color w:val="000000"/>
                <w:kern w:val="0"/>
                <w:szCs w:val="21"/>
              </w:rPr>
            </w:pPr>
          </w:p>
        </w:tc>
        <w:tc>
          <w:tcPr>
            <w:tcW w:w="822" w:type="pct"/>
            <w:vAlign w:val="center"/>
          </w:tcPr>
          <w:p w14:paraId="249133C2">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标识牌</w:t>
            </w:r>
          </w:p>
          <w:p w14:paraId="63BCCE9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立杆</w:t>
            </w:r>
          </w:p>
        </w:tc>
        <w:tc>
          <w:tcPr>
            <w:tcW w:w="3427" w:type="pct"/>
            <w:vAlign w:val="center"/>
          </w:tcPr>
          <w:p w14:paraId="786F093B">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1、立杆尺寸：2m；                                                                                   2、材质：38×4mm无缝钢管；                                                                      3、防腐：立柱做防腐处理；                                                                        4、辅助设备螺丝、螺栓等。</w:t>
            </w:r>
          </w:p>
        </w:tc>
      </w:tr>
      <w:tr w14:paraId="3601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0" w:type="pct"/>
            <w:vMerge w:val="continue"/>
            <w:vAlign w:val="center"/>
          </w:tcPr>
          <w:p w14:paraId="14C68F60">
            <w:pPr>
              <w:widowControl/>
              <w:jc w:val="center"/>
              <w:rPr>
                <w:rFonts w:hint="eastAsia" w:ascii="宋体" w:hAnsi="宋体" w:cs="宋体"/>
                <w:color w:val="000000"/>
                <w:kern w:val="0"/>
                <w:szCs w:val="21"/>
              </w:rPr>
            </w:pPr>
          </w:p>
        </w:tc>
        <w:tc>
          <w:tcPr>
            <w:tcW w:w="489" w:type="pct"/>
            <w:vMerge w:val="continue"/>
            <w:vAlign w:val="center"/>
          </w:tcPr>
          <w:p w14:paraId="2116AD3F">
            <w:pPr>
              <w:widowControl/>
              <w:jc w:val="center"/>
              <w:rPr>
                <w:rFonts w:hint="eastAsia" w:ascii="宋体" w:hAnsi="宋体" w:cs="宋体"/>
                <w:color w:val="000000"/>
                <w:kern w:val="0"/>
                <w:szCs w:val="21"/>
              </w:rPr>
            </w:pPr>
          </w:p>
        </w:tc>
        <w:tc>
          <w:tcPr>
            <w:tcW w:w="822" w:type="pct"/>
            <w:vAlign w:val="center"/>
          </w:tcPr>
          <w:p w14:paraId="412E3A7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标识牌反光膜</w:t>
            </w:r>
          </w:p>
        </w:tc>
        <w:tc>
          <w:tcPr>
            <w:tcW w:w="3427" w:type="pct"/>
            <w:vAlign w:val="center"/>
          </w:tcPr>
          <w:p w14:paraId="41FFAB7D">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1、标识牌面板采用贴膜处理工艺。</w:t>
            </w:r>
          </w:p>
        </w:tc>
      </w:tr>
      <w:tr w14:paraId="48D0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0" w:type="pct"/>
            <w:vMerge w:val="continue"/>
            <w:vAlign w:val="center"/>
          </w:tcPr>
          <w:p w14:paraId="0BDE8F98">
            <w:pPr>
              <w:widowControl/>
              <w:jc w:val="center"/>
              <w:rPr>
                <w:rFonts w:hint="eastAsia" w:ascii="宋体" w:hAnsi="宋体" w:cs="宋体"/>
                <w:color w:val="000000"/>
                <w:kern w:val="0"/>
                <w:szCs w:val="21"/>
              </w:rPr>
            </w:pPr>
          </w:p>
        </w:tc>
        <w:tc>
          <w:tcPr>
            <w:tcW w:w="489" w:type="pct"/>
            <w:vMerge w:val="continue"/>
            <w:vAlign w:val="center"/>
          </w:tcPr>
          <w:p w14:paraId="3B0DF720">
            <w:pPr>
              <w:widowControl/>
              <w:jc w:val="center"/>
              <w:rPr>
                <w:rFonts w:hint="eastAsia" w:ascii="宋体" w:hAnsi="宋体" w:cs="宋体"/>
                <w:color w:val="000000"/>
                <w:kern w:val="0"/>
                <w:szCs w:val="21"/>
              </w:rPr>
            </w:pPr>
          </w:p>
        </w:tc>
        <w:tc>
          <w:tcPr>
            <w:tcW w:w="822" w:type="pct"/>
            <w:vAlign w:val="center"/>
          </w:tcPr>
          <w:p w14:paraId="1703E16D">
            <w:pPr>
              <w:widowControl/>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安装施工</w:t>
            </w:r>
          </w:p>
        </w:tc>
        <w:tc>
          <w:tcPr>
            <w:tcW w:w="3427" w:type="pct"/>
            <w:vAlign w:val="center"/>
          </w:tcPr>
          <w:p w14:paraId="3DE07ABE">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1、基础采用0.35m*0.30m*0.3m的水泥基座，预留安装孔，采用C20商砼浇筑。</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2、标志牌必须保持清晰、完整。当发现形象损坏、颜色污染或有变化、退色等不符合本标准的情况，应及时修复或更换。检查时间至少每年一次。</w:t>
            </w:r>
          </w:p>
        </w:tc>
      </w:tr>
      <w:tr w14:paraId="5A65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restart"/>
            <w:vAlign w:val="center"/>
          </w:tcPr>
          <w:p w14:paraId="1B3B0B4D">
            <w:pPr>
              <w:pStyle w:val="173"/>
              <w:widowControl/>
              <w:numPr>
                <w:ilvl w:val="0"/>
                <w:numId w:val="1"/>
              </w:numPr>
              <w:spacing w:before="0" w:line="240" w:lineRule="auto"/>
              <w:ind w:left="0" w:firstLine="0" w:firstLineChars="0"/>
              <w:jc w:val="center"/>
              <w:rPr>
                <w:rFonts w:hint="eastAsia" w:ascii="宋体" w:hAnsi="宋体"/>
                <w:color w:val="000000"/>
                <w:kern w:val="0"/>
                <w:szCs w:val="21"/>
              </w:rPr>
            </w:pPr>
          </w:p>
        </w:tc>
        <w:tc>
          <w:tcPr>
            <w:tcW w:w="489" w:type="pct"/>
            <w:vMerge w:val="restart"/>
            <w:vAlign w:val="center"/>
          </w:tcPr>
          <w:p w14:paraId="432D378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一体化水质自动监测设备参数</w:t>
            </w:r>
          </w:p>
        </w:tc>
        <w:tc>
          <w:tcPr>
            <w:tcW w:w="822" w:type="pct"/>
            <w:vAlign w:val="center"/>
          </w:tcPr>
          <w:p w14:paraId="2716F2F4">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br w:type="textWrapping"/>
            </w:r>
          </w:p>
          <w:p w14:paraId="38B721F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水质PH、温度分析仪</w:t>
            </w:r>
          </w:p>
        </w:tc>
        <w:tc>
          <w:tcPr>
            <w:tcW w:w="3427" w:type="pct"/>
            <w:vAlign w:val="center"/>
          </w:tcPr>
          <w:p w14:paraId="649F9D62">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【通信接口】：RS485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【供电方式】：7-30VDC。</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【平均功耗】：0.3W。</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【核心元件耐温】：0~+80℃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【防水等级】： IP68</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【设备耐压】：0.6MPa</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【线缆长度】：5m。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【设备尺寸】：长266mm，外径30mm。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【电气接口】：上下螺纹均为NPT3/4螺纹，方便管道式安装、沉入式安装。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【测量要素】：PH、水温。</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【PH参数说明】：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测量范围：0~14.00PH。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典型精度：±0.15PH。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重复性误差：±0.02PH。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分辨率：0.01PH。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【温度参数说明】：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复合电极带有温度传感器，程序中自带温度补偿功能，手动补偿与自动补偿可随意切换。</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手动补偿模式下，默认补偿温度为25℃，补偿温度可自行设置。</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测量范围：0~60℃。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典型精度：±0.5℃。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w:t>
            </w:r>
          </w:p>
        </w:tc>
      </w:tr>
      <w:tr w14:paraId="1C8A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56349CCF">
            <w:pPr>
              <w:widowControl/>
              <w:jc w:val="center"/>
            </w:pPr>
          </w:p>
        </w:tc>
        <w:tc>
          <w:tcPr>
            <w:tcW w:w="489" w:type="pct"/>
            <w:vMerge w:val="continue"/>
            <w:vAlign w:val="center"/>
          </w:tcPr>
          <w:p w14:paraId="5D08CF64">
            <w:pPr>
              <w:widowControl/>
              <w:jc w:val="center"/>
              <w:rPr>
                <w:rFonts w:hint="eastAsia" w:ascii="宋体" w:hAnsi="宋体" w:eastAsia="宋体" w:cs="宋体"/>
                <w:color w:val="000000"/>
                <w:kern w:val="0"/>
                <w:szCs w:val="21"/>
              </w:rPr>
            </w:pPr>
          </w:p>
        </w:tc>
        <w:tc>
          <w:tcPr>
            <w:tcW w:w="822" w:type="pct"/>
            <w:vAlign w:val="center"/>
          </w:tcPr>
          <w:p w14:paraId="0AC2BEA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水质电导率分析仪</w:t>
            </w:r>
          </w:p>
        </w:tc>
        <w:tc>
          <w:tcPr>
            <w:tcW w:w="3427" w:type="pct"/>
            <w:vAlign w:val="center"/>
          </w:tcPr>
          <w:p w14:paraId="4022BADD">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【检测原理】：溶液电导率的测量值是根据电极呈现的电阻大小和电极本身的常数K计算并通过温度补偿得出的。</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【通信接口】：RS485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【供电方式】：10-30VDC。</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【平均功耗】：0.4W。</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【核心元件耐温】：-20~+80℃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【防水等级】： IP68</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【设备耐压】：0.6MPa</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【线缆长度】：5m。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【设备尺寸】：长266mm，外径30mm。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【电气接口】：上下螺纹均为NPT3/4螺纹，方便管道式安装、沉入式安装。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【测量要素】：水质EC、水温、盐度、TDS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【EC参数说明】：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电极常数K=1时，测量范围：1~2000μs/cm；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电极常数K=10时，测量范围：10~20000μs/cm；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典型精度：±1%FS。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电极常数K=1时，分辨率为0.1μs/cm；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电极常数K=10时，分辨率为1μs/cm；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xml:space="preserve">【温度参数说明】： </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xml:space="preserve">测量范围：-5~+80℃ </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典型精度：±0.5℃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温度补偿范围：-5~+80℃（默认补偿温度 25℃）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温度补偿系数：默认0.02</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【盐度参数说明】：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电极常数K=1时，测量范围：0~1000ppm；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电极常数K=10时，测量范围：0~11476ppm。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【TDS参数说明】: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电极常数K=1时，测量范围：0-1100ppm；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电极常数K=10时，测量范围：0~13400ppm。</w:t>
            </w:r>
          </w:p>
        </w:tc>
      </w:tr>
      <w:tr w14:paraId="4C6F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7C23BFCE">
            <w:pPr>
              <w:widowControl/>
              <w:jc w:val="center"/>
              <w:rPr>
                <w:rFonts w:hint="eastAsia" w:ascii="宋体" w:hAnsi="宋体" w:cs="宋体"/>
                <w:color w:val="000000"/>
                <w:kern w:val="0"/>
                <w:szCs w:val="21"/>
              </w:rPr>
            </w:pPr>
          </w:p>
        </w:tc>
        <w:tc>
          <w:tcPr>
            <w:tcW w:w="489" w:type="pct"/>
            <w:vMerge w:val="continue"/>
            <w:vAlign w:val="center"/>
          </w:tcPr>
          <w:p w14:paraId="61C03091">
            <w:pPr>
              <w:widowControl/>
              <w:jc w:val="center"/>
              <w:rPr>
                <w:rFonts w:hint="eastAsia" w:ascii="宋体" w:hAnsi="宋体" w:eastAsia="宋体" w:cs="宋体"/>
                <w:color w:val="000000"/>
                <w:kern w:val="0"/>
                <w:szCs w:val="21"/>
              </w:rPr>
            </w:pPr>
          </w:p>
        </w:tc>
        <w:tc>
          <w:tcPr>
            <w:tcW w:w="822" w:type="pct"/>
            <w:vAlign w:val="center"/>
          </w:tcPr>
          <w:p w14:paraId="367489B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水质浊度分析仪</w:t>
            </w:r>
          </w:p>
        </w:tc>
        <w:tc>
          <w:tcPr>
            <w:tcW w:w="3427" w:type="pct"/>
            <w:vAlign w:val="center"/>
          </w:tcPr>
          <w:p w14:paraId="79B93975">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【通信接口】：RS485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【供电方式】：10-30VDC。</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【平均功耗】：0.2W。</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【工作环境】：0~40℃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【防水等级】： IP68</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【线缆长度】：5m。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【设备尺寸】：长134mm，外径30mm。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【电气接口】：螺纹为3/4螺纹。</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【响应时间】：≤30s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【外壳材质】：耐腐蚀塑料壳体。</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【测量要素】：浊度、水温</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【浊度参数说明】：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测量范围：0-4000NTU。</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典型精度：±5%FS（25℃）。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0-4000NTU量程分辨率:1NTU</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【温度参数说明】：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测量范围：0~40℃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典型精度：±0.5℃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w:t>
            </w:r>
          </w:p>
        </w:tc>
      </w:tr>
      <w:tr w14:paraId="24B9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17E1D6E4">
            <w:pPr>
              <w:widowControl/>
              <w:jc w:val="center"/>
              <w:rPr>
                <w:rFonts w:hint="eastAsia" w:ascii="宋体" w:hAnsi="宋体" w:cs="宋体"/>
                <w:color w:val="000000"/>
                <w:kern w:val="0"/>
                <w:szCs w:val="21"/>
              </w:rPr>
            </w:pPr>
          </w:p>
        </w:tc>
        <w:tc>
          <w:tcPr>
            <w:tcW w:w="489" w:type="pct"/>
            <w:vMerge w:val="continue"/>
            <w:vAlign w:val="center"/>
          </w:tcPr>
          <w:p w14:paraId="7F606692">
            <w:pPr>
              <w:widowControl/>
              <w:jc w:val="center"/>
              <w:rPr>
                <w:rFonts w:hint="eastAsia" w:ascii="宋体" w:hAnsi="宋体" w:eastAsia="宋体" w:cs="宋体"/>
                <w:color w:val="000000"/>
                <w:kern w:val="0"/>
                <w:szCs w:val="21"/>
              </w:rPr>
            </w:pPr>
          </w:p>
        </w:tc>
        <w:tc>
          <w:tcPr>
            <w:tcW w:w="822" w:type="pct"/>
            <w:shd w:val="clear" w:color="auto" w:fill="auto"/>
            <w:vAlign w:val="center"/>
          </w:tcPr>
          <w:p w14:paraId="4605B24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水质溶解氧分析仪</w:t>
            </w:r>
          </w:p>
        </w:tc>
        <w:tc>
          <w:tcPr>
            <w:tcW w:w="3427" w:type="pct"/>
            <w:shd w:val="clear" w:color="auto" w:fill="auto"/>
            <w:vAlign w:val="center"/>
          </w:tcPr>
          <w:p w14:paraId="7C00CBD7">
            <w:pPr>
              <w:widowControl/>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【通信接口】：RS485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【供电方式】：10-30VDC。</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【平均功耗】：0.2W。</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【工作环境】：0~40℃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【防水等级】： IP68</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【设备耐压】：0.6MPa</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【线缆长度】：5m。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【设备尺寸】：</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长170mm，外径30mm。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【电气接口】：</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流通型：上下螺纹均为NPT3/4螺纹，方便管道式安装、沉入式安装。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【响应时间】：≤60s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【外壳材质】：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耐腐蚀塑料壳体，不锈钢荧光膜头。</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【测量要素】：溶解氧饱和度、溶解氧浓度、水温。</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【溶解氧参数说明】：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测量范围：0~20mg/L（0~200%饱和度）。</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典型误差：±3%FS。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分辨率：0.01mg/L、0.1%。</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【温度参数说明】：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测量范围：0~40℃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典型精度：±0.5℃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w:t>
            </w:r>
          </w:p>
        </w:tc>
      </w:tr>
      <w:tr w14:paraId="311C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51FFD773">
            <w:pPr>
              <w:widowControl/>
              <w:jc w:val="center"/>
              <w:rPr>
                <w:rFonts w:hint="eastAsia" w:ascii="宋体" w:hAnsi="宋体" w:cs="宋体"/>
                <w:color w:val="000000"/>
                <w:kern w:val="0"/>
                <w:szCs w:val="21"/>
              </w:rPr>
            </w:pPr>
          </w:p>
        </w:tc>
        <w:tc>
          <w:tcPr>
            <w:tcW w:w="489" w:type="pct"/>
            <w:vMerge w:val="continue"/>
            <w:vAlign w:val="center"/>
          </w:tcPr>
          <w:p w14:paraId="41BA6D42">
            <w:pPr>
              <w:widowControl/>
              <w:jc w:val="center"/>
              <w:rPr>
                <w:rFonts w:hint="eastAsia" w:ascii="宋体" w:hAnsi="宋体" w:eastAsia="宋体" w:cs="宋体"/>
                <w:color w:val="000000"/>
                <w:kern w:val="0"/>
                <w:szCs w:val="21"/>
              </w:rPr>
            </w:pPr>
          </w:p>
        </w:tc>
        <w:tc>
          <w:tcPr>
            <w:tcW w:w="822" w:type="pct"/>
            <w:vAlign w:val="center"/>
          </w:tcPr>
          <w:p w14:paraId="5F455A5C">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水质COD分析仪</w:t>
            </w:r>
          </w:p>
        </w:tc>
        <w:tc>
          <w:tcPr>
            <w:tcW w:w="3427" w:type="pct"/>
            <w:vAlign w:val="center"/>
          </w:tcPr>
          <w:p w14:paraId="0AE044FB">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【通信接口】：RS485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【供电方式】：12-30VDC。</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【平均功耗】：0.6W（常态）；4.5w（自清洁系统工作时）。</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【工作条件】：</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变送器元件耐温：0-40℃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流速：&lt;3m/s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【防水等级】： IP68</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【设备耐压】：0.1MPa</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【线缆长度】：5m。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【设备尺寸】：长247mm，外径50mm。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【电气接口】：螺纹为NPT3/4螺纹（6分管螺纹，DN20），方便管道式安装、沉入式安装。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【响应时间】：≤20s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【外壳材质】：耐腐蚀塑料。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【测量要素】：COD、浊度、TOC、温度。</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【COD参数说明】：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测量范围：0~500mg/L equiv.KHP</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典型精度：±5%FS equiv.KHP（25℃）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重复性误差： ±1%FS equiv.KHP（25℃）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【浊度参数说明】：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变送器带有一路浊度测量，有效补偿浊度对COD测量带来的影响。</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测量范围：0~200NTU</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典型精度：±5%FS（25℃）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分辨率：0.1NTU</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【TOC参数说明】：通过COD数值进行换算。</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【温度参数说明】：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内置温度变送器，具有自动温度补偿功能；</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测量范围：0-40℃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典型精度：±0.5℃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w:t>
            </w:r>
          </w:p>
        </w:tc>
      </w:tr>
      <w:tr w14:paraId="3AF5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346795FD">
            <w:pPr>
              <w:widowControl/>
              <w:jc w:val="center"/>
              <w:rPr>
                <w:rFonts w:hint="eastAsia" w:ascii="宋体" w:hAnsi="宋体" w:cs="宋体"/>
                <w:color w:val="000000"/>
                <w:kern w:val="0"/>
                <w:szCs w:val="21"/>
              </w:rPr>
            </w:pPr>
          </w:p>
        </w:tc>
        <w:tc>
          <w:tcPr>
            <w:tcW w:w="489" w:type="pct"/>
            <w:vMerge w:val="continue"/>
            <w:vAlign w:val="center"/>
          </w:tcPr>
          <w:p w14:paraId="7FDF2C4F">
            <w:pPr>
              <w:widowControl/>
              <w:jc w:val="center"/>
              <w:rPr>
                <w:rFonts w:hint="eastAsia" w:ascii="宋体" w:hAnsi="宋体" w:eastAsia="宋体" w:cs="宋体"/>
                <w:color w:val="000000"/>
                <w:kern w:val="0"/>
                <w:szCs w:val="21"/>
              </w:rPr>
            </w:pPr>
          </w:p>
        </w:tc>
        <w:tc>
          <w:tcPr>
            <w:tcW w:w="822" w:type="pct"/>
            <w:vAlign w:val="center"/>
          </w:tcPr>
          <w:p w14:paraId="6983747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水质氨氮分析仪</w:t>
            </w:r>
          </w:p>
        </w:tc>
        <w:tc>
          <w:tcPr>
            <w:tcW w:w="3427" w:type="pct"/>
            <w:vAlign w:val="center"/>
          </w:tcPr>
          <w:p w14:paraId="49D1FE31">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【通信接口】：RS485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【供电方式】：10-30VDC。</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【平均功耗】：0.3W。</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【核心元件耐温】：0~50℃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【防水等级】： IP68</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【设备耐压】：0.2MPa</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【线缆长度】：5m。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【设备尺寸】：长266mm，外径30mm。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【电气接口】：上下螺纹均为3/4螺纹，方便管道式安装、沉入式安装。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【响应时间】：≤30s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【测量要素】：氨氮、水温</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【氨氮参数说明】：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测量范围：0-1000mg/L。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典型精度：±3%FS、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0-1000mg/L分辨率：0.1mg/L。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重复性误差：1%</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【温度参数说明】：</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测量范围：-20-80℃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典型精度：±0.3℃</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分辨率：0.1℃</w:t>
            </w:r>
          </w:p>
        </w:tc>
      </w:tr>
      <w:tr w14:paraId="7C11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2368ECB0">
            <w:pPr>
              <w:widowControl/>
              <w:jc w:val="center"/>
              <w:rPr>
                <w:rFonts w:hint="eastAsia" w:ascii="宋体" w:hAnsi="宋体" w:cs="宋体"/>
                <w:color w:val="000000"/>
                <w:kern w:val="0"/>
                <w:szCs w:val="21"/>
              </w:rPr>
            </w:pPr>
          </w:p>
        </w:tc>
        <w:tc>
          <w:tcPr>
            <w:tcW w:w="489" w:type="pct"/>
            <w:vMerge w:val="continue"/>
            <w:vAlign w:val="center"/>
          </w:tcPr>
          <w:p w14:paraId="0508D0EF">
            <w:pPr>
              <w:widowControl/>
              <w:jc w:val="center"/>
              <w:rPr>
                <w:rFonts w:hint="eastAsia" w:ascii="宋体" w:hAnsi="宋体" w:eastAsia="宋体" w:cs="宋体"/>
                <w:color w:val="000000"/>
                <w:kern w:val="0"/>
                <w:szCs w:val="21"/>
              </w:rPr>
            </w:pPr>
          </w:p>
        </w:tc>
        <w:tc>
          <w:tcPr>
            <w:tcW w:w="822" w:type="pct"/>
            <w:vAlign w:val="center"/>
          </w:tcPr>
          <w:p w14:paraId="30F6395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4G防水型</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数据采集器</w:t>
            </w:r>
          </w:p>
        </w:tc>
        <w:tc>
          <w:tcPr>
            <w:tcW w:w="3427" w:type="pct"/>
            <w:vAlign w:val="center"/>
          </w:tcPr>
          <w:p w14:paraId="34CD48D3">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【安装方式】：壁挂式安装；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【供电方式】：10-30VDC；</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【平均功耗】：0.8W</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【防护等级】：IP65；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【工作环境】：-20~80℃，0%RH-95%RH（非结露）。</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【数据上传间隔】：默认30s（5s~60000s可设）</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【通信接口】：</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支持1路4G无线通信接口，可实现数据异地远距离通信。</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支持1路RS485下行通讯接口，可采集标准RS485协议传感器的测量数据；</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【采集通道信息】：</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支持采集1~8个监测终端的测定数据；</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【告警方式】：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支持平台端远程告警，如报警弹窗、变色、音频、短信、邮件、振铃、微信等多种本地及远程告警方式。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【配置方式】：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支持蓝牙配置，提供蓝牙配置专用管理工具；</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可通过监控平台远程配置设备具体参数信息。</w:t>
            </w:r>
          </w:p>
        </w:tc>
      </w:tr>
      <w:tr w14:paraId="166F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198C7F03">
            <w:pPr>
              <w:widowControl/>
              <w:jc w:val="center"/>
              <w:rPr>
                <w:rFonts w:hint="eastAsia" w:ascii="宋体" w:hAnsi="宋体" w:cs="宋体"/>
                <w:color w:val="000000"/>
                <w:kern w:val="0"/>
                <w:szCs w:val="21"/>
              </w:rPr>
            </w:pPr>
          </w:p>
        </w:tc>
        <w:tc>
          <w:tcPr>
            <w:tcW w:w="489" w:type="pct"/>
            <w:vMerge w:val="continue"/>
            <w:vAlign w:val="center"/>
          </w:tcPr>
          <w:p w14:paraId="28570247">
            <w:pPr>
              <w:widowControl/>
              <w:jc w:val="center"/>
              <w:rPr>
                <w:rFonts w:hint="eastAsia" w:ascii="宋体" w:hAnsi="宋体" w:eastAsia="宋体" w:cs="宋体"/>
                <w:color w:val="000000"/>
                <w:kern w:val="0"/>
                <w:szCs w:val="21"/>
              </w:rPr>
            </w:pPr>
          </w:p>
        </w:tc>
        <w:tc>
          <w:tcPr>
            <w:tcW w:w="822" w:type="pct"/>
            <w:vAlign w:val="center"/>
          </w:tcPr>
          <w:p w14:paraId="43DB5F3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立杆</w:t>
            </w:r>
          </w:p>
        </w:tc>
        <w:tc>
          <w:tcPr>
            <w:tcW w:w="3427" w:type="pct"/>
            <w:vAlign w:val="center"/>
          </w:tcPr>
          <w:p w14:paraId="783BEF2E">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固定式立杆；</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直径76mm，高度2.8m立杆带横臂及托片。</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地笼预埋件采用M12杆，高32cm，配备四组垫片和螺母，C20混凝土浇筑。</w:t>
            </w:r>
          </w:p>
        </w:tc>
      </w:tr>
      <w:tr w14:paraId="42D0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vAlign w:val="center"/>
          </w:tcPr>
          <w:p w14:paraId="69E4FA71">
            <w:pPr>
              <w:widowControl/>
              <w:jc w:val="center"/>
              <w:rPr>
                <w:rFonts w:hint="eastAsia" w:ascii="宋体" w:hAnsi="宋体" w:cs="宋体"/>
                <w:color w:val="000000"/>
                <w:kern w:val="0"/>
                <w:szCs w:val="21"/>
              </w:rPr>
            </w:pPr>
          </w:p>
        </w:tc>
        <w:tc>
          <w:tcPr>
            <w:tcW w:w="489" w:type="pct"/>
            <w:vMerge w:val="continue"/>
            <w:vAlign w:val="center"/>
          </w:tcPr>
          <w:p w14:paraId="6272A2E8">
            <w:pPr>
              <w:widowControl/>
              <w:jc w:val="center"/>
              <w:rPr>
                <w:rFonts w:hint="eastAsia" w:ascii="宋体" w:hAnsi="宋体" w:eastAsia="宋体" w:cs="宋体"/>
                <w:color w:val="000000"/>
                <w:kern w:val="0"/>
                <w:szCs w:val="21"/>
              </w:rPr>
            </w:pPr>
          </w:p>
        </w:tc>
        <w:tc>
          <w:tcPr>
            <w:tcW w:w="822" w:type="pct"/>
            <w:vAlign w:val="center"/>
          </w:tcPr>
          <w:p w14:paraId="773B710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喷塑电控箱</w:t>
            </w:r>
          </w:p>
        </w:tc>
        <w:tc>
          <w:tcPr>
            <w:tcW w:w="3427" w:type="pct"/>
            <w:vAlign w:val="center"/>
          </w:tcPr>
          <w:p w14:paraId="3D083581">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喷塑材质。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抱箍可配套76mm直径立杆使用。</w:t>
            </w:r>
          </w:p>
        </w:tc>
      </w:tr>
      <w:tr w14:paraId="13A8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0" w:type="pct"/>
            <w:vMerge w:val="continue"/>
            <w:tcBorders>
              <w:bottom w:val="single" w:color="auto" w:sz="4" w:space="0"/>
            </w:tcBorders>
            <w:vAlign w:val="center"/>
          </w:tcPr>
          <w:p w14:paraId="4A243A95">
            <w:pPr>
              <w:widowControl/>
              <w:jc w:val="center"/>
              <w:rPr>
                <w:rFonts w:hint="eastAsia" w:ascii="宋体" w:hAnsi="宋体" w:cs="宋体"/>
                <w:color w:val="000000"/>
                <w:kern w:val="0"/>
                <w:szCs w:val="21"/>
              </w:rPr>
            </w:pPr>
          </w:p>
        </w:tc>
        <w:tc>
          <w:tcPr>
            <w:tcW w:w="489" w:type="pct"/>
            <w:vMerge w:val="continue"/>
            <w:tcBorders>
              <w:bottom w:val="single" w:color="auto" w:sz="4" w:space="0"/>
            </w:tcBorders>
            <w:vAlign w:val="center"/>
          </w:tcPr>
          <w:p w14:paraId="31294FEA">
            <w:pPr>
              <w:widowControl/>
              <w:jc w:val="center"/>
              <w:rPr>
                <w:rFonts w:hint="eastAsia" w:ascii="宋体" w:hAnsi="宋体" w:eastAsia="宋体" w:cs="宋体"/>
                <w:color w:val="000000"/>
                <w:kern w:val="0"/>
                <w:szCs w:val="21"/>
              </w:rPr>
            </w:pPr>
          </w:p>
        </w:tc>
        <w:tc>
          <w:tcPr>
            <w:tcW w:w="822" w:type="pct"/>
            <w:vAlign w:val="center"/>
          </w:tcPr>
          <w:p w14:paraId="4DF24B93">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太阳能供电系统</w:t>
            </w:r>
          </w:p>
        </w:tc>
        <w:tc>
          <w:tcPr>
            <w:tcW w:w="3427" w:type="pct"/>
            <w:tcBorders>
              <w:bottom w:val="single" w:color="auto" w:sz="4" w:space="0"/>
            </w:tcBorders>
            <w:vAlign w:val="center"/>
          </w:tcPr>
          <w:p w14:paraId="676877AB">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【太阳能供电系统组成】：太阳能电池板+锂电池+太阳能充放电控制器+安装支架；</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【太阳能电池板功率】：60W；</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【太阳能电池板开路电压】：23V；</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【太阳能电池板最大工作电压】：18V；</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【太阳能电池板工作温度范围】：-40℃~+80℃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【太阳能板尺寸】：600*580mm；</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【太阳能板充电效率】：＞21%；</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【锂电池容量】：12V 45Ah；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【锂电池工作温度】：-15℃~+65℃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【太阳能充放电控制器】：12VDC\24VDC通用，最大通过电流10A；</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【充电时长】：晴天时，无负载4个小时即可给电池充满电；</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【输出电压】</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太阳能供电系统最终输出12VDC电压。</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锂电池默认为DC5mm插头对外供电。如需改制为两芯线缆，可关闭电源开关，保证锂电池无输出电压后，剪断DC5mm插头即可。</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【工作指示灯】：</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红色指示灯:闪烁为充电状态。</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红色指示灯:四颗为25%/50%/75%/100%电量显示。</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绿色指示灯:常亮为DC输出状态/不亮为DC关闭状态</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【适用安装支架】：</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太阳能供电系统安装支架预留110mm及140mm等安装孔距，配套U型螺栓安装。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110mm安装孔距的U型螺栓，可同时适用于直径为76mm以及114mm的立杆安装。</w:t>
            </w:r>
          </w:p>
        </w:tc>
      </w:tr>
      <w:tr w14:paraId="738D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restart"/>
            <w:vAlign w:val="center"/>
          </w:tcPr>
          <w:p w14:paraId="5311AEE7">
            <w:pPr>
              <w:pStyle w:val="173"/>
              <w:widowControl/>
              <w:numPr>
                <w:ilvl w:val="0"/>
                <w:numId w:val="1"/>
              </w:numPr>
              <w:spacing w:before="0" w:line="240" w:lineRule="auto"/>
              <w:ind w:left="0" w:firstLine="0" w:firstLineChars="0"/>
              <w:jc w:val="center"/>
              <w:rPr>
                <w:rFonts w:hint="eastAsia" w:ascii="宋体" w:hAnsi="宋体"/>
                <w:color w:val="000000"/>
                <w:kern w:val="0"/>
                <w:szCs w:val="21"/>
              </w:rPr>
            </w:pPr>
          </w:p>
        </w:tc>
        <w:tc>
          <w:tcPr>
            <w:tcW w:w="489" w:type="pct"/>
            <w:vMerge w:val="restart"/>
            <w:vAlign w:val="center"/>
          </w:tcPr>
          <w:p w14:paraId="686FB3AD">
            <w:pPr>
              <w:widowControl/>
              <w:jc w:val="center"/>
              <w:rPr>
                <w:rFonts w:hint="eastAsia" w:ascii="宋体" w:hAnsi="宋体" w:eastAsia="宋体" w:cs="宋体"/>
                <w:color w:val="000000"/>
                <w:kern w:val="0"/>
                <w:szCs w:val="21"/>
              </w:rPr>
            </w:pPr>
            <w:r>
              <w:rPr>
                <w:rFonts w:ascii="宋体" w:hAnsi="宋体"/>
                <w:bCs/>
                <w:szCs w:val="21"/>
              </w:rPr>
              <w:t>水质自动监测</w:t>
            </w:r>
            <w:r>
              <w:rPr>
                <w:rFonts w:hint="eastAsia" w:ascii="宋体" w:hAnsi="宋体"/>
                <w:bCs/>
                <w:szCs w:val="21"/>
              </w:rPr>
              <w:t>微型</w:t>
            </w:r>
            <w:r>
              <w:rPr>
                <w:rFonts w:ascii="宋体" w:hAnsi="宋体"/>
                <w:bCs/>
                <w:szCs w:val="21"/>
              </w:rPr>
              <w:t>站</w:t>
            </w:r>
          </w:p>
        </w:tc>
        <w:tc>
          <w:tcPr>
            <w:tcW w:w="822" w:type="pct"/>
            <w:vAlign w:val="center"/>
          </w:tcPr>
          <w:p w14:paraId="204CD2EF">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pH、温度水质在线自动监测仪</w:t>
            </w:r>
          </w:p>
        </w:tc>
        <w:tc>
          <w:tcPr>
            <w:tcW w:w="3427" w:type="pct"/>
            <w:vAlign w:val="center"/>
          </w:tcPr>
          <w:p w14:paraId="3E44E18F">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(1)PH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1、测定原理：玻璃电极法</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2、测量范围：pH 0～14（0～40℃），可调</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3、重复性：±0.1pH以内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4、漂移（pH=4、7、9）：±0.1pH以内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5</w:t>
            </w:r>
            <w:r>
              <w:rPr>
                <w:rFonts w:hint="eastAsia" w:ascii="宋体" w:hAnsi="宋体" w:eastAsia="宋体" w:cs="宋体"/>
                <w:color w:val="auto"/>
                <w:kern w:val="0"/>
                <w:szCs w:val="21"/>
                <w:highlight w:val="none"/>
                <w:lang w:val="en-US" w:eastAsia="zh-CN"/>
              </w:rPr>
              <w:t>、</w:t>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auto"/>
                <w:kern w:val="0"/>
                <w:szCs w:val="21"/>
                <w:highlight w:val="none"/>
                <w:lang w:val="en-US" w:eastAsia="zh-CN"/>
              </w:rPr>
              <w:t>响应时间：</w:t>
            </w:r>
            <w:r>
              <w:rPr>
                <w:rFonts w:hint="eastAsia" w:ascii="宋体" w:hAnsi="宋体" w:cs="宋体"/>
                <w:color w:val="auto"/>
                <w:kern w:val="0"/>
                <w:szCs w:val="21"/>
                <w:highlight w:val="none"/>
                <w:lang w:val="en-US" w:eastAsia="zh-CN"/>
              </w:rPr>
              <w:t>10秒</w:t>
            </w:r>
            <w:r>
              <w:rPr>
                <w:rFonts w:hint="default" w:ascii="宋体" w:hAnsi="宋体" w:eastAsia="宋体" w:cs="宋体"/>
                <w:color w:val="auto"/>
                <w:kern w:val="0"/>
                <w:szCs w:val="21"/>
                <w:highlight w:val="none"/>
                <w:lang w:val="en-US" w:eastAsia="zh-CN"/>
              </w:rPr>
              <w:t>以内</w:t>
            </w:r>
            <w:r>
              <w:rPr>
                <w:rFonts w:hint="eastAsia" w:ascii="宋体" w:hAnsi="宋体" w:cs="宋体"/>
                <w:color w:val="auto"/>
                <w:kern w:val="0"/>
                <w:szCs w:val="21"/>
                <w:highlight w:val="none"/>
                <w:lang w:val="en-US" w:eastAsia="zh-CN"/>
              </w:rPr>
              <w:t>（</w:t>
            </w:r>
            <w:r>
              <w:rPr>
                <w:rFonts w:hint="eastAsia"/>
                <w:color w:val="auto"/>
                <w:sz w:val="21"/>
                <w:szCs w:val="21"/>
                <w:highlight w:val="none"/>
              </w:rPr>
              <w:t>提供中国环境监测总站（原环境保护部环境监测仪器质量监督检验中心）出具的在有效期内的产品检测报告原件扫描件</w:t>
            </w:r>
            <w:r>
              <w:rPr>
                <w:rFonts w:hint="eastAsia"/>
                <w:color w:val="auto"/>
                <w:sz w:val="21"/>
                <w:szCs w:val="21"/>
                <w:highlight w:val="none"/>
                <w:lang w:val="en-US" w:eastAsia="zh-CN"/>
              </w:rPr>
              <w:t>作为证明文件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lang w:val="en-US" w:eastAsia="zh-CN"/>
              </w:rPr>
              <w:br w:type="textWrapping"/>
            </w:r>
            <w:r>
              <w:rPr>
                <w:rFonts w:hint="eastAsia" w:ascii="宋体" w:hAnsi="宋体" w:eastAsia="宋体" w:cs="宋体"/>
                <w:color w:val="000000"/>
                <w:kern w:val="0"/>
                <w:szCs w:val="21"/>
                <w:lang w:val="en-US" w:eastAsia="zh-CN"/>
              </w:rPr>
              <w:t>6、温度补偿精度：</w:t>
            </w:r>
            <w:r>
              <w:rPr>
                <w:rFonts w:hint="eastAsia" w:ascii="宋体" w:hAnsi="宋体" w:eastAsia="宋体" w:cs="宋体"/>
                <w:color w:val="auto"/>
                <w:kern w:val="0"/>
                <w:szCs w:val="21"/>
                <w:lang w:val="en-US" w:eastAsia="zh-CN"/>
              </w:rPr>
              <w:t>±0.1pH以内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7、防护等级：≥IP65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（2）水温：</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测定原理：热电偶或热电阻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测量范围：0～60℃，可调</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测量偏差：＜0.5℃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响应时间：0.5min以内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平均无故障连续运行时间：≥720h/次</w:t>
            </w:r>
          </w:p>
        </w:tc>
      </w:tr>
      <w:tr w14:paraId="6961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660C78C8">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07826F38">
            <w:pPr>
              <w:widowControl/>
              <w:jc w:val="center"/>
              <w:rPr>
                <w:rFonts w:hint="eastAsia" w:ascii="宋体" w:hAnsi="宋体" w:eastAsia="宋体" w:cs="宋体"/>
                <w:color w:val="000000"/>
                <w:kern w:val="0"/>
                <w:szCs w:val="21"/>
              </w:rPr>
            </w:pPr>
          </w:p>
        </w:tc>
        <w:tc>
          <w:tcPr>
            <w:tcW w:w="822" w:type="pct"/>
            <w:vAlign w:val="center"/>
          </w:tcPr>
          <w:p w14:paraId="31F173A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溶解氧水质自动分析仪</w:t>
            </w:r>
          </w:p>
        </w:tc>
        <w:tc>
          <w:tcPr>
            <w:tcW w:w="3427" w:type="pct"/>
            <w:vAlign w:val="center"/>
          </w:tcPr>
          <w:p w14:paraId="16EEFCB4">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1、测定原理：荧光法</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2、测量范围：0～20mg/L，可调</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3、重复性：±0.3mg/L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4、零点漂移：±0.3mg/L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5、量程漂移：±0.3mg/L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6、响应时间（T90）：≤120s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7、温度补偿精度：±0.3mg/L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8、防护等级：≥IP65</w:t>
            </w:r>
          </w:p>
        </w:tc>
      </w:tr>
      <w:tr w14:paraId="5173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6C37984A">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120B1117">
            <w:pPr>
              <w:widowControl/>
              <w:jc w:val="center"/>
              <w:rPr>
                <w:rFonts w:hint="eastAsia" w:ascii="宋体" w:hAnsi="宋体" w:eastAsia="宋体" w:cs="宋体"/>
                <w:color w:val="000000"/>
                <w:kern w:val="0"/>
                <w:szCs w:val="21"/>
              </w:rPr>
            </w:pPr>
          </w:p>
        </w:tc>
        <w:tc>
          <w:tcPr>
            <w:tcW w:w="822" w:type="pct"/>
            <w:vAlign w:val="center"/>
          </w:tcPr>
          <w:p w14:paraId="549CDE56">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电导率自动分析仪</w:t>
            </w:r>
          </w:p>
          <w:p w14:paraId="504E4D3D">
            <w:pPr>
              <w:widowControl/>
              <w:jc w:val="center"/>
              <w:rPr>
                <w:rFonts w:hint="eastAsia" w:ascii="宋体" w:hAnsi="宋体" w:eastAsia="宋体" w:cs="宋体"/>
                <w:color w:val="000000"/>
                <w:kern w:val="0"/>
                <w:szCs w:val="21"/>
                <w:lang w:val="en-US" w:eastAsia="zh-CN"/>
              </w:rPr>
            </w:pPr>
          </w:p>
        </w:tc>
        <w:tc>
          <w:tcPr>
            <w:tcW w:w="3427" w:type="pct"/>
            <w:vAlign w:val="center"/>
          </w:tcPr>
          <w:p w14:paraId="6C0C6C67">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1、测定方法：电极法；</w:t>
            </w:r>
          </w:p>
          <w:p w14:paraId="207BE907">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2、量程：0~</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lang w:val="en-US" w:eastAsia="zh-CN"/>
              </w:rPr>
              <w:t>00mS/cm</w:t>
            </w:r>
            <w:r>
              <w:rPr>
                <w:rFonts w:hint="eastAsia"/>
                <w:color w:val="auto"/>
                <w:sz w:val="21"/>
                <w:szCs w:val="21"/>
              </w:rPr>
              <w:t>（0～40℃）</w:t>
            </w:r>
            <w:r>
              <w:rPr>
                <w:rFonts w:hint="eastAsia" w:ascii="宋体" w:hAnsi="宋体" w:eastAsia="宋体" w:cs="宋体"/>
                <w:color w:val="auto"/>
                <w:kern w:val="0"/>
                <w:szCs w:val="21"/>
                <w:lang w:val="en-US" w:eastAsia="zh-CN"/>
              </w:rPr>
              <w:t>，可调；</w:t>
            </w:r>
          </w:p>
          <w:p w14:paraId="6AB99466">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3、准确度：±1%；</w:t>
            </w:r>
          </w:p>
          <w:p w14:paraId="43911F90">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4、重复性：±</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lang w:val="en-US" w:eastAsia="zh-CN"/>
              </w:rPr>
              <w:t>%；</w:t>
            </w:r>
          </w:p>
          <w:p w14:paraId="3B651EC4">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5、零点漂移：±1%；</w:t>
            </w:r>
          </w:p>
          <w:p w14:paraId="68BDBE75">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6、量程漂移：±1%；</w:t>
            </w:r>
          </w:p>
          <w:p w14:paraId="0FEF167B">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w:t>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auto"/>
                <w:kern w:val="0"/>
                <w:szCs w:val="21"/>
                <w:highlight w:val="none"/>
                <w:lang w:val="en-US" w:eastAsia="zh-CN"/>
              </w:rPr>
              <w:t>响应时间（T90）：</w:t>
            </w:r>
            <w:r>
              <w:rPr>
                <w:rFonts w:hint="eastAsia"/>
                <w:color w:val="auto"/>
                <w:sz w:val="21"/>
                <w:szCs w:val="21"/>
                <w:highlight w:val="none"/>
                <w:lang w:val="en-US" w:eastAsia="zh-CN"/>
              </w:rPr>
              <w:t>10秒</w:t>
            </w:r>
            <w:r>
              <w:rPr>
                <w:rFonts w:hint="eastAsia"/>
                <w:color w:val="auto"/>
                <w:sz w:val="21"/>
                <w:szCs w:val="21"/>
                <w:highlight w:val="none"/>
              </w:rPr>
              <w:t>以内</w:t>
            </w:r>
            <w:r>
              <w:rPr>
                <w:rFonts w:hint="eastAsia"/>
                <w:color w:val="auto"/>
                <w:sz w:val="21"/>
                <w:szCs w:val="21"/>
                <w:highlight w:val="none"/>
                <w:lang w:eastAsia="zh-CN"/>
              </w:rPr>
              <w:t>（</w:t>
            </w:r>
            <w:r>
              <w:rPr>
                <w:rFonts w:hint="eastAsia"/>
                <w:color w:val="auto"/>
                <w:sz w:val="21"/>
                <w:szCs w:val="21"/>
                <w:highlight w:val="none"/>
              </w:rPr>
              <w:t>提供中国环境监测总站（原环境保护部环境监测仪器质量监督检验中心）出具的在有效期内的产品检测报告原件扫描件</w:t>
            </w:r>
            <w:r>
              <w:rPr>
                <w:rFonts w:hint="eastAsia"/>
                <w:color w:val="auto"/>
                <w:sz w:val="21"/>
                <w:szCs w:val="21"/>
                <w:highlight w:val="none"/>
                <w:lang w:val="en-US" w:eastAsia="zh-CN"/>
              </w:rPr>
              <w:t xml:space="preserve">作为证明文件 </w:t>
            </w:r>
            <w:r>
              <w:rPr>
                <w:rFonts w:hint="eastAsia"/>
                <w:color w:val="auto"/>
                <w:sz w:val="21"/>
                <w:szCs w:val="21"/>
                <w:highlight w:val="none"/>
                <w:lang w:eastAsia="zh-CN"/>
              </w:rPr>
              <w:t>）；</w:t>
            </w:r>
          </w:p>
          <w:p w14:paraId="20C919C4">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8、温度补偿精度：±</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lang w:val="en-US" w:eastAsia="zh-CN"/>
              </w:rPr>
              <w:t>%；</w:t>
            </w:r>
          </w:p>
          <w:p w14:paraId="637F5FA5">
            <w:pPr>
              <w:widowControl/>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9、MTBF：≥1440h/次；</w:t>
            </w:r>
          </w:p>
          <w:p w14:paraId="2476FE1C">
            <w:pPr>
              <w:widowControl/>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10、实际水样比对试验：±1%；</w:t>
            </w:r>
          </w:p>
        </w:tc>
      </w:tr>
      <w:tr w14:paraId="6C05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6ECEA776">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54D38398">
            <w:pPr>
              <w:widowControl/>
              <w:jc w:val="center"/>
              <w:rPr>
                <w:rFonts w:hint="eastAsia" w:ascii="宋体" w:hAnsi="宋体" w:eastAsia="宋体" w:cs="宋体"/>
                <w:color w:val="000000"/>
                <w:kern w:val="0"/>
                <w:szCs w:val="21"/>
              </w:rPr>
            </w:pPr>
          </w:p>
        </w:tc>
        <w:tc>
          <w:tcPr>
            <w:tcW w:w="822" w:type="pct"/>
            <w:vAlign w:val="center"/>
          </w:tcPr>
          <w:p w14:paraId="41A9F586">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浊度自动分析仪</w:t>
            </w:r>
          </w:p>
        </w:tc>
        <w:tc>
          <w:tcPr>
            <w:tcW w:w="3427" w:type="pct"/>
            <w:vAlign w:val="center"/>
          </w:tcPr>
          <w:p w14:paraId="2AE4EC4D">
            <w:pPr>
              <w:widowControl/>
              <w:numPr>
                <w:ilvl w:val="0"/>
                <w:numId w:val="0"/>
              </w:numPr>
              <w:ind w:left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1、测定方法：光散射法；</w:t>
            </w:r>
          </w:p>
          <w:p w14:paraId="7CF05389">
            <w:pPr>
              <w:widowControl/>
              <w:numPr>
                <w:ilvl w:val="0"/>
                <w:numId w:val="0"/>
              </w:numPr>
              <w:ind w:left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2、量程：0～4000NTU，可调；</w:t>
            </w:r>
          </w:p>
          <w:p w14:paraId="6857C2D1">
            <w:pPr>
              <w:widowControl/>
              <w:numPr>
                <w:ilvl w:val="0"/>
                <w:numId w:val="0"/>
              </w:numPr>
              <w:ind w:left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3、重复性：±5%；</w:t>
            </w:r>
          </w:p>
          <w:p w14:paraId="5288089B">
            <w:pPr>
              <w:widowControl/>
              <w:numPr>
                <w:ilvl w:val="0"/>
                <w:numId w:val="0"/>
              </w:numPr>
              <w:ind w:left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4、零点漂移：±</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lang w:val="en-US" w:eastAsia="zh-CN"/>
              </w:rPr>
              <w:t>%；</w:t>
            </w:r>
          </w:p>
          <w:p w14:paraId="2DB587D2">
            <w:pPr>
              <w:widowControl/>
              <w:numPr>
                <w:ilvl w:val="0"/>
                <w:numId w:val="0"/>
              </w:numPr>
              <w:ind w:left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5、量程漂移：±</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lang w:val="en-US" w:eastAsia="zh-CN"/>
              </w:rPr>
              <w:t>%；</w:t>
            </w:r>
          </w:p>
          <w:p w14:paraId="448D2C85">
            <w:pPr>
              <w:widowControl/>
              <w:numPr>
                <w:ilvl w:val="0"/>
                <w:numId w:val="0"/>
              </w:numPr>
              <w:ind w:left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6、线性误差：±</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lang w:val="en-US" w:eastAsia="zh-CN"/>
              </w:rPr>
              <w:t>%；</w:t>
            </w:r>
          </w:p>
          <w:p w14:paraId="4F317A3D">
            <w:pPr>
              <w:widowControl/>
              <w:numPr>
                <w:ilvl w:val="0"/>
                <w:numId w:val="0"/>
              </w:numPr>
              <w:ind w:left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7、MTBF：≥1440h/次；</w:t>
            </w:r>
          </w:p>
          <w:p w14:paraId="2317F58B">
            <w:pPr>
              <w:widowControl/>
              <w:numPr>
                <w:ilvl w:val="0"/>
                <w:numId w:val="0"/>
              </w:numPr>
              <w:ind w:left="0" w:leftChars="0" w:firstLine="0" w:firstLineChars="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8、实际水样比对试验：±10%。</w:t>
            </w:r>
          </w:p>
        </w:tc>
      </w:tr>
      <w:tr w14:paraId="1A3D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7A13849F">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1B601143">
            <w:pPr>
              <w:widowControl/>
              <w:jc w:val="center"/>
              <w:rPr>
                <w:rFonts w:hint="eastAsia" w:ascii="宋体" w:hAnsi="宋体" w:eastAsia="宋体" w:cs="宋体"/>
                <w:color w:val="000000"/>
                <w:kern w:val="0"/>
                <w:szCs w:val="21"/>
              </w:rPr>
            </w:pPr>
          </w:p>
        </w:tc>
        <w:tc>
          <w:tcPr>
            <w:tcW w:w="822" w:type="pct"/>
            <w:vAlign w:val="center"/>
          </w:tcPr>
          <w:p w14:paraId="4F82EC8A">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COD水质在线分析仪</w:t>
            </w:r>
          </w:p>
        </w:tc>
        <w:tc>
          <w:tcPr>
            <w:tcW w:w="3427" w:type="pct"/>
            <w:vAlign w:val="center"/>
          </w:tcPr>
          <w:p w14:paraId="42868A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宋体" w:hAnsi="宋体" w:eastAsia="宋体" w:cs="宋体"/>
                <w:color w:val="auto"/>
                <w:kern w:val="0"/>
                <w:szCs w:val="21"/>
                <w:lang w:val="en-US" w:eastAsia="zh-CN"/>
              </w:rPr>
            </w:pPr>
            <w:r>
              <w:rPr>
                <w:rFonts w:hint="eastAsia" w:ascii="宋体" w:hAnsi="宋体" w:eastAsia="宋体" w:cs="宋体"/>
                <w:color w:val="000000"/>
                <w:kern w:val="0"/>
                <w:szCs w:val="21"/>
                <w:lang w:val="en-US" w:eastAsia="zh-CN"/>
              </w:rPr>
              <w:t>测定原理：重铬酸钾氧化法；</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测量范围：0-200mg/L、0-2000mg/L；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重复性：≤5%；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24h低浓度漂移：±5mg/L；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24h高浓度漂移：≤5%；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示值误差：≤±5%；</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实际水样比对试验：COD≥50 mg/L，相对误差≤10%；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最小维护周期：≥168h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电源要求：220VAC±10%/50～60Hz；</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校准模式：自动校准（可设置校准间隔）、手动/远程触发校准；</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测量模式：间隔测量（1～9999min）、整点测量、手动/远程触发测量；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通讯接口：具有 4mA-20mA 模拟信号以及 RS232 或 RS485 输出接口；</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电计量功能：蠕动泵提供动力，光电液位检测功能，实现计量；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报警功能：浓度超标报警、故障报警、缺试剂报警；</w:t>
            </w:r>
            <w:r>
              <w:rPr>
                <w:rFonts w:hint="eastAsia" w:ascii="宋体" w:hAnsi="宋体" w:eastAsia="宋体" w:cs="宋体"/>
                <w:color w:val="000000"/>
                <w:kern w:val="0"/>
                <w:szCs w:val="21"/>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000000"/>
                <w:kern w:val="0"/>
                <w:szCs w:val="21"/>
                <w:lang w:val="en-US" w:eastAsia="zh-CN"/>
              </w:rPr>
              <w:t>具备水样使用光电和溢流双计量模式，避免水样浊度、粘稠等造成计量误差</w:t>
            </w:r>
            <w:r>
              <w:rPr>
                <w:rFonts w:hint="default" w:ascii="宋体" w:hAnsi="宋体" w:eastAsia="宋体" w:cs="宋体"/>
                <w:color w:val="auto"/>
                <w:kern w:val="0"/>
                <w:szCs w:val="21"/>
                <w:lang w:val="en-US" w:eastAsia="zh-CN"/>
              </w:rPr>
              <w:t>（提供省级及以上计量部门检测报告原件扫描件）；</w:t>
            </w:r>
          </w:p>
          <w:p w14:paraId="7F6B37D1">
            <w:pPr>
              <w:widowControl/>
              <w:jc w:val="both"/>
              <w:rPr>
                <w:rFonts w:hint="eastAsia" w:ascii="宋体" w:hAnsi="宋体" w:eastAsia="宋体" w:cs="宋体"/>
                <w:color w:val="000000"/>
                <w:kern w:val="0"/>
                <w:szCs w:val="21"/>
                <w:lang w:val="en-US" w:eastAsia="zh-CN"/>
              </w:rPr>
            </w:pPr>
            <w:r>
              <w:rPr>
                <w:rFonts w:hint="default" w:ascii="Times New Roman" w:hAnsi="Times New Roman" w:eastAsia="宋体" w:cs="Times New Roman"/>
                <w:b/>
                <w:color w:val="auto"/>
                <w:sz w:val="24"/>
                <w:szCs w:val="24"/>
                <w:highlight w:val="none"/>
              </w:rPr>
              <w:t>▲</w:t>
            </w:r>
            <w:r>
              <w:rPr>
                <w:rFonts w:hint="eastAsia" w:ascii="宋体" w:hAnsi="宋体" w:eastAsia="宋体" w:cs="宋体"/>
                <w:color w:val="auto"/>
                <w:kern w:val="0"/>
                <w:szCs w:val="21"/>
                <w:lang w:val="en-US" w:eastAsia="zh-CN"/>
              </w:rPr>
              <w:t>具备双计量管进样结构，试剂、水样分开进样，不对试剂二次污染；</w:t>
            </w:r>
            <w:r>
              <w:rPr>
                <w:rFonts w:hint="default" w:ascii="宋体" w:hAnsi="宋体" w:eastAsia="宋体" w:cs="宋体"/>
                <w:color w:val="auto"/>
                <w:kern w:val="0"/>
                <w:szCs w:val="21"/>
                <w:lang w:val="en-US" w:eastAsia="zh-CN"/>
              </w:rPr>
              <w:t>（提供省级及以上计量部门检测报告原件扫描件）；</w:t>
            </w:r>
            <w:r>
              <w:rPr>
                <w:rFonts w:hint="eastAsia" w:ascii="宋体" w:hAnsi="宋体" w:eastAsia="宋体" w:cs="宋体"/>
                <w:color w:val="auto"/>
                <w:kern w:val="0"/>
                <w:szCs w:val="21"/>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auto"/>
                <w:kern w:val="0"/>
                <w:szCs w:val="21"/>
                <w:lang w:val="en-US" w:eastAsia="zh-CN"/>
              </w:rPr>
              <w:t>具备自定义任务功能，可编辑最多 10 个流程任务</w:t>
            </w:r>
            <w:r>
              <w:rPr>
                <w:rFonts w:hint="default" w:ascii="宋体" w:hAnsi="宋体" w:eastAsia="宋体" w:cs="宋体"/>
                <w:color w:val="auto"/>
                <w:kern w:val="0"/>
                <w:szCs w:val="21"/>
                <w:lang w:val="en-US" w:eastAsia="zh-CN"/>
              </w:rPr>
              <w:t>（提供省级及以上计量部门检测报告原件扫描件）；</w:t>
            </w:r>
          </w:p>
        </w:tc>
      </w:tr>
      <w:tr w14:paraId="0ECB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60710415">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6AB68992">
            <w:pPr>
              <w:widowControl/>
              <w:jc w:val="center"/>
              <w:rPr>
                <w:rFonts w:hint="eastAsia" w:ascii="宋体" w:hAnsi="宋体" w:eastAsia="宋体" w:cs="宋体"/>
                <w:color w:val="000000"/>
                <w:kern w:val="0"/>
                <w:szCs w:val="21"/>
              </w:rPr>
            </w:pPr>
          </w:p>
        </w:tc>
        <w:tc>
          <w:tcPr>
            <w:tcW w:w="822" w:type="pct"/>
            <w:vAlign w:val="center"/>
          </w:tcPr>
          <w:p w14:paraId="77C88E1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氨氮水质在线监测分析仪</w:t>
            </w:r>
          </w:p>
        </w:tc>
        <w:tc>
          <w:tcPr>
            <w:tcW w:w="3427" w:type="pct"/>
            <w:vAlign w:val="center"/>
          </w:tcPr>
          <w:p w14:paraId="0ACC5A33">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测定原理：纳氏试剂分光光度法、水杨酸分光光度法</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测定范围：0～10mg/L，可调</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重复性：≤2.0%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检出限：≤0.05mg/L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24h低浓度漂移：≤0.0</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lang w:val="en-US" w:eastAsia="zh-CN"/>
              </w:rPr>
              <w:t>mg/L</w:t>
            </w:r>
          </w:p>
          <w:p w14:paraId="2C74039C">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24h高浓度漂移：≤1%</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示值误差：标液浓度为2.0mg/L时，±8%；标液浓度为5.0mg/L时，±5%；标液浓度为8.0mg/L时，±3%</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记忆效应：标液浓度为2.0mg/L时，±0.3mg/L；标液浓度为8.0mg/L时，±0.2mg/L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pH影响：±6%</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实际水样比对试验：氨氮＜2.0mg/L，绝对误差≤0.2mg/L；氨氮≥2.0mg/L，相对误差≤10%</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最小维护周期：≥168h</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电源要求：220VAC±10%/50～60Hz；</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校准模式：自动校准（可设置校准间隔）、手动/远程触发校准；</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测量模式：间隔测量（1～9999min）、整点测量、手动/远程触发测量；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通讯接口：具有 4mA-20mA 模拟信号以及 RS232 或 RS485 输出接口；</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电计量功能：蠕动泵提供动力，光电液位检测功能，实现计量；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报警功能：浓度超标报警、故障报警、缺试剂报警；</w:t>
            </w:r>
            <w:r>
              <w:rPr>
                <w:rFonts w:hint="eastAsia" w:ascii="宋体" w:hAnsi="宋体" w:eastAsia="宋体" w:cs="宋体"/>
                <w:color w:val="000000"/>
                <w:kern w:val="0"/>
                <w:szCs w:val="21"/>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000000"/>
                <w:kern w:val="0"/>
                <w:szCs w:val="21"/>
                <w:lang w:val="en-US" w:eastAsia="zh-CN"/>
              </w:rPr>
              <w:t>具备水样使</w:t>
            </w:r>
            <w:r>
              <w:rPr>
                <w:rFonts w:hint="eastAsia" w:ascii="宋体" w:hAnsi="宋体" w:eastAsia="宋体" w:cs="宋体"/>
                <w:color w:val="auto"/>
                <w:kern w:val="0"/>
                <w:szCs w:val="21"/>
                <w:lang w:val="en-US" w:eastAsia="zh-CN"/>
              </w:rPr>
              <w:t>用光电和溢流双计量模式，避免水样浊度、粘稠等造成计量误差</w:t>
            </w:r>
            <w:r>
              <w:rPr>
                <w:rFonts w:hint="default" w:ascii="宋体" w:hAnsi="宋体" w:eastAsia="宋体" w:cs="宋体"/>
                <w:color w:val="auto"/>
                <w:kern w:val="0"/>
                <w:szCs w:val="21"/>
                <w:lang w:val="en-US" w:eastAsia="zh-CN"/>
              </w:rPr>
              <w:t>（提供省级及以上计量部门检测报告原件扫描件）</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auto"/>
                <w:kern w:val="0"/>
                <w:szCs w:val="21"/>
                <w:lang w:val="en-US" w:eastAsia="zh-CN"/>
              </w:rPr>
              <w:t>具备双计量管进样结构，试剂、水样分开进样，不对试剂二次污染</w:t>
            </w:r>
            <w:r>
              <w:rPr>
                <w:rFonts w:hint="default" w:ascii="宋体" w:hAnsi="宋体" w:eastAsia="宋体" w:cs="宋体"/>
                <w:color w:val="auto"/>
                <w:kern w:val="0"/>
                <w:szCs w:val="21"/>
                <w:lang w:val="en-US" w:eastAsia="zh-CN"/>
              </w:rPr>
              <w:t>（提供省级及以上计量部门检测报告原件扫描件）</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auto"/>
                <w:kern w:val="0"/>
                <w:szCs w:val="21"/>
                <w:lang w:val="en-US" w:eastAsia="zh-CN"/>
              </w:rPr>
              <w:t>具备自定义任务功能，可编辑最多 10 个流程任务</w:t>
            </w:r>
            <w:r>
              <w:rPr>
                <w:rFonts w:hint="default" w:ascii="宋体" w:hAnsi="宋体" w:eastAsia="宋体" w:cs="宋体"/>
                <w:color w:val="auto"/>
                <w:kern w:val="0"/>
                <w:szCs w:val="21"/>
                <w:lang w:val="en-US" w:eastAsia="zh-CN"/>
              </w:rPr>
              <w:t>（提供省级及以上计量部门检测报告原件扫描件）</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宋体"/>
                <w:color w:val="auto"/>
                <w:kern w:val="0"/>
                <w:szCs w:val="21"/>
                <w:lang w:val="en-US" w:eastAsia="zh-CN"/>
              </w:rPr>
              <w:t>具备浊度、色度算法补偿功能，有浊度、色度算法补偿功能启用开关</w:t>
            </w:r>
            <w:r>
              <w:rPr>
                <w:rFonts w:hint="default" w:ascii="宋体" w:hAnsi="宋体" w:eastAsia="宋体" w:cs="宋体"/>
                <w:color w:val="auto"/>
                <w:kern w:val="0"/>
                <w:szCs w:val="21"/>
                <w:lang w:val="en-US" w:eastAsia="zh-CN"/>
              </w:rPr>
              <w:t>（提供省级及以上计量部门检测报告原件扫描件）</w:t>
            </w:r>
            <w:r>
              <w:rPr>
                <w:rFonts w:hint="eastAsia" w:ascii="宋体" w:hAnsi="宋体" w:eastAsia="宋体" w:cs="宋体"/>
                <w:color w:val="000000"/>
                <w:kern w:val="0"/>
                <w:szCs w:val="21"/>
                <w:lang w:val="en-US" w:eastAsia="zh-CN"/>
              </w:rPr>
              <w:t>。</w:t>
            </w:r>
          </w:p>
        </w:tc>
      </w:tr>
      <w:tr w14:paraId="25D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3BFB7141">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38349684">
            <w:pPr>
              <w:widowControl/>
              <w:jc w:val="center"/>
              <w:rPr>
                <w:rFonts w:hint="eastAsia" w:ascii="宋体" w:hAnsi="宋体" w:cs="宋体"/>
                <w:color w:val="000000"/>
                <w:kern w:val="0"/>
                <w:szCs w:val="21"/>
              </w:rPr>
            </w:pPr>
          </w:p>
        </w:tc>
        <w:tc>
          <w:tcPr>
            <w:tcW w:w="822" w:type="pct"/>
            <w:vAlign w:val="center"/>
          </w:tcPr>
          <w:p w14:paraId="547F1FDE">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总磷水质在线监测分析仪</w:t>
            </w:r>
          </w:p>
        </w:tc>
        <w:tc>
          <w:tcPr>
            <w:tcW w:w="3427" w:type="pct"/>
            <w:vAlign w:val="center"/>
          </w:tcPr>
          <w:p w14:paraId="39EA6800">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测定原理：过硫酸钾氧化-钼酸铵分光光度法</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测定范围：0～20mg/L，可调</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零点漂移：</w:t>
            </w:r>
            <w:r>
              <w:rPr>
                <w:rFonts w:hint="eastAsia" w:ascii="宋体" w:hAnsi="宋体" w:eastAsia="宋体" w:cs="Times New Roman"/>
                <w:color w:val="auto"/>
                <w:lang w:val="en-US" w:eastAsia="zh-CN"/>
              </w:rPr>
              <w:t>≤±</w:t>
            </w:r>
            <w:r>
              <w:rPr>
                <w:rFonts w:hint="eastAsia" w:cs="Times New Roman"/>
                <w:color w:val="auto"/>
                <w:lang w:val="en-US" w:eastAsia="zh-CN"/>
              </w:rPr>
              <w:t>5</w:t>
            </w:r>
            <w:r>
              <w:rPr>
                <w:rFonts w:hint="eastAsia" w:ascii="宋体" w:hAnsi="宋体" w:eastAsia="宋体" w:cs="Times New Roman"/>
                <w:color w:val="auto"/>
                <w:lang w:val="en-US" w:eastAsia="zh-CN"/>
              </w:rPr>
              <w:t>%</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量程漂移：≤±</w:t>
            </w:r>
            <w:r>
              <w:rPr>
                <w:rFonts w:hint="eastAsia" w:cs="Times New Roman"/>
                <w:lang w:val="en-US" w:eastAsia="zh-CN"/>
              </w:rPr>
              <w:t>10</w:t>
            </w:r>
            <w:r>
              <w:rPr>
                <w:rFonts w:hint="eastAsia" w:ascii="宋体" w:hAnsi="宋体" w:eastAsia="宋体" w:cs="Times New Roman"/>
                <w:lang w:val="en-US" w:eastAsia="zh-CN"/>
              </w:rPr>
              <w:t>%</w:t>
            </w:r>
          </w:p>
          <w:p w14:paraId="0EA36B53">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直线性：≤±10%</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重复性：≤±1</w:t>
            </w:r>
            <w:r>
              <w:rPr>
                <w:rFonts w:hint="eastAsia" w:cs="Times New Roman"/>
                <w:lang w:val="en-US" w:eastAsia="zh-CN"/>
              </w:rPr>
              <w:t>0</w:t>
            </w:r>
            <w:r>
              <w:rPr>
                <w:rFonts w:hint="eastAsia" w:ascii="宋体" w:hAnsi="宋体" w:eastAsia="宋体" w:cs="Times New Roman"/>
                <w:lang w:val="en-US" w:eastAsia="zh-CN"/>
              </w:rPr>
              <w:t>%</w:t>
            </w:r>
          </w:p>
          <w:p w14:paraId="368B369E">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检出限：≤0.01mg/L</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MTBF：≥720 h/次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实际水样比对试验：≤±10 %</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电源要求：220VAC±10%/50～60Hz；</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校准模式：自动校准（可设置校准间隔）、手动/远程触发校准；</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测量模式：间隔测量（1～9999min）、整点测量、手动/远程触发测量；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通讯接口：具有 4mA-20mA 模拟信号以及 RS232 或 RS485 输出接口；</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电计量功能：蠕动泵提供动力，光电液位检测功能，实现计量；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报警功能：浓度超标报警、故障报警、缺试剂报警；</w:t>
            </w:r>
            <w:r>
              <w:rPr>
                <w:rFonts w:hint="eastAsia" w:ascii="宋体" w:hAnsi="宋体" w:eastAsia="宋体" w:cs="Times New Roman"/>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lang w:val="en-US" w:eastAsia="zh-CN"/>
              </w:rPr>
              <w:t>具备水样</w:t>
            </w:r>
            <w:r>
              <w:rPr>
                <w:rFonts w:hint="eastAsia" w:ascii="宋体" w:hAnsi="宋体" w:eastAsia="宋体" w:cs="Times New Roman"/>
                <w:color w:val="auto"/>
                <w:lang w:val="en-US" w:eastAsia="zh-CN"/>
              </w:rPr>
              <w:t>使用光电和溢流双计量模式，避免水样浊度、粘稠等造成计量误差</w:t>
            </w:r>
            <w:r>
              <w:rPr>
                <w:rFonts w:hint="default" w:ascii="宋体" w:hAnsi="宋体" w:eastAsia="宋体" w:cs="Times New Roman"/>
                <w:color w:val="auto"/>
                <w:lang w:val="en-US" w:eastAsia="zh-CN"/>
              </w:rPr>
              <w:t>（提供省级及以上计量部门检测报告原件扫描件）</w:t>
            </w:r>
            <w:r>
              <w:rPr>
                <w:rFonts w:hint="eastAsia" w:ascii="宋体" w:hAnsi="宋体" w:eastAsia="宋体" w:cs="Times New Roman"/>
                <w:color w:val="auto"/>
                <w:lang w:val="en-US" w:eastAsia="zh-CN"/>
              </w:rPr>
              <w:t>；</w:t>
            </w:r>
            <w:r>
              <w:rPr>
                <w:rFonts w:hint="eastAsia" w:ascii="宋体" w:hAnsi="宋体" w:eastAsia="宋体" w:cs="Times New Roman"/>
                <w:color w:val="auto"/>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color w:val="auto"/>
                <w:lang w:val="en-US" w:eastAsia="zh-CN"/>
              </w:rPr>
              <w:t>具备双计量管进样结构，试剂、水样分开进样，不对试剂二次污染</w:t>
            </w:r>
            <w:r>
              <w:rPr>
                <w:rFonts w:hint="default" w:ascii="宋体" w:hAnsi="宋体" w:eastAsia="宋体" w:cs="Times New Roman"/>
                <w:color w:val="auto"/>
                <w:lang w:val="en-US" w:eastAsia="zh-CN"/>
              </w:rPr>
              <w:t>（提供省级及以上计量部门检测报告原件扫描件）</w:t>
            </w:r>
            <w:r>
              <w:rPr>
                <w:rFonts w:hint="eastAsia" w:ascii="宋体" w:hAnsi="宋体" w:eastAsia="宋体" w:cs="Times New Roman"/>
                <w:color w:val="auto"/>
                <w:lang w:val="en-US" w:eastAsia="zh-CN"/>
              </w:rPr>
              <w:t>；</w:t>
            </w:r>
            <w:r>
              <w:rPr>
                <w:rFonts w:hint="eastAsia" w:ascii="宋体" w:hAnsi="宋体" w:eastAsia="宋体" w:cs="Times New Roman"/>
                <w:color w:val="auto"/>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color w:val="auto"/>
                <w:lang w:val="en-US" w:eastAsia="zh-CN"/>
              </w:rPr>
              <w:t>具备自定义任务功能，可编辑最多 10 个流程任务</w:t>
            </w:r>
            <w:r>
              <w:rPr>
                <w:rFonts w:hint="default" w:ascii="宋体" w:hAnsi="宋体" w:eastAsia="宋体" w:cs="Times New Roman"/>
                <w:color w:val="auto"/>
                <w:lang w:val="en-US" w:eastAsia="zh-CN"/>
              </w:rPr>
              <w:t>（提供省级及以上计量部门检测报告原件扫描件）</w:t>
            </w:r>
            <w:r>
              <w:rPr>
                <w:rFonts w:hint="eastAsia" w:ascii="宋体" w:hAnsi="宋体" w:eastAsia="宋体" w:cs="Times New Roman"/>
                <w:color w:val="auto"/>
                <w:lang w:val="en-US" w:eastAsia="zh-CN"/>
              </w:rPr>
              <w:t>。</w:t>
            </w:r>
            <w:r>
              <w:rPr>
                <w:rFonts w:hint="eastAsia" w:ascii="宋体" w:hAnsi="宋体" w:eastAsia="宋体" w:cs="Times New Roman"/>
                <w:color w:val="auto"/>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color w:val="auto"/>
                <w:lang w:val="en-US" w:eastAsia="zh-CN"/>
              </w:rPr>
              <w:t>具备浊度、色度算法补偿功能，有浊度、色度算法补偿功能启用开关</w:t>
            </w:r>
            <w:r>
              <w:rPr>
                <w:rFonts w:hint="default" w:ascii="宋体" w:hAnsi="宋体" w:eastAsia="宋体" w:cs="Times New Roman"/>
                <w:color w:val="auto"/>
                <w:lang w:val="en-US" w:eastAsia="zh-CN"/>
              </w:rPr>
              <w:t>（提供省级及以上计量部门检测报告原件扫描件）</w:t>
            </w:r>
            <w:r>
              <w:rPr>
                <w:rFonts w:hint="eastAsia" w:ascii="宋体" w:hAnsi="宋体" w:eastAsia="宋体" w:cs="Times New Roman"/>
                <w:lang w:val="en-US" w:eastAsia="zh-CN"/>
              </w:rPr>
              <w:t>。</w:t>
            </w:r>
          </w:p>
        </w:tc>
      </w:tr>
      <w:tr w14:paraId="17F5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3CA52B1A">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27736597">
            <w:pPr>
              <w:widowControl/>
              <w:jc w:val="center"/>
              <w:rPr>
                <w:rFonts w:hint="eastAsia" w:ascii="宋体" w:hAnsi="宋体" w:cs="宋体"/>
                <w:color w:val="000000"/>
                <w:kern w:val="0"/>
                <w:szCs w:val="21"/>
              </w:rPr>
            </w:pPr>
          </w:p>
        </w:tc>
        <w:tc>
          <w:tcPr>
            <w:tcW w:w="822" w:type="pct"/>
            <w:vAlign w:val="center"/>
          </w:tcPr>
          <w:p w14:paraId="110D2B9F">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总氮水质在线分析仪</w:t>
            </w:r>
          </w:p>
        </w:tc>
        <w:tc>
          <w:tcPr>
            <w:tcW w:w="3427" w:type="pct"/>
            <w:vAlign w:val="center"/>
          </w:tcPr>
          <w:p w14:paraId="2AC55711">
            <w:pPr>
              <w:widowControl/>
              <w:jc w:val="left"/>
              <w:rPr>
                <w:rFonts w:hint="eastAsia" w:ascii="宋体" w:hAnsi="宋体" w:eastAsia="宋体" w:cs="Times New Roman"/>
                <w:color w:val="FF0000"/>
                <w:lang w:val="en-US" w:eastAsia="zh-CN"/>
              </w:rPr>
            </w:pPr>
            <w:r>
              <w:rPr>
                <w:rFonts w:hint="eastAsia" w:ascii="宋体" w:hAnsi="宋体" w:eastAsia="宋体" w:cs="Times New Roman"/>
                <w:lang w:val="en-US" w:eastAsia="zh-CN"/>
              </w:rPr>
              <w:t>测定原理：碱性过硫酸钾氧化-紫外分光光度法</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测定范围：0～100mg/L，可调</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零点漂移：</w:t>
            </w:r>
            <w:r>
              <w:rPr>
                <w:rFonts w:hint="eastAsia" w:ascii="宋体" w:hAnsi="宋体" w:eastAsia="宋体" w:cs="Times New Roman"/>
                <w:color w:val="auto"/>
                <w:lang w:val="en-US" w:eastAsia="zh-CN"/>
              </w:rPr>
              <w:t>≤±5%</w:t>
            </w:r>
          </w:p>
          <w:p w14:paraId="14D58181">
            <w:pPr>
              <w:widowControl/>
              <w:jc w:val="left"/>
              <w:rPr>
                <w:rFonts w:hint="eastAsia" w:ascii="宋体" w:hAnsi="宋体" w:eastAsia="宋体" w:cs="Times New Roman"/>
                <w:color w:val="FF0000"/>
                <w:lang w:val="en-US" w:eastAsia="zh-CN"/>
              </w:rPr>
            </w:pPr>
            <w:r>
              <w:rPr>
                <w:rFonts w:hint="eastAsia" w:ascii="宋体" w:hAnsi="宋体" w:eastAsia="宋体" w:cs="Times New Roman"/>
                <w:lang w:val="en-US" w:eastAsia="zh-CN"/>
              </w:rPr>
              <w:t>量程漂移：</w:t>
            </w:r>
            <w:r>
              <w:rPr>
                <w:rFonts w:hint="eastAsia" w:ascii="宋体" w:hAnsi="宋体" w:eastAsia="宋体" w:cs="Times New Roman"/>
                <w:color w:val="auto"/>
                <w:lang w:val="en-US" w:eastAsia="zh-CN"/>
              </w:rPr>
              <w:t>≤±</w:t>
            </w:r>
            <w:r>
              <w:rPr>
                <w:rFonts w:hint="eastAsia" w:ascii="宋体" w:hAnsi="宋体" w:cs="Times New Roman"/>
                <w:color w:val="auto"/>
                <w:lang w:val="en-US" w:eastAsia="zh-CN"/>
              </w:rPr>
              <w:t>10</w:t>
            </w:r>
            <w:r>
              <w:rPr>
                <w:rFonts w:hint="eastAsia" w:ascii="宋体" w:hAnsi="宋体" w:eastAsia="宋体" w:cs="Times New Roman"/>
                <w:color w:val="auto"/>
                <w:lang w:val="en-US" w:eastAsia="zh-CN"/>
              </w:rPr>
              <w:t>%</w:t>
            </w:r>
          </w:p>
          <w:p w14:paraId="3FF9CFDE">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直线性：≤±10%</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重复性：≤±</w:t>
            </w:r>
            <w:r>
              <w:rPr>
                <w:rFonts w:hint="eastAsia" w:ascii="宋体" w:hAnsi="宋体" w:cs="Times New Roman"/>
                <w:lang w:val="en-US" w:eastAsia="zh-CN"/>
              </w:rPr>
              <w:t>10</w:t>
            </w:r>
            <w:r>
              <w:rPr>
                <w:rFonts w:hint="eastAsia" w:ascii="宋体" w:hAnsi="宋体" w:eastAsia="宋体" w:cs="Times New Roman"/>
                <w:lang w:val="en-US" w:eastAsia="zh-CN"/>
              </w:rPr>
              <w:t>%</w:t>
            </w:r>
          </w:p>
          <w:p w14:paraId="58C359BD">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MTBF：≥720 h/次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实际水样比对试验：≤±10 %</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电源要求：220VAC±10%/50～60Hz；</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校准模式：自动校准（可设置校准间隔）、手动/远程触发校准；</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测量模式：间隔测量（1～9999min）、整点测量、手动/远程触发测量；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通讯接口：具有 4mA-20mA 模拟信号以及 RS232 或 RS485 输出接口；</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电计量功能：蠕动泵提供动力，光电液位检测功能，实现计量；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报警功能：浓度超标报警、故障报警、缺试剂报警；</w:t>
            </w:r>
            <w:r>
              <w:rPr>
                <w:rFonts w:hint="eastAsia" w:ascii="宋体" w:hAnsi="宋体" w:eastAsia="宋体" w:cs="Times New Roman"/>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lang w:val="en-US" w:eastAsia="zh-CN"/>
              </w:rPr>
              <w:t>具备水样使用光电和溢流双计量模式，避免水样浊度、粘稠等造成计量误差</w:t>
            </w:r>
            <w:r>
              <w:rPr>
                <w:rFonts w:hint="default" w:ascii="宋体" w:hAnsi="宋体" w:eastAsia="宋体" w:cs="Times New Roman"/>
                <w:lang w:val="en-US" w:eastAsia="zh-CN"/>
              </w:rPr>
              <w:t>（提供省级及以上计量部门检测报告原件扫描件）</w:t>
            </w:r>
            <w:r>
              <w:rPr>
                <w:rFonts w:hint="eastAsia" w:ascii="宋体" w:hAnsi="宋体" w:eastAsia="宋体" w:cs="Times New Roman"/>
                <w:lang w:val="en-US" w:eastAsia="zh-CN"/>
              </w:rPr>
              <w:t>；</w:t>
            </w:r>
            <w:r>
              <w:rPr>
                <w:rFonts w:hint="eastAsia" w:ascii="宋体" w:hAnsi="宋体" w:eastAsia="宋体" w:cs="Times New Roman"/>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lang w:val="en-US" w:eastAsia="zh-CN"/>
              </w:rPr>
              <w:t>具备双计量管进样结构，试剂、水样分开进样，不对试剂二次污染</w:t>
            </w:r>
            <w:r>
              <w:rPr>
                <w:rFonts w:hint="default" w:ascii="宋体" w:hAnsi="宋体" w:eastAsia="宋体" w:cs="Times New Roman"/>
                <w:lang w:val="en-US" w:eastAsia="zh-CN"/>
              </w:rPr>
              <w:t>（提供省级及以上计量部门检测报告原件扫描件）</w:t>
            </w:r>
            <w:r>
              <w:rPr>
                <w:rFonts w:hint="eastAsia" w:ascii="宋体" w:hAnsi="宋体" w:eastAsia="宋体" w:cs="Times New Roman"/>
                <w:lang w:val="en-US" w:eastAsia="zh-CN"/>
              </w:rPr>
              <w:t>；</w:t>
            </w:r>
            <w:r>
              <w:rPr>
                <w:rFonts w:hint="eastAsia" w:ascii="宋体" w:hAnsi="宋体" w:eastAsia="宋体" w:cs="Times New Roman"/>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lang w:val="en-US" w:eastAsia="zh-CN"/>
              </w:rPr>
              <w:t>具备自定义任务功能，可编辑最多 10 个流程任务</w:t>
            </w:r>
            <w:r>
              <w:rPr>
                <w:rFonts w:hint="default" w:ascii="宋体" w:hAnsi="宋体" w:eastAsia="宋体" w:cs="Times New Roman"/>
                <w:lang w:val="en-US" w:eastAsia="zh-CN"/>
              </w:rPr>
              <w:t>（提供省级及以上计量部门检测报告原件扫描件）</w:t>
            </w:r>
            <w:r>
              <w:rPr>
                <w:rFonts w:hint="eastAsia" w:ascii="宋体" w:hAnsi="宋体" w:eastAsia="宋体" w:cs="Times New Roman"/>
                <w:lang w:val="en-US" w:eastAsia="zh-CN"/>
              </w:rPr>
              <w:t>。</w:t>
            </w:r>
            <w:r>
              <w:rPr>
                <w:rFonts w:hint="eastAsia" w:ascii="宋体" w:hAnsi="宋体" w:eastAsia="宋体" w:cs="Times New Roman"/>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lang w:val="en-US" w:eastAsia="zh-CN"/>
              </w:rPr>
              <w:t>具备浊度、色度算法补偿功能，有浊度、色度算法补偿功能启用开关</w:t>
            </w:r>
            <w:r>
              <w:rPr>
                <w:rFonts w:hint="default" w:ascii="宋体" w:hAnsi="宋体" w:eastAsia="宋体" w:cs="Times New Roman"/>
                <w:lang w:val="en-US" w:eastAsia="zh-CN"/>
              </w:rPr>
              <w:t>（提供省级及以上计量部门检测报告原件扫描件）</w:t>
            </w:r>
            <w:r>
              <w:rPr>
                <w:rFonts w:hint="eastAsia" w:ascii="宋体" w:hAnsi="宋体" w:eastAsia="宋体" w:cs="Times New Roman"/>
                <w:lang w:val="en-US" w:eastAsia="zh-CN"/>
              </w:rPr>
              <w:t>。</w:t>
            </w:r>
            <w:r>
              <w:rPr>
                <w:rFonts w:hint="eastAsia" w:ascii="宋体" w:hAnsi="宋体" w:eastAsia="宋体" w:cs="Times New Roman"/>
                <w:lang w:val="en-US" w:eastAsia="zh-CN"/>
              </w:rPr>
              <w:br w:type="textWrapping"/>
            </w:r>
            <w:r>
              <w:rPr>
                <w:rFonts w:hint="default" w:ascii="Times New Roman" w:hAnsi="Times New Roman" w:eastAsia="宋体" w:cs="Times New Roman"/>
                <w:b/>
                <w:color w:val="auto"/>
                <w:sz w:val="24"/>
                <w:szCs w:val="24"/>
                <w:highlight w:val="none"/>
              </w:rPr>
              <w:t>▲</w:t>
            </w:r>
            <w:r>
              <w:rPr>
                <w:rFonts w:hint="eastAsia" w:ascii="宋体" w:hAnsi="宋体" w:eastAsia="宋体" w:cs="Times New Roman"/>
                <w:lang w:val="en-US" w:eastAsia="zh-CN"/>
              </w:rPr>
              <w:t>采用消解比色分离结构设计，可有效延长消解杯寿命</w:t>
            </w:r>
            <w:r>
              <w:rPr>
                <w:rFonts w:hint="default" w:ascii="宋体" w:hAnsi="宋体" w:eastAsia="宋体" w:cs="Times New Roman"/>
                <w:lang w:val="en-US" w:eastAsia="zh-CN"/>
              </w:rPr>
              <w:t>（提供省级及以上计量部门检测报告原件扫描件）</w:t>
            </w:r>
            <w:r>
              <w:rPr>
                <w:rFonts w:hint="eastAsia" w:ascii="宋体" w:hAnsi="宋体" w:eastAsia="宋体" w:cs="Times New Roman"/>
                <w:lang w:val="en-US" w:eastAsia="zh-CN"/>
              </w:rPr>
              <w:t>。</w:t>
            </w:r>
          </w:p>
        </w:tc>
      </w:tr>
      <w:tr w14:paraId="36B3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489845F1">
            <w:pPr>
              <w:pStyle w:val="173"/>
              <w:widowControl/>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14C00492">
            <w:pPr>
              <w:widowControl/>
              <w:jc w:val="center"/>
              <w:rPr>
                <w:rFonts w:hint="eastAsia" w:ascii="宋体" w:hAnsi="宋体" w:cs="宋体"/>
                <w:color w:val="000000"/>
                <w:kern w:val="0"/>
                <w:szCs w:val="21"/>
              </w:rPr>
            </w:pPr>
          </w:p>
        </w:tc>
        <w:tc>
          <w:tcPr>
            <w:tcW w:w="822" w:type="pct"/>
            <w:vAlign w:val="center"/>
          </w:tcPr>
          <w:p w14:paraId="257C1C99">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水质采样器</w:t>
            </w:r>
          </w:p>
        </w:tc>
        <w:tc>
          <w:tcPr>
            <w:tcW w:w="3427" w:type="pct"/>
            <w:vAlign w:val="center"/>
          </w:tcPr>
          <w:p w14:paraId="2561DEF8">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采样瓶 1000ml×25瓶</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采样间隔 1min～9999min</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单次采样量 5ml～1000ml</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留样记录 10000条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开关门记录 2000条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停电记录 2000条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采样量误差 ±5%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等比例采样量误差 ±5%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系统时钟时间控制误差 5s/24h</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水样保存温度 2℃～6℃（±1.5℃）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采样垂直高度 ≥8m</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水平采样距离 ≥80m</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管路系统气密性 ≤-0.085MPa</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平均无故障连续运行时间（MTBF） ≥1440 h/次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绝缘阻抗 ＞20 MΩ</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通讯接口 RS-232/RS-485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模拟接口 4mA～20mA</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数字量输入接口 开关量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仪器界面 中文界面，彩色液晶触摸显示屏</w:t>
            </w:r>
          </w:p>
        </w:tc>
      </w:tr>
      <w:tr w14:paraId="3983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3936BED2">
            <w:pPr>
              <w:pStyle w:val="173"/>
              <w:widowControl/>
              <w:numPr>
                <w:ilvl w:val="0"/>
                <w:numId w:val="0"/>
              </w:numPr>
              <w:spacing w:before="0" w:line="240" w:lineRule="auto"/>
              <w:ind w:leftChars="0"/>
              <w:jc w:val="both"/>
              <w:rPr>
                <w:rFonts w:hint="eastAsia" w:ascii="宋体" w:hAnsi="宋体"/>
                <w:color w:val="000000"/>
                <w:kern w:val="0"/>
                <w:szCs w:val="21"/>
              </w:rPr>
            </w:pPr>
          </w:p>
        </w:tc>
        <w:tc>
          <w:tcPr>
            <w:tcW w:w="489" w:type="pct"/>
            <w:vMerge w:val="continue"/>
            <w:vAlign w:val="center"/>
          </w:tcPr>
          <w:p w14:paraId="2728FE0C">
            <w:pPr>
              <w:widowControl/>
              <w:jc w:val="center"/>
              <w:rPr>
                <w:rFonts w:hint="eastAsia" w:ascii="宋体" w:hAnsi="宋体" w:cs="宋体"/>
                <w:color w:val="000000"/>
                <w:kern w:val="0"/>
                <w:szCs w:val="21"/>
              </w:rPr>
            </w:pPr>
          </w:p>
        </w:tc>
        <w:tc>
          <w:tcPr>
            <w:tcW w:w="822" w:type="pct"/>
            <w:vAlign w:val="center"/>
          </w:tcPr>
          <w:p w14:paraId="23A8B4DC">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数据采集仪</w:t>
            </w:r>
          </w:p>
        </w:tc>
        <w:tc>
          <w:tcPr>
            <w:tcW w:w="3427" w:type="pct"/>
            <w:vAlign w:val="center"/>
          </w:tcPr>
          <w:p w14:paraId="24719924">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CPU 架构 ARM9</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主频 400MHz</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内部存储 内存 128M DDR2 SDRAM</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存储器 512M NAND Flash</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显示单元 液晶屏 7″TFT 800×480WVGA带电阻触摸屏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色度 24bit，26 万色</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外部存储 TF卡 最高支持32G TF卡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USB 2 个USB2.0接口</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通讯接口 串口通讯 5 个RS-232，1个RS-485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模拟量 8 路4~20mA/0~5V，16 位分辨率</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开关量输入 8 路开关量输入(0~30VDC)</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开关量输出 4 路继电器输出(5A 250VAC; 5A 30VDC)</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通讯方式 有线 10/100M以太网接口</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 xml:space="preserve"> 无线 扩展DTU</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电池 内置7.4V 3000mAh聚合物锂电池</w:t>
            </w:r>
          </w:p>
        </w:tc>
      </w:tr>
      <w:tr w14:paraId="1D2A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36F008FA">
            <w:pPr>
              <w:pStyle w:val="173"/>
              <w:widowControl/>
              <w:numPr>
                <w:ilvl w:val="0"/>
                <w:numId w:val="0"/>
              </w:numPr>
              <w:spacing w:before="0" w:line="240" w:lineRule="auto"/>
              <w:ind w:leftChars="0"/>
              <w:jc w:val="both"/>
              <w:rPr>
                <w:rFonts w:hint="eastAsia" w:ascii="宋体" w:hAnsi="宋体"/>
                <w:color w:val="000000"/>
                <w:kern w:val="0"/>
                <w:szCs w:val="21"/>
              </w:rPr>
            </w:pPr>
          </w:p>
        </w:tc>
        <w:tc>
          <w:tcPr>
            <w:tcW w:w="489" w:type="pct"/>
            <w:vMerge w:val="continue"/>
            <w:vAlign w:val="center"/>
          </w:tcPr>
          <w:p w14:paraId="50358635">
            <w:pPr>
              <w:widowControl/>
              <w:jc w:val="center"/>
              <w:rPr>
                <w:rFonts w:hint="eastAsia" w:ascii="宋体" w:hAnsi="宋体" w:cs="宋体"/>
                <w:color w:val="000000"/>
                <w:kern w:val="0"/>
                <w:szCs w:val="21"/>
              </w:rPr>
            </w:pPr>
          </w:p>
        </w:tc>
        <w:tc>
          <w:tcPr>
            <w:tcW w:w="822" w:type="pct"/>
            <w:vAlign w:val="center"/>
          </w:tcPr>
          <w:p w14:paraId="185F491A">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采水系统</w:t>
            </w:r>
          </w:p>
        </w:tc>
        <w:tc>
          <w:tcPr>
            <w:tcW w:w="3427" w:type="pct"/>
            <w:vAlign w:val="center"/>
          </w:tcPr>
          <w:p w14:paraId="09E4236B">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1、采水系统采水泵：370W,扬程20m，流量1.5m³/h、采水管路：DN25,PVCC材质；保温棉：橡塑保温棉，厚度15mm；</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（1） 采样装置的取水口应能够随水位变化适时调整位置，同时与水体底部保持足够的距离，防止底质淤泥对采样水质的影响。做到既能保证采集到具有代表性的水样，又能保证采样单元能连续正常运行。</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 采水管道应具备防冻与保温功能。采水管道配置防冻保温装置，以减少环境温度等因素对水样造成影响。</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 采水管和套管路须埋入地面冻土层以下，开挖宽度0.7米，埋深深度1米。</w:t>
            </w:r>
          </w:p>
        </w:tc>
      </w:tr>
      <w:tr w14:paraId="20CB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2996C02F">
            <w:pPr>
              <w:pStyle w:val="173"/>
              <w:widowControl/>
              <w:numPr>
                <w:ilvl w:val="0"/>
                <w:numId w:val="0"/>
              </w:numPr>
              <w:spacing w:before="0" w:line="240" w:lineRule="auto"/>
              <w:ind w:leftChars="0"/>
              <w:jc w:val="both"/>
              <w:rPr>
                <w:rFonts w:hint="eastAsia" w:ascii="宋体" w:hAnsi="宋体"/>
                <w:color w:val="000000"/>
                <w:kern w:val="0"/>
                <w:szCs w:val="21"/>
              </w:rPr>
            </w:pPr>
          </w:p>
        </w:tc>
        <w:tc>
          <w:tcPr>
            <w:tcW w:w="489" w:type="pct"/>
            <w:vMerge w:val="continue"/>
            <w:vAlign w:val="center"/>
          </w:tcPr>
          <w:p w14:paraId="1A5780D8">
            <w:pPr>
              <w:widowControl/>
              <w:jc w:val="center"/>
              <w:rPr>
                <w:rFonts w:hint="eastAsia" w:ascii="宋体" w:hAnsi="宋体" w:cs="宋体"/>
                <w:color w:val="000000"/>
                <w:kern w:val="0"/>
                <w:szCs w:val="21"/>
              </w:rPr>
            </w:pPr>
          </w:p>
        </w:tc>
        <w:tc>
          <w:tcPr>
            <w:tcW w:w="822" w:type="pct"/>
            <w:vAlign w:val="center"/>
          </w:tcPr>
          <w:p w14:paraId="0418534A">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VPN通信单元</w:t>
            </w:r>
          </w:p>
        </w:tc>
        <w:tc>
          <w:tcPr>
            <w:tcW w:w="3427" w:type="pct"/>
            <w:vAlign w:val="center"/>
          </w:tcPr>
          <w:p w14:paraId="58D592C1">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1、PN加密性能：80Mbps</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2、防火墙吞吐性能：300Mbps</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3、IPSec隧道数：30</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4、用户数（建议）：100</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5、产品形态：桌面型</w:t>
            </w:r>
          </w:p>
        </w:tc>
      </w:tr>
      <w:tr w14:paraId="2ED0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3EFE97A4">
            <w:pPr>
              <w:pStyle w:val="173"/>
              <w:widowControl/>
              <w:numPr>
                <w:ilvl w:val="0"/>
                <w:numId w:val="0"/>
              </w:numPr>
              <w:spacing w:before="0" w:line="240" w:lineRule="auto"/>
              <w:ind w:leftChars="0"/>
              <w:jc w:val="both"/>
              <w:rPr>
                <w:rFonts w:hint="eastAsia" w:ascii="宋体" w:hAnsi="宋体"/>
                <w:color w:val="000000"/>
                <w:kern w:val="0"/>
                <w:szCs w:val="21"/>
              </w:rPr>
            </w:pPr>
          </w:p>
        </w:tc>
        <w:tc>
          <w:tcPr>
            <w:tcW w:w="489" w:type="pct"/>
            <w:vMerge w:val="continue"/>
            <w:vAlign w:val="center"/>
          </w:tcPr>
          <w:p w14:paraId="235B7C29">
            <w:pPr>
              <w:widowControl/>
              <w:jc w:val="center"/>
              <w:rPr>
                <w:rFonts w:hint="eastAsia" w:ascii="宋体" w:hAnsi="宋体" w:cs="宋体"/>
                <w:color w:val="000000"/>
                <w:kern w:val="0"/>
                <w:szCs w:val="21"/>
              </w:rPr>
            </w:pPr>
          </w:p>
        </w:tc>
        <w:tc>
          <w:tcPr>
            <w:tcW w:w="822" w:type="pct"/>
            <w:vAlign w:val="center"/>
          </w:tcPr>
          <w:p w14:paraId="20D75EBD">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UPS稳压电源</w:t>
            </w:r>
          </w:p>
        </w:tc>
        <w:tc>
          <w:tcPr>
            <w:tcW w:w="3427" w:type="pct"/>
            <w:vAlign w:val="center"/>
          </w:tcPr>
          <w:p w14:paraId="7E10D341">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1、（总功率≥3kw，断电后至少能保证仪器完成一个测量周期和数据上传，且待机不少于1h）、稳压电源（功率≥5kw）</w:t>
            </w:r>
          </w:p>
        </w:tc>
      </w:tr>
      <w:tr w14:paraId="758B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16800DE3">
            <w:pPr>
              <w:pStyle w:val="173"/>
              <w:widowControl/>
              <w:numPr>
                <w:ilvl w:val="0"/>
                <w:numId w:val="0"/>
              </w:numPr>
              <w:spacing w:before="0" w:line="240" w:lineRule="auto"/>
              <w:ind w:leftChars="0"/>
              <w:jc w:val="both"/>
              <w:rPr>
                <w:rFonts w:hint="eastAsia" w:ascii="宋体" w:hAnsi="宋体"/>
                <w:color w:val="000000"/>
                <w:kern w:val="0"/>
                <w:szCs w:val="21"/>
              </w:rPr>
            </w:pPr>
          </w:p>
        </w:tc>
        <w:tc>
          <w:tcPr>
            <w:tcW w:w="489" w:type="pct"/>
            <w:vMerge w:val="continue"/>
            <w:vAlign w:val="center"/>
          </w:tcPr>
          <w:p w14:paraId="75DEACB4">
            <w:pPr>
              <w:widowControl/>
              <w:jc w:val="center"/>
              <w:rPr>
                <w:rFonts w:hint="eastAsia" w:ascii="宋体" w:hAnsi="宋体" w:cs="宋体"/>
                <w:color w:val="000000"/>
                <w:kern w:val="0"/>
                <w:szCs w:val="21"/>
              </w:rPr>
            </w:pPr>
          </w:p>
        </w:tc>
        <w:tc>
          <w:tcPr>
            <w:tcW w:w="822" w:type="pct"/>
            <w:vAlign w:val="center"/>
          </w:tcPr>
          <w:p w14:paraId="1F31BF9D">
            <w:pPr>
              <w:widowControl/>
              <w:jc w:val="left"/>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灭火器</w:t>
            </w:r>
          </w:p>
        </w:tc>
        <w:tc>
          <w:tcPr>
            <w:tcW w:w="3427" w:type="pct"/>
            <w:vAlign w:val="center"/>
          </w:tcPr>
          <w:p w14:paraId="67B8600E">
            <w:pPr>
              <w:widowControl/>
              <w:jc w:val="left"/>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手提式灭火器/8kg</w:t>
            </w:r>
          </w:p>
        </w:tc>
      </w:tr>
      <w:tr w14:paraId="0310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09FA2B5C">
            <w:pPr>
              <w:pStyle w:val="173"/>
              <w:widowControl/>
              <w:numPr>
                <w:ilvl w:val="0"/>
                <w:numId w:val="0"/>
              </w:numPr>
              <w:spacing w:before="0" w:line="240" w:lineRule="auto"/>
              <w:ind w:leftChars="0"/>
              <w:jc w:val="both"/>
              <w:rPr>
                <w:rFonts w:hint="eastAsia" w:ascii="宋体" w:hAnsi="宋体"/>
                <w:color w:val="000000"/>
                <w:kern w:val="0"/>
                <w:szCs w:val="21"/>
              </w:rPr>
            </w:pPr>
          </w:p>
        </w:tc>
        <w:tc>
          <w:tcPr>
            <w:tcW w:w="489" w:type="pct"/>
            <w:vMerge w:val="continue"/>
            <w:vAlign w:val="center"/>
          </w:tcPr>
          <w:p w14:paraId="08050864">
            <w:pPr>
              <w:widowControl/>
              <w:jc w:val="center"/>
              <w:rPr>
                <w:rFonts w:hint="eastAsia" w:ascii="宋体" w:hAnsi="宋体" w:cs="宋体"/>
                <w:color w:val="000000"/>
                <w:kern w:val="0"/>
                <w:szCs w:val="21"/>
              </w:rPr>
            </w:pPr>
          </w:p>
        </w:tc>
        <w:tc>
          <w:tcPr>
            <w:tcW w:w="822" w:type="pct"/>
            <w:vAlign w:val="center"/>
          </w:tcPr>
          <w:p w14:paraId="1DC33EAB">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网络传输服务</w:t>
            </w:r>
          </w:p>
        </w:tc>
        <w:tc>
          <w:tcPr>
            <w:tcW w:w="3427" w:type="pct"/>
            <w:vAlign w:val="center"/>
          </w:tcPr>
          <w:p w14:paraId="5ABB0633">
            <w:pPr>
              <w:widowControl/>
              <w:jc w:val="left"/>
              <w:rPr>
                <w:rFonts w:hint="default" w:ascii="宋体" w:hAnsi="宋体" w:eastAsia="宋体" w:cs="Times New Roman"/>
                <w:lang w:val="en-US" w:eastAsia="zh-CN"/>
              </w:rPr>
            </w:pPr>
            <w:r>
              <w:rPr>
                <w:rFonts w:hint="eastAsia" w:ascii="宋体" w:hAnsi="宋体" w:eastAsia="宋体" w:cs="Times New Roman"/>
                <w:lang w:val="en-US" w:eastAsia="zh-CN"/>
              </w:rPr>
              <w:t>采用虚拟专用网络（VPN）数据传输方式；要求站点网络采用光纤专线，带宽不低于300Mb。通过VPN设备进行组网搭建，以满足联网要求。</w:t>
            </w:r>
          </w:p>
        </w:tc>
      </w:tr>
      <w:tr w14:paraId="0B6D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6A4DCE6B">
            <w:pPr>
              <w:pStyle w:val="173"/>
              <w:widowControl/>
              <w:numPr>
                <w:ilvl w:val="0"/>
                <w:numId w:val="0"/>
              </w:numPr>
              <w:spacing w:before="0" w:line="240" w:lineRule="auto"/>
              <w:ind w:leftChars="0"/>
              <w:jc w:val="both"/>
              <w:rPr>
                <w:rFonts w:hint="eastAsia" w:ascii="宋体" w:hAnsi="宋体"/>
                <w:color w:val="000000"/>
                <w:kern w:val="0"/>
                <w:szCs w:val="21"/>
              </w:rPr>
            </w:pPr>
          </w:p>
        </w:tc>
        <w:tc>
          <w:tcPr>
            <w:tcW w:w="489" w:type="pct"/>
            <w:vMerge w:val="continue"/>
            <w:vAlign w:val="center"/>
          </w:tcPr>
          <w:p w14:paraId="65C4F37A">
            <w:pPr>
              <w:widowControl/>
              <w:jc w:val="center"/>
              <w:rPr>
                <w:rFonts w:hint="eastAsia" w:ascii="宋体" w:hAnsi="宋体" w:cs="宋体"/>
                <w:color w:val="000000"/>
                <w:kern w:val="0"/>
                <w:szCs w:val="21"/>
              </w:rPr>
            </w:pPr>
          </w:p>
        </w:tc>
        <w:tc>
          <w:tcPr>
            <w:tcW w:w="822" w:type="pct"/>
            <w:vAlign w:val="center"/>
          </w:tcPr>
          <w:p w14:paraId="272EF445">
            <w:pPr>
              <w:widowControl/>
              <w:jc w:val="left"/>
              <w:rPr>
                <w:rFonts w:hint="eastAsia" w:ascii="宋体" w:hAnsi="宋体" w:eastAsia="宋体" w:cs="Times New Roman"/>
                <w:lang w:val="en-US" w:eastAsia="zh-CN"/>
              </w:rPr>
            </w:pPr>
            <w:r>
              <w:rPr>
                <w:rFonts w:hint="eastAsia"/>
              </w:rPr>
              <w:t>站房机柜及空调</w:t>
            </w:r>
          </w:p>
        </w:tc>
        <w:tc>
          <w:tcPr>
            <w:tcW w:w="3427" w:type="pct"/>
            <w:vAlign w:val="center"/>
          </w:tcPr>
          <w:p w14:paraId="28DB268F">
            <w:pPr>
              <w:pStyle w:val="2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采用一体化集成机柜设计，采用一体化集成机柜设计，占地面积不大于2平方米；</w:t>
            </w:r>
          </w:p>
          <w:p w14:paraId="2C14D92D">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color w:val="auto"/>
                <w:kern w:val="2"/>
                <w:sz w:val="21"/>
                <w:szCs w:val="24"/>
                <w:lang w:val="en-US" w:eastAsia="zh-CN" w:bidi="ar-SA"/>
              </w:rPr>
            </w:pPr>
            <w:r>
              <w:rPr>
                <w:rFonts w:hint="eastAsia"/>
              </w:rPr>
              <w:t>▲</w:t>
            </w:r>
            <w:r>
              <w:rPr>
                <w:rFonts w:hint="eastAsia" w:ascii="宋体" w:hAnsi="宋体" w:eastAsia="宋体" w:cs="Times New Roman"/>
                <w:kern w:val="2"/>
                <w:sz w:val="21"/>
                <w:szCs w:val="24"/>
                <w:lang w:val="en-US" w:eastAsia="zh-CN" w:bidi="ar-SA"/>
              </w:rPr>
              <w:t>（1）一体化站房机柜内至少配备2台</w:t>
            </w:r>
            <w:r>
              <w:rPr>
                <w:rFonts w:hint="eastAsia" w:ascii="宋体" w:hAnsi="宋体" w:eastAsia="宋体" w:cs="Times New Roman"/>
                <w:color w:val="auto"/>
                <w:kern w:val="2"/>
                <w:sz w:val="21"/>
                <w:szCs w:val="24"/>
                <w:lang w:val="en-US" w:eastAsia="zh-CN" w:bidi="ar-SA"/>
              </w:rPr>
              <w:t>工业空调</w:t>
            </w:r>
            <w:r>
              <w:rPr>
                <w:rFonts w:hint="eastAsia"/>
                <w:color w:val="auto"/>
              </w:rPr>
              <w:t>（提供省级及以上计量部门检测报告原件扫描件）</w:t>
            </w:r>
            <w:r>
              <w:rPr>
                <w:rFonts w:hint="eastAsia" w:ascii="宋体" w:hAnsi="宋体" w:eastAsia="宋体" w:cs="Times New Roman"/>
                <w:color w:val="auto"/>
                <w:kern w:val="2"/>
                <w:sz w:val="21"/>
                <w:szCs w:val="24"/>
                <w:lang w:val="en-US" w:eastAsia="zh-CN" w:bidi="ar-SA"/>
              </w:rPr>
              <w:t>；</w:t>
            </w:r>
          </w:p>
          <w:p w14:paraId="497EB869">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color w:val="auto"/>
                <w:kern w:val="2"/>
                <w:sz w:val="21"/>
                <w:szCs w:val="24"/>
                <w:lang w:val="en-US" w:eastAsia="zh-CN" w:bidi="ar-SA"/>
              </w:rPr>
            </w:pPr>
            <w:r>
              <w:rPr>
                <w:rFonts w:hint="eastAsia"/>
                <w:color w:val="auto"/>
              </w:rPr>
              <w:t>▲</w:t>
            </w:r>
            <w:r>
              <w:rPr>
                <w:rFonts w:hint="eastAsia" w:ascii="宋体" w:hAnsi="宋体" w:eastAsia="宋体" w:cs="Times New Roman"/>
                <w:color w:val="auto"/>
                <w:kern w:val="2"/>
                <w:sz w:val="21"/>
                <w:szCs w:val="24"/>
                <w:lang w:val="en-US" w:eastAsia="zh-CN" w:bidi="ar-SA"/>
              </w:rPr>
              <w:t>（2）户外小型机柜内预留人员维护的空间，人员可以在站房内进行全封闭作业，不受外界环境的影响</w:t>
            </w:r>
            <w:r>
              <w:rPr>
                <w:rFonts w:hint="eastAsia"/>
                <w:color w:val="auto"/>
              </w:rPr>
              <w:t>（提供省级及以上计量部门检测报告原件扫描件）</w:t>
            </w:r>
            <w:r>
              <w:rPr>
                <w:rFonts w:hint="eastAsia" w:ascii="宋体" w:hAnsi="宋体" w:eastAsia="宋体" w:cs="Times New Roman"/>
                <w:color w:val="auto"/>
                <w:kern w:val="2"/>
                <w:sz w:val="21"/>
                <w:szCs w:val="24"/>
                <w:lang w:val="en-US" w:eastAsia="zh-CN" w:bidi="ar-SA"/>
              </w:rPr>
              <w:t>；</w:t>
            </w:r>
          </w:p>
          <w:p w14:paraId="3BFEB369">
            <w:pPr>
              <w:pStyle w:val="2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Times New Roman"/>
                <w:kern w:val="2"/>
                <w:sz w:val="21"/>
                <w:szCs w:val="24"/>
                <w:lang w:val="en-US" w:eastAsia="zh-CN" w:bidi="ar-SA"/>
              </w:rPr>
            </w:pPr>
            <w:r>
              <w:rPr>
                <w:rFonts w:hint="eastAsia"/>
                <w:color w:val="auto"/>
              </w:rPr>
              <w:t>▲</w:t>
            </w:r>
            <w:r>
              <w:rPr>
                <w:rFonts w:hint="eastAsia" w:ascii="宋体" w:hAnsi="宋体" w:eastAsia="宋体" w:cs="Times New Roman"/>
                <w:color w:val="auto"/>
                <w:kern w:val="2"/>
                <w:sz w:val="21"/>
                <w:szCs w:val="24"/>
                <w:lang w:val="en-US" w:eastAsia="zh-CN" w:bidi="ar-SA"/>
              </w:rPr>
              <w:t>（3）户外小型水站机柜采用三层保护喷粉、喷漆工艺，</w:t>
            </w:r>
            <w:r>
              <w:rPr>
                <w:rFonts w:hint="eastAsia" w:ascii="宋体" w:hAnsi="宋体" w:eastAsia="宋体" w:cs="Times New Roman"/>
                <w:kern w:val="2"/>
                <w:sz w:val="21"/>
                <w:szCs w:val="24"/>
                <w:lang w:val="en-US" w:eastAsia="zh-CN" w:bidi="ar-SA"/>
              </w:rPr>
              <w:t>可选配阳极牺牲保护模块，提高机柜耐腐蚀能力；</w:t>
            </w:r>
          </w:p>
          <w:p w14:paraId="6378B3CB">
            <w:pPr>
              <w:pStyle w:val="2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Times New Roman"/>
                <w:kern w:val="2"/>
                <w:sz w:val="21"/>
                <w:szCs w:val="24"/>
                <w:lang w:val="en-US" w:eastAsia="zh-CN" w:bidi="ar-SA"/>
              </w:rPr>
            </w:pPr>
            <w:r>
              <w:rPr>
                <w:rFonts w:hint="eastAsia"/>
              </w:rPr>
              <w:t>（4）系统机柜内各部件使用模块化设计理念，分区清晰，实现无死角维护，可在现场进行所有模块的独立维护、维修、更换，不影响其他功能运行。</w:t>
            </w:r>
            <w:r>
              <w:rPr>
                <w:rFonts w:hint="eastAsia"/>
                <w:lang w:val="en-US" w:eastAsia="zh-CN"/>
              </w:rPr>
              <w:t xml:space="preserve"> </w:t>
            </w:r>
          </w:p>
          <w:p w14:paraId="35CBDD35">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p>
          <w:p w14:paraId="418FE8B1">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rPr>
              <w:t>材质 冷轧钢板</w:t>
            </w:r>
          </w:p>
          <w:p w14:paraId="3E355BDF">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rPr>
              <w:t>表面处理 静电喷涂</w:t>
            </w:r>
          </w:p>
          <w:p w14:paraId="1FDBF2E0">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rPr>
              <w:t>防护等级 IP</w:t>
            </w:r>
            <w:r>
              <w:rPr>
                <w:rFonts w:hint="eastAsia"/>
                <w:lang w:val="en-US" w:eastAsia="zh-CN"/>
              </w:rPr>
              <w:t>6</w:t>
            </w:r>
            <w:r>
              <w:rPr>
                <w:rFonts w:hint="eastAsia"/>
              </w:rPr>
              <w:t>5</w:t>
            </w:r>
          </w:p>
          <w:p w14:paraId="45C5A259">
            <w:pPr>
              <w:pStyle w:val="25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rPr>
              <w:t>碰撞等级 IK10</w:t>
            </w:r>
          </w:p>
          <w:p w14:paraId="56A944C9">
            <w:pPr>
              <w:widowControl/>
              <w:jc w:val="left"/>
              <w:rPr>
                <w:rFonts w:hint="eastAsia" w:ascii="宋体" w:hAnsi="宋体" w:eastAsia="宋体" w:cs="Times New Roman"/>
                <w:lang w:val="en-US" w:eastAsia="zh-CN"/>
              </w:rPr>
            </w:pPr>
            <w:r>
              <w:rPr>
                <w:rFonts w:hint="eastAsia"/>
              </w:rPr>
              <w:t>空调 2台工业空调</w:t>
            </w:r>
          </w:p>
        </w:tc>
      </w:tr>
      <w:tr w14:paraId="6EEC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restart"/>
            <w:vAlign w:val="center"/>
          </w:tcPr>
          <w:p w14:paraId="6128E3E6">
            <w:pPr>
              <w:pStyle w:val="173"/>
              <w:widowControl/>
              <w:numPr>
                <w:ilvl w:val="0"/>
                <w:numId w:val="1"/>
              </w:numPr>
              <w:spacing w:before="0" w:line="240" w:lineRule="auto"/>
              <w:ind w:left="0" w:firstLine="0" w:firstLineChars="0"/>
              <w:jc w:val="center"/>
              <w:rPr>
                <w:rFonts w:hint="eastAsia" w:ascii="宋体" w:hAnsi="宋体"/>
                <w:color w:val="000000"/>
                <w:kern w:val="0"/>
                <w:szCs w:val="21"/>
              </w:rPr>
            </w:pPr>
          </w:p>
        </w:tc>
        <w:tc>
          <w:tcPr>
            <w:tcW w:w="489" w:type="pct"/>
            <w:vMerge w:val="restart"/>
            <w:vAlign w:val="center"/>
          </w:tcPr>
          <w:p w14:paraId="74B2A9B7">
            <w:pPr>
              <w:widowControl/>
              <w:jc w:val="center"/>
              <w:rPr>
                <w:rFonts w:hint="eastAsia" w:ascii="宋体" w:hAnsi="宋体" w:cs="宋体"/>
                <w:color w:val="000000"/>
                <w:kern w:val="0"/>
                <w:szCs w:val="21"/>
              </w:rPr>
            </w:pPr>
            <w:r>
              <w:rPr>
                <w:rFonts w:hint="eastAsia" w:ascii="宋体" w:hAnsi="宋体" w:cs="宋体"/>
                <w:color w:val="000000"/>
                <w:kern w:val="0"/>
                <w:szCs w:val="21"/>
              </w:rPr>
              <w:t>智能视频监控设备</w:t>
            </w:r>
          </w:p>
        </w:tc>
        <w:tc>
          <w:tcPr>
            <w:tcW w:w="822" w:type="pct"/>
            <w:vAlign w:val="center"/>
          </w:tcPr>
          <w:p w14:paraId="71B41E71">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智能高清球机视频监控</w:t>
            </w:r>
          </w:p>
        </w:tc>
        <w:tc>
          <w:tcPr>
            <w:tcW w:w="3427" w:type="pct"/>
            <w:vAlign w:val="center"/>
          </w:tcPr>
          <w:p w14:paraId="50B8EB69">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1、选用高清球机，传感器类型：1/2.8英寸CMOS；</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2、像素：400万；最大分辨率：2560×1440；最低照度：彩色：0.005lux@F1.6 黑白：0.0005lux@F1.60Lux(红外灯开启)；最大补光距离：30m（白光）；150m（红外）；补光类型：红外+白光；定位功能：支持GPS;支持北斗；可视域功能：支持；防抖功能：电子防抖；透雾功能：电子透雾；</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3、网络接口：1个（内置RJ-45网口，支持10M/100M网络数据）；4、供电方式：DC12V/3A（-10%~+25%）（标配）；</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5、防护等级：IP66;TVS 6000V防雷、防浪涌和防突波保护；</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6、接口类型：RJ45接口;RS485接口;供电。</w:t>
            </w:r>
          </w:p>
        </w:tc>
      </w:tr>
      <w:tr w14:paraId="3BDF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6A1DEF92">
            <w:pPr>
              <w:widowControl/>
              <w:jc w:val="center"/>
            </w:pPr>
          </w:p>
        </w:tc>
        <w:tc>
          <w:tcPr>
            <w:tcW w:w="489" w:type="pct"/>
            <w:vMerge w:val="continue"/>
            <w:vAlign w:val="center"/>
          </w:tcPr>
          <w:p w14:paraId="5F448670">
            <w:pPr>
              <w:widowControl/>
              <w:jc w:val="center"/>
            </w:pPr>
          </w:p>
        </w:tc>
        <w:tc>
          <w:tcPr>
            <w:tcW w:w="822" w:type="pct"/>
            <w:vAlign w:val="center"/>
          </w:tcPr>
          <w:p w14:paraId="10D60C7E">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前端NVR（含4T硬盘）</w:t>
            </w:r>
          </w:p>
        </w:tc>
        <w:tc>
          <w:tcPr>
            <w:tcW w:w="3427" w:type="pct"/>
            <w:vAlign w:val="center"/>
          </w:tcPr>
          <w:p w14:paraId="5BEF1A9C">
            <w:pPr>
              <w:widowControl/>
              <w:numPr>
                <w:ilvl w:val="0"/>
                <w:numId w:val="2"/>
              </w:numPr>
              <w:jc w:val="left"/>
              <w:rPr>
                <w:rFonts w:hint="eastAsia" w:ascii="宋体" w:hAnsi="宋体" w:eastAsia="宋体" w:cs="Times New Roman"/>
                <w:lang w:val="en-US" w:eastAsia="zh-CN"/>
              </w:rPr>
            </w:pPr>
            <w:r>
              <w:rPr>
                <w:rFonts w:hint="eastAsia" w:ascii="宋体" w:hAnsi="宋体" w:eastAsia="宋体" w:cs="Times New Roman"/>
                <w:lang w:val="en-US" w:eastAsia="zh-CN"/>
              </w:rPr>
              <w:t>配置4路网络硬盘录像机，保存摄像机录像视频。</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2、配置4TB监控级硬盘主处理器：工业级微控制器；</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3、操作系统：嵌入式Linux操作系统；</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4、硬盘接口：1</w:t>
            </w:r>
          </w:p>
          <w:p w14:paraId="6D3ADAE2">
            <w:pPr>
              <w:widowControl/>
              <w:numPr>
                <w:ilvl w:val="0"/>
                <w:numId w:val="2"/>
              </w:numPr>
              <w:jc w:val="left"/>
              <w:rPr>
                <w:rFonts w:hint="eastAsia" w:ascii="宋体" w:hAnsi="宋体" w:eastAsia="宋体" w:cs="Times New Roman"/>
                <w:lang w:val="en-US" w:eastAsia="zh-CN"/>
              </w:rPr>
            </w:pPr>
            <w:r>
              <w:rPr>
                <w:rFonts w:hint="eastAsia" w:ascii="宋体" w:hAnsi="宋体" w:eastAsia="宋体" w:cs="Times New Roman"/>
                <w:lang w:val="en-US" w:eastAsia="zh-CN"/>
              </w:rPr>
              <w:t>个SATA，不低于8T；</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5、网络接口：1个（10M/100M以太网口，RJ-45）。</w:t>
            </w:r>
          </w:p>
        </w:tc>
      </w:tr>
      <w:tr w14:paraId="6323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13822045">
            <w:pPr>
              <w:widowControl/>
              <w:jc w:val="center"/>
              <w:rPr>
                <w:rFonts w:hint="eastAsia" w:ascii="宋体" w:hAnsi="宋体" w:cs="宋体"/>
                <w:color w:val="000000"/>
                <w:kern w:val="0"/>
                <w:szCs w:val="21"/>
              </w:rPr>
            </w:pPr>
          </w:p>
        </w:tc>
        <w:tc>
          <w:tcPr>
            <w:tcW w:w="489" w:type="pct"/>
            <w:vMerge w:val="continue"/>
            <w:vAlign w:val="center"/>
          </w:tcPr>
          <w:p w14:paraId="487857C5">
            <w:pPr>
              <w:widowControl/>
              <w:jc w:val="center"/>
              <w:rPr>
                <w:rFonts w:hint="eastAsia" w:ascii="宋体" w:hAnsi="宋体" w:cs="宋体"/>
                <w:color w:val="000000"/>
                <w:kern w:val="0"/>
                <w:szCs w:val="21"/>
              </w:rPr>
            </w:pPr>
          </w:p>
        </w:tc>
        <w:tc>
          <w:tcPr>
            <w:tcW w:w="822" w:type="pct"/>
            <w:vAlign w:val="center"/>
          </w:tcPr>
          <w:p w14:paraId="1F5CD1EA">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电源</w:t>
            </w:r>
          </w:p>
        </w:tc>
        <w:tc>
          <w:tcPr>
            <w:tcW w:w="3427" w:type="pct"/>
            <w:vAlign w:val="center"/>
          </w:tcPr>
          <w:p w14:paraId="3BF41F62">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1、要求提供电源至少满足12V2A</w:t>
            </w:r>
          </w:p>
        </w:tc>
      </w:tr>
      <w:tr w14:paraId="452E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50FA01B0">
            <w:pPr>
              <w:widowControl/>
              <w:jc w:val="center"/>
              <w:rPr>
                <w:rFonts w:hint="eastAsia" w:ascii="宋体" w:hAnsi="宋体" w:cs="宋体"/>
                <w:color w:val="000000"/>
                <w:kern w:val="0"/>
                <w:szCs w:val="21"/>
              </w:rPr>
            </w:pPr>
          </w:p>
        </w:tc>
        <w:tc>
          <w:tcPr>
            <w:tcW w:w="489" w:type="pct"/>
            <w:vMerge w:val="continue"/>
            <w:vAlign w:val="center"/>
          </w:tcPr>
          <w:p w14:paraId="70348E88">
            <w:pPr>
              <w:widowControl/>
              <w:jc w:val="center"/>
              <w:rPr>
                <w:rFonts w:hint="eastAsia" w:ascii="宋体" w:hAnsi="宋体" w:cs="宋体"/>
                <w:color w:val="000000"/>
                <w:kern w:val="0"/>
                <w:szCs w:val="21"/>
              </w:rPr>
            </w:pPr>
          </w:p>
        </w:tc>
        <w:tc>
          <w:tcPr>
            <w:tcW w:w="822" w:type="pct"/>
            <w:vAlign w:val="center"/>
          </w:tcPr>
          <w:p w14:paraId="36BD9B2D">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立杆</w:t>
            </w:r>
          </w:p>
        </w:tc>
        <w:tc>
          <w:tcPr>
            <w:tcW w:w="3427" w:type="pct"/>
            <w:vAlign w:val="center"/>
          </w:tcPr>
          <w:p w14:paraId="41A03EB9">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1、要求立杆高 4 米；</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2、材质：38×4mm无缝钢管；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3、防腐：立柱做防腐处理；</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4、辅助设备螺丝、螺栓等。</w:t>
            </w:r>
          </w:p>
        </w:tc>
      </w:tr>
      <w:tr w14:paraId="0905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5C287112">
            <w:pPr>
              <w:widowControl/>
              <w:jc w:val="center"/>
              <w:rPr>
                <w:rFonts w:hint="eastAsia" w:ascii="宋体" w:hAnsi="宋体" w:cs="宋体"/>
                <w:color w:val="000000"/>
                <w:kern w:val="0"/>
                <w:szCs w:val="21"/>
              </w:rPr>
            </w:pPr>
          </w:p>
        </w:tc>
        <w:tc>
          <w:tcPr>
            <w:tcW w:w="489" w:type="pct"/>
            <w:vMerge w:val="continue"/>
            <w:vAlign w:val="center"/>
          </w:tcPr>
          <w:p w14:paraId="031EF690">
            <w:pPr>
              <w:widowControl/>
              <w:jc w:val="center"/>
              <w:rPr>
                <w:rFonts w:hint="eastAsia" w:ascii="宋体" w:hAnsi="宋体" w:cs="宋体"/>
                <w:color w:val="000000"/>
                <w:kern w:val="0"/>
                <w:szCs w:val="21"/>
              </w:rPr>
            </w:pPr>
          </w:p>
        </w:tc>
        <w:tc>
          <w:tcPr>
            <w:tcW w:w="822" w:type="pct"/>
            <w:vAlign w:val="center"/>
          </w:tcPr>
          <w:p w14:paraId="27A5D3CD">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防水箱</w:t>
            </w:r>
          </w:p>
        </w:tc>
        <w:tc>
          <w:tcPr>
            <w:tcW w:w="3427" w:type="pct"/>
            <w:vAlign w:val="center"/>
          </w:tcPr>
          <w:p w14:paraId="58E07A98">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1、要求防水箱400MM*200MM*500MM。</w:t>
            </w:r>
          </w:p>
        </w:tc>
      </w:tr>
      <w:tr w14:paraId="1255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31276E8D">
            <w:pPr>
              <w:widowControl/>
              <w:jc w:val="center"/>
              <w:rPr>
                <w:rFonts w:hint="eastAsia" w:ascii="宋体" w:hAnsi="宋体" w:cs="宋体"/>
                <w:color w:val="000000"/>
                <w:kern w:val="0"/>
                <w:szCs w:val="21"/>
              </w:rPr>
            </w:pPr>
          </w:p>
        </w:tc>
        <w:tc>
          <w:tcPr>
            <w:tcW w:w="489" w:type="pct"/>
            <w:vMerge w:val="continue"/>
            <w:vAlign w:val="center"/>
          </w:tcPr>
          <w:p w14:paraId="5693406D">
            <w:pPr>
              <w:widowControl/>
              <w:jc w:val="center"/>
              <w:rPr>
                <w:rFonts w:hint="eastAsia" w:ascii="宋体" w:hAnsi="宋体" w:cs="宋体"/>
                <w:color w:val="000000"/>
                <w:kern w:val="0"/>
                <w:szCs w:val="21"/>
              </w:rPr>
            </w:pPr>
          </w:p>
        </w:tc>
        <w:tc>
          <w:tcPr>
            <w:tcW w:w="822" w:type="pct"/>
            <w:vAlign w:val="center"/>
          </w:tcPr>
          <w:p w14:paraId="74373FB9">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排插</w:t>
            </w:r>
          </w:p>
        </w:tc>
        <w:tc>
          <w:tcPr>
            <w:tcW w:w="3427" w:type="pct"/>
            <w:vAlign w:val="center"/>
          </w:tcPr>
          <w:p w14:paraId="108586F4">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1、要求排插参数满足：额定电压 250V～最大电流10A最大功率,不少于5位插孔。</w:t>
            </w:r>
          </w:p>
        </w:tc>
      </w:tr>
      <w:tr w14:paraId="09F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7D9D6F78">
            <w:pPr>
              <w:widowControl/>
              <w:jc w:val="center"/>
              <w:rPr>
                <w:rFonts w:hint="eastAsia" w:ascii="宋体" w:hAnsi="宋体" w:cs="宋体"/>
                <w:color w:val="000000"/>
                <w:kern w:val="0"/>
                <w:szCs w:val="21"/>
              </w:rPr>
            </w:pPr>
          </w:p>
        </w:tc>
        <w:tc>
          <w:tcPr>
            <w:tcW w:w="489" w:type="pct"/>
            <w:vMerge w:val="continue"/>
            <w:vAlign w:val="center"/>
          </w:tcPr>
          <w:p w14:paraId="5F2E2C95">
            <w:pPr>
              <w:widowControl/>
              <w:jc w:val="center"/>
              <w:rPr>
                <w:rFonts w:hint="eastAsia" w:ascii="宋体" w:hAnsi="宋体" w:cs="宋体"/>
                <w:color w:val="000000"/>
                <w:kern w:val="0"/>
                <w:szCs w:val="21"/>
              </w:rPr>
            </w:pPr>
          </w:p>
        </w:tc>
        <w:tc>
          <w:tcPr>
            <w:tcW w:w="822" w:type="pct"/>
            <w:vAlign w:val="center"/>
          </w:tcPr>
          <w:p w14:paraId="16683DF7">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ONU交换机</w:t>
            </w:r>
          </w:p>
        </w:tc>
        <w:tc>
          <w:tcPr>
            <w:tcW w:w="3427" w:type="pct"/>
            <w:vAlign w:val="center"/>
          </w:tcPr>
          <w:p w14:paraId="4A5990B1">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1、业务端口：不低于8个；</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2、供电方式：外置单电源5VDC/1A）；</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3、空载功耗：≤0.5W；</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4、满载功耗：≤3W；</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5、散热方式：无风扇，自然散热；</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6、作温度：-10℃～55℃。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7、储存温度：-40-85℃。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8、缓存器空间：1.25MB。</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9、PON接口类型;SC/PC</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10、接收灵敏度：-27dBm；</w:t>
            </w:r>
          </w:p>
        </w:tc>
      </w:tr>
      <w:tr w14:paraId="4106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1CD0FB4E">
            <w:pPr>
              <w:widowControl/>
              <w:jc w:val="center"/>
              <w:rPr>
                <w:rFonts w:hint="eastAsia" w:ascii="宋体" w:hAnsi="宋体" w:cs="宋体"/>
                <w:color w:val="000000"/>
                <w:kern w:val="0"/>
                <w:szCs w:val="21"/>
              </w:rPr>
            </w:pPr>
          </w:p>
        </w:tc>
        <w:tc>
          <w:tcPr>
            <w:tcW w:w="489" w:type="pct"/>
            <w:vMerge w:val="continue"/>
            <w:vAlign w:val="center"/>
          </w:tcPr>
          <w:p w14:paraId="7F6EA7DE">
            <w:pPr>
              <w:widowControl/>
              <w:jc w:val="center"/>
              <w:rPr>
                <w:rFonts w:hint="eastAsia" w:ascii="宋体" w:hAnsi="宋体" w:cs="宋体"/>
                <w:color w:val="000000"/>
                <w:kern w:val="0"/>
                <w:szCs w:val="21"/>
              </w:rPr>
            </w:pPr>
          </w:p>
        </w:tc>
        <w:tc>
          <w:tcPr>
            <w:tcW w:w="822" w:type="pct"/>
            <w:vAlign w:val="center"/>
          </w:tcPr>
          <w:p w14:paraId="1523AADC">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光纤终端盒</w:t>
            </w:r>
          </w:p>
        </w:tc>
        <w:tc>
          <w:tcPr>
            <w:tcW w:w="3427" w:type="pct"/>
            <w:vAlign w:val="center"/>
          </w:tcPr>
          <w:p w14:paraId="57754146">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1、光纤盒：SPCC冷轧板，静电喷塑。</w:t>
            </w:r>
          </w:p>
        </w:tc>
      </w:tr>
      <w:tr w14:paraId="10E0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6F059932">
            <w:pPr>
              <w:widowControl/>
              <w:jc w:val="center"/>
              <w:rPr>
                <w:rFonts w:hint="eastAsia" w:ascii="宋体" w:hAnsi="宋体" w:cs="宋体"/>
                <w:color w:val="000000"/>
                <w:kern w:val="0"/>
                <w:szCs w:val="21"/>
              </w:rPr>
            </w:pPr>
          </w:p>
        </w:tc>
        <w:tc>
          <w:tcPr>
            <w:tcW w:w="489" w:type="pct"/>
            <w:vMerge w:val="continue"/>
            <w:vAlign w:val="center"/>
          </w:tcPr>
          <w:p w14:paraId="1191CE82">
            <w:pPr>
              <w:widowControl/>
              <w:jc w:val="center"/>
              <w:rPr>
                <w:rFonts w:hint="eastAsia" w:ascii="宋体" w:hAnsi="宋体" w:cs="宋体"/>
                <w:color w:val="000000"/>
                <w:kern w:val="0"/>
                <w:szCs w:val="21"/>
              </w:rPr>
            </w:pPr>
          </w:p>
        </w:tc>
        <w:tc>
          <w:tcPr>
            <w:tcW w:w="822" w:type="pct"/>
            <w:vAlign w:val="center"/>
          </w:tcPr>
          <w:p w14:paraId="51BD735C">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太阳能供电系统</w:t>
            </w:r>
          </w:p>
        </w:tc>
        <w:tc>
          <w:tcPr>
            <w:tcW w:w="3427" w:type="pct"/>
            <w:vAlign w:val="center"/>
          </w:tcPr>
          <w:p w14:paraId="19FD14DB">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1、使用不低于120W/60A的单晶硅太能供电系统，负载输出：12V，DC接口。</w:t>
            </w:r>
          </w:p>
        </w:tc>
      </w:tr>
      <w:tr w14:paraId="2D42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12332564">
            <w:pPr>
              <w:widowControl/>
              <w:jc w:val="center"/>
              <w:rPr>
                <w:rFonts w:hint="eastAsia" w:ascii="宋体" w:hAnsi="宋体" w:cs="宋体"/>
                <w:color w:val="000000"/>
                <w:kern w:val="0"/>
                <w:szCs w:val="21"/>
              </w:rPr>
            </w:pPr>
          </w:p>
        </w:tc>
        <w:tc>
          <w:tcPr>
            <w:tcW w:w="489" w:type="pct"/>
            <w:vMerge w:val="continue"/>
            <w:vAlign w:val="center"/>
          </w:tcPr>
          <w:p w14:paraId="093820D9">
            <w:pPr>
              <w:widowControl/>
              <w:jc w:val="center"/>
              <w:rPr>
                <w:rFonts w:hint="eastAsia" w:ascii="宋体" w:hAnsi="宋体" w:cs="宋体"/>
                <w:color w:val="000000"/>
                <w:kern w:val="0"/>
                <w:szCs w:val="21"/>
              </w:rPr>
            </w:pPr>
          </w:p>
        </w:tc>
        <w:tc>
          <w:tcPr>
            <w:tcW w:w="822" w:type="pct"/>
            <w:vAlign w:val="center"/>
          </w:tcPr>
          <w:p w14:paraId="54CEBD0E">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防雷器</w:t>
            </w:r>
          </w:p>
        </w:tc>
        <w:tc>
          <w:tcPr>
            <w:tcW w:w="3427" w:type="pct"/>
            <w:vAlign w:val="top"/>
          </w:tcPr>
          <w:p w14:paraId="18A0FFB1">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1、传输速率    网络接口：1000Mbps</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2、响应时间    ns级</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3、外壳材料    铝合金</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4、承重    串联</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5、接入方式    ≤1dB/100Mhz</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6、最大工作电压Uc    网络接口：8V电源接口：AC36V/DC24V</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7、温度范围    -30℃～+60℃</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9、电压保护水平Up    网络接口：小于500V 电源接口：小于300V</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10、端口    RJ45网络端口电源端口</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11、防水等级    IP20</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12、额定工作电压Un    网络接口：5V 电源接口：AC24V/DC12V</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13、防雷器可在因外界的干扰突然产生尖峰电流或者电压时，在极短的时间内导通分流，从而避免浪涌对回路中其他设备的损害，进行保护。</w:t>
            </w:r>
          </w:p>
        </w:tc>
      </w:tr>
      <w:tr w14:paraId="6071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769D90A9">
            <w:pPr>
              <w:widowControl/>
              <w:jc w:val="center"/>
              <w:rPr>
                <w:rFonts w:hint="eastAsia" w:ascii="宋体" w:hAnsi="宋体" w:cs="宋体"/>
                <w:color w:val="000000"/>
                <w:kern w:val="0"/>
                <w:szCs w:val="21"/>
              </w:rPr>
            </w:pPr>
          </w:p>
        </w:tc>
        <w:tc>
          <w:tcPr>
            <w:tcW w:w="489" w:type="pct"/>
            <w:vMerge w:val="continue"/>
            <w:vAlign w:val="center"/>
          </w:tcPr>
          <w:p w14:paraId="1B66E908">
            <w:pPr>
              <w:widowControl/>
              <w:jc w:val="center"/>
              <w:rPr>
                <w:rFonts w:hint="eastAsia" w:ascii="宋体" w:hAnsi="宋体" w:cs="宋体"/>
                <w:color w:val="000000"/>
                <w:kern w:val="0"/>
                <w:szCs w:val="21"/>
              </w:rPr>
            </w:pPr>
          </w:p>
        </w:tc>
        <w:tc>
          <w:tcPr>
            <w:tcW w:w="822" w:type="pct"/>
            <w:vAlign w:val="center"/>
          </w:tcPr>
          <w:p w14:paraId="06172CCC">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网络服务</w:t>
            </w:r>
          </w:p>
        </w:tc>
        <w:tc>
          <w:tcPr>
            <w:tcW w:w="3427" w:type="pct"/>
            <w:vAlign w:val="center"/>
          </w:tcPr>
          <w:p w14:paraId="375A259D">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1、要求提供1年互联网4G服务，无限流量。</w:t>
            </w:r>
          </w:p>
        </w:tc>
      </w:tr>
      <w:tr w14:paraId="1135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60" w:type="pct"/>
            <w:vMerge w:val="continue"/>
            <w:vAlign w:val="center"/>
          </w:tcPr>
          <w:p w14:paraId="7D7FF806">
            <w:pPr>
              <w:widowControl/>
              <w:jc w:val="center"/>
              <w:rPr>
                <w:rFonts w:hint="eastAsia" w:ascii="宋体" w:hAnsi="宋体" w:cs="宋体"/>
                <w:color w:val="000000"/>
                <w:kern w:val="0"/>
                <w:szCs w:val="21"/>
              </w:rPr>
            </w:pPr>
          </w:p>
        </w:tc>
        <w:tc>
          <w:tcPr>
            <w:tcW w:w="489" w:type="pct"/>
            <w:vMerge w:val="continue"/>
            <w:vAlign w:val="center"/>
          </w:tcPr>
          <w:p w14:paraId="70BEF2B7">
            <w:pPr>
              <w:widowControl/>
              <w:jc w:val="center"/>
              <w:rPr>
                <w:rFonts w:hint="eastAsia" w:ascii="宋体" w:hAnsi="宋体" w:cs="宋体"/>
                <w:color w:val="000000"/>
                <w:kern w:val="0"/>
                <w:szCs w:val="21"/>
              </w:rPr>
            </w:pPr>
          </w:p>
        </w:tc>
        <w:tc>
          <w:tcPr>
            <w:tcW w:w="822" w:type="pct"/>
            <w:vAlign w:val="center"/>
          </w:tcPr>
          <w:p w14:paraId="14241D31">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安装调试</w:t>
            </w:r>
          </w:p>
        </w:tc>
        <w:tc>
          <w:tcPr>
            <w:tcW w:w="3427" w:type="pct"/>
            <w:vAlign w:val="center"/>
          </w:tcPr>
          <w:p w14:paraId="57133D76">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 定位放线：使用全站仪或GPS定位，在现场标记立杆基础位置，偏差不超过±5cm。</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 基坑开挖：按设计尺寸（深度1.2米，长宽各0.8 米）开挖基坑，底部平整夯实，防止基础沉降。</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 钢筋绑扎：在基坑内绑扎钢筋骨架，主筋直径≥12mm，箍筋间距≤20cm，钢筋搭接长度≥30cm，确保结构强度。</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 接地处理：将接地扁钢（40mm×4mm）埋入基坑底部，一端与钢筋骨架焊接，另一端引出地面，接地电阻需≤4Ω 。</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5. 混凝土浇筑：浇筑C20及以上标号混凝土，分层振捣密实，表面抹平，覆盖塑料薄膜或草帘养护，养护期不少于7天。</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6.立杆运输：采用吊车装卸，运输过程中做好防护，避免立杆表面涂层受损。</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7.立杆吊装：使用吊车将立杆垂直吊起，缓慢放入基坑，调整垂直度（偏差≤3‰），用经纬仪或线坠校准，底部与钢筋骨架焊接固定。</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8. 二次浇筑：在立杆底部浇筑混凝土，填满基坑并压实，确保立杆稳固。</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9.要求每月4次标准化运维巡视，恶劣天气加巡。</w:t>
            </w:r>
          </w:p>
        </w:tc>
      </w:tr>
      <w:tr w14:paraId="5D57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0" w:type="pct"/>
            <w:vMerge w:val="restart"/>
            <w:vAlign w:val="center"/>
          </w:tcPr>
          <w:p w14:paraId="735790FD">
            <w:pPr>
              <w:pStyle w:val="173"/>
              <w:widowControl/>
              <w:numPr>
                <w:ilvl w:val="0"/>
                <w:numId w:val="1"/>
              </w:numPr>
              <w:spacing w:before="0" w:line="240" w:lineRule="auto"/>
              <w:ind w:left="0" w:firstLine="0" w:firstLineChars="0"/>
              <w:jc w:val="center"/>
              <w:rPr>
                <w:rFonts w:hint="eastAsia" w:ascii="宋体" w:hAnsi="宋体"/>
                <w:color w:val="000000"/>
                <w:kern w:val="0"/>
                <w:szCs w:val="21"/>
              </w:rPr>
            </w:pPr>
          </w:p>
        </w:tc>
        <w:tc>
          <w:tcPr>
            <w:tcW w:w="489" w:type="pct"/>
            <w:vMerge w:val="restart"/>
            <w:vAlign w:val="center"/>
          </w:tcPr>
          <w:p w14:paraId="2EFC5B0F">
            <w:pPr>
              <w:widowControl/>
              <w:jc w:val="center"/>
              <w:rPr>
                <w:rFonts w:hint="eastAsia" w:ascii="宋体" w:hAnsi="宋体" w:cs="宋体"/>
                <w:kern w:val="0"/>
                <w:szCs w:val="21"/>
              </w:rPr>
            </w:pPr>
            <w:r>
              <w:rPr>
                <w:rFonts w:hint="eastAsia" w:ascii="宋体" w:hAnsi="宋体" w:cs="宋体"/>
                <w:color w:val="000000"/>
                <w:kern w:val="0"/>
                <w:szCs w:val="21"/>
              </w:rPr>
              <w:t>流量监测设备</w:t>
            </w:r>
          </w:p>
        </w:tc>
        <w:tc>
          <w:tcPr>
            <w:tcW w:w="822" w:type="pct"/>
            <w:vAlign w:val="center"/>
          </w:tcPr>
          <w:p w14:paraId="016224D6">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4G数据采集仪</w:t>
            </w:r>
          </w:p>
        </w:tc>
        <w:tc>
          <w:tcPr>
            <w:tcW w:w="3427" w:type="pct"/>
            <w:vAlign w:val="center"/>
          </w:tcPr>
          <w:p w14:paraId="37AD23D9">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1、【安装方式】：壁挂式安装</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2、【工作环境】：-20~60℃，10%RH-90%RH（非结露）。</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3、【防护等级】：IP65防水等级，可常年工作于室外。</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4、【屏幕显示】：</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7寸电容触摸全彩屏，中文展示，界面操作简洁。</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可实时显示采集数据，并可快速筛选正常数据、报警数据、故障数据。</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可通过屏幕查看缓存历史数据。</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可通过屏幕进行简单设置常规参数，如通道报警数据上下限、数据修正系数。</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【供电方式】：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支持220VAC市电供电。</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【数据上传间隔】：2S~10000S可设置，默认20S。</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【数据缓存功能】：</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可缓存≥52w条数据，缓存数据支持网口、4G方式续传至服务器，保证在线数据监测不间断。</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正常记录间隔默认30min，告警记录间隔默认30min，并支持自定义设置，最低1min记录一次。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【密码保护】：设备按键配有密码保护功能，防止非管理人员篡改参数。</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【告警方式】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①、支持外扩声光报警器，实现本地声光报警。</w:t>
            </w:r>
          </w:p>
        </w:tc>
      </w:tr>
      <w:tr w14:paraId="7A68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0" w:type="pct"/>
            <w:vMerge w:val="continue"/>
            <w:vAlign w:val="center"/>
          </w:tcPr>
          <w:p w14:paraId="588D6FE7">
            <w:pPr>
              <w:widowControl/>
              <w:jc w:val="center"/>
            </w:pPr>
          </w:p>
        </w:tc>
        <w:tc>
          <w:tcPr>
            <w:tcW w:w="489" w:type="pct"/>
            <w:vMerge w:val="continue"/>
            <w:vAlign w:val="center"/>
          </w:tcPr>
          <w:p w14:paraId="726CBC10">
            <w:pPr>
              <w:widowControl/>
              <w:jc w:val="center"/>
            </w:pPr>
          </w:p>
        </w:tc>
        <w:tc>
          <w:tcPr>
            <w:tcW w:w="822" w:type="pct"/>
            <w:vAlign w:val="center"/>
          </w:tcPr>
          <w:p w14:paraId="10A66DD9">
            <w:pPr>
              <w:widowControl/>
              <w:jc w:val="left"/>
              <w:rPr>
                <w:rFonts w:hint="eastAsia" w:ascii="宋体" w:hAnsi="宋体" w:eastAsia="宋体" w:cs="Times New Roman"/>
                <w:lang w:val="en-US" w:eastAsia="zh-CN"/>
              </w:rPr>
            </w:pPr>
            <w:r>
              <w:rPr>
                <w:rFonts w:hint="eastAsia" w:ascii="宋体" w:hAnsi="宋体" w:eastAsia="宋体" w:cs="Times New Roman"/>
                <w:lang w:val="en-US" w:eastAsia="zh-CN"/>
              </w:rPr>
              <w:t>多普勒流量计</w:t>
            </w:r>
          </w:p>
        </w:tc>
        <w:tc>
          <w:tcPr>
            <w:tcW w:w="3427" w:type="pct"/>
            <w:vAlign w:val="center"/>
          </w:tcPr>
          <w:p w14:paraId="75FDB9FF">
            <w:pPr>
              <w:widowControl/>
              <w:numPr>
                <w:ilvl w:val="0"/>
                <w:numId w:val="3"/>
              </w:numPr>
              <w:jc w:val="left"/>
              <w:rPr>
                <w:rFonts w:hint="eastAsia" w:ascii="宋体" w:hAnsi="宋体" w:eastAsia="宋体" w:cs="Times New Roman"/>
                <w:lang w:val="en-US" w:eastAsia="zh-CN"/>
              </w:rPr>
            </w:pPr>
            <w:r>
              <w:rPr>
                <w:rFonts w:hint="eastAsia" w:ascii="宋体" w:hAnsi="宋体" w:eastAsia="宋体" w:cs="Times New Roman"/>
                <w:lang w:val="en-US" w:eastAsia="zh-CN"/>
              </w:rPr>
              <w:t>【通讯方式】：RS485</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2、【供电方式】：10-30VDC</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3、【测量类型】：双向测量：待机电流72mA/12V，测量电流126mA/12V。</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4、【防护等级】：IP68</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5、【外壳材质】：PVC</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6、【工作温度】：-10～60℃</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7、【安装方式】：配备安装底座，可部署安装于水下不同水层。</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测量要素：</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当前水位值、当前流速值、当前水温、瞬时流量、正累积流量、负累积流量、净流量、水流方向等数据。</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支持设定水位、流速测量间隔，最低可设置为1s/次；</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流速参数：</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测量量程：0.03~10m/s；</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典型精度：±1%±1cm/s（@0.03~5m/s）。</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水位参数：</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测量量程：0.03~10m（双向测量）；</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典型精度：0.3%±0.5cm。</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流量参数：</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瞬时流量量程：0～99.99m³；</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累计流量量程：0.1~999999m³。</w:t>
            </w:r>
            <w:r>
              <w:rPr>
                <w:rFonts w:hint="eastAsia" w:ascii="宋体" w:hAnsi="宋体" w:eastAsia="宋体" w:cs="Times New Roman"/>
                <w:lang w:val="en-US" w:eastAsia="zh-CN"/>
              </w:rPr>
              <w:br w:type="textWrapping"/>
            </w:r>
            <w:r>
              <w:rPr>
                <w:rFonts w:hint="eastAsia" w:ascii="宋体" w:hAnsi="宋体" w:eastAsia="宋体" w:cs="Times New Roman"/>
                <w:lang w:val="en-US" w:eastAsia="zh-CN"/>
              </w:rPr>
              <w:t>温度参数：测量量程：-10℃~60℃；典型精度：±1℃（25℃）。</w:t>
            </w:r>
          </w:p>
          <w:p w14:paraId="4263CD7D">
            <w:pPr>
              <w:widowControl/>
              <w:numPr>
                <w:ilvl w:val="0"/>
                <w:numId w:val="0"/>
              </w:numPr>
              <w:jc w:val="left"/>
              <w:rPr>
                <w:rFonts w:hint="default" w:ascii="宋体" w:hAnsi="宋体" w:eastAsia="宋体" w:cs="Times New Roman"/>
                <w:lang w:val="en-US" w:eastAsia="zh-CN"/>
              </w:rPr>
            </w:pPr>
            <w:r>
              <w:rPr>
                <w:rFonts w:hint="eastAsia"/>
              </w:rPr>
              <w:t>▲</w:t>
            </w:r>
            <w:r>
              <w:rPr>
                <w:rFonts w:hint="eastAsia" w:ascii="宋体" w:hAnsi="宋体" w:cs="Times New Roman"/>
                <w:lang w:val="en-US" w:eastAsia="zh-CN"/>
              </w:rPr>
              <w:t>提供本设备的水文仪器检测中心的检测报告。</w:t>
            </w:r>
          </w:p>
        </w:tc>
      </w:tr>
      <w:tr w14:paraId="5847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0" w:type="pct"/>
            <w:vMerge w:val="continue"/>
            <w:vAlign w:val="center"/>
          </w:tcPr>
          <w:p w14:paraId="5E6428C2">
            <w:pPr>
              <w:widowControl/>
              <w:jc w:val="center"/>
              <w:rPr>
                <w:rFonts w:hint="eastAsia" w:ascii="宋体" w:hAnsi="宋体" w:cs="宋体"/>
                <w:kern w:val="0"/>
                <w:szCs w:val="21"/>
              </w:rPr>
            </w:pPr>
          </w:p>
        </w:tc>
        <w:tc>
          <w:tcPr>
            <w:tcW w:w="489" w:type="pct"/>
            <w:vMerge w:val="continue"/>
            <w:vAlign w:val="center"/>
          </w:tcPr>
          <w:p w14:paraId="345DB71A">
            <w:pPr>
              <w:widowControl/>
              <w:jc w:val="center"/>
              <w:rPr>
                <w:rFonts w:hint="eastAsia" w:ascii="宋体" w:hAnsi="宋体" w:cs="宋体"/>
                <w:kern w:val="0"/>
                <w:szCs w:val="21"/>
              </w:rPr>
            </w:pPr>
          </w:p>
        </w:tc>
        <w:tc>
          <w:tcPr>
            <w:tcW w:w="822" w:type="pct"/>
            <w:vAlign w:val="center"/>
          </w:tcPr>
          <w:p w14:paraId="11FF8FE3">
            <w:pPr>
              <w:widowControl/>
              <w:jc w:val="left"/>
              <w:rPr>
                <w:rFonts w:hint="eastAsia" w:ascii="宋体" w:hAnsi="宋体" w:eastAsia="宋体" w:cs="Times New Roman"/>
              </w:rPr>
            </w:pPr>
            <w:r>
              <w:rPr>
                <w:rFonts w:hint="eastAsia" w:ascii="宋体" w:hAnsi="宋体" w:eastAsia="宋体" w:cs="Times New Roman"/>
                <w:lang w:val="en-US" w:eastAsia="zh-CN"/>
              </w:rPr>
              <w:t>无线流量卡3年</w:t>
            </w:r>
          </w:p>
        </w:tc>
        <w:tc>
          <w:tcPr>
            <w:tcW w:w="3427" w:type="pct"/>
            <w:vAlign w:val="center"/>
          </w:tcPr>
          <w:p w14:paraId="702FC105">
            <w:pPr>
              <w:widowControl/>
              <w:jc w:val="left"/>
              <w:rPr>
                <w:rFonts w:hint="eastAsia" w:ascii="宋体" w:hAnsi="宋体" w:eastAsia="宋体" w:cs="Times New Roman"/>
              </w:rPr>
            </w:pPr>
            <w:r>
              <w:rPr>
                <w:rFonts w:hint="eastAsia" w:ascii="宋体" w:hAnsi="宋体" w:eastAsia="宋体" w:cs="Times New Roman"/>
                <w:lang w:val="en-US" w:eastAsia="zh-CN"/>
              </w:rPr>
              <w:t>1、提供3年4G互联网无限流量卡服务。</w:t>
            </w:r>
          </w:p>
        </w:tc>
      </w:tr>
      <w:tr w14:paraId="78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0" w:type="pct"/>
            <w:vMerge w:val="continue"/>
            <w:vAlign w:val="center"/>
          </w:tcPr>
          <w:p w14:paraId="7D829B42">
            <w:pPr>
              <w:widowControl/>
              <w:jc w:val="center"/>
              <w:rPr>
                <w:rFonts w:hint="eastAsia" w:ascii="宋体" w:hAnsi="宋体" w:cs="宋体"/>
                <w:kern w:val="0"/>
                <w:szCs w:val="21"/>
              </w:rPr>
            </w:pPr>
          </w:p>
        </w:tc>
        <w:tc>
          <w:tcPr>
            <w:tcW w:w="489" w:type="pct"/>
            <w:vMerge w:val="continue"/>
            <w:vAlign w:val="center"/>
          </w:tcPr>
          <w:p w14:paraId="64DF04F9">
            <w:pPr>
              <w:widowControl/>
              <w:jc w:val="center"/>
              <w:rPr>
                <w:rFonts w:hint="eastAsia" w:ascii="宋体" w:hAnsi="宋体" w:cs="宋体"/>
                <w:kern w:val="0"/>
                <w:szCs w:val="21"/>
              </w:rPr>
            </w:pPr>
          </w:p>
        </w:tc>
        <w:tc>
          <w:tcPr>
            <w:tcW w:w="822" w:type="pct"/>
            <w:vAlign w:val="center"/>
          </w:tcPr>
          <w:p w14:paraId="600FD149">
            <w:pPr>
              <w:widowControl/>
              <w:jc w:val="left"/>
              <w:rPr>
                <w:rFonts w:hint="eastAsia" w:ascii="宋体" w:hAnsi="宋体" w:eastAsia="宋体" w:cs="Times New Roman"/>
              </w:rPr>
            </w:pPr>
            <w:r>
              <w:rPr>
                <w:rFonts w:hint="eastAsia" w:ascii="宋体" w:hAnsi="宋体" w:eastAsia="宋体" w:cs="Times New Roman"/>
                <w:lang w:val="en-US" w:eastAsia="zh-CN"/>
              </w:rPr>
              <w:t>安装调试</w:t>
            </w:r>
          </w:p>
        </w:tc>
        <w:tc>
          <w:tcPr>
            <w:tcW w:w="3427" w:type="pct"/>
            <w:vAlign w:val="center"/>
          </w:tcPr>
          <w:p w14:paraId="4C16218B">
            <w:pPr>
              <w:widowControl/>
              <w:jc w:val="left"/>
              <w:rPr>
                <w:rFonts w:hint="eastAsia" w:ascii="宋体" w:hAnsi="宋体" w:eastAsia="宋体" w:cs="Times New Roman"/>
              </w:rPr>
            </w:pPr>
            <w:r>
              <w:rPr>
                <w:rFonts w:hint="eastAsia" w:ascii="宋体" w:hAnsi="宋体" w:eastAsia="宋体" w:cs="Times New Roman"/>
                <w:lang w:val="en-US" w:eastAsia="zh-CN"/>
              </w:rPr>
              <w:t>1、提供安装调试的辅材红白双色的探测花杆（长1m）*3、马鞍卡，10m导气管线等；并且完成设备的安装联网运行。</w:t>
            </w:r>
          </w:p>
        </w:tc>
      </w:tr>
      <w:tr w14:paraId="1651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restart"/>
            <w:vAlign w:val="center"/>
          </w:tcPr>
          <w:p w14:paraId="186230EA">
            <w:pPr>
              <w:pStyle w:val="173"/>
              <w:widowControl/>
              <w:numPr>
                <w:ilvl w:val="0"/>
                <w:numId w:val="1"/>
              </w:numPr>
              <w:spacing w:before="0" w:line="240" w:lineRule="auto"/>
              <w:ind w:left="0" w:firstLine="0" w:firstLineChars="0"/>
              <w:jc w:val="center"/>
              <w:rPr>
                <w:rFonts w:hint="eastAsia" w:ascii="宋体" w:hAnsi="宋体"/>
                <w:color w:val="000000"/>
                <w:kern w:val="0"/>
                <w:szCs w:val="21"/>
              </w:rPr>
            </w:pPr>
          </w:p>
        </w:tc>
        <w:tc>
          <w:tcPr>
            <w:tcW w:w="489" w:type="pct"/>
            <w:vMerge w:val="restart"/>
            <w:vAlign w:val="center"/>
          </w:tcPr>
          <w:p w14:paraId="13F26BA6">
            <w:pPr>
              <w:widowControl/>
              <w:jc w:val="center"/>
              <w:rPr>
                <w:rFonts w:hint="eastAsia" w:ascii="宋体" w:hAnsi="宋体" w:cs="宋体"/>
                <w:kern w:val="0"/>
                <w:szCs w:val="21"/>
              </w:rPr>
            </w:pPr>
            <w:r>
              <w:rPr>
                <w:rFonts w:hint="eastAsia" w:ascii="宋体" w:hAnsi="宋体" w:cs="宋体"/>
                <w:color w:val="000000"/>
                <w:kern w:val="0"/>
                <w:szCs w:val="21"/>
              </w:rPr>
              <w:t>入河排污口综合管理平台</w:t>
            </w:r>
          </w:p>
        </w:tc>
        <w:tc>
          <w:tcPr>
            <w:tcW w:w="822" w:type="pct"/>
            <w:vAlign w:val="center"/>
          </w:tcPr>
          <w:p w14:paraId="09FB48A5">
            <w:pPr>
              <w:widowControl/>
              <w:jc w:val="center"/>
              <w:rPr>
                <w:rFonts w:hint="eastAsia" w:ascii="宋体" w:hAnsi="宋体" w:cs="宋体"/>
                <w:kern w:val="0"/>
                <w:szCs w:val="21"/>
              </w:rPr>
            </w:pPr>
            <w:r>
              <w:rPr>
                <w:rFonts w:hint="eastAsia" w:ascii="宋体" w:hAnsi="宋体" w:cs="宋体"/>
                <w:kern w:val="0"/>
                <w:szCs w:val="21"/>
              </w:rPr>
              <w:t>入河排污口数据资源管理中心</w:t>
            </w:r>
          </w:p>
        </w:tc>
        <w:tc>
          <w:tcPr>
            <w:tcW w:w="3427" w:type="pct"/>
            <w:vAlign w:val="center"/>
          </w:tcPr>
          <w:p w14:paraId="081E87EF">
            <w:pPr>
              <w:widowControl/>
              <w:jc w:val="left"/>
              <w:rPr>
                <w:rFonts w:hint="eastAsia" w:ascii="宋体" w:hAnsi="宋体" w:cs="宋体"/>
                <w:color w:val="000000"/>
                <w:kern w:val="0"/>
                <w:szCs w:val="21"/>
              </w:rPr>
            </w:pPr>
            <w:r>
              <w:rPr>
                <w:rFonts w:hint="eastAsia" w:ascii="宋体" w:hAnsi="宋体" w:cs="宋体"/>
                <w:kern w:val="0"/>
                <w:szCs w:val="21"/>
              </w:rPr>
              <w:t>入河排污口数据资源管理中心主要功能需包含：</w:t>
            </w:r>
            <w:r>
              <w:rPr>
                <w:rFonts w:hint="eastAsia" w:ascii="宋体" w:hAnsi="宋体" w:cs="宋体"/>
                <w:color w:val="000000"/>
                <w:kern w:val="0"/>
                <w:szCs w:val="21"/>
              </w:rPr>
              <w:t>1、入河排污口档案建设，</w:t>
            </w:r>
            <w:r>
              <w:rPr>
                <w:rFonts w:ascii="宋体" w:hAnsi="宋体"/>
              </w:rPr>
              <w:t>归档范围</w:t>
            </w:r>
            <w:r>
              <w:rPr>
                <w:rFonts w:hint="eastAsia" w:ascii="宋体" w:hAnsi="宋体"/>
              </w:rPr>
              <w:t>需</w:t>
            </w:r>
            <w:r>
              <w:rPr>
                <w:rFonts w:ascii="宋体" w:hAnsi="宋体"/>
              </w:rPr>
              <w:t>包括：排污口基本信息资料、排污口设置审批相关文件、排污口监督检查资料、排污口监测资料、其他有关文件和资料</w:t>
            </w:r>
            <w:r>
              <w:rPr>
                <w:rFonts w:hint="eastAsia" w:ascii="宋体" w:hAnsi="宋体"/>
              </w:rPr>
              <w:t>；2、河流水质监测断面数据库：全域入河排污口影响的河流水质自动监测断面名称、所属行政区域、所属河流、控制级别、经纬度、监测因子、水质目标等级；3、地理信息库；4、溯源企业档案；</w:t>
            </w:r>
          </w:p>
        </w:tc>
      </w:tr>
      <w:tr w14:paraId="2D58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 w:type="pct"/>
            <w:vMerge w:val="continue"/>
            <w:vAlign w:val="center"/>
          </w:tcPr>
          <w:p w14:paraId="07B6D3F3">
            <w:pPr>
              <w:pStyle w:val="173"/>
              <w:widowControl/>
              <w:numPr>
                <w:ilvl w:val="0"/>
                <w:numId w:val="1"/>
              </w:numPr>
              <w:spacing w:before="0" w:line="240" w:lineRule="auto"/>
              <w:ind w:left="0" w:firstLine="0" w:firstLineChars="0"/>
              <w:jc w:val="center"/>
              <w:rPr>
                <w:rFonts w:hint="eastAsia" w:ascii="宋体" w:hAnsi="宋体"/>
                <w:color w:val="000000"/>
                <w:kern w:val="0"/>
                <w:szCs w:val="21"/>
              </w:rPr>
            </w:pPr>
          </w:p>
        </w:tc>
        <w:tc>
          <w:tcPr>
            <w:tcW w:w="489" w:type="pct"/>
            <w:vMerge w:val="continue"/>
            <w:vAlign w:val="center"/>
          </w:tcPr>
          <w:p w14:paraId="324DCB51">
            <w:pPr>
              <w:widowControl/>
              <w:jc w:val="center"/>
              <w:rPr>
                <w:rFonts w:hint="eastAsia" w:ascii="宋体" w:hAnsi="宋体" w:cs="宋体"/>
                <w:kern w:val="0"/>
                <w:szCs w:val="21"/>
              </w:rPr>
            </w:pPr>
          </w:p>
        </w:tc>
        <w:tc>
          <w:tcPr>
            <w:tcW w:w="822" w:type="pct"/>
            <w:vAlign w:val="center"/>
          </w:tcPr>
          <w:p w14:paraId="0BEDC2BC">
            <w:pPr>
              <w:widowControl/>
              <w:jc w:val="center"/>
              <w:rPr>
                <w:rFonts w:hint="eastAsia" w:ascii="宋体" w:hAnsi="宋体" w:cs="宋体"/>
                <w:kern w:val="0"/>
                <w:szCs w:val="21"/>
              </w:rPr>
            </w:pPr>
            <w:r>
              <w:rPr>
                <w:rFonts w:hint="eastAsia" w:ascii="宋体" w:hAnsi="宋体" w:cs="宋体"/>
                <w:kern w:val="0"/>
                <w:szCs w:val="21"/>
              </w:rPr>
              <w:t>入河排污口一张图管理</w:t>
            </w:r>
          </w:p>
        </w:tc>
        <w:tc>
          <w:tcPr>
            <w:tcW w:w="3427" w:type="pct"/>
            <w:vAlign w:val="center"/>
          </w:tcPr>
          <w:p w14:paraId="3B545547">
            <w:pPr>
              <w:widowControl/>
              <w:jc w:val="left"/>
              <w:rPr>
                <w:rFonts w:hint="eastAsia" w:ascii="宋体" w:hAnsi="宋体" w:cs="宋体"/>
                <w:kern w:val="0"/>
                <w:szCs w:val="21"/>
              </w:rPr>
            </w:pPr>
            <w:r>
              <w:rPr>
                <w:rFonts w:hint="eastAsia" w:ascii="宋体" w:hAnsi="宋体" w:cs="宋体"/>
                <w:kern w:val="0"/>
                <w:szCs w:val="21"/>
              </w:rPr>
              <w:t>入河排污口一张图管理重点包含：1、入河排污口分布专题；2、专项规范化建设专题图；3、任务调度专题图；4、视频监控专题图；5、“源-厂-口-断面”专题等重点功能模块。</w:t>
            </w:r>
          </w:p>
        </w:tc>
      </w:tr>
      <w:bookmarkEnd w:id="246"/>
    </w:tbl>
    <w:p w14:paraId="1BC74974">
      <w:pPr>
        <w:rPr>
          <w:rFonts w:hint="eastAsia"/>
          <w:lang w:val="en-US" w:eastAsia="zh-CN"/>
        </w:rPr>
      </w:pPr>
    </w:p>
    <w:p w14:paraId="2375B30E">
      <w:pPr>
        <w:numPr>
          <w:ilvl w:val="0"/>
          <w:numId w:val="0"/>
        </w:numPr>
        <w:rPr>
          <w:rFonts w:hint="eastAsia"/>
          <w:lang w:val="en-US" w:eastAsia="zh-CN"/>
        </w:rPr>
      </w:pPr>
      <w:r>
        <w:rPr>
          <w:rFonts w:hint="eastAsia" w:ascii="Times New Roman" w:hAnsi="Times New Roman" w:eastAsia="宋体" w:cs="Times New Roman"/>
          <w:b/>
          <w:bCs/>
          <w:kern w:val="2"/>
          <w:sz w:val="28"/>
          <w:szCs w:val="28"/>
          <w:lang w:val="en-US" w:eastAsia="zh-CN" w:bidi="ar-SA"/>
        </w:rPr>
        <w:t>三、</w:t>
      </w:r>
      <w:r>
        <w:rPr>
          <w:rFonts w:hint="eastAsia"/>
          <w:b/>
          <w:bCs/>
          <w:sz w:val="28"/>
          <w:szCs w:val="28"/>
          <w:lang w:val="en-US" w:eastAsia="zh-CN"/>
        </w:rPr>
        <w:t>其他要求</w:t>
      </w:r>
    </w:p>
    <w:p w14:paraId="0BD56E7F">
      <w:pPr>
        <w:numPr>
          <w:ilvl w:val="0"/>
          <w:numId w:val="0"/>
        </w:numPr>
        <w:spacing w:line="360" w:lineRule="auto"/>
        <w:ind w:firstLine="420" w:firstLineChars="200"/>
        <w:rPr>
          <w:rFonts w:hint="default"/>
          <w:lang w:val="en-US" w:eastAsia="zh-CN"/>
        </w:rPr>
      </w:pPr>
      <w:r>
        <w:rPr>
          <w:rFonts w:hint="eastAsia" w:ascii="宋体" w:hAnsi="宋体" w:eastAsia="宋体" w:cs="宋体"/>
          <w:bCs/>
          <w:szCs w:val="21"/>
        </w:rPr>
        <w:t>售后服务：</w:t>
      </w:r>
      <w:r>
        <w:rPr>
          <w:rFonts w:hint="eastAsia" w:ascii="宋体" w:hAnsi="宋体" w:eastAsia="宋体" w:cs="宋体"/>
          <w:bCs/>
          <w:szCs w:val="21"/>
          <w:lang w:val="en-US" w:eastAsia="zh-CN"/>
        </w:rPr>
        <w:t>中标供应商</w:t>
      </w:r>
      <w:r>
        <w:rPr>
          <w:rFonts w:hint="eastAsia" w:ascii="宋体" w:hAnsi="宋体" w:eastAsia="宋体" w:cs="宋体"/>
          <w:bCs/>
          <w:szCs w:val="21"/>
        </w:rPr>
        <w:t>在接到采购方服务请求后，2小时响应，24小时内上门解决问题；质保期内提供免费上门服务，质保期外的收费按相关行业规则或由双方协商收取。</w:t>
      </w:r>
    </w:p>
    <w:bookmarkEnd w:id="244"/>
    <w:bookmarkEnd w:id="245"/>
    <w:p w14:paraId="2590FD40">
      <w:pPr>
        <w:pageBreakBefore/>
        <w:spacing w:line="360" w:lineRule="auto"/>
        <w:jc w:val="center"/>
        <w:rPr>
          <w:rFonts w:ascii="宋体" w:hAnsi="宋体" w:cs="宋体"/>
          <w:sz w:val="44"/>
          <w:szCs w:val="44"/>
        </w:rPr>
      </w:pPr>
      <w:bookmarkStart w:id="247" w:name="_Toc10515"/>
      <w:bookmarkStart w:id="248" w:name="_Toc32413"/>
      <w:bookmarkStart w:id="249" w:name="_Toc11944"/>
      <w:r>
        <w:rPr>
          <w:rStyle w:val="59"/>
          <w:rFonts w:hint="eastAsia" w:ascii="黑体" w:hAnsi="黑体" w:eastAsia="黑体"/>
          <w:b w:val="0"/>
          <w:bCs w:val="0"/>
          <w:sz w:val="36"/>
          <w:szCs w:val="36"/>
        </w:rPr>
        <w:t>第六章 投标文件格式</w:t>
      </w:r>
      <w:bookmarkEnd w:id="238"/>
      <w:bookmarkEnd w:id="247"/>
      <w:bookmarkEnd w:id="248"/>
      <w:bookmarkEnd w:id="249"/>
    </w:p>
    <w:p w14:paraId="35A01E58">
      <w:pPr>
        <w:bidi w:val="0"/>
        <w:jc w:val="center"/>
        <w:rPr>
          <w:rFonts w:hAnsi="宋体"/>
          <w:b w:val="0"/>
          <w:w w:val="200"/>
          <w:szCs w:val="44"/>
        </w:rPr>
      </w:pPr>
      <w:bookmarkStart w:id="250" w:name="_Toc377025611"/>
      <w:bookmarkStart w:id="251" w:name="_Toc11245"/>
      <w:bookmarkStart w:id="252" w:name="_Toc514226065"/>
      <w:bookmarkStart w:id="253" w:name="_Toc38013570"/>
      <w:r>
        <w:rPr>
          <w:rFonts w:hint="eastAsia"/>
          <w:b/>
          <w:bCs/>
          <w:sz w:val="28"/>
          <w:szCs w:val="28"/>
          <w:lang w:eastAsia="zh-CN"/>
        </w:rPr>
        <w:t>（</w:t>
      </w:r>
      <w:r>
        <w:rPr>
          <w:rFonts w:hint="eastAsia"/>
          <w:b/>
          <w:bCs/>
          <w:sz w:val="28"/>
          <w:szCs w:val="28"/>
        </w:rPr>
        <w:t>封面</w:t>
      </w:r>
      <w:r>
        <w:rPr>
          <w:rFonts w:hint="eastAsia"/>
          <w:b/>
          <w:bCs/>
          <w:sz w:val="28"/>
          <w:szCs w:val="28"/>
          <w:lang w:eastAsia="zh-CN"/>
        </w:rPr>
        <w:t>）</w:t>
      </w:r>
      <w:bookmarkEnd w:id="250"/>
      <w:bookmarkEnd w:id="251"/>
      <w:bookmarkEnd w:id="252"/>
      <w:bookmarkEnd w:id="253"/>
    </w:p>
    <w:p w14:paraId="7DDC0DD1">
      <w:pPr>
        <w:spacing w:line="400" w:lineRule="exact"/>
        <w:rPr>
          <w:rFonts w:ascii="宋体" w:hAnsi="宋体"/>
          <w:b/>
          <w:sz w:val="44"/>
          <w:szCs w:val="44"/>
        </w:rPr>
      </w:pPr>
    </w:p>
    <w:p w14:paraId="04A4AE28">
      <w:pPr>
        <w:spacing w:line="360" w:lineRule="auto"/>
        <w:jc w:val="center"/>
        <w:textAlignment w:val="baseline"/>
        <w:rPr>
          <w:rFonts w:hint="eastAsia" w:ascii="宋体" w:hAnsi="宋体" w:eastAsia="宋体" w:cs="宋体"/>
          <w:b/>
          <w:bCs/>
          <w:spacing w:val="-11"/>
          <w:sz w:val="48"/>
          <w:szCs w:val="48"/>
          <w:lang w:eastAsia="zh-CN"/>
        </w:rPr>
      </w:pPr>
      <w:r>
        <w:rPr>
          <w:rFonts w:hint="eastAsia" w:ascii="宋体" w:hAnsi="宋体"/>
          <w:b/>
          <w:sz w:val="60"/>
          <w:szCs w:val="60"/>
          <w:lang w:eastAsia="zh-CN"/>
        </w:rPr>
        <w:t>三门峡市陕州区入河排污口规范化建设项目一期</w:t>
      </w:r>
    </w:p>
    <w:p w14:paraId="480DDB36">
      <w:pPr>
        <w:spacing w:line="360" w:lineRule="auto"/>
        <w:jc w:val="center"/>
        <w:textAlignment w:val="baseline"/>
        <w:rPr>
          <w:rFonts w:ascii="宋体" w:hAnsi="宋体"/>
          <w:b/>
          <w:sz w:val="72"/>
          <w:szCs w:val="72"/>
        </w:rPr>
      </w:pPr>
    </w:p>
    <w:p w14:paraId="6CB21481">
      <w:pPr>
        <w:spacing w:line="360" w:lineRule="auto"/>
        <w:jc w:val="center"/>
        <w:textAlignment w:val="baseline"/>
        <w:rPr>
          <w:rFonts w:ascii="宋体" w:hAnsi="宋体"/>
          <w:b/>
          <w:sz w:val="72"/>
          <w:szCs w:val="72"/>
        </w:rPr>
      </w:pPr>
      <w:r>
        <w:rPr>
          <w:rFonts w:hint="eastAsia" w:ascii="宋体" w:hAnsi="宋体"/>
          <w:b/>
          <w:sz w:val="72"/>
          <w:szCs w:val="72"/>
        </w:rPr>
        <w:t>投标文件</w:t>
      </w:r>
    </w:p>
    <w:p w14:paraId="15C7BF90">
      <w:pPr>
        <w:spacing w:line="360" w:lineRule="auto"/>
        <w:jc w:val="center"/>
        <w:textAlignment w:val="baseline"/>
        <w:rPr>
          <w:rFonts w:hint="eastAsia" w:ascii="宋体" w:hAnsi="宋体" w:eastAsia="宋体"/>
          <w:b/>
          <w:color w:val="auto"/>
          <w:w w:val="200"/>
          <w:sz w:val="48"/>
          <w:szCs w:val="48"/>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陕州公开采购-2025-52    SZGZ[2025]251-ZC174</w:t>
      </w:r>
    </w:p>
    <w:p w14:paraId="30CB4BD6">
      <w:pPr>
        <w:rPr>
          <w:rFonts w:ascii="宋体" w:hAnsi="宋体"/>
          <w:b/>
          <w:color w:val="auto"/>
          <w:sz w:val="44"/>
          <w:szCs w:val="44"/>
        </w:rPr>
      </w:pPr>
    </w:p>
    <w:p w14:paraId="11932CDE">
      <w:pPr>
        <w:spacing w:line="360" w:lineRule="auto"/>
        <w:jc w:val="center"/>
        <w:textAlignment w:val="baseline"/>
        <w:rPr>
          <w:rFonts w:ascii="宋体" w:hAnsi="宋体"/>
          <w:b/>
          <w:w w:val="200"/>
          <w:sz w:val="28"/>
          <w:szCs w:val="28"/>
        </w:rPr>
      </w:pPr>
    </w:p>
    <w:p w14:paraId="36376ED0">
      <w:pPr>
        <w:widowControl/>
        <w:snapToGrid w:val="0"/>
        <w:spacing w:line="365" w:lineRule="atLeast"/>
        <w:rPr>
          <w:rFonts w:ascii="仿宋_GB2312" w:eastAsia="仿宋_GB2312"/>
          <w:b/>
          <w:kern w:val="0"/>
          <w:sz w:val="36"/>
          <w:szCs w:val="36"/>
        </w:rPr>
      </w:pPr>
    </w:p>
    <w:p w14:paraId="659AB76D">
      <w:pPr>
        <w:widowControl/>
        <w:snapToGrid w:val="0"/>
        <w:spacing w:line="365" w:lineRule="atLeast"/>
        <w:rPr>
          <w:rFonts w:ascii="仿宋_GB2312" w:eastAsia="仿宋_GB2312"/>
          <w:b/>
          <w:kern w:val="0"/>
          <w:sz w:val="36"/>
          <w:szCs w:val="36"/>
        </w:rPr>
      </w:pPr>
    </w:p>
    <w:p w14:paraId="38CC52DA">
      <w:pPr>
        <w:widowControl/>
        <w:snapToGrid w:val="0"/>
        <w:spacing w:line="365" w:lineRule="atLeast"/>
        <w:rPr>
          <w:rFonts w:ascii="仿宋_GB2312" w:eastAsia="仿宋_GB2312"/>
          <w:b/>
          <w:kern w:val="0"/>
          <w:sz w:val="36"/>
          <w:szCs w:val="36"/>
        </w:rPr>
      </w:pPr>
    </w:p>
    <w:p w14:paraId="33B0AAC2">
      <w:pPr>
        <w:widowControl/>
        <w:snapToGrid w:val="0"/>
        <w:spacing w:line="365" w:lineRule="atLeast"/>
        <w:rPr>
          <w:rFonts w:ascii="仿宋_GB2312" w:eastAsia="仿宋_GB2312"/>
          <w:b/>
          <w:kern w:val="0"/>
          <w:sz w:val="36"/>
          <w:szCs w:val="36"/>
        </w:rPr>
      </w:pPr>
    </w:p>
    <w:p w14:paraId="3721D86A">
      <w:pPr>
        <w:widowControl/>
        <w:snapToGrid w:val="0"/>
        <w:spacing w:line="365" w:lineRule="atLeast"/>
        <w:rPr>
          <w:rFonts w:ascii="仿宋_GB2312" w:eastAsia="仿宋_GB2312"/>
          <w:b/>
          <w:kern w:val="0"/>
          <w:sz w:val="36"/>
          <w:szCs w:val="36"/>
        </w:rPr>
      </w:pPr>
    </w:p>
    <w:p w14:paraId="6147F492">
      <w:pPr>
        <w:widowControl/>
        <w:snapToGrid w:val="0"/>
        <w:spacing w:line="365" w:lineRule="atLeast"/>
        <w:rPr>
          <w:rFonts w:ascii="仿宋_GB2312" w:eastAsia="仿宋_GB2312"/>
          <w:b/>
          <w:kern w:val="0"/>
          <w:sz w:val="36"/>
          <w:szCs w:val="36"/>
        </w:rPr>
      </w:pPr>
    </w:p>
    <w:p w14:paraId="68E97C4E">
      <w:pPr>
        <w:spacing w:line="520" w:lineRule="exact"/>
        <w:rPr>
          <w:rFonts w:ascii="宋体" w:hAnsi="宋体"/>
          <w:b/>
          <w:sz w:val="32"/>
          <w:szCs w:val="32"/>
        </w:rPr>
      </w:pPr>
    </w:p>
    <w:p w14:paraId="442CDC31">
      <w:pPr>
        <w:spacing w:line="360" w:lineRule="auto"/>
        <w:jc w:val="both"/>
        <w:rPr>
          <w:rFonts w:ascii="宋体" w:hAnsi="宋体"/>
          <w:b/>
          <w:sz w:val="32"/>
          <w:szCs w:val="32"/>
        </w:rPr>
      </w:pP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商：</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（盖单位章）</w:t>
      </w:r>
    </w:p>
    <w:p w14:paraId="37BC2131">
      <w:pPr>
        <w:spacing w:line="360" w:lineRule="auto"/>
        <w:rPr>
          <w:rFonts w:hint="eastAsia" w:ascii="宋体" w:hAnsi="宋体"/>
          <w:b/>
          <w:sz w:val="32"/>
          <w:szCs w:val="32"/>
        </w:rPr>
      </w:pPr>
      <w:r>
        <w:rPr>
          <w:rFonts w:hint="eastAsia" w:ascii="宋体" w:hAnsi="宋体"/>
          <w:b/>
          <w:sz w:val="32"/>
          <w:szCs w:val="32"/>
        </w:rPr>
        <w:t>法定代表人或委托代理人：</w:t>
      </w:r>
      <w:r>
        <w:rPr>
          <w:rFonts w:hint="eastAsia" w:ascii="宋体" w:hAnsi="宋体"/>
          <w:b/>
          <w:sz w:val="32"/>
          <w:szCs w:val="32"/>
          <w:u w:val="single"/>
        </w:rPr>
        <w:t>　　　  　　</w:t>
      </w:r>
      <w:r>
        <w:rPr>
          <w:rFonts w:hint="eastAsia" w:ascii="宋体" w:hAnsi="宋体"/>
          <w:b/>
          <w:sz w:val="32"/>
          <w:szCs w:val="32"/>
        </w:rPr>
        <w:t>（电子签章）</w:t>
      </w:r>
    </w:p>
    <w:p w14:paraId="448839CF">
      <w:pPr>
        <w:spacing w:line="360" w:lineRule="auto"/>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329E2AC2">
      <w:pPr>
        <w:spacing w:line="360" w:lineRule="auto"/>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36F52CED">
      <w:pPr>
        <w:spacing w:line="360" w:lineRule="auto"/>
        <w:rPr>
          <w:rFonts w:hint="eastAsia" w:ascii="宋体" w:hAnsi="宋体"/>
          <w:b/>
          <w:sz w:val="32"/>
          <w:szCs w:val="32"/>
        </w:rPr>
      </w:pPr>
    </w:p>
    <w:p w14:paraId="27B14EB8">
      <w:pPr>
        <w:bidi w:val="0"/>
        <w:jc w:val="center"/>
        <w:rPr>
          <w:rFonts w:ascii="Arial" w:eastAsia="黑体" w:cs="Times New Roman"/>
        </w:rPr>
      </w:pPr>
      <w:bookmarkStart w:id="254" w:name="_Toc38013571"/>
      <w:r>
        <w:rPr>
          <w:rFonts w:hint="eastAsia"/>
          <w:sz w:val="28"/>
          <w:szCs w:val="28"/>
        </w:rPr>
        <w:t>目录（自行编制）</w:t>
      </w:r>
      <w:bookmarkEnd w:id="239"/>
      <w:bookmarkEnd w:id="240"/>
      <w:bookmarkEnd w:id="241"/>
      <w:bookmarkEnd w:id="254"/>
    </w:p>
    <w:p w14:paraId="6BC38BAE">
      <w:pPr>
        <w:rPr>
          <w:sz w:val="28"/>
          <w:szCs w:val="28"/>
        </w:rPr>
      </w:pPr>
    </w:p>
    <w:p w14:paraId="6168624C">
      <w:pPr>
        <w:rPr>
          <w:sz w:val="28"/>
          <w:szCs w:val="28"/>
        </w:rPr>
      </w:pPr>
    </w:p>
    <w:p w14:paraId="24D07DBA">
      <w:pPr>
        <w:rPr>
          <w:sz w:val="28"/>
          <w:szCs w:val="28"/>
        </w:rPr>
      </w:pPr>
    </w:p>
    <w:p w14:paraId="1B170986">
      <w:pPr>
        <w:rPr>
          <w:sz w:val="28"/>
          <w:szCs w:val="28"/>
        </w:rPr>
      </w:pPr>
    </w:p>
    <w:p w14:paraId="335A139F">
      <w:pPr>
        <w:rPr>
          <w:sz w:val="28"/>
          <w:szCs w:val="28"/>
        </w:rPr>
      </w:pPr>
    </w:p>
    <w:p w14:paraId="04FF395F">
      <w:pPr>
        <w:rPr>
          <w:sz w:val="28"/>
          <w:szCs w:val="28"/>
        </w:rPr>
      </w:pPr>
    </w:p>
    <w:p w14:paraId="56D8F20D">
      <w:pPr>
        <w:rPr>
          <w:sz w:val="28"/>
          <w:szCs w:val="28"/>
        </w:rPr>
      </w:pPr>
    </w:p>
    <w:p w14:paraId="0B910275">
      <w:pPr>
        <w:rPr>
          <w:sz w:val="28"/>
          <w:szCs w:val="28"/>
        </w:rPr>
      </w:pPr>
    </w:p>
    <w:p w14:paraId="3CA6E7E1">
      <w:pPr>
        <w:rPr>
          <w:sz w:val="28"/>
          <w:szCs w:val="28"/>
        </w:rPr>
      </w:pPr>
    </w:p>
    <w:p w14:paraId="50B4C71B">
      <w:pPr>
        <w:rPr>
          <w:sz w:val="28"/>
          <w:szCs w:val="28"/>
        </w:rPr>
      </w:pPr>
    </w:p>
    <w:p w14:paraId="44250D74">
      <w:pPr>
        <w:rPr>
          <w:sz w:val="28"/>
          <w:szCs w:val="28"/>
        </w:rPr>
      </w:pPr>
    </w:p>
    <w:p w14:paraId="598B5187">
      <w:pPr>
        <w:rPr>
          <w:sz w:val="28"/>
          <w:szCs w:val="28"/>
        </w:rPr>
      </w:pPr>
    </w:p>
    <w:p w14:paraId="37849C6D">
      <w:pPr>
        <w:rPr>
          <w:sz w:val="28"/>
          <w:szCs w:val="28"/>
        </w:rPr>
      </w:pPr>
    </w:p>
    <w:p w14:paraId="420C844B">
      <w:pPr>
        <w:rPr>
          <w:sz w:val="28"/>
          <w:szCs w:val="28"/>
        </w:rPr>
      </w:pPr>
    </w:p>
    <w:p w14:paraId="7F419D65">
      <w:pPr>
        <w:rPr>
          <w:sz w:val="28"/>
          <w:szCs w:val="28"/>
        </w:rPr>
      </w:pPr>
    </w:p>
    <w:p w14:paraId="6CD2B7BF">
      <w:pPr>
        <w:rPr>
          <w:sz w:val="28"/>
          <w:szCs w:val="28"/>
        </w:rPr>
      </w:pPr>
    </w:p>
    <w:p w14:paraId="002CA7CC">
      <w:pPr>
        <w:rPr>
          <w:sz w:val="28"/>
          <w:szCs w:val="28"/>
        </w:rPr>
      </w:pPr>
    </w:p>
    <w:p w14:paraId="52C1851E">
      <w:pPr>
        <w:rPr>
          <w:sz w:val="28"/>
          <w:szCs w:val="28"/>
        </w:rPr>
      </w:pPr>
    </w:p>
    <w:p w14:paraId="0E10E8DC">
      <w:pPr>
        <w:rPr>
          <w:rFonts w:hint="eastAsia" w:ascii="Arial" w:eastAsia="黑体" w:cs="Times New Roman"/>
          <w:sz w:val="32"/>
          <w:szCs w:val="32"/>
        </w:rPr>
      </w:pPr>
      <w:bookmarkStart w:id="255" w:name="_Toc507510300"/>
      <w:bookmarkStart w:id="256" w:name="_Toc38013572"/>
      <w:bookmarkStart w:id="257" w:name="_Toc12604917"/>
      <w:r>
        <w:rPr>
          <w:rFonts w:hint="eastAsia" w:ascii="Arial" w:eastAsia="黑体" w:cs="Times New Roman"/>
          <w:sz w:val="32"/>
          <w:szCs w:val="32"/>
        </w:rPr>
        <w:br w:type="page"/>
      </w:r>
    </w:p>
    <w:p w14:paraId="1EC8C0F0">
      <w:pPr>
        <w:pStyle w:val="3"/>
        <w:spacing w:before="260" w:after="260" w:line="413" w:lineRule="auto"/>
        <w:jc w:val="center"/>
        <w:rPr>
          <w:sz w:val="32"/>
          <w:szCs w:val="32"/>
        </w:rPr>
      </w:pPr>
      <w:bookmarkStart w:id="258" w:name="_Toc9126"/>
      <w:r>
        <w:rPr>
          <w:rFonts w:hint="eastAsia" w:ascii="Arial" w:eastAsia="黑体" w:cs="Times New Roman"/>
          <w:sz w:val="32"/>
          <w:szCs w:val="32"/>
        </w:rPr>
        <w:t>一、供应商承诺书</w:t>
      </w:r>
      <w:bookmarkEnd w:id="255"/>
      <w:bookmarkEnd w:id="256"/>
      <w:bookmarkEnd w:id="257"/>
      <w:bookmarkEnd w:id="258"/>
    </w:p>
    <w:p w14:paraId="33031768">
      <w:pPr>
        <w:spacing w:line="360" w:lineRule="auto"/>
        <w:jc w:val="center"/>
        <w:rPr>
          <w:rFonts w:ascii="宋体" w:hAnsi="宋体"/>
          <w:b/>
          <w:sz w:val="44"/>
          <w:szCs w:val="36"/>
        </w:rPr>
      </w:pPr>
      <w:r>
        <w:rPr>
          <w:rFonts w:hint="eastAsia" w:ascii="宋体" w:hAnsi="宋体"/>
          <w:b/>
          <w:sz w:val="44"/>
          <w:szCs w:val="36"/>
        </w:rPr>
        <w:t>供应商承诺书</w:t>
      </w:r>
    </w:p>
    <w:p w14:paraId="0F3A43E9">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A64A6C0">
      <w:pPr>
        <w:spacing w:line="480" w:lineRule="exact"/>
        <w:ind w:firstLine="480" w:firstLineChars="200"/>
        <w:rPr>
          <w:rFonts w:ascii="宋体" w:hAnsi="宋体"/>
          <w:sz w:val="24"/>
        </w:rPr>
      </w:pPr>
      <w:r>
        <w:rPr>
          <w:rFonts w:hint="eastAsia" w:ascii="宋体" w:hAnsi="宋体"/>
          <w:sz w:val="24"/>
        </w:rPr>
        <w:t>本投标单位已详细阅读了项目招标文件，自愿参加上述项目投标，现就有关事项向招标单位郑重承诺如下：</w:t>
      </w:r>
    </w:p>
    <w:p w14:paraId="69737609">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41F2CDE3">
      <w:pPr>
        <w:spacing w:line="480" w:lineRule="exact"/>
        <w:ind w:firstLine="480" w:firstLineChars="200"/>
        <w:rPr>
          <w:rFonts w:ascii="宋体" w:hAnsi="宋体"/>
          <w:sz w:val="24"/>
        </w:rPr>
      </w:pPr>
      <w:r>
        <w:rPr>
          <w:rFonts w:hint="eastAsia" w:ascii="宋体" w:hAnsi="宋体"/>
          <w:sz w:val="24"/>
        </w:rPr>
        <w:t>2、接受招标文件全部内容。</w:t>
      </w:r>
    </w:p>
    <w:p w14:paraId="2996C6A8">
      <w:pPr>
        <w:spacing w:line="480" w:lineRule="exact"/>
        <w:ind w:firstLine="480" w:firstLineChars="200"/>
        <w:rPr>
          <w:rFonts w:ascii="宋体" w:hAnsi="宋体"/>
          <w:sz w:val="24"/>
        </w:rPr>
      </w:pPr>
      <w:r>
        <w:rPr>
          <w:rFonts w:hint="eastAsia" w:ascii="宋体" w:hAnsi="宋体"/>
          <w:sz w:val="24"/>
        </w:rPr>
        <w:t>3、服从《供应商须知》的安排。</w:t>
      </w:r>
    </w:p>
    <w:p w14:paraId="09B0336F">
      <w:pPr>
        <w:spacing w:line="480" w:lineRule="exact"/>
        <w:ind w:firstLine="480" w:firstLineChars="200"/>
        <w:rPr>
          <w:rFonts w:ascii="宋体" w:hAnsi="宋体"/>
          <w:sz w:val="24"/>
        </w:rPr>
      </w:pPr>
      <w:r>
        <w:rPr>
          <w:rFonts w:hint="eastAsia" w:ascii="宋体" w:hAnsi="宋体"/>
          <w:sz w:val="24"/>
        </w:rPr>
        <w:t>4、保证投标内容无任何虚假。若评标过程中查出有虚假，同意作无效投标文件处理并承担相应责任；若中标之后查出有虚假，同意废除中标资格并承担相应责任。</w:t>
      </w:r>
    </w:p>
    <w:p w14:paraId="3F356E09">
      <w:pPr>
        <w:spacing w:line="480" w:lineRule="exact"/>
        <w:ind w:firstLine="480" w:firstLineChars="200"/>
        <w:rPr>
          <w:rFonts w:ascii="宋体" w:hAnsi="宋体"/>
          <w:sz w:val="24"/>
        </w:rPr>
      </w:pPr>
      <w:r>
        <w:rPr>
          <w:rFonts w:hint="eastAsia" w:ascii="宋体" w:hAnsi="宋体"/>
          <w:sz w:val="24"/>
        </w:rPr>
        <w:t>5、保证投标文件不存在低于成本的恶意报价行为。</w:t>
      </w:r>
    </w:p>
    <w:p w14:paraId="64DF2B75">
      <w:pPr>
        <w:spacing w:line="480" w:lineRule="exact"/>
        <w:ind w:firstLine="480" w:firstLineChars="200"/>
        <w:rPr>
          <w:rFonts w:ascii="宋体" w:hAnsi="宋体"/>
          <w:sz w:val="24"/>
        </w:rPr>
      </w:pPr>
      <w:r>
        <w:rPr>
          <w:rFonts w:hint="eastAsia" w:ascii="宋体" w:hAnsi="宋体"/>
          <w:sz w:val="24"/>
        </w:rPr>
        <w:t>6、保证按招标文件及成交通知书规定提交履约保证金并商签</w:t>
      </w:r>
      <w:r>
        <w:rPr>
          <w:rFonts w:hint="eastAsia" w:ascii="宋体" w:hAnsi="宋体"/>
          <w:sz w:val="24"/>
          <w:lang w:val="en-US" w:eastAsia="zh-CN"/>
        </w:rPr>
        <w:t>项目</w:t>
      </w:r>
      <w:r>
        <w:rPr>
          <w:rFonts w:hint="eastAsia" w:ascii="宋体" w:hAnsi="宋体"/>
          <w:sz w:val="24"/>
        </w:rPr>
        <w:t>合同。</w:t>
      </w:r>
    </w:p>
    <w:p w14:paraId="45C624F3">
      <w:pPr>
        <w:spacing w:line="480" w:lineRule="exact"/>
        <w:ind w:firstLine="480" w:firstLineChars="200"/>
        <w:rPr>
          <w:rFonts w:ascii="宋体" w:hAnsi="宋体"/>
          <w:sz w:val="24"/>
        </w:rPr>
      </w:pPr>
      <w:r>
        <w:rPr>
          <w:rFonts w:hint="eastAsia" w:ascii="宋体" w:hAnsi="宋体"/>
          <w:sz w:val="24"/>
        </w:rPr>
        <w:t>7、保证按供货合同约定完成合同范围内的全部内容，履行保修期的责任。</w:t>
      </w:r>
    </w:p>
    <w:p w14:paraId="1C27E2A3">
      <w:pPr>
        <w:spacing w:line="480" w:lineRule="exact"/>
        <w:ind w:firstLine="480" w:firstLineChars="200"/>
        <w:rPr>
          <w:rFonts w:ascii="宋体" w:hAnsi="宋体"/>
          <w:sz w:val="24"/>
        </w:rPr>
      </w:pPr>
      <w:r>
        <w:rPr>
          <w:rFonts w:hint="eastAsia" w:ascii="宋体" w:hAnsi="宋体"/>
          <w:sz w:val="24"/>
        </w:rPr>
        <w:t>8、保证成交之后按投标文件承诺安排</w:t>
      </w:r>
      <w:r>
        <w:rPr>
          <w:rFonts w:hint="eastAsia" w:ascii="宋体" w:hAnsi="宋体"/>
          <w:color w:val="000000"/>
          <w:sz w:val="24"/>
        </w:rPr>
        <w:t>项目负责人</w:t>
      </w:r>
      <w:r>
        <w:rPr>
          <w:rFonts w:hint="eastAsia" w:ascii="宋体" w:hAnsi="宋体"/>
          <w:sz w:val="24"/>
        </w:rPr>
        <w:t>；在合同供货期内不经招标单位同意，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780C76D0">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2255ADEB">
      <w:pPr>
        <w:spacing w:line="480" w:lineRule="exact"/>
        <w:ind w:firstLine="480" w:firstLineChars="200"/>
        <w:rPr>
          <w:rFonts w:ascii="宋体" w:hAnsi="宋体"/>
          <w:sz w:val="24"/>
        </w:rPr>
      </w:pPr>
      <w:r>
        <w:rPr>
          <w:rFonts w:hint="eastAsia" w:ascii="宋体" w:hAnsi="宋体"/>
          <w:sz w:val="24"/>
        </w:rPr>
        <w:t>10、保证按招标文件及供货合同约定的原则处理相关费用调整事宜，不发生签署供货合同之后恶意提高费用的行为。</w:t>
      </w:r>
    </w:p>
    <w:p w14:paraId="3DC93414">
      <w:pPr>
        <w:spacing w:line="480" w:lineRule="exact"/>
        <w:ind w:firstLine="480" w:firstLineChars="200"/>
        <w:rPr>
          <w:rFonts w:ascii="宋体" w:hAnsi="宋体"/>
          <w:sz w:val="24"/>
        </w:rPr>
      </w:pPr>
      <w:r>
        <w:rPr>
          <w:rFonts w:hint="eastAsia" w:ascii="宋体" w:hAnsi="宋体"/>
          <w:sz w:val="24"/>
        </w:rPr>
        <w:t>若有违反以上1、2、3、5任何一条，同意被废除投标资格并接受处罚。</w:t>
      </w:r>
    </w:p>
    <w:p w14:paraId="06A9C810">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若有违反以上4、6、7、8、9、10任何一条，同意接受招标单位违约处罚并被没收履约保证金。</w:t>
      </w:r>
    </w:p>
    <w:p w14:paraId="69647A9C">
      <w:pPr>
        <w:spacing w:line="480" w:lineRule="exact"/>
        <w:ind w:firstLine="480" w:firstLineChars="200"/>
        <w:rPr>
          <w:rFonts w:hint="eastAsia" w:ascii="宋体" w:hAnsi="宋体"/>
          <w:sz w:val="24"/>
        </w:rPr>
      </w:pPr>
    </w:p>
    <w:p w14:paraId="524A6A82">
      <w:pPr>
        <w:spacing w:line="480" w:lineRule="exact"/>
        <w:ind w:firstLine="4800" w:firstLineChars="2000"/>
        <w:rPr>
          <w:rFonts w:ascii="宋体" w:hAnsi="宋体"/>
          <w:sz w:val="24"/>
        </w:rPr>
      </w:pPr>
      <w:r>
        <w:rPr>
          <w:rFonts w:hint="eastAsia" w:ascii="宋体" w:hAnsi="宋体"/>
          <w:sz w:val="24"/>
        </w:rPr>
        <w:t>供应商(盖单位章)：</w:t>
      </w:r>
    </w:p>
    <w:p w14:paraId="12155EF0">
      <w:pPr>
        <w:spacing w:line="480" w:lineRule="exact"/>
        <w:ind w:firstLine="4800" w:firstLineChars="2000"/>
        <w:rPr>
          <w:rFonts w:hint="default" w:ascii="宋体" w:hAnsi="宋体" w:eastAsia="宋体"/>
          <w:sz w:val="24"/>
          <w:lang w:val="en-US" w:eastAsia="zh-CN"/>
        </w:rPr>
      </w:pPr>
      <w:r>
        <w:rPr>
          <w:rFonts w:hint="eastAsia" w:ascii="宋体" w:hAnsi="宋体"/>
          <w:sz w:val="24"/>
        </w:rPr>
        <w:t>法定代表人（电子签章）：</w:t>
      </w:r>
    </w:p>
    <w:p w14:paraId="599188B7">
      <w:pPr>
        <w:spacing w:line="480" w:lineRule="exact"/>
        <w:ind w:firstLine="4800" w:firstLineChars="2000"/>
        <w:rPr>
          <w:rFonts w:ascii="仿宋_GB2312" w:eastAsia="仿宋_GB2312"/>
          <w:b/>
          <w:bCs/>
          <w:kern w:val="0"/>
          <w:sz w:val="32"/>
          <w:szCs w:val="32"/>
        </w:rPr>
      </w:pPr>
      <w:r>
        <w:rPr>
          <w:rFonts w:hint="eastAsia" w:ascii="宋体" w:hAnsi="宋体"/>
          <w:sz w:val="24"/>
        </w:rPr>
        <w:t>日  期：</w:t>
      </w:r>
    </w:p>
    <w:p w14:paraId="68A8DF58">
      <w:pPr>
        <w:pStyle w:val="3"/>
        <w:spacing w:before="260" w:after="260" w:line="413" w:lineRule="auto"/>
        <w:jc w:val="center"/>
        <w:rPr>
          <w:rFonts w:hAnsi="宋体"/>
          <w:b w:val="0"/>
          <w:bCs w:val="0"/>
          <w:sz w:val="32"/>
          <w:szCs w:val="32"/>
        </w:rPr>
      </w:pPr>
      <w:bookmarkStart w:id="259" w:name="_Toc38013573"/>
      <w:bookmarkStart w:id="260" w:name="_Toc8369"/>
      <w:r>
        <w:rPr>
          <w:rFonts w:hint="eastAsia" w:ascii="Arial" w:eastAsia="黑体" w:cs="Times New Roman"/>
          <w:sz w:val="32"/>
          <w:szCs w:val="32"/>
        </w:rPr>
        <w:t>二、投标函</w:t>
      </w:r>
      <w:bookmarkEnd w:id="259"/>
      <w:bookmarkEnd w:id="260"/>
    </w:p>
    <w:p w14:paraId="1C84DCB9">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投标函</w:t>
      </w:r>
    </w:p>
    <w:p w14:paraId="0D01CB46">
      <w:pPr>
        <w:spacing w:line="4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（招标单位名称）</w:t>
      </w:r>
    </w:p>
    <w:p w14:paraId="5969F775">
      <w:pPr>
        <w:spacing w:line="560" w:lineRule="exact"/>
        <w:ind w:firstLine="560"/>
        <w:rPr>
          <w:rFonts w:ascii="宋体" w:hAnsi="宋体"/>
          <w:kern w:val="0"/>
          <w:sz w:val="28"/>
          <w:szCs w:val="28"/>
        </w:rPr>
      </w:pPr>
      <w:r>
        <w:rPr>
          <w:rFonts w:hint="eastAsia" w:ascii="宋体" w:hAnsi="宋体"/>
          <w:sz w:val="28"/>
          <w:szCs w:val="28"/>
        </w:rPr>
        <w:t>1、根据已收到的项目编号为</w:t>
      </w:r>
      <w:r>
        <w:rPr>
          <w:rFonts w:hint="eastAsia" w:ascii="宋体" w:hAnsi="宋体"/>
          <w:sz w:val="28"/>
          <w:szCs w:val="28"/>
          <w:u w:val="single"/>
        </w:rPr>
        <w:t xml:space="preserve">  （项目编号） </w:t>
      </w:r>
      <w:r>
        <w:rPr>
          <w:rFonts w:hint="eastAsia" w:ascii="宋体" w:hAnsi="宋体"/>
          <w:sz w:val="28"/>
          <w:szCs w:val="28"/>
        </w:rPr>
        <w:t>的</w:t>
      </w:r>
      <w:r>
        <w:rPr>
          <w:rFonts w:hint="eastAsia" w:ascii="宋体" w:hAnsi="宋体"/>
          <w:sz w:val="28"/>
          <w:szCs w:val="28"/>
          <w:u w:val="single"/>
        </w:rPr>
        <w:t xml:space="preserve"> （项目名称）</w:t>
      </w:r>
      <w:r>
        <w:rPr>
          <w:rFonts w:hint="eastAsia" w:ascii="宋体" w:hAnsi="宋体"/>
          <w:sz w:val="28"/>
          <w:szCs w:val="28"/>
        </w:rPr>
        <w:t>的招标文件，遵守《中华人民共和国政府采购法》和有关文件的规定，</w:t>
      </w:r>
      <w:r>
        <w:rPr>
          <w:rFonts w:hint="eastAsia" w:ascii="宋体" w:hAnsi="宋体" w:eastAsia="宋体" w:cs="Times New Roman"/>
          <w:sz w:val="28"/>
          <w:szCs w:val="28"/>
        </w:rPr>
        <w:t>我方承诺接</w:t>
      </w:r>
      <w:r>
        <w:rPr>
          <w:rFonts w:hint="eastAsia" w:ascii="宋体" w:hAnsi="宋体" w:eastAsia="宋体" w:cs="Times New Roman"/>
          <w:sz w:val="28"/>
          <w:szCs w:val="28"/>
          <w:lang w:val="en-US" w:eastAsia="zh-CN"/>
        </w:rPr>
        <w:t>受招标</w:t>
      </w:r>
      <w:r>
        <w:rPr>
          <w:rFonts w:hint="eastAsia" w:ascii="宋体" w:hAnsi="宋体" w:eastAsia="宋体" w:cs="Times New Roman"/>
          <w:sz w:val="28"/>
          <w:szCs w:val="28"/>
        </w:rPr>
        <w:t>文件及澄清修改部分（如有）的全部条款（包括</w:t>
      </w:r>
      <w:r>
        <w:rPr>
          <w:rFonts w:hint="eastAsia" w:ascii="宋体" w:hAnsi="宋体" w:eastAsia="宋体" w:cs="Times New Roman"/>
          <w:sz w:val="28"/>
          <w:szCs w:val="28"/>
          <w:lang w:val="en-US" w:eastAsia="zh-CN"/>
        </w:rPr>
        <w:t>投标</w:t>
      </w:r>
      <w:r>
        <w:rPr>
          <w:rFonts w:hint="eastAsia" w:ascii="宋体" w:hAnsi="宋体" w:eastAsia="宋体" w:cs="Times New Roman"/>
          <w:sz w:val="28"/>
          <w:szCs w:val="28"/>
        </w:rPr>
        <w:t>文件递交截止时间、资格条件、评审成交标准以及</w:t>
      </w:r>
      <w:r>
        <w:rPr>
          <w:rFonts w:hint="eastAsia" w:ascii="宋体" w:hAnsi="宋体" w:eastAsia="宋体" w:cs="Times New Roman"/>
          <w:sz w:val="28"/>
          <w:szCs w:val="28"/>
          <w:lang w:val="en-US" w:eastAsia="zh-CN"/>
        </w:rPr>
        <w:t>采购</w:t>
      </w:r>
      <w:r>
        <w:rPr>
          <w:rFonts w:hint="eastAsia" w:ascii="宋体" w:hAnsi="宋体" w:eastAsia="宋体" w:cs="Times New Roman"/>
          <w:sz w:val="28"/>
          <w:szCs w:val="28"/>
        </w:rPr>
        <w:t>需求等其他所有条款）且无任何异议，我公司愿以</w:t>
      </w:r>
      <w:r>
        <w:rPr>
          <w:rFonts w:hint="eastAsia" w:ascii="宋体" w:hAnsi="宋体"/>
          <w:kern w:val="0"/>
          <w:sz w:val="28"/>
          <w:szCs w:val="28"/>
        </w:rPr>
        <w:t>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元）的报价参加该项目的投标，并按上述文件中的条款承包该项目。</w:t>
      </w:r>
    </w:p>
    <w:p w14:paraId="07172593">
      <w:pPr>
        <w:spacing w:line="560" w:lineRule="exact"/>
        <w:ind w:firstLine="560" w:firstLineChars="200"/>
        <w:rPr>
          <w:rFonts w:ascii="宋体" w:hAnsi="宋体"/>
          <w:sz w:val="28"/>
          <w:szCs w:val="28"/>
        </w:rPr>
      </w:pPr>
      <w:r>
        <w:rPr>
          <w:rFonts w:hint="eastAsia" w:ascii="宋体" w:hAnsi="宋体"/>
          <w:sz w:val="28"/>
          <w:szCs w:val="28"/>
        </w:rPr>
        <w:t>2、我公司完全投标招标文件中提出的所有实质性要求。</w:t>
      </w:r>
    </w:p>
    <w:p w14:paraId="72DE0D92">
      <w:pPr>
        <w:spacing w:line="560" w:lineRule="exact"/>
        <w:ind w:firstLine="560" w:firstLineChars="200"/>
        <w:rPr>
          <w:rFonts w:ascii="宋体" w:hAnsi="宋体"/>
          <w:sz w:val="28"/>
          <w:szCs w:val="28"/>
        </w:rPr>
      </w:pPr>
      <w:r>
        <w:rPr>
          <w:rFonts w:hint="eastAsia" w:ascii="宋体" w:hAnsi="宋体"/>
          <w:sz w:val="28"/>
          <w:szCs w:val="28"/>
        </w:rPr>
        <w:t>3、我公司同意在招标文件规定的投标期限内，本投标文件始终对我公司具有约束力，且随时可以按此文件成交。</w:t>
      </w:r>
    </w:p>
    <w:p w14:paraId="6BA00348">
      <w:pPr>
        <w:spacing w:line="560" w:lineRule="exact"/>
        <w:ind w:firstLine="560" w:firstLineChars="200"/>
        <w:rPr>
          <w:rFonts w:hint="default" w:ascii="宋体" w:hAnsi="宋体"/>
          <w:sz w:val="28"/>
          <w:szCs w:val="28"/>
          <w:u w:val="single"/>
          <w:lang w:val="en-US" w:eastAsia="zh-CN"/>
        </w:rPr>
      </w:pPr>
      <w:r>
        <w:rPr>
          <w:rFonts w:hint="eastAsia" w:ascii="宋体" w:hAnsi="宋体"/>
          <w:sz w:val="28"/>
          <w:szCs w:val="28"/>
        </w:rPr>
        <w:t>4、一旦我公司成交，我公司保证在成交后的规定期限内签订项目合同，</w:t>
      </w:r>
      <w:r>
        <w:rPr>
          <w:rFonts w:hint="eastAsia" w:ascii="宋体" w:hAnsi="宋体"/>
          <w:color w:val="000000"/>
          <w:sz w:val="28"/>
          <w:szCs w:val="28"/>
        </w:rPr>
        <w:t>并保证在</w:t>
      </w:r>
      <w:r>
        <w:rPr>
          <w:rFonts w:hint="eastAsia" w:ascii="宋体" w:hAnsi="宋体"/>
          <w:color w:val="000000"/>
          <w:sz w:val="28"/>
          <w:szCs w:val="28"/>
          <w:lang w:val="en-US" w:eastAsia="zh-CN"/>
        </w:rPr>
        <w:t>供货期：</w:t>
      </w:r>
      <w:r>
        <w:rPr>
          <w:rFonts w:hint="eastAsia" w:ascii="宋体" w:hAnsi="宋体"/>
          <w:color w:val="000000"/>
          <w:sz w:val="28"/>
          <w:szCs w:val="28"/>
          <w:u w:val="single"/>
        </w:rPr>
        <w:t xml:space="preserve">     </w:t>
      </w:r>
      <w:r>
        <w:rPr>
          <w:rFonts w:hint="eastAsia" w:ascii="宋体" w:hAnsi="宋体"/>
          <w:color w:val="000000"/>
          <w:sz w:val="28"/>
          <w:szCs w:val="28"/>
        </w:rPr>
        <w:t>内完成本项目供货</w:t>
      </w:r>
      <w:r>
        <w:rPr>
          <w:rFonts w:hint="eastAsia" w:ascii="宋体" w:hAnsi="宋体"/>
          <w:color w:val="000000"/>
          <w:sz w:val="28"/>
          <w:szCs w:val="28"/>
          <w:lang w:val="en-US" w:eastAsia="zh-CN"/>
        </w:rPr>
        <w:t>及相关</w:t>
      </w:r>
      <w:r>
        <w:rPr>
          <w:rFonts w:hint="eastAsia" w:ascii="宋体" w:hAnsi="宋体"/>
          <w:color w:val="000000"/>
          <w:sz w:val="28"/>
          <w:szCs w:val="28"/>
        </w:rPr>
        <w:t>要求，</w:t>
      </w:r>
      <w:r>
        <w:rPr>
          <w:rFonts w:hint="eastAsia" w:ascii="宋体" w:hAnsi="宋体"/>
          <w:sz w:val="28"/>
          <w:szCs w:val="28"/>
        </w:rPr>
        <w:t>确保质量达到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eastAsia="zh-CN"/>
        </w:rPr>
        <w:t>，</w:t>
      </w:r>
      <w:r>
        <w:rPr>
          <w:rFonts w:hint="eastAsia" w:ascii="宋体" w:hAnsi="宋体"/>
          <w:sz w:val="28"/>
          <w:szCs w:val="28"/>
          <w:lang w:val="en-US" w:eastAsia="zh-CN"/>
        </w:rPr>
        <w:t>质保期：</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，拟派项目负责人：</w:t>
      </w:r>
      <w:r>
        <w:rPr>
          <w:rFonts w:hint="eastAsia" w:ascii="宋体" w:hAnsi="宋体"/>
          <w:sz w:val="28"/>
          <w:szCs w:val="28"/>
          <w:u w:val="single"/>
          <w:lang w:val="en-US" w:eastAsia="zh-CN"/>
        </w:rPr>
        <w:t xml:space="preserve">（姓名及联系方式）  </w:t>
      </w:r>
    </w:p>
    <w:p w14:paraId="5EA9ACC6">
      <w:pPr>
        <w:spacing w:line="560" w:lineRule="exact"/>
        <w:ind w:firstLine="560" w:firstLineChars="200"/>
        <w:rPr>
          <w:rFonts w:ascii="宋体" w:hAnsi="宋体"/>
          <w:sz w:val="28"/>
          <w:szCs w:val="28"/>
        </w:rPr>
      </w:pPr>
      <w:r>
        <w:rPr>
          <w:rFonts w:hint="eastAsia" w:ascii="宋体" w:hAnsi="宋体"/>
          <w:sz w:val="28"/>
          <w:szCs w:val="28"/>
        </w:rPr>
        <w:t>5、成交后，我公司将提交规定数额的履约保证金，并对此承担责任。</w:t>
      </w:r>
    </w:p>
    <w:p w14:paraId="09E7999F">
      <w:pPr>
        <w:spacing w:line="560" w:lineRule="exact"/>
        <w:ind w:firstLine="560" w:firstLineChars="200"/>
        <w:rPr>
          <w:rFonts w:ascii="宋体" w:hAnsi="宋体"/>
          <w:sz w:val="28"/>
          <w:szCs w:val="28"/>
        </w:rPr>
      </w:pPr>
      <w:r>
        <w:rPr>
          <w:rFonts w:hint="eastAsia" w:ascii="宋体" w:hAnsi="宋体"/>
          <w:sz w:val="28"/>
          <w:szCs w:val="28"/>
        </w:rPr>
        <w:t>6、我们承诺最低报价是成交的重要选择，但不是唯一选择。</w:t>
      </w:r>
    </w:p>
    <w:p w14:paraId="7645C52B">
      <w:pPr>
        <w:spacing w:line="560" w:lineRule="exact"/>
        <w:ind w:firstLine="560" w:firstLineChars="200"/>
        <w:rPr>
          <w:rFonts w:ascii="宋体" w:hAnsi="宋体"/>
          <w:sz w:val="28"/>
          <w:szCs w:val="28"/>
        </w:rPr>
      </w:pPr>
      <w:r>
        <w:rPr>
          <w:rFonts w:hint="eastAsia" w:ascii="宋体" w:hAnsi="宋体"/>
          <w:sz w:val="28"/>
          <w:szCs w:val="28"/>
        </w:rPr>
        <w:t>7、除非与贵方另外达成协议并生效，贵方的成交通知书、本投标文件将与双方签订的合同具有同等的约束力。</w:t>
      </w:r>
    </w:p>
    <w:p w14:paraId="53EC07CB">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lang w:val="en-US" w:eastAsia="zh-CN"/>
        </w:rPr>
        <w:t>供  应  商</w:t>
      </w:r>
      <w:r>
        <w:rPr>
          <w:rFonts w:hint="eastAsia" w:ascii="宋体" w:hAnsi="宋体" w:cs="宋体"/>
          <w:sz w:val="28"/>
          <w:szCs w:val="28"/>
        </w:rPr>
        <w:t>：（盖单位章）</w:t>
      </w:r>
    </w:p>
    <w:p w14:paraId="3E3D9F5D">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14:paraId="783889FD">
      <w:pPr>
        <w:spacing w:line="360" w:lineRule="auto"/>
        <w:ind w:firstLine="4200" w:firstLineChars="1500"/>
        <w:jc w:val="left"/>
        <w:rPr>
          <w:rFonts w:hint="eastAsia" w:ascii="宋体" w:hAnsi="宋体" w:cs="宋体"/>
          <w:sz w:val="28"/>
          <w:szCs w:val="28"/>
        </w:rPr>
      </w:pPr>
      <w:r>
        <w:rPr>
          <w:rFonts w:hint="eastAsia" w:ascii="宋体" w:hAnsi="宋体" w:cs="宋体"/>
          <w:sz w:val="28"/>
          <w:szCs w:val="28"/>
        </w:rPr>
        <w:t>日      期：   年   月  日</w:t>
      </w:r>
    </w:p>
    <w:p w14:paraId="0360CF43">
      <w:pPr>
        <w:rPr>
          <w:rFonts w:hint="eastAsia" w:ascii="宋体" w:hAnsi="宋体" w:cs="宋体"/>
          <w:sz w:val="28"/>
          <w:szCs w:val="28"/>
        </w:rPr>
      </w:pPr>
      <w:r>
        <w:rPr>
          <w:rFonts w:hint="eastAsia" w:ascii="宋体" w:hAnsi="宋体" w:cs="宋体"/>
          <w:sz w:val="28"/>
          <w:szCs w:val="28"/>
        </w:rPr>
        <w:br w:type="page"/>
      </w:r>
    </w:p>
    <w:p w14:paraId="077B3EB2">
      <w:pPr>
        <w:spacing w:line="360" w:lineRule="auto"/>
        <w:jc w:val="center"/>
        <w:rPr>
          <w:rFonts w:ascii="宋体" w:hAnsi="宋体"/>
          <w:b/>
          <w:bCs/>
          <w:kern w:val="0"/>
          <w:sz w:val="44"/>
          <w:szCs w:val="36"/>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cs="宋体"/>
          <w:b/>
          <w:bCs/>
          <w:sz w:val="28"/>
          <w:szCs w:val="28"/>
          <w:lang w:eastAsia="zh-CN"/>
        </w:rPr>
        <w:t>）</w:t>
      </w:r>
      <w:r>
        <w:rPr>
          <w:rFonts w:hint="eastAsia" w:ascii="宋体" w:hAnsi="宋体" w:cs="宋体"/>
          <w:b/>
          <w:bCs/>
          <w:sz w:val="28"/>
          <w:szCs w:val="28"/>
          <w:lang w:val="en-US" w:eastAsia="zh-CN"/>
        </w:rPr>
        <w:t>投标函附录</w:t>
      </w:r>
      <w:bookmarkStart w:id="261" w:name="page58"/>
      <w:bookmarkEnd w:id="261"/>
      <w:bookmarkStart w:id="262" w:name="_Toc12604919"/>
      <w:bookmarkStart w:id="263" w:name="_Toc38013574"/>
      <w:r>
        <w:rPr>
          <w:rFonts w:hint="eastAsia" w:ascii="宋体" w:hAnsi="宋体"/>
          <w:b/>
          <w:bCs/>
          <w:kern w:val="0"/>
          <w:sz w:val="44"/>
          <w:szCs w:val="36"/>
        </w:rPr>
        <w:t xml:space="preserve"> </w:t>
      </w:r>
    </w:p>
    <w:tbl>
      <w:tblPr>
        <w:tblStyle w:val="47"/>
        <w:tblW w:w="8414" w:type="dxa"/>
        <w:tblInd w:w="108" w:type="dxa"/>
        <w:tblLayout w:type="fixed"/>
        <w:tblCellMar>
          <w:top w:w="15" w:type="dxa"/>
          <w:left w:w="15" w:type="dxa"/>
          <w:bottom w:w="15" w:type="dxa"/>
          <w:right w:w="15" w:type="dxa"/>
        </w:tblCellMar>
      </w:tblPr>
      <w:tblGrid>
        <w:gridCol w:w="2889"/>
        <w:gridCol w:w="5525"/>
      </w:tblGrid>
      <w:tr w14:paraId="26C8D241">
        <w:tblPrEx>
          <w:tblCellMar>
            <w:top w:w="15" w:type="dxa"/>
            <w:left w:w="15" w:type="dxa"/>
            <w:bottom w:w="15" w:type="dxa"/>
            <w:right w:w="15" w:type="dxa"/>
          </w:tblCellMar>
        </w:tblPrEx>
        <w:trPr>
          <w:trHeight w:val="1050" w:hRule="atLeast"/>
        </w:trPr>
        <w:tc>
          <w:tcPr>
            <w:tcW w:w="2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A54DD">
            <w:pPr>
              <w:widowControl/>
              <w:snapToGrid w:val="0"/>
              <w:spacing w:line="365" w:lineRule="atLeast"/>
              <w:jc w:val="center"/>
              <w:rPr>
                <w:rFonts w:ascii="宋体" w:hAnsi="宋体"/>
                <w:kern w:val="0"/>
                <w:sz w:val="28"/>
                <w:szCs w:val="30"/>
              </w:rPr>
            </w:pPr>
            <w:r>
              <w:rPr>
                <w:rFonts w:hint="eastAsia" w:ascii="宋体" w:hAnsi="宋体"/>
                <w:kern w:val="0"/>
                <w:sz w:val="28"/>
                <w:szCs w:val="30"/>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46C9DD9">
            <w:pPr>
              <w:widowControl/>
              <w:snapToGrid w:val="0"/>
              <w:spacing w:line="365" w:lineRule="atLeast"/>
              <w:ind w:left="1"/>
              <w:jc w:val="center"/>
              <w:rPr>
                <w:rFonts w:ascii="宋体" w:hAnsi="宋体"/>
                <w:kern w:val="0"/>
                <w:sz w:val="28"/>
                <w:szCs w:val="44"/>
              </w:rPr>
            </w:pPr>
          </w:p>
        </w:tc>
      </w:tr>
      <w:tr w14:paraId="69347FED">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C89A221">
            <w:pPr>
              <w:widowControl/>
              <w:snapToGrid w:val="0"/>
              <w:spacing w:line="365" w:lineRule="atLeast"/>
              <w:jc w:val="center"/>
              <w:rPr>
                <w:rFonts w:ascii="宋体" w:hAnsi="宋体"/>
                <w:kern w:val="0"/>
                <w:sz w:val="28"/>
                <w:szCs w:val="30"/>
              </w:rPr>
            </w:pPr>
            <w:r>
              <w:rPr>
                <w:rFonts w:hint="eastAsia" w:ascii="宋体" w:hAnsi="宋体"/>
                <w:kern w:val="0"/>
                <w:sz w:val="28"/>
                <w:szCs w:val="32"/>
              </w:rPr>
              <w:t>供货期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7869700">
            <w:pPr>
              <w:widowControl/>
              <w:snapToGrid w:val="0"/>
              <w:spacing w:line="365" w:lineRule="atLeast"/>
              <w:ind w:left="1"/>
              <w:jc w:val="center"/>
              <w:rPr>
                <w:rFonts w:ascii="宋体" w:hAnsi="宋体"/>
                <w:kern w:val="0"/>
                <w:sz w:val="28"/>
                <w:szCs w:val="32"/>
              </w:rPr>
            </w:pPr>
          </w:p>
          <w:p w14:paraId="70C62099">
            <w:pPr>
              <w:widowControl/>
              <w:snapToGrid w:val="0"/>
              <w:spacing w:line="365" w:lineRule="atLeast"/>
              <w:ind w:left="1"/>
              <w:jc w:val="center"/>
              <w:rPr>
                <w:rFonts w:ascii="宋体" w:hAnsi="宋体"/>
                <w:kern w:val="0"/>
                <w:sz w:val="28"/>
                <w:szCs w:val="32"/>
              </w:rPr>
            </w:pPr>
          </w:p>
        </w:tc>
      </w:tr>
      <w:tr w14:paraId="4B20117E">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BECAF">
            <w:pPr>
              <w:widowControl/>
              <w:snapToGrid w:val="0"/>
              <w:spacing w:line="365" w:lineRule="atLeast"/>
              <w:jc w:val="center"/>
              <w:rPr>
                <w:rFonts w:hint="eastAsia" w:ascii="宋体" w:hAnsi="宋体" w:eastAsia="宋体"/>
                <w:kern w:val="0"/>
                <w:sz w:val="28"/>
                <w:szCs w:val="32"/>
                <w:lang w:val="en-US" w:eastAsia="zh-CN"/>
              </w:rPr>
            </w:pPr>
            <w:r>
              <w:rPr>
                <w:rFonts w:hint="eastAsia" w:ascii="宋体" w:hAnsi="宋体"/>
                <w:kern w:val="0"/>
                <w:sz w:val="28"/>
                <w:szCs w:val="32"/>
                <w:lang w:val="en-US" w:eastAsia="zh-CN"/>
              </w:rPr>
              <w:t>质保期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D7E2A96">
            <w:pPr>
              <w:widowControl/>
              <w:snapToGrid w:val="0"/>
              <w:spacing w:line="365" w:lineRule="atLeast"/>
              <w:ind w:left="1"/>
              <w:jc w:val="center"/>
              <w:rPr>
                <w:rFonts w:ascii="宋体" w:hAnsi="宋体"/>
                <w:kern w:val="0"/>
                <w:sz w:val="28"/>
                <w:szCs w:val="32"/>
              </w:rPr>
            </w:pPr>
          </w:p>
        </w:tc>
      </w:tr>
      <w:tr w14:paraId="1A4206DC">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89CAA">
            <w:pPr>
              <w:widowControl/>
              <w:snapToGrid w:val="0"/>
              <w:spacing w:line="365" w:lineRule="atLeast"/>
              <w:jc w:val="center"/>
              <w:rPr>
                <w:rFonts w:ascii="宋体" w:hAnsi="宋体"/>
                <w:kern w:val="0"/>
                <w:sz w:val="28"/>
                <w:szCs w:val="32"/>
              </w:rPr>
            </w:pPr>
            <w:r>
              <w:rPr>
                <w:rFonts w:hint="eastAsia" w:ascii="宋体" w:hAnsi="宋体"/>
                <w:kern w:val="0"/>
                <w:sz w:val="28"/>
                <w:szCs w:val="32"/>
              </w:rPr>
              <w:t>投标有效期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41608C">
            <w:pPr>
              <w:widowControl/>
              <w:snapToGrid w:val="0"/>
              <w:spacing w:line="365" w:lineRule="atLeast"/>
              <w:ind w:left="1"/>
              <w:jc w:val="center"/>
              <w:rPr>
                <w:rFonts w:ascii="宋体" w:hAnsi="宋体"/>
                <w:kern w:val="0"/>
                <w:sz w:val="28"/>
                <w:szCs w:val="32"/>
              </w:rPr>
            </w:pPr>
          </w:p>
        </w:tc>
      </w:tr>
      <w:tr w14:paraId="5583B416">
        <w:tblPrEx>
          <w:tblCellMar>
            <w:top w:w="15" w:type="dxa"/>
            <w:left w:w="15" w:type="dxa"/>
            <w:bottom w:w="15" w:type="dxa"/>
            <w:right w:w="15" w:type="dxa"/>
          </w:tblCellMar>
        </w:tblPrEx>
        <w:trPr>
          <w:trHeight w:val="1108"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8D316">
            <w:pPr>
              <w:widowControl/>
              <w:snapToGrid w:val="0"/>
              <w:spacing w:line="365" w:lineRule="atLeast"/>
              <w:jc w:val="center"/>
              <w:rPr>
                <w:rFonts w:ascii="宋体" w:hAnsi="宋体"/>
                <w:kern w:val="0"/>
                <w:sz w:val="28"/>
                <w:szCs w:val="30"/>
              </w:rPr>
            </w:pPr>
            <w:r>
              <w:rPr>
                <w:rFonts w:hint="eastAsia" w:ascii="宋体" w:hAnsi="宋体"/>
                <w:kern w:val="0"/>
                <w:sz w:val="28"/>
                <w:szCs w:val="30"/>
              </w:rPr>
              <w:t>质量标准</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F0434E5">
            <w:pPr>
              <w:widowControl/>
              <w:snapToGrid w:val="0"/>
              <w:spacing w:line="365" w:lineRule="atLeast"/>
              <w:ind w:left="1"/>
              <w:jc w:val="center"/>
              <w:rPr>
                <w:rFonts w:ascii="宋体" w:hAnsi="宋体"/>
                <w:kern w:val="0"/>
                <w:sz w:val="28"/>
                <w:szCs w:val="32"/>
              </w:rPr>
            </w:pPr>
          </w:p>
          <w:p w14:paraId="3C126842">
            <w:pPr>
              <w:widowControl/>
              <w:snapToGrid w:val="0"/>
              <w:spacing w:line="365" w:lineRule="atLeast"/>
              <w:ind w:left="1"/>
              <w:jc w:val="center"/>
              <w:rPr>
                <w:rFonts w:ascii="宋体" w:hAnsi="宋体"/>
                <w:kern w:val="0"/>
                <w:sz w:val="28"/>
                <w:szCs w:val="32"/>
              </w:rPr>
            </w:pPr>
          </w:p>
        </w:tc>
      </w:tr>
      <w:tr w14:paraId="17382094">
        <w:tblPrEx>
          <w:tblCellMar>
            <w:top w:w="15" w:type="dxa"/>
            <w:left w:w="15" w:type="dxa"/>
            <w:bottom w:w="15" w:type="dxa"/>
            <w:right w:w="15" w:type="dxa"/>
          </w:tblCellMar>
        </w:tblPrEx>
        <w:trPr>
          <w:trHeight w:val="1137"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ED672EC">
            <w:pPr>
              <w:widowControl/>
              <w:snapToGrid w:val="0"/>
              <w:spacing w:line="365" w:lineRule="atLeast"/>
              <w:jc w:val="center"/>
              <w:rPr>
                <w:rFonts w:ascii="宋体" w:hAnsi="宋体"/>
                <w:kern w:val="0"/>
                <w:sz w:val="28"/>
                <w:szCs w:val="30"/>
              </w:rPr>
            </w:pPr>
            <w:r>
              <w:rPr>
                <w:rFonts w:hint="eastAsia" w:ascii="宋体" w:hAnsi="宋体"/>
                <w:kern w:val="0"/>
                <w:sz w:val="28"/>
                <w:szCs w:val="30"/>
              </w:rPr>
              <w:t>总投标报价(元)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A0D164A">
            <w:pPr>
              <w:widowControl/>
              <w:snapToGrid w:val="0"/>
              <w:spacing w:line="365" w:lineRule="atLeast"/>
              <w:rPr>
                <w:rFonts w:ascii="宋体" w:hAnsi="宋体"/>
                <w:kern w:val="0"/>
                <w:sz w:val="28"/>
                <w:szCs w:val="32"/>
              </w:rPr>
            </w:pPr>
          </w:p>
          <w:p w14:paraId="1DF26805">
            <w:pPr>
              <w:widowControl/>
              <w:snapToGrid w:val="0"/>
              <w:spacing w:line="365" w:lineRule="atLeast"/>
              <w:rPr>
                <w:rFonts w:ascii="宋体" w:hAnsi="宋体"/>
                <w:kern w:val="0"/>
                <w:sz w:val="28"/>
                <w:szCs w:val="32"/>
              </w:rPr>
            </w:pPr>
            <w:r>
              <w:rPr>
                <w:rFonts w:hint="eastAsia" w:ascii="宋体" w:hAnsi="宋体"/>
                <w:kern w:val="0"/>
                <w:sz w:val="28"/>
                <w:szCs w:val="32"/>
              </w:rPr>
              <w:t>大写：</w:t>
            </w:r>
          </w:p>
          <w:p w14:paraId="35798242">
            <w:pPr>
              <w:widowControl/>
              <w:snapToGrid w:val="0"/>
              <w:spacing w:line="365" w:lineRule="atLeast"/>
              <w:rPr>
                <w:rFonts w:ascii="宋体" w:hAnsi="宋体"/>
                <w:kern w:val="0"/>
                <w:sz w:val="28"/>
                <w:szCs w:val="32"/>
              </w:rPr>
            </w:pPr>
          </w:p>
          <w:p w14:paraId="575979B3">
            <w:pPr>
              <w:widowControl/>
              <w:snapToGrid w:val="0"/>
              <w:spacing w:line="365" w:lineRule="atLeast"/>
              <w:rPr>
                <w:rFonts w:ascii="宋体" w:hAnsi="宋体"/>
                <w:kern w:val="0"/>
                <w:sz w:val="28"/>
                <w:szCs w:val="32"/>
              </w:rPr>
            </w:pPr>
          </w:p>
          <w:p w14:paraId="5AC6B305">
            <w:pPr>
              <w:widowControl/>
              <w:snapToGrid w:val="0"/>
              <w:spacing w:line="365" w:lineRule="atLeast"/>
              <w:rPr>
                <w:rFonts w:ascii="宋体" w:hAnsi="宋体"/>
                <w:kern w:val="0"/>
                <w:sz w:val="28"/>
                <w:szCs w:val="32"/>
              </w:rPr>
            </w:pPr>
            <w:r>
              <w:rPr>
                <w:rFonts w:hint="eastAsia" w:ascii="宋体" w:hAnsi="宋体"/>
                <w:kern w:val="0"/>
                <w:sz w:val="28"/>
                <w:szCs w:val="32"/>
              </w:rPr>
              <w:t>小写：</w:t>
            </w:r>
          </w:p>
          <w:p w14:paraId="4150C1BC">
            <w:pPr>
              <w:widowControl/>
              <w:snapToGrid w:val="0"/>
              <w:spacing w:line="365" w:lineRule="atLeast"/>
              <w:rPr>
                <w:rFonts w:ascii="宋体" w:hAnsi="宋体"/>
                <w:kern w:val="0"/>
                <w:sz w:val="28"/>
                <w:szCs w:val="32"/>
              </w:rPr>
            </w:pPr>
          </w:p>
        </w:tc>
      </w:tr>
      <w:tr w14:paraId="3874F9C7">
        <w:tblPrEx>
          <w:tblCellMar>
            <w:top w:w="15" w:type="dxa"/>
            <w:left w:w="15" w:type="dxa"/>
            <w:bottom w:w="15" w:type="dxa"/>
            <w:right w:w="15" w:type="dxa"/>
          </w:tblCellMar>
        </w:tblPrEx>
        <w:trPr>
          <w:trHeight w:val="1686"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F40803F">
            <w:pPr>
              <w:widowControl/>
              <w:snapToGrid w:val="0"/>
              <w:spacing w:line="365" w:lineRule="atLeast"/>
              <w:jc w:val="center"/>
              <w:rPr>
                <w:rFonts w:ascii="宋体" w:hAnsi="宋体"/>
                <w:kern w:val="0"/>
                <w:sz w:val="28"/>
                <w:szCs w:val="30"/>
              </w:rPr>
            </w:pPr>
            <w:r>
              <w:rPr>
                <w:rFonts w:hint="eastAsia" w:ascii="宋体" w:hAnsi="宋体"/>
                <w:kern w:val="0"/>
                <w:sz w:val="28"/>
                <w:szCs w:val="30"/>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43B236">
            <w:pPr>
              <w:widowControl/>
              <w:snapToGrid w:val="0"/>
              <w:spacing w:line="365" w:lineRule="atLeast"/>
              <w:rPr>
                <w:rFonts w:ascii="宋体" w:hAnsi="宋体"/>
                <w:kern w:val="0"/>
                <w:sz w:val="28"/>
                <w:szCs w:val="32"/>
              </w:rPr>
            </w:pPr>
          </w:p>
        </w:tc>
      </w:tr>
    </w:tbl>
    <w:p w14:paraId="7EDACA7E">
      <w:pPr>
        <w:wordWrap w:val="0"/>
        <w:ind w:right="210" w:firstLine="2940" w:firstLineChars="1050"/>
        <w:rPr>
          <w:rFonts w:ascii="宋体" w:hAnsi="宋体"/>
          <w:sz w:val="28"/>
          <w:szCs w:val="30"/>
        </w:rPr>
      </w:pPr>
    </w:p>
    <w:p w14:paraId="30B2DDA9">
      <w:pPr>
        <w:wordWrap w:val="0"/>
        <w:spacing w:line="600" w:lineRule="auto"/>
        <w:ind w:right="210" w:firstLine="2940" w:firstLineChars="1050"/>
        <w:rPr>
          <w:rFonts w:ascii="宋体" w:hAnsi="宋体"/>
          <w:sz w:val="28"/>
          <w:szCs w:val="30"/>
        </w:rPr>
      </w:pPr>
      <w:r>
        <w:rPr>
          <w:rFonts w:hint="eastAsia" w:ascii="宋体" w:hAnsi="宋体"/>
          <w:sz w:val="28"/>
          <w:szCs w:val="30"/>
        </w:rPr>
        <w:t>供应商名称：（盖单位章）</w:t>
      </w:r>
    </w:p>
    <w:p w14:paraId="09AFDCE0">
      <w:pPr>
        <w:widowControl/>
        <w:snapToGrid w:val="0"/>
        <w:spacing w:line="600" w:lineRule="auto"/>
        <w:rPr>
          <w:rFonts w:ascii="宋体" w:hAnsi="宋体"/>
          <w:b/>
          <w:bCs/>
          <w:kern w:val="0"/>
          <w:sz w:val="28"/>
          <w:szCs w:val="32"/>
        </w:rPr>
      </w:pPr>
      <w:r>
        <w:rPr>
          <w:rFonts w:hint="eastAsia" w:ascii="宋体" w:hAnsi="宋体"/>
          <w:sz w:val="28"/>
          <w:szCs w:val="30"/>
        </w:rPr>
        <w:t xml:space="preserve">                     法定代表人：（电子签章）</w:t>
      </w:r>
    </w:p>
    <w:p w14:paraId="0FE3FC2A">
      <w:pPr>
        <w:widowControl/>
        <w:snapToGrid w:val="0"/>
        <w:spacing w:line="365" w:lineRule="atLeast"/>
        <w:rPr>
          <w:rFonts w:ascii="宋体" w:hAnsi="宋体"/>
          <w:kern w:val="0"/>
          <w:sz w:val="28"/>
          <w:szCs w:val="30"/>
        </w:rPr>
      </w:pPr>
      <w:r>
        <w:rPr>
          <w:rFonts w:hint="eastAsia" w:ascii="宋体" w:hAnsi="宋体"/>
          <w:kern w:val="0"/>
          <w:sz w:val="28"/>
          <w:szCs w:val="30"/>
        </w:rPr>
        <w:t xml:space="preserve">                                 年    月    日  </w:t>
      </w:r>
    </w:p>
    <w:p w14:paraId="2C867A35">
      <w:pPr>
        <w:widowControl/>
        <w:snapToGrid w:val="0"/>
        <w:spacing w:line="365" w:lineRule="atLeast"/>
        <w:rPr>
          <w:rFonts w:ascii="宋体" w:hAnsi="宋体"/>
          <w:kern w:val="0"/>
          <w:sz w:val="28"/>
          <w:szCs w:val="30"/>
        </w:rPr>
      </w:pPr>
    </w:p>
    <w:p w14:paraId="77DB5CB5">
      <w:pPr>
        <w:rPr>
          <w:rFonts w:hint="eastAsia"/>
          <w:b/>
          <w:bCs/>
          <w:sz w:val="28"/>
          <w:szCs w:val="28"/>
          <w:lang w:val="en-US" w:eastAsia="zh-CN"/>
        </w:rPr>
      </w:pPr>
      <w:r>
        <w:rPr>
          <w:rFonts w:hint="eastAsia"/>
          <w:b/>
          <w:bCs/>
          <w:sz w:val="28"/>
          <w:szCs w:val="28"/>
          <w:lang w:val="en-US" w:eastAsia="zh-CN"/>
        </w:rPr>
        <w:br w:type="page"/>
      </w:r>
    </w:p>
    <w:p w14:paraId="2898A392">
      <w:pPr>
        <w:bidi w:val="0"/>
        <w:jc w:val="center"/>
        <w:rPr>
          <w:rFonts w:hint="default"/>
          <w:b/>
          <w:bCs/>
          <w:sz w:val="28"/>
          <w:szCs w:val="28"/>
          <w:lang w:val="en-US" w:eastAsia="zh-CN"/>
        </w:rPr>
      </w:pPr>
      <w:r>
        <w:rPr>
          <w:rFonts w:hint="eastAsia"/>
          <w:b/>
          <w:bCs/>
          <w:sz w:val="28"/>
          <w:szCs w:val="28"/>
          <w:lang w:val="en-US" w:eastAsia="zh-CN"/>
        </w:rPr>
        <w:t>投标报价明细表</w:t>
      </w:r>
    </w:p>
    <w:tbl>
      <w:tblPr>
        <w:tblStyle w:val="4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275"/>
        <w:gridCol w:w="2715"/>
        <w:gridCol w:w="765"/>
        <w:gridCol w:w="825"/>
        <w:gridCol w:w="1050"/>
        <w:gridCol w:w="1380"/>
        <w:gridCol w:w="973"/>
      </w:tblGrid>
      <w:tr w14:paraId="1F29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0E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28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3D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A9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E6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EC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3C472C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E67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r>
              <w:rPr>
                <w:rFonts w:hint="eastAsia" w:ascii="宋体" w:hAnsi="宋体" w:cs="宋体"/>
                <w:b/>
                <w:bCs/>
                <w:i w:val="0"/>
                <w:iCs w:val="0"/>
                <w:color w:val="000000"/>
                <w:kern w:val="0"/>
                <w:sz w:val="21"/>
                <w:szCs w:val="21"/>
                <w:u w:val="none"/>
                <w:lang w:val="en-US" w:eastAsia="zh-CN" w:bidi="ar"/>
              </w:rPr>
              <w:t>（元）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14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417A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7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标志标识牌</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77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入河排污口标识牌</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52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8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E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C2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5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智能视频监控设备</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7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智能高清球机视频监控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2C8F86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9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9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5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3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1D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9C36">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0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前端NVR（含4T硬盘）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4785BE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00867D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B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1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8F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A3FA">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E74BA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CEE3CB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8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4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0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70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A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700B">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B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923BA4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08ED0F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D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6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95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F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87DA">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A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C95CB3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6217E1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7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BF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0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8500">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2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23C4D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961B9E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9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6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D7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3AF4">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8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ONU交换机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864A8F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F461D3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A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0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1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3F44">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5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光纤终端盒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E02A6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DDE57A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5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27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0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BF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1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E5D7">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0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太阳能供电系统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98E29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7D8548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9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57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81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C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6948">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8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AB33D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AC26B4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A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6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F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A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3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B996">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2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96FE6F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F8D74D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E41E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E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A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0A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9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1798">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6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0C19D1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F7D8EC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76432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49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8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3C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2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4B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一体化水质自动监测站</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7F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温度、PH水质自动监测模块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EB6522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A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E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E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C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AC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1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EABA">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4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C9BCE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0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C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9A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8C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17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1A86">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浊度自动监测模块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AB28D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0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E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41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B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6F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E3E6">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溶解氧水质自动监测模块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046B4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B19F4D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BD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C4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2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92DD">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COD水质自动监测模块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7BE000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719031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B796F6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9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BA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3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8D1A">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452D64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380020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3E3757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0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02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47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5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9AC3">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8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数据传输及采集系统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0BA16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C633C4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5FB24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AC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39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B9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9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F4BE">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监测设备立杆（含施工）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46D3A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E58625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BDEF8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B0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7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56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55B7">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2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喷塑电控箱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C53C19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9A7A14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219F9F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B0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6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67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Fonts w:hint="eastAsia" w:ascii="宋体" w:hAnsi="宋体" w:cs="宋体"/>
                <w:i w:val="0"/>
                <w:iCs w:val="0"/>
                <w:color w:val="000000"/>
                <w:kern w:val="0"/>
                <w:sz w:val="21"/>
                <w:szCs w:val="21"/>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BB8CA">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4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太阳能供电系统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88FD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9E7567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273ADC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3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9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28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69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水质自动监测微型站</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0E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温度、PH水质自动监测模块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B278BA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2C7EDC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6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A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18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71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2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CD09">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851B4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2644C1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8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81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AD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6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D27D">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7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浊度自动监测模块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DF2E81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C2DF78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C6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85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6F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0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36A0">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F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溶解氧水质自动监测模块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9511A6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D1458B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F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B8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EA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C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3837">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4"/>
                <w:rFonts w:hint="eastAsia" w:ascii="宋体" w:hAnsi="宋体" w:eastAsia="宋体" w:cs="宋体"/>
                <w:sz w:val="21"/>
                <w:szCs w:val="21"/>
                <w:lang w:val="en-US" w:eastAsia="zh-CN" w:bidi="ar"/>
              </w:rPr>
              <w:t>COD</w:t>
            </w:r>
            <w:r>
              <w:rPr>
                <w:rStyle w:val="255"/>
                <w:rFonts w:hint="eastAsia" w:ascii="宋体" w:hAnsi="宋体" w:eastAsia="宋体" w:cs="宋体"/>
                <w:sz w:val="21"/>
                <w:szCs w:val="21"/>
                <w:lang w:val="en-US" w:eastAsia="zh-CN" w:bidi="ar"/>
              </w:rPr>
              <w:t>Mn</w:t>
            </w:r>
            <w:r>
              <w:rPr>
                <w:rStyle w:val="256"/>
                <w:rFonts w:hint="eastAsia" w:ascii="宋体" w:hAnsi="宋体" w:eastAsia="宋体" w:cs="宋体"/>
                <w:sz w:val="21"/>
                <w:szCs w:val="21"/>
                <w:lang w:val="en-US" w:eastAsia="zh-CN" w:bidi="ar"/>
              </w:rPr>
              <w:t>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8DA1E7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C81FD0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9552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3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8F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83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57FD">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B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FF9EF8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57DC97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B9FA8C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17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BA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7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799A">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B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A60B9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796E1B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369B05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2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D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73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E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B5A2">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4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总磷水质自动分析仪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000AB8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8F695D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BAE14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6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F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18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9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5864">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水质采样器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795FC0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342C3D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23B2A9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D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2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9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6457">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0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数据传输及采集系统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F21784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211375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BD8C5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1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4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7F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E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EAD94">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0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采水系统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3A6533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4EBE3C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3F815C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A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B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E0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C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84C5">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3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VPN通信单元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8044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C386B7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7DE2C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0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3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D6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9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ADFE">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4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UPS稳压电源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AA8EE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E9B75D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3F0FA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4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52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4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C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BA51">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7CA36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10D9C1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F0CB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C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C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68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3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17BE">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6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网络传输服务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57B137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224793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030B45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6C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7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B58A">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3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一体化机柜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711D22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686BC1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A49D8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B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B0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2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流量监测设备</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流量监测设备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3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E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48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5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13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B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F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入河排污口综合管理平台</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6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入河排污口数据资源管理中心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5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6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52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E5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E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6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92A8">
            <w:pPr>
              <w:jc w:val="center"/>
              <w:rPr>
                <w:rFonts w:hint="eastAsia" w:ascii="宋体" w:hAnsi="宋体" w:eastAsia="宋体" w:cs="宋体"/>
                <w:i w:val="0"/>
                <w:iCs w:val="0"/>
                <w:color w:val="000000"/>
                <w:sz w:val="21"/>
                <w:szCs w:val="21"/>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入河排污口一张图管理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0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5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B6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B8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2C5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8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2E9D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大写：                    小写</w:t>
            </w:r>
            <w:r>
              <w:rPr>
                <w:rFonts w:hint="eastAsia" w:ascii="宋体" w:hAnsi="宋体" w:cs="宋体"/>
                <w:i w:val="0"/>
                <w:iCs w:val="0"/>
                <w:color w:val="000000"/>
                <w:kern w:val="0"/>
                <w:sz w:val="21"/>
                <w:szCs w:val="21"/>
                <w:u w:val="none"/>
                <w:lang w:val="en-US" w:eastAsia="zh-CN" w:bidi="ar"/>
              </w:rPr>
              <w:t>（元）</w:t>
            </w:r>
            <w:r>
              <w:rPr>
                <w:rFonts w:hint="eastAsia" w:ascii="宋体" w:hAnsi="宋体" w:eastAsia="宋体" w:cs="宋体"/>
                <w:i w:val="0"/>
                <w:iCs w:val="0"/>
                <w:color w:val="000000"/>
                <w:kern w:val="0"/>
                <w:sz w:val="21"/>
                <w:szCs w:val="21"/>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3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24BC4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5D0BA3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p w14:paraId="1BD390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1、以上报价均为人民币；</w:t>
      </w:r>
    </w:p>
    <w:p w14:paraId="7AB82E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2、以上报价已包含采购、运输、装卸、安装、调试、税金等项目实施完成及质保期全部费用；</w:t>
      </w:r>
    </w:p>
    <w:p w14:paraId="5138F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3、报价明细表中单价与总价不符的，以单价为准；</w:t>
      </w:r>
    </w:p>
    <w:p w14:paraId="2D0F5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eastAsia="黑体" w:cs="Times New Roman"/>
          <w:szCs w:val="32"/>
        </w:rPr>
      </w:pPr>
      <w:r>
        <w:rPr>
          <w:rFonts w:hint="eastAsia" w:ascii="宋体" w:hAnsi="宋体" w:eastAsia="宋体" w:cs="宋体"/>
          <w:sz w:val="24"/>
          <w:szCs w:val="24"/>
          <w:lang w:val="en-US" w:eastAsia="zh-CN"/>
        </w:rPr>
        <w:t>4、本报价明细表合计与报价函、报价函附录中投标报价应一致，若因不一致造成的后果由供应商自行承担。</w:t>
      </w:r>
      <w:r>
        <w:rPr>
          <w:rFonts w:hint="eastAsia" w:ascii="Arial" w:eastAsia="黑体" w:cs="Times New Roman"/>
          <w:szCs w:val="32"/>
        </w:rPr>
        <w:br w:type="page"/>
      </w:r>
    </w:p>
    <w:p w14:paraId="76B6E4D1">
      <w:pPr>
        <w:pStyle w:val="3"/>
        <w:spacing w:before="260" w:after="260" w:line="413" w:lineRule="auto"/>
        <w:jc w:val="center"/>
        <w:rPr>
          <w:sz w:val="32"/>
          <w:szCs w:val="32"/>
        </w:rPr>
      </w:pPr>
      <w:bookmarkStart w:id="264" w:name="_Toc25354"/>
      <w:r>
        <w:rPr>
          <w:rFonts w:hint="eastAsia" w:ascii="Arial" w:eastAsia="黑体" w:cs="Times New Roman"/>
          <w:sz w:val="32"/>
          <w:szCs w:val="32"/>
        </w:rPr>
        <w:t>三、授权委托书</w:t>
      </w:r>
      <w:bookmarkEnd w:id="262"/>
      <w:bookmarkEnd w:id="263"/>
      <w:bookmarkEnd w:id="264"/>
    </w:p>
    <w:p w14:paraId="048F541C">
      <w:pPr>
        <w:jc w:val="center"/>
        <w:rPr>
          <w:rFonts w:ascii="宋体" w:hAnsi="宋体"/>
          <w:b/>
          <w:color w:val="000000"/>
          <w:sz w:val="30"/>
        </w:rPr>
      </w:pPr>
      <w:r>
        <w:rPr>
          <w:rFonts w:hint="eastAsia" w:ascii="宋体" w:hAnsi="宋体"/>
          <w:b/>
          <w:bCs/>
          <w:kern w:val="0"/>
          <w:sz w:val="30"/>
          <w:szCs w:val="30"/>
        </w:rPr>
        <w:t>（一）</w:t>
      </w:r>
      <w:r>
        <w:rPr>
          <w:rFonts w:hint="eastAsia" w:ascii="宋体" w:hAnsi="宋体"/>
          <w:b/>
          <w:color w:val="000000"/>
          <w:sz w:val="30"/>
        </w:rPr>
        <w:t>法定代表人身份证明</w:t>
      </w:r>
    </w:p>
    <w:p w14:paraId="22A309FB">
      <w:pPr>
        <w:jc w:val="center"/>
        <w:rPr>
          <w:rFonts w:ascii="宋体" w:hAnsi="宋体"/>
          <w:color w:val="000000"/>
          <w:sz w:val="24"/>
        </w:rPr>
      </w:pPr>
    </w:p>
    <w:p w14:paraId="24063E43">
      <w:pPr>
        <w:spacing w:line="480" w:lineRule="exact"/>
        <w:rPr>
          <w:rFonts w:ascii="宋体" w:hAnsi="宋体"/>
          <w:kern w:val="0"/>
          <w:sz w:val="28"/>
          <w:szCs w:val="32"/>
        </w:rPr>
      </w:pPr>
      <w:r>
        <w:rPr>
          <w:rFonts w:hint="eastAsia" w:ascii="宋体" w:hAnsi="宋体"/>
          <w:kern w:val="0"/>
          <w:sz w:val="28"/>
          <w:szCs w:val="32"/>
        </w:rPr>
        <w:t xml:space="preserve">供 应 商：                                                        </w:t>
      </w:r>
    </w:p>
    <w:p w14:paraId="6C16E25A">
      <w:pPr>
        <w:spacing w:line="480" w:lineRule="exact"/>
        <w:rPr>
          <w:rFonts w:ascii="宋体" w:hAnsi="宋体"/>
          <w:kern w:val="0"/>
          <w:sz w:val="28"/>
          <w:szCs w:val="32"/>
        </w:rPr>
      </w:pPr>
      <w:r>
        <w:rPr>
          <w:rFonts w:hint="eastAsia" w:ascii="宋体" w:hAnsi="宋体"/>
          <w:kern w:val="0"/>
          <w:sz w:val="28"/>
          <w:szCs w:val="32"/>
        </w:rPr>
        <w:t xml:space="preserve">单位性质：                                                        </w:t>
      </w:r>
    </w:p>
    <w:p w14:paraId="28C0C11E">
      <w:pPr>
        <w:spacing w:line="480" w:lineRule="exact"/>
        <w:rPr>
          <w:rFonts w:ascii="宋体" w:hAnsi="宋体"/>
          <w:kern w:val="0"/>
          <w:sz w:val="28"/>
          <w:szCs w:val="32"/>
        </w:rPr>
      </w:pPr>
      <w:r>
        <w:rPr>
          <w:rFonts w:hint="eastAsia" w:ascii="宋体" w:hAnsi="宋体"/>
          <w:kern w:val="0"/>
          <w:sz w:val="28"/>
          <w:szCs w:val="32"/>
        </w:rPr>
        <w:t xml:space="preserve">地    址：                                                        </w:t>
      </w:r>
    </w:p>
    <w:p w14:paraId="32B74095">
      <w:pPr>
        <w:spacing w:line="480" w:lineRule="exact"/>
        <w:rPr>
          <w:rFonts w:ascii="宋体" w:hAnsi="宋体"/>
          <w:kern w:val="0"/>
          <w:sz w:val="28"/>
          <w:szCs w:val="32"/>
        </w:rPr>
      </w:pPr>
      <w:r>
        <w:rPr>
          <w:rFonts w:hint="eastAsia" w:ascii="宋体" w:hAnsi="宋体"/>
          <w:kern w:val="0"/>
          <w:sz w:val="28"/>
          <w:szCs w:val="32"/>
        </w:rPr>
        <w:t>成立时间：      年     月   日</w:t>
      </w:r>
    </w:p>
    <w:p w14:paraId="3DB3446B">
      <w:pPr>
        <w:spacing w:line="480" w:lineRule="exact"/>
        <w:rPr>
          <w:rFonts w:ascii="宋体" w:hAnsi="宋体"/>
          <w:kern w:val="0"/>
          <w:sz w:val="28"/>
          <w:szCs w:val="32"/>
        </w:rPr>
      </w:pPr>
      <w:r>
        <w:rPr>
          <w:rFonts w:hint="eastAsia" w:ascii="宋体" w:hAnsi="宋体"/>
          <w:kern w:val="0"/>
          <w:sz w:val="28"/>
          <w:szCs w:val="32"/>
        </w:rPr>
        <w:t xml:space="preserve">经营期限：                                                        </w:t>
      </w:r>
    </w:p>
    <w:p w14:paraId="637838FE">
      <w:pPr>
        <w:spacing w:line="480" w:lineRule="exact"/>
        <w:rPr>
          <w:rFonts w:ascii="宋体" w:hAnsi="宋体"/>
          <w:kern w:val="0"/>
          <w:sz w:val="28"/>
          <w:szCs w:val="32"/>
        </w:rPr>
      </w:pPr>
      <w:r>
        <w:rPr>
          <w:rFonts w:hint="eastAsia" w:ascii="宋体" w:hAnsi="宋体"/>
          <w:kern w:val="0"/>
          <w:sz w:val="28"/>
          <w:szCs w:val="32"/>
        </w:rPr>
        <w:t xml:space="preserve">姓    名：                  性        别：                </w:t>
      </w:r>
    </w:p>
    <w:p w14:paraId="02EEF7F5">
      <w:pPr>
        <w:spacing w:line="480" w:lineRule="exact"/>
        <w:rPr>
          <w:rFonts w:ascii="宋体" w:hAnsi="宋体"/>
          <w:kern w:val="0"/>
          <w:sz w:val="28"/>
          <w:szCs w:val="32"/>
        </w:rPr>
      </w:pPr>
      <w:r>
        <w:rPr>
          <w:rFonts w:hint="eastAsia" w:ascii="宋体" w:hAnsi="宋体"/>
          <w:kern w:val="0"/>
          <w:sz w:val="28"/>
          <w:szCs w:val="32"/>
        </w:rPr>
        <w:t xml:space="preserve">年    龄：                  职        务：                </w:t>
      </w:r>
    </w:p>
    <w:p w14:paraId="34D54DD4">
      <w:pPr>
        <w:spacing w:line="480" w:lineRule="exact"/>
        <w:rPr>
          <w:rFonts w:ascii="宋体" w:hAnsi="宋体"/>
          <w:kern w:val="0"/>
          <w:sz w:val="28"/>
          <w:szCs w:val="32"/>
        </w:rPr>
      </w:pPr>
      <w:r>
        <w:rPr>
          <w:rFonts w:hint="eastAsia" w:ascii="宋体" w:hAnsi="宋体"/>
          <w:kern w:val="0"/>
          <w:sz w:val="28"/>
          <w:szCs w:val="32"/>
        </w:rPr>
        <w:t>系           （供应商名称）的法定代表人。</w:t>
      </w:r>
    </w:p>
    <w:p w14:paraId="5B6264CC">
      <w:pPr>
        <w:spacing w:line="480" w:lineRule="exact"/>
        <w:rPr>
          <w:rFonts w:ascii="宋体" w:hAnsi="宋体"/>
          <w:kern w:val="0"/>
          <w:sz w:val="28"/>
          <w:szCs w:val="32"/>
        </w:rPr>
      </w:pPr>
      <w:r>
        <w:rPr>
          <w:rFonts w:hint="eastAsia" w:ascii="宋体" w:hAnsi="宋体"/>
          <w:kern w:val="0"/>
          <w:sz w:val="28"/>
          <w:szCs w:val="32"/>
        </w:rPr>
        <w:t>特此证明。</w:t>
      </w:r>
    </w:p>
    <w:p w14:paraId="551FD205">
      <w:pPr>
        <w:spacing w:line="480" w:lineRule="exact"/>
        <w:rPr>
          <w:rFonts w:ascii="宋体" w:hAnsi="宋体"/>
          <w:kern w:val="0"/>
          <w:sz w:val="28"/>
          <w:szCs w:val="32"/>
        </w:rPr>
      </w:pPr>
    </w:p>
    <w:p w14:paraId="546F1D97">
      <w:pPr>
        <w:spacing w:line="480" w:lineRule="exact"/>
        <w:rPr>
          <w:rFonts w:ascii="宋体" w:hAnsi="宋体"/>
          <w:kern w:val="0"/>
          <w:sz w:val="28"/>
          <w:szCs w:val="32"/>
        </w:rPr>
      </w:pPr>
    </w:p>
    <w:p w14:paraId="2033F8A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kern w:val="0"/>
          <w:sz w:val="28"/>
          <w:szCs w:val="32"/>
        </w:rPr>
      </w:pPr>
      <w:r>
        <w:rPr>
          <w:rFonts w:hint="eastAsia" w:ascii="宋体" w:hAnsi="宋体"/>
          <w:kern w:val="0"/>
          <w:sz w:val="28"/>
          <w:szCs w:val="32"/>
        </w:rPr>
        <w:t>供应商：            （盖单位章）</w:t>
      </w:r>
    </w:p>
    <w:p w14:paraId="0FD3BFF4">
      <w:pPr>
        <w:keepNext w:val="0"/>
        <w:keepLines w:val="0"/>
        <w:pageBreakBefore w:val="0"/>
        <w:widowControl w:val="0"/>
        <w:tabs>
          <w:tab w:val="left" w:pos="8280"/>
        </w:tabs>
        <w:kinsoku/>
        <w:wordWrap/>
        <w:overflowPunct/>
        <w:topLinePunct w:val="0"/>
        <w:autoSpaceDE/>
        <w:autoSpaceDN/>
        <w:bidi w:val="0"/>
        <w:adjustRightInd/>
        <w:snapToGrid/>
        <w:spacing w:line="480" w:lineRule="auto"/>
        <w:ind w:firstLine="4480" w:firstLineChars="1600"/>
        <w:textAlignment w:val="auto"/>
        <w:rPr>
          <w:rFonts w:ascii="宋体" w:hAnsi="宋体"/>
          <w:kern w:val="0"/>
          <w:sz w:val="28"/>
          <w:szCs w:val="32"/>
        </w:rPr>
      </w:pPr>
      <w:r>
        <w:rPr>
          <w:rFonts w:hint="eastAsia" w:ascii="宋体" w:hAnsi="宋体"/>
          <w:kern w:val="0"/>
          <w:sz w:val="28"/>
          <w:szCs w:val="32"/>
        </w:rPr>
        <w:t xml:space="preserve">     年    月    日</w:t>
      </w:r>
    </w:p>
    <w:p w14:paraId="629704A8">
      <w:pPr>
        <w:widowControl/>
        <w:snapToGrid w:val="0"/>
        <w:spacing w:line="365" w:lineRule="atLeast"/>
        <w:rPr>
          <w:b/>
          <w:bCs/>
          <w:kern w:val="0"/>
          <w:sz w:val="30"/>
          <w:szCs w:val="30"/>
        </w:rPr>
      </w:pPr>
    </w:p>
    <w:p w14:paraId="700DA9F4">
      <w:pPr>
        <w:widowControl/>
        <w:snapToGrid w:val="0"/>
        <w:spacing w:line="365" w:lineRule="atLeast"/>
        <w:ind w:firstLine="2699" w:firstLineChars="896"/>
        <w:rPr>
          <w:b/>
          <w:bCs/>
          <w:kern w:val="0"/>
          <w:sz w:val="30"/>
          <w:szCs w:val="30"/>
        </w:rPr>
      </w:pPr>
    </w:p>
    <w:p w14:paraId="3DE9002D">
      <w:pPr>
        <w:widowControl/>
        <w:snapToGrid w:val="0"/>
        <w:spacing w:line="365" w:lineRule="atLeast"/>
        <w:ind w:firstLine="2699" w:firstLineChars="896"/>
        <w:rPr>
          <w:b/>
          <w:bCs/>
          <w:kern w:val="0"/>
          <w:sz w:val="30"/>
          <w:szCs w:val="30"/>
        </w:rPr>
      </w:pPr>
    </w:p>
    <w:p w14:paraId="07CCEAD9">
      <w:pPr>
        <w:widowControl/>
        <w:snapToGrid w:val="0"/>
        <w:spacing w:line="365" w:lineRule="atLeast"/>
        <w:ind w:firstLine="2699" w:firstLineChars="896"/>
        <w:rPr>
          <w:b/>
          <w:bCs/>
          <w:kern w:val="0"/>
          <w:sz w:val="30"/>
          <w:szCs w:val="30"/>
        </w:rPr>
      </w:pPr>
    </w:p>
    <w:p w14:paraId="21D655E4">
      <w:pPr>
        <w:widowControl/>
        <w:snapToGrid w:val="0"/>
        <w:spacing w:line="365" w:lineRule="atLeast"/>
        <w:ind w:firstLine="2699" w:firstLineChars="896"/>
        <w:rPr>
          <w:b/>
          <w:bCs/>
          <w:kern w:val="0"/>
          <w:sz w:val="30"/>
          <w:szCs w:val="30"/>
        </w:rPr>
      </w:pPr>
    </w:p>
    <w:p w14:paraId="4130858D">
      <w:pPr>
        <w:widowControl/>
        <w:snapToGrid w:val="0"/>
        <w:spacing w:line="365" w:lineRule="atLeast"/>
        <w:ind w:firstLine="2699" w:firstLineChars="896"/>
        <w:rPr>
          <w:b/>
          <w:bCs/>
          <w:kern w:val="0"/>
          <w:sz w:val="30"/>
          <w:szCs w:val="30"/>
        </w:rPr>
      </w:pPr>
    </w:p>
    <w:p w14:paraId="27BB91ED">
      <w:pPr>
        <w:widowControl/>
        <w:snapToGrid w:val="0"/>
        <w:spacing w:line="365" w:lineRule="atLeast"/>
        <w:ind w:firstLine="2699" w:firstLineChars="896"/>
        <w:rPr>
          <w:b/>
          <w:bCs/>
          <w:kern w:val="0"/>
          <w:sz w:val="30"/>
          <w:szCs w:val="30"/>
        </w:rPr>
      </w:pPr>
    </w:p>
    <w:p w14:paraId="7C8CC082">
      <w:pPr>
        <w:widowControl/>
        <w:snapToGrid w:val="0"/>
        <w:spacing w:line="365" w:lineRule="atLeast"/>
        <w:ind w:firstLine="2699" w:firstLineChars="896"/>
        <w:rPr>
          <w:b/>
          <w:bCs/>
          <w:kern w:val="0"/>
          <w:sz w:val="30"/>
          <w:szCs w:val="30"/>
        </w:rPr>
      </w:pPr>
    </w:p>
    <w:p w14:paraId="43EAA94E">
      <w:pPr>
        <w:widowControl/>
        <w:snapToGrid w:val="0"/>
        <w:spacing w:line="365" w:lineRule="atLeast"/>
        <w:ind w:firstLine="2699" w:firstLineChars="896"/>
        <w:rPr>
          <w:b/>
          <w:bCs/>
          <w:kern w:val="0"/>
          <w:sz w:val="30"/>
          <w:szCs w:val="30"/>
        </w:rPr>
      </w:pPr>
    </w:p>
    <w:p w14:paraId="7819257C">
      <w:pPr>
        <w:widowControl/>
        <w:snapToGrid w:val="0"/>
        <w:spacing w:line="365" w:lineRule="atLeast"/>
        <w:ind w:firstLine="2699" w:firstLineChars="896"/>
        <w:rPr>
          <w:b/>
          <w:bCs/>
          <w:kern w:val="0"/>
          <w:sz w:val="30"/>
          <w:szCs w:val="30"/>
        </w:rPr>
      </w:pPr>
    </w:p>
    <w:p w14:paraId="5F81DE95">
      <w:pPr>
        <w:widowControl/>
        <w:snapToGrid w:val="0"/>
        <w:spacing w:line="365" w:lineRule="atLeast"/>
        <w:ind w:firstLine="2699" w:firstLineChars="896"/>
        <w:rPr>
          <w:b/>
          <w:bCs/>
          <w:kern w:val="0"/>
          <w:sz w:val="30"/>
          <w:szCs w:val="30"/>
        </w:rPr>
      </w:pPr>
    </w:p>
    <w:p w14:paraId="57E8265D">
      <w:pPr>
        <w:widowControl/>
        <w:snapToGrid w:val="0"/>
        <w:spacing w:line="365" w:lineRule="atLeast"/>
        <w:ind w:firstLine="2699" w:firstLineChars="896"/>
        <w:rPr>
          <w:b/>
          <w:bCs/>
          <w:kern w:val="0"/>
          <w:sz w:val="30"/>
          <w:szCs w:val="30"/>
        </w:rPr>
      </w:pPr>
    </w:p>
    <w:p w14:paraId="4272F27E">
      <w:pPr>
        <w:widowControl/>
        <w:snapToGrid w:val="0"/>
        <w:spacing w:line="365" w:lineRule="atLeast"/>
        <w:ind w:firstLine="2699" w:firstLineChars="896"/>
        <w:rPr>
          <w:b/>
          <w:bCs/>
          <w:kern w:val="0"/>
          <w:sz w:val="30"/>
          <w:szCs w:val="30"/>
        </w:rPr>
      </w:pPr>
    </w:p>
    <w:p w14:paraId="1A9DFDA0">
      <w:pPr>
        <w:rPr>
          <w:rFonts w:hint="eastAsia" w:ascii="宋体" w:hAnsi="宋体"/>
          <w:b/>
          <w:bCs/>
          <w:kern w:val="0"/>
          <w:sz w:val="30"/>
          <w:szCs w:val="30"/>
        </w:rPr>
      </w:pPr>
      <w:r>
        <w:rPr>
          <w:rFonts w:hint="eastAsia" w:ascii="宋体" w:hAnsi="宋体"/>
          <w:b/>
          <w:bCs/>
          <w:kern w:val="0"/>
          <w:sz w:val="30"/>
          <w:szCs w:val="30"/>
        </w:rPr>
        <w:br w:type="page"/>
      </w:r>
    </w:p>
    <w:p w14:paraId="5EAD29F0">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18841B22">
      <w:pPr>
        <w:widowControl/>
        <w:snapToGrid w:val="0"/>
        <w:spacing w:line="600" w:lineRule="atLeast"/>
        <w:ind w:firstLine="560" w:firstLineChars="200"/>
        <w:rPr>
          <w:rFonts w:ascii="宋体" w:hAnsi="宋体"/>
          <w:kern w:val="0"/>
          <w:sz w:val="28"/>
          <w:szCs w:val="30"/>
        </w:rPr>
      </w:pPr>
      <w:r>
        <w:rPr>
          <w:rFonts w:hint="eastAsia" w:ascii="宋体" w:hAnsi="宋体"/>
          <w:kern w:val="0"/>
          <w:sz w:val="28"/>
          <w:szCs w:val="30"/>
        </w:rPr>
        <w:t>本人</w:t>
      </w:r>
      <w:r>
        <w:rPr>
          <w:rFonts w:hint="eastAsia" w:ascii="宋体" w:hAnsi="宋体"/>
          <w:kern w:val="0"/>
          <w:sz w:val="28"/>
          <w:szCs w:val="30"/>
          <w:u w:val="single"/>
        </w:rPr>
        <w:t>（姓名）</w:t>
      </w:r>
      <w:r>
        <w:rPr>
          <w:rFonts w:hint="eastAsia" w:ascii="宋体" w:hAnsi="宋体"/>
          <w:kern w:val="0"/>
          <w:sz w:val="28"/>
          <w:szCs w:val="30"/>
        </w:rPr>
        <w:t>系</w:t>
      </w:r>
      <w:r>
        <w:rPr>
          <w:rFonts w:hint="eastAsia" w:ascii="宋体" w:hAnsi="宋体"/>
          <w:kern w:val="0"/>
          <w:sz w:val="28"/>
          <w:szCs w:val="30"/>
          <w:u w:val="single"/>
        </w:rPr>
        <w:t>（</w:t>
      </w:r>
      <w:r>
        <w:rPr>
          <w:rFonts w:hint="eastAsia" w:ascii="宋体" w:hAnsi="宋体"/>
          <w:kern w:val="0"/>
          <w:sz w:val="28"/>
          <w:szCs w:val="32"/>
          <w:u w:val="single"/>
        </w:rPr>
        <w:t>供应商</w:t>
      </w:r>
      <w:r>
        <w:rPr>
          <w:rFonts w:hint="eastAsia" w:ascii="宋体" w:hAnsi="宋体"/>
          <w:kern w:val="0"/>
          <w:sz w:val="28"/>
          <w:szCs w:val="30"/>
          <w:u w:val="single"/>
        </w:rPr>
        <w:t>名称）</w:t>
      </w:r>
      <w:r>
        <w:rPr>
          <w:rFonts w:hint="eastAsia" w:ascii="宋体" w:hAnsi="宋体"/>
          <w:kern w:val="0"/>
          <w:sz w:val="28"/>
          <w:szCs w:val="30"/>
        </w:rPr>
        <w:t>的法定代表人，现授权委托</w:t>
      </w:r>
      <w:r>
        <w:rPr>
          <w:rFonts w:hint="eastAsia" w:ascii="宋体" w:hAnsi="宋体"/>
          <w:kern w:val="0"/>
          <w:sz w:val="28"/>
          <w:szCs w:val="30"/>
          <w:u w:val="single"/>
        </w:rPr>
        <w:t>（姓名）</w:t>
      </w:r>
      <w:r>
        <w:rPr>
          <w:rFonts w:hint="eastAsia" w:ascii="宋体" w:hAnsi="宋体"/>
          <w:kern w:val="0"/>
          <w:sz w:val="28"/>
          <w:szCs w:val="30"/>
        </w:rPr>
        <w:t>为我单位</w:t>
      </w:r>
      <w:r>
        <w:rPr>
          <w:rFonts w:hint="eastAsia" w:ascii="宋体" w:hAnsi="宋体"/>
          <w:kern w:val="0"/>
          <w:sz w:val="28"/>
          <w:szCs w:val="30"/>
          <w:u w:val="single"/>
          <w:lang w:val="en-US" w:eastAsia="zh-CN"/>
        </w:rPr>
        <w:t xml:space="preserve">             </w:t>
      </w:r>
      <w:r>
        <w:rPr>
          <w:rFonts w:hint="eastAsia" w:ascii="宋体" w:hAnsi="宋体"/>
          <w:kern w:val="0"/>
          <w:sz w:val="28"/>
          <w:szCs w:val="30"/>
          <w:u w:val="single"/>
        </w:rPr>
        <w:t>（公司）</w:t>
      </w:r>
      <w:r>
        <w:rPr>
          <w:rFonts w:hint="eastAsia" w:ascii="宋体" w:hAnsi="宋体"/>
          <w:kern w:val="0"/>
          <w:sz w:val="28"/>
          <w:szCs w:val="30"/>
        </w:rPr>
        <w:t>代理人，以本单位</w:t>
      </w:r>
      <w:r>
        <w:rPr>
          <w:rFonts w:hint="eastAsia" w:ascii="宋体" w:hAnsi="宋体"/>
          <w:kern w:val="0"/>
          <w:sz w:val="28"/>
          <w:szCs w:val="30"/>
          <w:u w:val="single"/>
        </w:rPr>
        <w:t>（公司）</w:t>
      </w:r>
      <w:r>
        <w:rPr>
          <w:rFonts w:hint="eastAsia" w:ascii="宋体" w:hAnsi="宋体"/>
          <w:kern w:val="0"/>
          <w:sz w:val="28"/>
          <w:szCs w:val="30"/>
        </w:rPr>
        <w:t>的名义参加</w:t>
      </w:r>
      <w:r>
        <w:rPr>
          <w:rFonts w:hint="eastAsia" w:ascii="宋体" w:hAnsi="宋体"/>
          <w:kern w:val="0"/>
          <w:sz w:val="28"/>
          <w:szCs w:val="30"/>
          <w:u w:val="single"/>
        </w:rPr>
        <w:t>（招标单位）</w:t>
      </w:r>
      <w:r>
        <w:rPr>
          <w:rFonts w:hint="eastAsia" w:ascii="宋体" w:hAnsi="宋体"/>
          <w:kern w:val="0"/>
          <w:sz w:val="28"/>
          <w:szCs w:val="30"/>
        </w:rPr>
        <w:t>的</w:t>
      </w:r>
      <w:r>
        <w:rPr>
          <w:rFonts w:hint="eastAsia" w:ascii="宋体" w:hAnsi="宋体"/>
          <w:kern w:val="0"/>
          <w:sz w:val="28"/>
          <w:szCs w:val="30"/>
          <w:u w:val="single"/>
        </w:rPr>
        <w:t xml:space="preserve">    （项目名称）   </w:t>
      </w:r>
      <w:r>
        <w:rPr>
          <w:rFonts w:hint="eastAsia" w:ascii="宋体" w:hAnsi="宋体"/>
          <w:kern w:val="0"/>
          <w:sz w:val="28"/>
          <w:szCs w:val="30"/>
        </w:rPr>
        <w:t>项目的投标活动。代理人在开标、评标、合同谈判过程中所签署的一切文件和处理与之有关的一切事务，其法律后果由我方承担。</w:t>
      </w:r>
    </w:p>
    <w:p w14:paraId="693B79CF">
      <w:pPr>
        <w:widowControl/>
        <w:snapToGrid w:val="0"/>
        <w:spacing w:line="600" w:lineRule="atLeast"/>
        <w:ind w:firstLine="624"/>
        <w:rPr>
          <w:rFonts w:hint="default" w:ascii="宋体" w:hAnsi="宋体" w:eastAsia="宋体"/>
          <w:kern w:val="0"/>
          <w:sz w:val="28"/>
          <w:szCs w:val="30"/>
          <w:u w:val="none"/>
          <w:lang w:val="en-US" w:eastAsia="zh-CN"/>
        </w:rPr>
      </w:pPr>
      <w:r>
        <w:rPr>
          <w:rFonts w:hint="eastAsia" w:ascii="宋体" w:hAnsi="宋体"/>
          <w:kern w:val="0"/>
          <w:sz w:val="28"/>
          <w:szCs w:val="30"/>
          <w:lang w:val="en-US" w:eastAsia="zh-CN"/>
        </w:rPr>
        <w:t>委托期限：</w:t>
      </w:r>
      <w:r>
        <w:rPr>
          <w:rFonts w:hint="eastAsia" w:ascii="宋体" w:hAnsi="宋体"/>
          <w:kern w:val="0"/>
          <w:sz w:val="28"/>
          <w:szCs w:val="30"/>
          <w:u w:val="single"/>
          <w:lang w:val="en-US" w:eastAsia="zh-CN"/>
        </w:rPr>
        <w:t xml:space="preserve">                             </w:t>
      </w:r>
      <w:r>
        <w:rPr>
          <w:rFonts w:hint="eastAsia" w:ascii="宋体" w:hAnsi="宋体"/>
          <w:kern w:val="0"/>
          <w:sz w:val="28"/>
          <w:szCs w:val="30"/>
          <w:u w:val="none"/>
          <w:lang w:val="en-US" w:eastAsia="zh-CN"/>
        </w:rPr>
        <w:t xml:space="preserve"> </w:t>
      </w:r>
    </w:p>
    <w:p w14:paraId="393754BA">
      <w:pPr>
        <w:widowControl/>
        <w:snapToGrid w:val="0"/>
        <w:spacing w:line="600" w:lineRule="atLeast"/>
        <w:ind w:firstLine="624"/>
        <w:rPr>
          <w:rFonts w:ascii="宋体" w:hAnsi="宋体"/>
          <w:kern w:val="0"/>
          <w:sz w:val="28"/>
          <w:szCs w:val="30"/>
        </w:rPr>
      </w:pPr>
      <w:r>
        <w:rPr>
          <w:rFonts w:hint="eastAsia" w:ascii="宋体" w:hAnsi="宋体"/>
          <w:kern w:val="0"/>
          <w:sz w:val="28"/>
          <w:szCs w:val="30"/>
        </w:rPr>
        <w:t>代理人无转委托权，特此证明。</w:t>
      </w:r>
    </w:p>
    <w:p w14:paraId="43E14257">
      <w:pPr>
        <w:widowControl/>
        <w:snapToGrid w:val="0"/>
        <w:spacing w:line="548" w:lineRule="atLeast"/>
        <w:rPr>
          <w:rFonts w:ascii="宋体" w:hAnsi="宋体"/>
          <w:kern w:val="0"/>
          <w:sz w:val="28"/>
          <w:szCs w:val="30"/>
        </w:rPr>
      </w:pPr>
    </w:p>
    <w:p w14:paraId="07E82A33">
      <w:pPr>
        <w:widowControl/>
        <w:snapToGrid w:val="0"/>
        <w:spacing w:line="548" w:lineRule="atLeast"/>
        <w:rPr>
          <w:rFonts w:ascii="宋体" w:hAnsi="宋体"/>
          <w:kern w:val="0"/>
          <w:sz w:val="28"/>
          <w:szCs w:val="30"/>
          <w:u w:val="single"/>
        </w:rPr>
      </w:pPr>
      <w:r>
        <w:rPr>
          <w:rFonts w:hint="eastAsia" w:ascii="宋体" w:hAnsi="宋体"/>
          <w:kern w:val="0"/>
          <w:sz w:val="28"/>
          <w:szCs w:val="30"/>
        </w:rPr>
        <w:t>供  应  商：（盖单位章）</w:t>
      </w:r>
    </w:p>
    <w:p w14:paraId="78CECD81">
      <w:pPr>
        <w:widowControl/>
        <w:snapToGrid w:val="0"/>
        <w:spacing w:line="548" w:lineRule="atLeast"/>
        <w:rPr>
          <w:rFonts w:ascii="宋体" w:hAnsi="宋体"/>
          <w:kern w:val="0"/>
          <w:sz w:val="28"/>
          <w:szCs w:val="30"/>
          <w:u w:val="single"/>
        </w:rPr>
      </w:pPr>
      <w:r>
        <w:rPr>
          <w:rFonts w:hint="eastAsia" w:ascii="宋体" w:hAnsi="宋体"/>
          <w:kern w:val="0"/>
          <w:sz w:val="28"/>
          <w:szCs w:val="30"/>
        </w:rPr>
        <w:t xml:space="preserve">法定代表人：（签字或盖章） </w:t>
      </w:r>
    </w:p>
    <w:p w14:paraId="767A3776">
      <w:pPr>
        <w:widowControl/>
        <w:snapToGrid w:val="0"/>
        <w:spacing w:line="548" w:lineRule="atLeast"/>
        <w:rPr>
          <w:rFonts w:ascii="宋体" w:hAnsi="宋体"/>
          <w:kern w:val="0"/>
          <w:sz w:val="28"/>
          <w:szCs w:val="30"/>
        </w:rPr>
      </w:pPr>
      <w:r>
        <w:rPr>
          <w:rFonts w:hint="eastAsia" w:ascii="宋体" w:hAnsi="宋体"/>
          <w:kern w:val="0"/>
          <w:sz w:val="28"/>
          <w:szCs w:val="30"/>
        </w:rPr>
        <w:t>法定代表人身份证号码：</w:t>
      </w:r>
    </w:p>
    <w:p w14:paraId="4AF684E8">
      <w:pPr>
        <w:widowControl/>
        <w:snapToGrid w:val="0"/>
        <w:spacing w:line="548" w:lineRule="atLeast"/>
        <w:rPr>
          <w:rFonts w:ascii="宋体" w:hAnsi="宋体"/>
          <w:kern w:val="0"/>
          <w:sz w:val="28"/>
          <w:szCs w:val="30"/>
        </w:rPr>
      </w:pPr>
      <w:r>
        <w:rPr>
          <w:rFonts w:hint="eastAsia" w:ascii="宋体" w:hAnsi="宋体"/>
          <w:kern w:val="0"/>
          <w:sz w:val="28"/>
          <w:szCs w:val="30"/>
        </w:rPr>
        <w:t>委托</w:t>
      </w:r>
      <w:r>
        <w:rPr>
          <w:rFonts w:hint="eastAsia" w:ascii="宋体" w:hAnsi="宋体"/>
          <w:kern w:val="0"/>
          <w:sz w:val="28"/>
          <w:szCs w:val="30"/>
          <w:lang w:val="en-US" w:eastAsia="zh-CN"/>
        </w:rPr>
        <w:t>代理</w:t>
      </w:r>
      <w:r>
        <w:rPr>
          <w:rFonts w:hint="eastAsia" w:ascii="宋体" w:hAnsi="宋体"/>
          <w:kern w:val="0"/>
          <w:sz w:val="28"/>
          <w:szCs w:val="30"/>
        </w:rPr>
        <w:t>人：</w:t>
      </w:r>
    </w:p>
    <w:p w14:paraId="134AD756">
      <w:pPr>
        <w:widowControl/>
        <w:snapToGrid w:val="0"/>
        <w:spacing w:line="548" w:lineRule="atLeast"/>
        <w:rPr>
          <w:rFonts w:ascii="宋体" w:hAnsi="宋体"/>
          <w:kern w:val="0"/>
          <w:sz w:val="28"/>
          <w:szCs w:val="30"/>
          <w:u w:val="single"/>
        </w:rPr>
      </w:pPr>
      <w:r>
        <w:rPr>
          <w:rFonts w:hint="eastAsia" w:ascii="宋体" w:hAnsi="宋体"/>
          <w:kern w:val="0"/>
          <w:sz w:val="28"/>
          <w:szCs w:val="30"/>
        </w:rPr>
        <w:t>委托代理人身份证号码：</w:t>
      </w:r>
    </w:p>
    <w:p w14:paraId="37973FCE">
      <w:pPr>
        <w:widowControl/>
        <w:snapToGrid w:val="0"/>
        <w:spacing w:line="548" w:lineRule="atLeast"/>
        <w:ind w:firstLine="2800" w:firstLineChars="1000"/>
        <w:rPr>
          <w:rFonts w:ascii="宋体" w:hAnsi="宋体"/>
          <w:kern w:val="0"/>
          <w:sz w:val="28"/>
          <w:szCs w:val="30"/>
        </w:rPr>
      </w:pPr>
      <w:r>
        <w:rPr>
          <w:rFonts w:hint="eastAsia" w:ascii="宋体" w:hAnsi="宋体"/>
          <w:kern w:val="0"/>
          <w:sz w:val="28"/>
          <w:szCs w:val="30"/>
        </w:rPr>
        <w:t xml:space="preserve">年     月     日 </w:t>
      </w:r>
    </w:p>
    <w:p w14:paraId="552DCBC4">
      <w:pPr>
        <w:widowControl/>
        <w:tabs>
          <w:tab w:val="left" w:pos="6405"/>
        </w:tabs>
        <w:snapToGrid w:val="0"/>
        <w:spacing w:line="548" w:lineRule="atLeast"/>
        <w:rPr>
          <w:rFonts w:ascii="宋体" w:hAnsi="宋体"/>
          <w:kern w:val="0"/>
          <w:sz w:val="28"/>
          <w:szCs w:val="30"/>
        </w:rPr>
      </w:pPr>
    </w:p>
    <w:p w14:paraId="45CA524B">
      <w:pPr>
        <w:widowControl/>
        <w:snapToGrid w:val="0"/>
        <w:spacing w:line="548" w:lineRule="atLeast"/>
        <w:rPr>
          <w:rFonts w:ascii="宋体" w:hAnsi="宋体"/>
          <w:kern w:val="0"/>
          <w:sz w:val="28"/>
          <w:szCs w:val="30"/>
        </w:rPr>
      </w:pPr>
      <w:r>
        <w:rPr>
          <w:rFonts w:hint="eastAsia" w:ascii="宋体" w:hAnsi="宋体"/>
          <w:kern w:val="0"/>
          <w:sz w:val="28"/>
          <w:szCs w:val="30"/>
        </w:rPr>
        <w:t>附：法定代表人及委托代理人身份证明</w:t>
      </w:r>
    </w:p>
    <w:p w14:paraId="16523883">
      <w:pPr>
        <w:spacing w:line="440" w:lineRule="exact"/>
        <w:jc w:val="center"/>
        <w:rPr>
          <w:rFonts w:hAnsi="宋体"/>
          <w:sz w:val="30"/>
          <w:szCs w:val="30"/>
        </w:rPr>
      </w:pPr>
    </w:p>
    <w:p w14:paraId="2CF3E774">
      <w:pPr>
        <w:spacing w:line="360" w:lineRule="auto"/>
        <w:jc w:val="left"/>
        <w:rPr>
          <w:color w:val="000000"/>
        </w:rPr>
      </w:pPr>
    </w:p>
    <w:p w14:paraId="4A84CE90">
      <w:pPr>
        <w:spacing w:line="360" w:lineRule="auto"/>
        <w:jc w:val="left"/>
        <w:rPr>
          <w:color w:val="000000"/>
        </w:rPr>
      </w:pPr>
    </w:p>
    <w:p w14:paraId="4040D19E">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5834FD28">
      <w:pPr>
        <w:spacing w:line="440" w:lineRule="exact"/>
        <w:jc w:val="center"/>
        <w:rPr>
          <w:rFonts w:hAnsi="宋体"/>
          <w:sz w:val="30"/>
          <w:szCs w:val="30"/>
        </w:rPr>
      </w:pPr>
    </w:p>
    <w:p w14:paraId="511A06AC">
      <w:pPr>
        <w:spacing w:line="440" w:lineRule="exact"/>
        <w:jc w:val="center"/>
        <w:rPr>
          <w:rFonts w:hAnsi="宋体"/>
          <w:sz w:val="30"/>
          <w:szCs w:val="30"/>
        </w:rPr>
      </w:pPr>
    </w:p>
    <w:p w14:paraId="6070DBD4">
      <w:pPr>
        <w:spacing w:line="440" w:lineRule="exact"/>
        <w:jc w:val="center"/>
        <w:rPr>
          <w:rFonts w:hAnsi="宋体"/>
          <w:sz w:val="30"/>
          <w:szCs w:val="30"/>
        </w:rPr>
      </w:pPr>
    </w:p>
    <w:p w14:paraId="43BD9A3C">
      <w:pPr>
        <w:spacing w:line="440" w:lineRule="exact"/>
        <w:jc w:val="center"/>
        <w:rPr>
          <w:rFonts w:hAnsi="宋体"/>
          <w:sz w:val="30"/>
          <w:szCs w:val="30"/>
        </w:rPr>
      </w:pPr>
    </w:p>
    <w:p w14:paraId="6C9CEE8C">
      <w:pPr>
        <w:spacing w:line="440" w:lineRule="exact"/>
        <w:jc w:val="center"/>
        <w:rPr>
          <w:rFonts w:hAnsi="宋体"/>
          <w:sz w:val="30"/>
          <w:szCs w:val="30"/>
        </w:rPr>
      </w:pPr>
    </w:p>
    <w:p w14:paraId="4FFFF8F3">
      <w:pPr>
        <w:pStyle w:val="3"/>
        <w:keepNext w:val="0"/>
        <w:spacing w:before="260" w:after="260" w:line="413" w:lineRule="auto"/>
        <w:jc w:val="center"/>
        <w:rPr>
          <w:rFonts w:hint="default" w:eastAsia="黑体"/>
          <w:color w:val="auto"/>
          <w:lang w:val="en-US" w:eastAsia="zh-CN"/>
        </w:rPr>
      </w:pPr>
      <w:bookmarkStart w:id="265" w:name="_Toc12604920"/>
      <w:bookmarkStart w:id="266" w:name="_Toc507510303"/>
      <w:bookmarkStart w:id="267" w:name="_Toc38013575"/>
      <w:bookmarkStart w:id="268" w:name="_Toc14881"/>
      <w:bookmarkStart w:id="269" w:name="_Toc13757"/>
      <w:r>
        <w:rPr>
          <w:rFonts w:hint="eastAsia" w:ascii="Arial" w:eastAsia="黑体" w:cs="Times New Roman"/>
          <w:color w:val="auto"/>
          <w:sz w:val="32"/>
          <w:szCs w:val="32"/>
        </w:rPr>
        <w:t>四、</w:t>
      </w:r>
      <w:bookmarkEnd w:id="265"/>
      <w:bookmarkEnd w:id="266"/>
      <w:bookmarkEnd w:id="267"/>
      <w:bookmarkEnd w:id="268"/>
      <w:r>
        <w:rPr>
          <w:rFonts w:hint="eastAsia" w:ascii="Arial" w:eastAsia="黑体" w:cs="Times New Roman"/>
          <w:color w:val="auto"/>
          <w:sz w:val="32"/>
          <w:szCs w:val="32"/>
          <w:lang w:val="en-US" w:eastAsia="zh-CN"/>
        </w:rPr>
        <w:t>供应商基本情况</w:t>
      </w:r>
      <w:bookmarkEnd w:id="269"/>
    </w:p>
    <w:p w14:paraId="16D82D75">
      <w:pPr>
        <w:topLinePunct/>
        <w:spacing w:line="440" w:lineRule="exact"/>
        <w:rPr>
          <w:b/>
          <w:sz w:val="28"/>
          <w:szCs w:val="28"/>
        </w:rPr>
      </w:pPr>
      <w:r>
        <w:rPr>
          <w:rFonts w:hint="eastAsia"/>
          <w:b/>
          <w:sz w:val="28"/>
          <w:szCs w:val="28"/>
        </w:rPr>
        <w:t>（一）供应商基本情况表</w:t>
      </w:r>
    </w:p>
    <w:tbl>
      <w:tblPr>
        <w:tblStyle w:val="47"/>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634"/>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5533" w:type="dxa"/>
            <w:gridSpan w:val="3"/>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5"/>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28B255E3">
      <w:pPr>
        <w:widowControl/>
        <w:spacing w:before="100" w:beforeAutospacing="1" w:after="150" w:line="460" w:lineRule="exact"/>
        <w:ind w:left="540"/>
        <w:jc w:val="lef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r>
        <w:rPr>
          <w:rFonts w:ascii="宋体" w:hAnsi="宋体"/>
          <w:sz w:val="24"/>
        </w:rPr>
        <w:t> </w:t>
      </w:r>
    </w:p>
    <w:p w14:paraId="29214152">
      <w:pPr>
        <w:spacing w:beforeLines="100" w:afterLines="50" w:line="480" w:lineRule="exact"/>
        <w:textAlignment w:val="center"/>
        <w:rPr>
          <w:rFonts w:ascii="宋体" w:hAnsi="宋体" w:cs="宋体"/>
          <w:b/>
          <w:bCs/>
          <w:sz w:val="30"/>
          <w:szCs w:val="30"/>
        </w:rPr>
      </w:pPr>
      <w:bookmarkStart w:id="270" w:name="_Toc488135760"/>
      <w:r>
        <w:rPr>
          <w:rFonts w:hint="eastAsia"/>
          <w:b/>
          <w:sz w:val="28"/>
          <w:szCs w:val="28"/>
        </w:rPr>
        <w:t>（二）近年发生的诉讼及仲裁情况表</w:t>
      </w:r>
    </w:p>
    <w:p w14:paraId="71E5FD8D">
      <w:pPr>
        <w:spacing w:line="400" w:lineRule="exact"/>
        <w:jc w:val="center"/>
      </w:pPr>
      <w:r>
        <w:rPr>
          <w:rFonts w:hint="eastAsia"/>
        </w:rPr>
        <w:t>（近年指</w:t>
      </w:r>
      <w:r>
        <w:rPr>
          <w:rFonts w:hint="eastAsia"/>
          <w:u w:val="single"/>
        </w:rPr>
        <w:t>202</w:t>
      </w:r>
      <w:r>
        <w:rPr>
          <w:rFonts w:hint="eastAsia"/>
          <w:u w:val="single"/>
          <w:lang w:val="en-US" w:eastAsia="zh-CN"/>
        </w:rPr>
        <w:t>2</w:t>
      </w:r>
      <w:r>
        <w:rPr>
          <w:rFonts w:hint="eastAsia"/>
          <w:u w:val="single"/>
        </w:rPr>
        <w:t>年</w:t>
      </w:r>
      <w:r>
        <w:rPr>
          <w:rFonts w:hint="eastAsia"/>
          <w:u w:val="single"/>
          <w:lang w:val="en-US" w:eastAsia="zh-CN"/>
        </w:rPr>
        <w:t>11</w:t>
      </w:r>
      <w:r>
        <w:rPr>
          <w:rFonts w:hint="eastAsia"/>
          <w:u w:val="single"/>
        </w:rPr>
        <w:t>月1日至今</w:t>
      </w:r>
      <w:r>
        <w:rPr>
          <w:rFonts w:hint="eastAsia"/>
        </w:rPr>
        <w:t>）</w:t>
      </w:r>
    </w:p>
    <w:tbl>
      <w:tblPr>
        <w:tblStyle w:val="4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77BACCA2">
      <w:pPr>
        <w:rPr>
          <w:rFonts w:hint="eastAsia"/>
          <w:sz w:val="28"/>
          <w:szCs w:val="28"/>
        </w:rPr>
      </w:pPr>
      <w:r>
        <w:rPr>
          <w:rFonts w:hint="eastAsia"/>
          <w:sz w:val="28"/>
          <w:szCs w:val="28"/>
        </w:rPr>
        <w:br w:type="page"/>
      </w:r>
    </w:p>
    <w:p w14:paraId="5C922F57">
      <w:pPr>
        <w:jc w:val="left"/>
        <w:rPr>
          <w:sz w:val="28"/>
          <w:szCs w:val="28"/>
        </w:rPr>
      </w:pPr>
      <w:r>
        <w:rPr>
          <w:rFonts w:hint="eastAsia"/>
          <w:sz w:val="28"/>
          <w:szCs w:val="28"/>
        </w:rPr>
        <w:t>（</w:t>
      </w:r>
      <w:r>
        <w:rPr>
          <w:rFonts w:hint="eastAsia"/>
          <w:sz w:val="28"/>
          <w:szCs w:val="28"/>
          <w:lang w:val="en-US" w:eastAsia="zh-CN"/>
        </w:rPr>
        <w:t>三</w:t>
      </w:r>
      <w:r>
        <w:rPr>
          <w:rFonts w:hint="eastAsia"/>
          <w:sz w:val="28"/>
          <w:szCs w:val="28"/>
        </w:rPr>
        <w:t>）近三年</w:t>
      </w:r>
      <w:bookmarkEnd w:id="270"/>
      <w:r>
        <w:rPr>
          <w:rFonts w:hint="eastAsia"/>
          <w:sz w:val="28"/>
          <w:szCs w:val="28"/>
        </w:rPr>
        <w:t>企业具有类似项目业绩及荣誉</w:t>
      </w:r>
    </w:p>
    <w:p w14:paraId="0D86F041">
      <w:pPr>
        <w:spacing w:line="400" w:lineRule="exact"/>
        <w:jc w:val="center"/>
        <w:rPr>
          <w:rFonts w:ascii="宋体" w:hAnsi="宋体" w:cs="宋体"/>
          <w:color w:val="FF0000"/>
          <w:sz w:val="24"/>
        </w:rPr>
      </w:pPr>
      <w:r>
        <w:rPr>
          <w:rFonts w:hint="eastAsia" w:ascii="宋体" w:hAnsi="宋体" w:cs="宋体"/>
          <w:color w:val="auto"/>
          <w:sz w:val="24"/>
        </w:rPr>
        <w:t>（近年指</w:t>
      </w:r>
      <w:r>
        <w:rPr>
          <w:rFonts w:hint="eastAsia" w:ascii="宋体" w:hAnsi="宋体" w:cs="宋体"/>
          <w:color w:val="auto"/>
          <w:sz w:val="24"/>
          <w:u w:val="single"/>
        </w:rPr>
        <w:t>20</w:t>
      </w:r>
      <w:r>
        <w:rPr>
          <w:rFonts w:hint="eastAsia" w:ascii="宋体" w:hAnsi="宋体" w:cs="宋体"/>
          <w:color w:val="auto"/>
          <w:sz w:val="24"/>
          <w:u w:val="single"/>
          <w:lang w:val="en-US" w:eastAsia="zh-CN"/>
        </w:rPr>
        <w:t>22</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1月</w:t>
      </w:r>
      <w:r>
        <w:rPr>
          <w:rFonts w:hint="eastAsia" w:ascii="宋体" w:hAnsi="宋体" w:cs="宋体"/>
          <w:color w:val="auto"/>
          <w:sz w:val="24"/>
          <w:u w:val="single"/>
          <w:lang w:val="en-US" w:eastAsia="zh-CN"/>
        </w:rPr>
        <w:t>0</w:t>
      </w:r>
      <w:r>
        <w:rPr>
          <w:rFonts w:hint="eastAsia" w:ascii="宋体" w:hAnsi="宋体" w:cs="宋体"/>
          <w:color w:val="auto"/>
          <w:sz w:val="24"/>
          <w:u w:val="single"/>
        </w:rPr>
        <w:t>1日至今</w:t>
      </w:r>
      <w:r>
        <w:rPr>
          <w:rFonts w:hint="eastAsia" w:ascii="宋体" w:hAnsi="宋体" w:cs="宋体"/>
          <w:color w:val="auto"/>
          <w:sz w:val="24"/>
        </w:rPr>
        <w:t>）</w:t>
      </w:r>
    </w:p>
    <w:tbl>
      <w:tblPr>
        <w:tblStyle w:val="4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22"/>
        <w:gridCol w:w="1726"/>
        <w:gridCol w:w="1299"/>
        <w:gridCol w:w="1995"/>
        <w:gridCol w:w="1260"/>
        <w:gridCol w:w="544"/>
      </w:tblGrid>
      <w:tr w14:paraId="4B3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73B7D8A0">
            <w:pPr>
              <w:spacing w:line="360" w:lineRule="auto"/>
              <w:jc w:val="center"/>
              <w:rPr>
                <w:rFonts w:ascii="宋体" w:hAnsi="宋体"/>
                <w:kern w:val="0"/>
                <w:sz w:val="24"/>
              </w:rPr>
            </w:pPr>
            <w:r>
              <w:rPr>
                <w:rFonts w:hint="eastAsia" w:ascii="宋体" w:hAnsi="宋体"/>
                <w:kern w:val="0"/>
                <w:sz w:val="24"/>
              </w:rPr>
              <w:t>序号</w:t>
            </w:r>
          </w:p>
        </w:tc>
        <w:tc>
          <w:tcPr>
            <w:tcW w:w="1922" w:type="dxa"/>
            <w:vAlign w:val="center"/>
          </w:tcPr>
          <w:p w14:paraId="2D71FE01">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7F267094">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299" w:type="dxa"/>
            <w:vAlign w:val="center"/>
          </w:tcPr>
          <w:p w14:paraId="1CAC5724">
            <w:pPr>
              <w:spacing w:line="240" w:lineRule="auto"/>
              <w:jc w:val="center"/>
              <w:rPr>
                <w:rFonts w:ascii="宋体" w:hAnsi="宋体"/>
                <w:kern w:val="0"/>
                <w:sz w:val="24"/>
              </w:rPr>
            </w:pPr>
            <w:r>
              <w:rPr>
                <w:rFonts w:hint="eastAsia" w:ascii="宋体" w:hAnsi="宋体"/>
                <w:kern w:val="0"/>
                <w:sz w:val="24"/>
              </w:rPr>
              <w:t>投资金额</w:t>
            </w:r>
          </w:p>
          <w:p w14:paraId="4DC9AB88">
            <w:pPr>
              <w:spacing w:line="240" w:lineRule="auto"/>
              <w:jc w:val="center"/>
              <w:rPr>
                <w:rFonts w:ascii="宋体" w:hAnsi="宋体"/>
                <w:kern w:val="0"/>
                <w:sz w:val="24"/>
              </w:rPr>
            </w:pPr>
            <w:r>
              <w:rPr>
                <w:rFonts w:hint="eastAsia" w:ascii="宋体" w:hAnsi="宋体"/>
                <w:kern w:val="0"/>
                <w:sz w:val="24"/>
              </w:rPr>
              <w:t>（万元）</w:t>
            </w:r>
          </w:p>
        </w:tc>
        <w:tc>
          <w:tcPr>
            <w:tcW w:w="1995" w:type="dxa"/>
            <w:vAlign w:val="center"/>
          </w:tcPr>
          <w:p w14:paraId="69F1C54A">
            <w:pPr>
              <w:spacing w:line="240" w:lineRule="auto"/>
              <w:jc w:val="center"/>
              <w:rPr>
                <w:rFonts w:ascii="宋体" w:hAnsi="宋体"/>
                <w:kern w:val="0"/>
                <w:sz w:val="24"/>
              </w:rPr>
            </w:pPr>
            <w:r>
              <w:rPr>
                <w:rFonts w:hint="eastAsia" w:ascii="宋体" w:hAnsi="宋体"/>
                <w:kern w:val="0"/>
                <w:sz w:val="24"/>
              </w:rPr>
              <w:t>业主单位</w:t>
            </w:r>
          </w:p>
          <w:p w14:paraId="71255451">
            <w:pPr>
              <w:spacing w:line="240" w:lineRule="auto"/>
              <w:jc w:val="center"/>
              <w:rPr>
                <w:rFonts w:ascii="宋体" w:hAnsi="宋体"/>
                <w:kern w:val="0"/>
                <w:sz w:val="24"/>
              </w:rPr>
            </w:pPr>
            <w:r>
              <w:rPr>
                <w:rFonts w:hint="eastAsia" w:ascii="宋体" w:hAnsi="宋体"/>
                <w:kern w:val="0"/>
                <w:sz w:val="24"/>
              </w:rPr>
              <w:t>名称</w:t>
            </w:r>
          </w:p>
        </w:tc>
        <w:tc>
          <w:tcPr>
            <w:tcW w:w="1260" w:type="dxa"/>
            <w:vAlign w:val="center"/>
          </w:tcPr>
          <w:p w14:paraId="67E4C951">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地点</w:t>
            </w:r>
          </w:p>
        </w:tc>
        <w:tc>
          <w:tcPr>
            <w:tcW w:w="544" w:type="dxa"/>
            <w:vAlign w:val="center"/>
          </w:tcPr>
          <w:p w14:paraId="43471E31">
            <w:pPr>
              <w:spacing w:line="240" w:lineRule="auto"/>
              <w:jc w:val="center"/>
              <w:rPr>
                <w:rFonts w:ascii="宋体" w:hAnsi="宋体"/>
                <w:kern w:val="0"/>
                <w:sz w:val="24"/>
              </w:rPr>
            </w:pPr>
            <w:r>
              <w:rPr>
                <w:rFonts w:hint="eastAsia" w:ascii="宋体" w:hAnsi="宋体"/>
                <w:kern w:val="0"/>
                <w:sz w:val="24"/>
              </w:rPr>
              <w:t>备注</w:t>
            </w:r>
          </w:p>
        </w:tc>
      </w:tr>
      <w:tr w14:paraId="1BC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22E0C9B2">
            <w:pPr>
              <w:spacing w:line="360" w:lineRule="auto"/>
              <w:rPr>
                <w:rFonts w:ascii="宋体" w:hAnsi="宋体"/>
                <w:b/>
                <w:bCs/>
                <w:kern w:val="0"/>
                <w:sz w:val="24"/>
              </w:rPr>
            </w:pPr>
          </w:p>
        </w:tc>
        <w:tc>
          <w:tcPr>
            <w:tcW w:w="1922" w:type="dxa"/>
            <w:vAlign w:val="center"/>
          </w:tcPr>
          <w:p w14:paraId="3119036F">
            <w:pPr>
              <w:spacing w:line="360" w:lineRule="auto"/>
              <w:rPr>
                <w:rFonts w:ascii="宋体" w:hAnsi="宋体"/>
                <w:b/>
                <w:bCs/>
                <w:kern w:val="0"/>
                <w:sz w:val="24"/>
              </w:rPr>
            </w:pPr>
          </w:p>
        </w:tc>
        <w:tc>
          <w:tcPr>
            <w:tcW w:w="1726" w:type="dxa"/>
            <w:vAlign w:val="center"/>
          </w:tcPr>
          <w:p w14:paraId="3231FA58">
            <w:pPr>
              <w:spacing w:line="360" w:lineRule="auto"/>
              <w:rPr>
                <w:rFonts w:ascii="宋体" w:hAnsi="宋体"/>
                <w:b/>
                <w:bCs/>
                <w:kern w:val="0"/>
                <w:sz w:val="24"/>
              </w:rPr>
            </w:pPr>
          </w:p>
        </w:tc>
        <w:tc>
          <w:tcPr>
            <w:tcW w:w="1299" w:type="dxa"/>
            <w:vAlign w:val="center"/>
          </w:tcPr>
          <w:p w14:paraId="00385AAF">
            <w:pPr>
              <w:spacing w:line="360" w:lineRule="auto"/>
              <w:rPr>
                <w:rFonts w:ascii="宋体" w:hAnsi="宋体"/>
                <w:b/>
                <w:bCs/>
                <w:kern w:val="0"/>
                <w:sz w:val="24"/>
              </w:rPr>
            </w:pPr>
          </w:p>
        </w:tc>
        <w:tc>
          <w:tcPr>
            <w:tcW w:w="1995" w:type="dxa"/>
            <w:vAlign w:val="center"/>
          </w:tcPr>
          <w:p w14:paraId="52F1FE8D">
            <w:pPr>
              <w:spacing w:line="360" w:lineRule="auto"/>
              <w:rPr>
                <w:rFonts w:ascii="宋体" w:hAnsi="宋体"/>
                <w:b/>
                <w:bCs/>
                <w:kern w:val="0"/>
                <w:sz w:val="24"/>
              </w:rPr>
            </w:pPr>
          </w:p>
        </w:tc>
        <w:tc>
          <w:tcPr>
            <w:tcW w:w="1260" w:type="dxa"/>
            <w:vAlign w:val="center"/>
          </w:tcPr>
          <w:p w14:paraId="71C157BA">
            <w:pPr>
              <w:spacing w:line="360" w:lineRule="auto"/>
              <w:rPr>
                <w:rFonts w:ascii="宋体" w:hAnsi="宋体"/>
                <w:b/>
                <w:bCs/>
                <w:kern w:val="0"/>
                <w:sz w:val="24"/>
              </w:rPr>
            </w:pPr>
          </w:p>
        </w:tc>
        <w:tc>
          <w:tcPr>
            <w:tcW w:w="544" w:type="dxa"/>
          </w:tcPr>
          <w:p w14:paraId="0C5D7164">
            <w:pPr>
              <w:spacing w:line="360" w:lineRule="auto"/>
              <w:rPr>
                <w:rFonts w:ascii="宋体" w:hAnsi="宋体"/>
                <w:b/>
                <w:bCs/>
                <w:kern w:val="0"/>
                <w:sz w:val="24"/>
              </w:rPr>
            </w:pPr>
          </w:p>
        </w:tc>
      </w:tr>
      <w:tr w14:paraId="24C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04E4042A">
            <w:pPr>
              <w:spacing w:line="360" w:lineRule="auto"/>
              <w:jc w:val="center"/>
              <w:rPr>
                <w:rFonts w:ascii="宋体" w:hAnsi="宋体"/>
                <w:b/>
                <w:bCs/>
                <w:kern w:val="0"/>
                <w:sz w:val="24"/>
              </w:rPr>
            </w:pPr>
          </w:p>
        </w:tc>
        <w:tc>
          <w:tcPr>
            <w:tcW w:w="1922" w:type="dxa"/>
          </w:tcPr>
          <w:p w14:paraId="529BF93F">
            <w:pPr>
              <w:spacing w:line="360" w:lineRule="auto"/>
              <w:jc w:val="center"/>
              <w:rPr>
                <w:rFonts w:ascii="宋体" w:hAnsi="宋体"/>
                <w:b/>
                <w:bCs/>
                <w:kern w:val="0"/>
                <w:sz w:val="24"/>
              </w:rPr>
            </w:pPr>
          </w:p>
        </w:tc>
        <w:tc>
          <w:tcPr>
            <w:tcW w:w="1726" w:type="dxa"/>
          </w:tcPr>
          <w:p w14:paraId="7EE4EEBC">
            <w:pPr>
              <w:spacing w:line="360" w:lineRule="auto"/>
              <w:jc w:val="center"/>
              <w:rPr>
                <w:rFonts w:ascii="宋体" w:hAnsi="宋体"/>
                <w:b/>
                <w:bCs/>
                <w:kern w:val="0"/>
                <w:sz w:val="24"/>
              </w:rPr>
            </w:pPr>
          </w:p>
        </w:tc>
        <w:tc>
          <w:tcPr>
            <w:tcW w:w="1299" w:type="dxa"/>
          </w:tcPr>
          <w:p w14:paraId="04C27A31">
            <w:pPr>
              <w:spacing w:line="360" w:lineRule="auto"/>
              <w:jc w:val="center"/>
              <w:rPr>
                <w:rFonts w:ascii="宋体" w:hAnsi="宋体"/>
                <w:b/>
                <w:bCs/>
                <w:kern w:val="0"/>
                <w:sz w:val="24"/>
              </w:rPr>
            </w:pPr>
          </w:p>
        </w:tc>
        <w:tc>
          <w:tcPr>
            <w:tcW w:w="1995" w:type="dxa"/>
          </w:tcPr>
          <w:p w14:paraId="40608831">
            <w:pPr>
              <w:spacing w:line="360" w:lineRule="auto"/>
              <w:jc w:val="center"/>
              <w:rPr>
                <w:rFonts w:ascii="宋体" w:hAnsi="宋体"/>
                <w:b/>
                <w:bCs/>
                <w:kern w:val="0"/>
                <w:sz w:val="24"/>
              </w:rPr>
            </w:pPr>
          </w:p>
        </w:tc>
        <w:tc>
          <w:tcPr>
            <w:tcW w:w="1260" w:type="dxa"/>
          </w:tcPr>
          <w:p w14:paraId="3188DF5A">
            <w:pPr>
              <w:spacing w:line="360" w:lineRule="auto"/>
              <w:jc w:val="center"/>
              <w:rPr>
                <w:rFonts w:ascii="宋体" w:hAnsi="宋体"/>
                <w:b/>
                <w:bCs/>
                <w:kern w:val="0"/>
                <w:sz w:val="24"/>
              </w:rPr>
            </w:pPr>
          </w:p>
        </w:tc>
        <w:tc>
          <w:tcPr>
            <w:tcW w:w="544" w:type="dxa"/>
          </w:tcPr>
          <w:p w14:paraId="3B59D964">
            <w:pPr>
              <w:spacing w:line="360" w:lineRule="auto"/>
              <w:jc w:val="center"/>
              <w:rPr>
                <w:rFonts w:ascii="宋体" w:hAnsi="宋体"/>
                <w:b/>
                <w:bCs/>
                <w:kern w:val="0"/>
                <w:sz w:val="24"/>
              </w:rPr>
            </w:pPr>
          </w:p>
        </w:tc>
      </w:tr>
      <w:tr w14:paraId="4CA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3C25C676">
            <w:pPr>
              <w:spacing w:line="360" w:lineRule="auto"/>
              <w:jc w:val="center"/>
              <w:rPr>
                <w:rFonts w:ascii="宋体" w:hAnsi="宋体"/>
                <w:b/>
                <w:bCs/>
                <w:kern w:val="0"/>
                <w:sz w:val="24"/>
              </w:rPr>
            </w:pPr>
          </w:p>
        </w:tc>
        <w:tc>
          <w:tcPr>
            <w:tcW w:w="1922" w:type="dxa"/>
          </w:tcPr>
          <w:p w14:paraId="59452044">
            <w:pPr>
              <w:spacing w:line="360" w:lineRule="auto"/>
              <w:jc w:val="center"/>
              <w:rPr>
                <w:rFonts w:ascii="宋体" w:hAnsi="宋体"/>
                <w:b/>
                <w:bCs/>
                <w:kern w:val="0"/>
                <w:sz w:val="24"/>
              </w:rPr>
            </w:pPr>
          </w:p>
        </w:tc>
        <w:tc>
          <w:tcPr>
            <w:tcW w:w="1726" w:type="dxa"/>
          </w:tcPr>
          <w:p w14:paraId="4D6B8DC0">
            <w:pPr>
              <w:spacing w:line="360" w:lineRule="auto"/>
              <w:jc w:val="center"/>
              <w:rPr>
                <w:rFonts w:ascii="宋体" w:hAnsi="宋体"/>
                <w:b/>
                <w:bCs/>
                <w:kern w:val="0"/>
                <w:sz w:val="24"/>
              </w:rPr>
            </w:pPr>
          </w:p>
        </w:tc>
        <w:tc>
          <w:tcPr>
            <w:tcW w:w="1299" w:type="dxa"/>
          </w:tcPr>
          <w:p w14:paraId="5BD7DC4A">
            <w:pPr>
              <w:spacing w:line="360" w:lineRule="auto"/>
              <w:jc w:val="center"/>
              <w:rPr>
                <w:rFonts w:ascii="宋体" w:hAnsi="宋体"/>
                <w:b/>
                <w:bCs/>
                <w:kern w:val="0"/>
                <w:sz w:val="24"/>
              </w:rPr>
            </w:pPr>
          </w:p>
        </w:tc>
        <w:tc>
          <w:tcPr>
            <w:tcW w:w="1995" w:type="dxa"/>
          </w:tcPr>
          <w:p w14:paraId="65458FB7">
            <w:pPr>
              <w:spacing w:line="360" w:lineRule="auto"/>
              <w:jc w:val="center"/>
              <w:rPr>
                <w:rFonts w:ascii="宋体" w:hAnsi="宋体"/>
                <w:b/>
                <w:bCs/>
                <w:kern w:val="0"/>
                <w:sz w:val="24"/>
              </w:rPr>
            </w:pPr>
          </w:p>
        </w:tc>
        <w:tc>
          <w:tcPr>
            <w:tcW w:w="1260" w:type="dxa"/>
          </w:tcPr>
          <w:p w14:paraId="1115355F">
            <w:pPr>
              <w:spacing w:line="360" w:lineRule="auto"/>
              <w:jc w:val="center"/>
              <w:rPr>
                <w:rFonts w:ascii="宋体" w:hAnsi="宋体"/>
                <w:b/>
                <w:bCs/>
                <w:kern w:val="0"/>
                <w:sz w:val="24"/>
              </w:rPr>
            </w:pPr>
          </w:p>
        </w:tc>
        <w:tc>
          <w:tcPr>
            <w:tcW w:w="544" w:type="dxa"/>
          </w:tcPr>
          <w:p w14:paraId="6439009B">
            <w:pPr>
              <w:spacing w:line="360" w:lineRule="auto"/>
              <w:jc w:val="center"/>
              <w:rPr>
                <w:rFonts w:ascii="宋体" w:hAnsi="宋体"/>
                <w:b/>
                <w:bCs/>
                <w:kern w:val="0"/>
                <w:sz w:val="24"/>
              </w:rPr>
            </w:pPr>
          </w:p>
        </w:tc>
      </w:tr>
      <w:tr w14:paraId="0C2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60997DC">
            <w:pPr>
              <w:spacing w:line="360" w:lineRule="auto"/>
              <w:jc w:val="center"/>
              <w:rPr>
                <w:rFonts w:ascii="宋体" w:hAnsi="宋体"/>
                <w:b/>
                <w:bCs/>
                <w:kern w:val="0"/>
                <w:sz w:val="24"/>
              </w:rPr>
            </w:pPr>
          </w:p>
        </w:tc>
        <w:tc>
          <w:tcPr>
            <w:tcW w:w="1922" w:type="dxa"/>
          </w:tcPr>
          <w:p w14:paraId="1660219B">
            <w:pPr>
              <w:spacing w:line="360" w:lineRule="auto"/>
              <w:jc w:val="center"/>
              <w:rPr>
                <w:rFonts w:ascii="宋体" w:hAnsi="宋体"/>
                <w:b/>
                <w:bCs/>
                <w:kern w:val="0"/>
                <w:sz w:val="24"/>
              </w:rPr>
            </w:pPr>
          </w:p>
        </w:tc>
        <w:tc>
          <w:tcPr>
            <w:tcW w:w="1726" w:type="dxa"/>
          </w:tcPr>
          <w:p w14:paraId="7C6E93E4">
            <w:pPr>
              <w:spacing w:line="360" w:lineRule="auto"/>
              <w:jc w:val="center"/>
              <w:rPr>
                <w:rFonts w:ascii="宋体" w:hAnsi="宋体"/>
                <w:b/>
                <w:bCs/>
                <w:kern w:val="0"/>
                <w:sz w:val="24"/>
              </w:rPr>
            </w:pPr>
          </w:p>
        </w:tc>
        <w:tc>
          <w:tcPr>
            <w:tcW w:w="1299" w:type="dxa"/>
          </w:tcPr>
          <w:p w14:paraId="5964FD2C">
            <w:pPr>
              <w:spacing w:line="360" w:lineRule="auto"/>
              <w:jc w:val="center"/>
              <w:rPr>
                <w:rFonts w:ascii="宋体" w:hAnsi="宋体"/>
                <w:b/>
                <w:bCs/>
                <w:kern w:val="0"/>
                <w:sz w:val="24"/>
              </w:rPr>
            </w:pPr>
          </w:p>
        </w:tc>
        <w:tc>
          <w:tcPr>
            <w:tcW w:w="1995" w:type="dxa"/>
          </w:tcPr>
          <w:p w14:paraId="6AA6886C">
            <w:pPr>
              <w:spacing w:line="360" w:lineRule="auto"/>
              <w:jc w:val="center"/>
              <w:rPr>
                <w:rFonts w:ascii="宋体" w:hAnsi="宋体"/>
                <w:b/>
                <w:bCs/>
                <w:kern w:val="0"/>
                <w:sz w:val="24"/>
              </w:rPr>
            </w:pPr>
          </w:p>
        </w:tc>
        <w:tc>
          <w:tcPr>
            <w:tcW w:w="1260" w:type="dxa"/>
          </w:tcPr>
          <w:p w14:paraId="327E69FA">
            <w:pPr>
              <w:spacing w:line="360" w:lineRule="auto"/>
              <w:jc w:val="center"/>
              <w:rPr>
                <w:rFonts w:ascii="宋体" w:hAnsi="宋体"/>
                <w:b/>
                <w:bCs/>
                <w:kern w:val="0"/>
                <w:sz w:val="24"/>
              </w:rPr>
            </w:pPr>
          </w:p>
        </w:tc>
        <w:tc>
          <w:tcPr>
            <w:tcW w:w="544" w:type="dxa"/>
          </w:tcPr>
          <w:p w14:paraId="43993C34">
            <w:pPr>
              <w:spacing w:line="360" w:lineRule="auto"/>
              <w:jc w:val="center"/>
              <w:rPr>
                <w:rFonts w:ascii="宋体" w:hAnsi="宋体"/>
                <w:b/>
                <w:bCs/>
                <w:kern w:val="0"/>
                <w:sz w:val="24"/>
              </w:rPr>
            </w:pPr>
          </w:p>
        </w:tc>
      </w:tr>
      <w:tr w14:paraId="7A9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E96BB77">
            <w:pPr>
              <w:spacing w:line="360" w:lineRule="auto"/>
              <w:jc w:val="center"/>
              <w:rPr>
                <w:rFonts w:ascii="宋体" w:hAnsi="宋体"/>
                <w:b/>
                <w:bCs/>
                <w:kern w:val="0"/>
                <w:sz w:val="24"/>
              </w:rPr>
            </w:pPr>
          </w:p>
        </w:tc>
        <w:tc>
          <w:tcPr>
            <w:tcW w:w="1922" w:type="dxa"/>
          </w:tcPr>
          <w:p w14:paraId="69BF06E8">
            <w:pPr>
              <w:spacing w:line="360" w:lineRule="auto"/>
              <w:jc w:val="center"/>
              <w:rPr>
                <w:rFonts w:ascii="宋体" w:hAnsi="宋体"/>
                <w:b/>
                <w:bCs/>
                <w:kern w:val="0"/>
                <w:sz w:val="24"/>
              </w:rPr>
            </w:pPr>
          </w:p>
        </w:tc>
        <w:tc>
          <w:tcPr>
            <w:tcW w:w="1726" w:type="dxa"/>
          </w:tcPr>
          <w:p w14:paraId="6E88E90D">
            <w:pPr>
              <w:spacing w:line="360" w:lineRule="auto"/>
              <w:jc w:val="center"/>
              <w:rPr>
                <w:rFonts w:ascii="宋体" w:hAnsi="宋体"/>
                <w:b/>
                <w:bCs/>
                <w:kern w:val="0"/>
                <w:sz w:val="24"/>
              </w:rPr>
            </w:pPr>
          </w:p>
        </w:tc>
        <w:tc>
          <w:tcPr>
            <w:tcW w:w="1299" w:type="dxa"/>
          </w:tcPr>
          <w:p w14:paraId="4526ECCE">
            <w:pPr>
              <w:spacing w:line="360" w:lineRule="auto"/>
              <w:jc w:val="center"/>
              <w:rPr>
                <w:rFonts w:ascii="宋体" w:hAnsi="宋体"/>
                <w:b/>
                <w:bCs/>
                <w:kern w:val="0"/>
                <w:sz w:val="24"/>
              </w:rPr>
            </w:pPr>
          </w:p>
        </w:tc>
        <w:tc>
          <w:tcPr>
            <w:tcW w:w="1995" w:type="dxa"/>
          </w:tcPr>
          <w:p w14:paraId="0B1699F0">
            <w:pPr>
              <w:spacing w:line="360" w:lineRule="auto"/>
              <w:jc w:val="center"/>
              <w:rPr>
                <w:rFonts w:ascii="宋体" w:hAnsi="宋体"/>
                <w:b/>
                <w:bCs/>
                <w:kern w:val="0"/>
                <w:sz w:val="24"/>
              </w:rPr>
            </w:pPr>
          </w:p>
        </w:tc>
        <w:tc>
          <w:tcPr>
            <w:tcW w:w="1260" w:type="dxa"/>
          </w:tcPr>
          <w:p w14:paraId="32430AF9">
            <w:pPr>
              <w:spacing w:line="360" w:lineRule="auto"/>
              <w:jc w:val="center"/>
              <w:rPr>
                <w:rFonts w:ascii="宋体" w:hAnsi="宋体"/>
                <w:b/>
                <w:bCs/>
                <w:kern w:val="0"/>
                <w:sz w:val="24"/>
              </w:rPr>
            </w:pPr>
          </w:p>
        </w:tc>
        <w:tc>
          <w:tcPr>
            <w:tcW w:w="544" w:type="dxa"/>
          </w:tcPr>
          <w:p w14:paraId="15FF5A03">
            <w:pPr>
              <w:spacing w:line="360" w:lineRule="auto"/>
              <w:jc w:val="center"/>
              <w:rPr>
                <w:rFonts w:ascii="宋体" w:hAnsi="宋体"/>
                <w:b/>
                <w:bCs/>
                <w:kern w:val="0"/>
                <w:sz w:val="24"/>
              </w:rPr>
            </w:pPr>
          </w:p>
        </w:tc>
      </w:tr>
      <w:tr w14:paraId="6F36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E4E03D0">
            <w:pPr>
              <w:spacing w:line="360" w:lineRule="auto"/>
              <w:jc w:val="center"/>
              <w:rPr>
                <w:rFonts w:ascii="宋体" w:hAnsi="宋体"/>
                <w:b/>
                <w:bCs/>
                <w:kern w:val="0"/>
                <w:sz w:val="24"/>
              </w:rPr>
            </w:pPr>
          </w:p>
        </w:tc>
        <w:tc>
          <w:tcPr>
            <w:tcW w:w="1922" w:type="dxa"/>
          </w:tcPr>
          <w:p w14:paraId="5C4E90AF">
            <w:pPr>
              <w:spacing w:line="360" w:lineRule="auto"/>
              <w:jc w:val="center"/>
              <w:rPr>
                <w:rFonts w:ascii="宋体" w:hAnsi="宋体"/>
                <w:b/>
                <w:bCs/>
                <w:kern w:val="0"/>
                <w:sz w:val="24"/>
              </w:rPr>
            </w:pPr>
          </w:p>
        </w:tc>
        <w:tc>
          <w:tcPr>
            <w:tcW w:w="1726" w:type="dxa"/>
          </w:tcPr>
          <w:p w14:paraId="49D7A5B7">
            <w:pPr>
              <w:spacing w:line="360" w:lineRule="auto"/>
              <w:jc w:val="center"/>
              <w:rPr>
                <w:rFonts w:ascii="宋体" w:hAnsi="宋体"/>
                <w:b/>
                <w:bCs/>
                <w:kern w:val="0"/>
                <w:sz w:val="24"/>
              </w:rPr>
            </w:pPr>
          </w:p>
        </w:tc>
        <w:tc>
          <w:tcPr>
            <w:tcW w:w="1299" w:type="dxa"/>
          </w:tcPr>
          <w:p w14:paraId="5FB497C4">
            <w:pPr>
              <w:spacing w:line="360" w:lineRule="auto"/>
              <w:jc w:val="center"/>
              <w:rPr>
                <w:rFonts w:ascii="宋体" w:hAnsi="宋体"/>
                <w:b/>
                <w:bCs/>
                <w:kern w:val="0"/>
                <w:sz w:val="24"/>
              </w:rPr>
            </w:pPr>
          </w:p>
        </w:tc>
        <w:tc>
          <w:tcPr>
            <w:tcW w:w="1995" w:type="dxa"/>
          </w:tcPr>
          <w:p w14:paraId="4727BBA6">
            <w:pPr>
              <w:spacing w:line="360" w:lineRule="auto"/>
              <w:jc w:val="center"/>
              <w:rPr>
                <w:rFonts w:ascii="宋体" w:hAnsi="宋体"/>
                <w:b/>
                <w:bCs/>
                <w:kern w:val="0"/>
                <w:sz w:val="24"/>
              </w:rPr>
            </w:pPr>
          </w:p>
        </w:tc>
        <w:tc>
          <w:tcPr>
            <w:tcW w:w="1260" w:type="dxa"/>
          </w:tcPr>
          <w:p w14:paraId="5FE8F7E9">
            <w:pPr>
              <w:spacing w:line="360" w:lineRule="auto"/>
              <w:jc w:val="center"/>
              <w:rPr>
                <w:rFonts w:ascii="宋体" w:hAnsi="宋体"/>
                <w:b/>
                <w:bCs/>
                <w:kern w:val="0"/>
                <w:sz w:val="24"/>
              </w:rPr>
            </w:pPr>
          </w:p>
        </w:tc>
        <w:tc>
          <w:tcPr>
            <w:tcW w:w="544" w:type="dxa"/>
          </w:tcPr>
          <w:p w14:paraId="47255E94">
            <w:pPr>
              <w:spacing w:line="360" w:lineRule="auto"/>
              <w:jc w:val="center"/>
              <w:rPr>
                <w:rFonts w:ascii="宋体" w:hAnsi="宋体"/>
                <w:b/>
                <w:bCs/>
                <w:kern w:val="0"/>
                <w:sz w:val="24"/>
              </w:rPr>
            </w:pPr>
          </w:p>
        </w:tc>
      </w:tr>
      <w:tr w14:paraId="250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0F3F5FC">
            <w:pPr>
              <w:spacing w:line="360" w:lineRule="auto"/>
              <w:jc w:val="center"/>
              <w:rPr>
                <w:rFonts w:ascii="宋体" w:hAnsi="宋体"/>
                <w:b/>
                <w:bCs/>
                <w:kern w:val="0"/>
                <w:sz w:val="24"/>
              </w:rPr>
            </w:pPr>
          </w:p>
        </w:tc>
        <w:tc>
          <w:tcPr>
            <w:tcW w:w="1922" w:type="dxa"/>
          </w:tcPr>
          <w:p w14:paraId="152BB3EC">
            <w:pPr>
              <w:spacing w:line="360" w:lineRule="auto"/>
              <w:jc w:val="center"/>
              <w:rPr>
                <w:rFonts w:ascii="宋体" w:hAnsi="宋体"/>
                <w:b/>
                <w:bCs/>
                <w:kern w:val="0"/>
                <w:sz w:val="24"/>
              </w:rPr>
            </w:pPr>
          </w:p>
        </w:tc>
        <w:tc>
          <w:tcPr>
            <w:tcW w:w="1726" w:type="dxa"/>
          </w:tcPr>
          <w:p w14:paraId="25038811">
            <w:pPr>
              <w:spacing w:line="360" w:lineRule="auto"/>
              <w:jc w:val="center"/>
              <w:rPr>
                <w:rFonts w:ascii="宋体" w:hAnsi="宋体"/>
                <w:b/>
                <w:bCs/>
                <w:kern w:val="0"/>
                <w:sz w:val="24"/>
              </w:rPr>
            </w:pPr>
          </w:p>
        </w:tc>
        <w:tc>
          <w:tcPr>
            <w:tcW w:w="1299" w:type="dxa"/>
          </w:tcPr>
          <w:p w14:paraId="67941383">
            <w:pPr>
              <w:spacing w:line="360" w:lineRule="auto"/>
              <w:jc w:val="center"/>
              <w:rPr>
                <w:rFonts w:ascii="宋体" w:hAnsi="宋体"/>
                <w:b/>
                <w:bCs/>
                <w:kern w:val="0"/>
                <w:sz w:val="24"/>
              </w:rPr>
            </w:pPr>
          </w:p>
        </w:tc>
        <w:tc>
          <w:tcPr>
            <w:tcW w:w="1995" w:type="dxa"/>
          </w:tcPr>
          <w:p w14:paraId="0278317F">
            <w:pPr>
              <w:spacing w:line="360" w:lineRule="auto"/>
              <w:jc w:val="center"/>
              <w:rPr>
                <w:rFonts w:ascii="宋体" w:hAnsi="宋体"/>
                <w:b/>
                <w:bCs/>
                <w:kern w:val="0"/>
                <w:sz w:val="24"/>
              </w:rPr>
            </w:pPr>
          </w:p>
        </w:tc>
        <w:tc>
          <w:tcPr>
            <w:tcW w:w="1260" w:type="dxa"/>
          </w:tcPr>
          <w:p w14:paraId="15329703">
            <w:pPr>
              <w:spacing w:line="360" w:lineRule="auto"/>
              <w:jc w:val="center"/>
              <w:rPr>
                <w:rFonts w:ascii="宋体" w:hAnsi="宋体"/>
                <w:b/>
                <w:bCs/>
                <w:kern w:val="0"/>
                <w:sz w:val="24"/>
              </w:rPr>
            </w:pPr>
          </w:p>
        </w:tc>
        <w:tc>
          <w:tcPr>
            <w:tcW w:w="544" w:type="dxa"/>
          </w:tcPr>
          <w:p w14:paraId="779E46C6">
            <w:pPr>
              <w:spacing w:line="360" w:lineRule="auto"/>
              <w:jc w:val="center"/>
              <w:rPr>
                <w:rFonts w:ascii="宋体" w:hAnsi="宋体"/>
                <w:b/>
                <w:bCs/>
                <w:kern w:val="0"/>
                <w:sz w:val="24"/>
              </w:rPr>
            </w:pPr>
          </w:p>
        </w:tc>
      </w:tr>
      <w:tr w14:paraId="6B1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470B7F0">
            <w:pPr>
              <w:spacing w:line="360" w:lineRule="auto"/>
              <w:jc w:val="center"/>
              <w:rPr>
                <w:rFonts w:ascii="宋体" w:hAnsi="宋体"/>
                <w:b/>
                <w:bCs/>
                <w:kern w:val="0"/>
                <w:sz w:val="24"/>
              </w:rPr>
            </w:pPr>
          </w:p>
        </w:tc>
        <w:tc>
          <w:tcPr>
            <w:tcW w:w="1922" w:type="dxa"/>
          </w:tcPr>
          <w:p w14:paraId="0F636E81">
            <w:pPr>
              <w:spacing w:line="360" w:lineRule="auto"/>
              <w:jc w:val="center"/>
              <w:rPr>
                <w:rFonts w:ascii="宋体" w:hAnsi="宋体"/>
                <w:b/>
                <w:bCs/>
                <w:kern w:val="0"/>
                <w:sz w:val="24"/>
              </w:rPr>
            </w:pPr>
          </w:p>
        </w:tc>
        <w:tc>
          <w:tcPr>
            <w:tcW w:w="1726" w:type="dxa"/>
          </w:tcPr>
          <w:p w14:paraId="0A9412CF">
            <w:pPr>
              <w:spacing w:line="360" w:lineRule="auto"/>
              <w:jc w:val="center"/>
              <w:rPr>
                <w:rFonts w:ascii="宋体" w:hAnsi="宋体"/>
                <w:b/>
                <w:bCs/>
                <w:kern w:val="0"/>
                <w:sz w:val="24"/>
              </w:rPr>
            </w:pPr>
          </w:p>
        </w:tc>
        <w:tc>
          <w:tcPr>
            <w:tcW w:w="1299" w:type="dxa"/>
          </w:tcPr>
          <w:p w14:paraId="073C665A">
            <w:pPr>
              <w:spacing w:line="360" w:lineRule="auto"/>
              <w:jc w:val="center"/>
              <w:rPr>
                <w:rFonts w:ascii="宋体" w:hAnsi="宋体"/>
                <w:b/>
                <w:bCs/>
                <w:kern w:val="0"/>
                <w:sz w:val="24"/>
              </w:rPr>
            </w:pPr>
          </w:p>
        </w:tc>
        <w:tc>
          <w:tcPr>
            <w:tcW w:w="1995" w:type="dxa"/>
          </w:tcPr>
          <w:p w14:paraId="13D5947F">
            <w:pPr>
              <w:spacing w:line="360" w:lineRule="auto"/>
              <w:jc w:val="center"/>
              <w:rPr>
                <w:rFonts w:ascii="宋体" w:hAnsi="宋体"/>
                <w:b/>
                <w:bCs/>
                <w:kern w:val="0"/>
                <w:sz w:val="24"/>
              </w:rPr>
            </w:pPr>
          </w:p>
        </w:tc>
        <w:tc>
          <w:tcPr>
            <w:tcW w:w="1260" w:type="dxa"/>
          </w:tcPr>
          <w:p w14:paraId="45D3B9FF">
            <w:pPr>
              <w:spacing w:line="360" w:lineRule="auto"/>
              <w:jc w:val="center"/>
              <w:rPr>
                <w:rFonts w:ascii="宋体" w:hAnsi="宋体"/>
                <w:b/>
                <w:bCs/>
                <w:kern w:val="0"/>
                <w:sz w:val="24"/>
              </w:rPr>
            </w:pPr>
          </w:p>
        </w:tc>
        <w:tc>
          <w:tcPr>
            <w:tcW w:w="544" w:type="dxa"/>
          </w:tcPr>
          <w:p w14:paraId="372D3951">
            <w:pPr>
              <w:spacing w:line="360" w:lineRule="auto"/>
              <w:jc w:val="center"/>
              <w:rPr>
                <w:rFonts w:ascii="宋体" w:hAnsi="宋体"/>
                <w:b/>
                <w:bCs/>
                <w:kern w:val="0"/>
                <w:sz w:val="24"/>
              </w:rPr>
            </w:pPr>
          </w:p>
        </w:tc>
      </w:tr>
      <w:tr w14:paraId="72E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BC4C3B4">
            <w:pPr>
              <w:spacing w:line="360" w:lineRule="auto"/>
              <w:jc w:val="center"/>
              <w:rPr>
                <w:rFonts w:ascii="宋体" w:hAnsi="宋体"/>
                <w:b/>
                <w:bCs/>
                <w:kern w:val="0"/>
                <w:sz w:val="24"/>
              </w:rPr>
            </w:pPr>
          </w:p>
        </w:tc>
        <w:tc>
          <w:tcPr>
            <w:tcW w:w="1922" w:type="dxa"/>
          </w:tcPr>
          <w:p w14:paraId="37DD6861">
            <w:pPr>
              <w:spacing w:line="360" w:lineRule="auto"/>
              <w:jc w:val="center"/>
              <w:rPr>
                <w:rFonts w:ascii="宋体" w:hAnsi="宋体"/>
                <w:b/>
                <w:bCs/>
                <w:kern w:val="0"/>
                <w:sz w:val="24"/>
              </w:rPr>
            </w:pPr>
          </w:p>
        </w:tc>
        <w:tc>
          <w:tcPr>
            <w:tcW w:w="1726" w:type="dxa"/>
          </w:tcPr>
          <w:p w14:paraId="7A06886F">
            <w:pPr>
              <w:spacing w:line="360" w:lineRule="auto"/>
              <w:jc w:val="center"/>
              <w:rPr>
                <w:rFonts w:ascii="宋体" w:hAnsi="宋体"/>
                <w:b/>
                <w:bCs/>
                <w:kern w:val="0"/>
                <w:sz w:val="24"/>
              </w:rPr>
            </w:pPr>
          </w:p>
        </w:tc>
        <w:tc>
          <w:tcPr>
            <w:tcW w:w="1299" w:type="dxa"/>
          </w:tcPr>
          <w:p w14:paraId="5877B767">
            <w:pPr>
              <w:spacing w:line="360" w:lineRule="auto"/>
              <w:jc w:val="center"/>
              <w:rPr>
                <w:rFonts w:ascii="宋体" w:hAnsi="宋体"/>
                <w:b/>
                <w:bCs/>
                <w:kern w:val="0"/>
                <w:sz w:val="24"/>
              </w:rPr>
            </w:pPr>
          </w:p>
        </w:tc>
        <w:tc>
          <w:tcPr>
            <w:tcW w:w="1995" w:type="dxa"/>
          </w:tcPr>
          <w:p w14:paraId="5C7ABADD">
            <w:pPr>
              <w:spacing w:line="360" w:lineRule="auto"/>
              <w:jc w:val="center"/>
              <w:rPr>
                <w:rFonts w:ascii="宋体" w:hAnsi="宋体"/>
                <w:b/>
                <w:bCs/>
                <w:kern w:val="0"/>
                <w:sz w:val="24"/>
              </w:rPr>
            </w:pPr>
          </w:p>
        </w:tc>
        <w:tc>
          <w:tcPr>
            <w:tcW w:w="1260" w:type="dxa"/>
          </w:tcPr>
          <w:p w14:paraId="0E628AC0">
            <w:pPr>
              <w:spacing w:line="360" w:lineRule="auto"/>
              <w:jc w:val="center"/>
              <w:rPr>
                <w:rFonts w:ascii="宋体" w:hAnsi="宋体"/>
                <w:b/>
                <w:bCs/>
                <w:kern w:val="0"/>
                <w:sz w:val="24"/>
              </w:rPr>
            </w:pPr>
          </w:p>
        </w:tc>
        <w:tc>
          <w:tcPr>
            <w:tcW w:w="544" w:type="dxa"/>
          </w:tcPr>
          <w:p w14:paraId="0948594E">
            <w:pPr>
              <w:spacing w:line="360" w:lineRule="auto"/>
              <w:jc w:val="center"/>
              <w:rPr>
                <w:rFonts w:ascii="宋体" w:hAnsi="宋体"/>
                <w:b/>
                <w:bCs/>
                <w:kern w:val="0"/>
                <w:sz w:val="24"/>
              </w:rPr>
            </w:pPr>
          </w:p>
        </w:tc>
      </w:tr>
      <w:tr w14:paraId="0910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CE945F7">
            <w:pPr>
              <w:spacing w:line="360" w:lineRule="auto"/>
              <w:jc w:val="center"/>
              <w:rPr>
                <w:rFonts w:ascii="宋体" w:hAnsi="宋体"/>
                <w:b/>
                <w:bCs/>
                <w:kern w:val="0"/>
                <w:sz w:val="24"/>
              </w:rPr>
            </w:pPr>
          </w:p>
        </w:tc>
        <w:tc>
          <w:tcPr>
            <w:tcW w:w="1922" w:type="dxa"/>
          </w:tcPr>
          <w:p w14:paraId="59A9B20C">
            <w:pPr>
              <w:spacing w:line="360" w:lineRule="auto"/>
              <w:jc w:val="center"/>
              <w:rPr>
                <w:rFonts w:ascii="宋体" w:hAnsi="宋体"/>
                <w:b/>
                <w:bCs/>
                <w:kern w:val="0"/>
                <w:sz w:val="24"/>
              </w:rPr>
            </w:pPr>
          </w:p>
        </w:tc>
        <w:tc>
          <w:tcPr>
            <w:tcW w:w="1726" w:type="dxa"/>
          </w:tcPr>
          <w:p w14:paraId="63D7E3CC">
            <w:pPr>
              <w:spacing w:line="360" w:lineRule="auto"/>
              <w:jc w:val="center"/>
              <w:rPr>
                <w:rFonts w:ascii="宋体" w:hAnsi="宋体"/>
                <w:b/>
                <w:bCs/>
                <w:kern w:val="0"/>
                <w:sz w:val="24"/>
              </w:rPr>
            </w:pPr>
          </w:p>
        </w:tc>
        <w:tc>
          <w:tcPr>
            <w:tcW w:w="1299" w:type="dxa"/>
          </w:tcPr>
          <w:p w14:paraId="742CF125">
            <w:pPr>
              <w:spacing w:line="360" w:lineRule="auto"/>
              <w:jc w:val="center"/>
              <w:rPr>
                <w:rFonts w:ascii="宋体" w:hAnsi="宋体"/>
                <w:b/>
                <w:bCs/>
                <w:kern w:val="0"/>
                <w:sz w:val="24"/>
              </w:rPr>
            </w:pPr>
          </w:p>
        </w:tc>
        <w:tc>
          <w:tcPr>
            <w:tcW w:w="1995" w:type="dxa"/>
          </w:tcPr>
          <w:p w14:paraId="4E225357">
            <w:pPr>
              <w:spacing w:line="360" w:lineRule="auto"/>
              <w:jc w:val="center"/>
              <w:rPr>
                <w:rFonts w:ascii="宋体" w:hAnsi="宋体"/>
                <w:b/>
                <w:bCs/>
                <w:kern w:val="0"/>
                <w:sz w:val="24"/>
              </w:rPr>
            </w:pPr>
          </w:p>
        </w:tc>
        <w:tc>
          <w:tcPr>
            <w:tcW w:w="1260" w:type="dxa"/>
          </w:tcPr>
          <w:p w14:paraId="067B0ACB">
            <w:pPr>
              <w:spacing w:line="360" w:lineRule="auto"/>
              <w:jc w:val="center"/>
              <w:rPr>
                <w:rFonts w:ascii="宋体" w:hAnsi="宋体"/>
                <w:b/>
                <w:bCs/>
                <w:kern w:val="0"/>
                <w:sz w:val="24"/>
              </w:rPr>
            </w:pPr>
          </w:p>
        </w:tc>
        <w:tc>
          <w:tcPr>
            <w:tcW w:w="544" w:type="dxa"/>
          </w:tcPr>
          <w:p w14:paraId="58381905">
            <w:pPr>
              <w:spacing w:line="360" w:lineRule="auto"/>
              <w:jc w:val="center"/>
              <w:rPr>
                <w:rFonts w:ascii="宋体" w:hAnsi="宋体"/>
                <w:b/>
                <w:bCs/>
                <w:kern w:val="0"/>
                <w:sz w:val="24"/>
              </w:rPr>
            </w:pPr>
          </w:p>
        </w:tc>
      </w:tr>
      <w:tr w14:paraId="7E73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5C839DE">
            <w:pPr>
              <w:spacing w:line="360" w:lineRule="auto"/>
              <w:jc w:val="center"/>
              <w:rPr>
                <w:rFonts w:ascii="宋体" w:hAnsi="宋体"/>
                <w:b/>
                <w:bCs/>
                <w:kern w:val="0"/>
                <w:sz w:val="24"/>
              </w:rPr>
            </w:pPr>
          </w:p>
        </w:tc>
        <w:tc>
          <w:tcPr>
            <w:tcW w:w="1922" w:type="dxa"/>
          </w:tcPr>
          <w:p w14:paraId="5BB5D34D">
            <w:pPr>
              <w:spacing w:line="360" w:lineRule="auto"/>
              <w:jc w:val="center"/>
              <w:rPr>
                <w:rFonts w:ascii="宋体" w:hAnsi="宋体"/>
                <w:b/>
                <w:bCs/>
                <w:kern w:val="0"/>
                <w:sz w:val="24"/>
              </w:rPr>
            </w:pPr>
          </w:p>
        </w:tc>
        <w:tc>
          <w:tcPr>
            <w:tcW w:w="1726" w:type="dxa"/>
          </w:tcPr>
          <w:p w14:paraId="01FB9657">
            <w:pPr>
              <w:spacing w:line="360" w:lineRule="auto"/>
              <w:jc w:val="center"/>
              <w:rPr>
                <w:rFonts w:ascii="宋体" w:hAnsi="宋体"/>
                <w:b/>
                <w:bCs/>
                <w:kern w:val="0"/>
                <w:sz w:val="24"/>
              </w:rPr>
            </w:pPr>
          </w:p>
        </w:tc>
        <w:tc>
          <w:tcPr>
            <w:tcW w:w="1299" w:type="dxa"/>
          </w:tcPr>
          <w:p w14:paraId="4D4355CC">
            <w:pPr>
              <w:spacing w:line="360" w:lineRule="auto"/>
              <w:jc w:val="center"/>
              <w:rPr>
                <w:rFonts w:ascii="宋体" w:hAnsi="宋体"/>
                <w:b/>
                <w:bCs/>
                <w:kern w:val="0"/>
                <w:sz w:val="24"/>
              </w:rPr>
            </w:pPr>
          </w:p>
        </w:tc>
        <w:tc>
          <w:tcPr>
            <w:tcW w:w="1995" w:type="dxa"/>
          </w:tcPr>
          <w:p w14:paraId="4B094687">
            <w:pPr>
              <w:spacing w:line="360" w:lineRule="auto"/>
              <w:jc w:val="center"/>
              <w:rPr>
                <w:rFonts w:ascii="宋体" w:hAnsi="宋体"/>
                <w:b/>
                <w:bCs/>
                <w:kern w:val="0"/>
                <w:sz w:val="24"/>
              </w:rPr>
            </w:pPr>
          </w:p>
        </w:tc>
        <w:tc>
          <w:tcPr>
            <w:tcW w:w="1260" w:type="dxa"/>
          </w:tcPr>
          <w:p w14:paraId="1CE1A053">
            <w:pPr>
              <w:spacing w:line="360" w:lineRule="auto"/>
              <w:jc w:val="center"/>
              <w:rPr>
                <w:rFonts w:ascii="宋体" w:hAnsi="宋体"/>
                <w:b/>
                <w:bCs/>
                <w:kern w:val="0"/>
                <w:sz w:val="24"/>
              </w:rPr>
            </w:pPr>
          </w:p>
        </w:tc>
        <w:tc>
          <w:tcPr>
            <w:tcW w:w="544" w:type="dxa"/>
          </w:tcPr>
          <w:p w14:paraId="38EF3C00">
            <w:pPr>
              <w:spacing w:line="360" w:lineRule="auto"/>
              <w:jc w:val="center"/>
              <w:rPr>
                <w:rFonts w:ascii="宋体" w:hAnsi="宋体"/>
                <w:b/>
                <w:bCs/>
                <w:kern w:val="0"/>
                <w:sz w:val="24"/>
              </w:rPr>
            </w:pPr>
          </w:p>
        </w:tc>
      </w:tr>
    </w:tbl>
    <w:p w14:paraId="0FF6D486">
      <w:pPr>
        <w:spacing w:line="400" w:lineRule="exact"/>
        <w:ind w:firstLine="442" w:firstLineChars="200"/>
        <w:jc w:val="left"/>
        <w:rPr>
          <w:rFonts w:ascii="宋体" w:hAnsi="宋体" w:cs="宋体"/>
          <w:sz w:val="24"/>
        </w:rPr>
      </w:pPr>
      <w:r>
        <w:rPr>
          <w:rFonts w:hint="eastAsia" w:ascii="宋体" w:hAnsi="宋体"/>
          <w:b/>
          <w:bCs/>
          <w:sz w:val="22"/>
        </w:rPr>
        <w:t>注：相关业绩</w:t>
      </w:r>
      <w:r>
        <w:rPr>
          <w:rFonts w:hint="eastAsia" w:ascii="宋体" w:hAnsi="宋体" w:eastAsia="宋体" w:cs="Times New Roman"/>
          <w:b/>
          <w:bCs/>
          <w:sz w:val="22"/>
        </w:rPr>
        <w:t>以</w:t>
      </w:r>
      <w:r>
        <w:rPr>
          <w:rFonts w:hint="eastAsia" w:ascii="宋体" w:hAnsi="宋体" w:eastAsia="宋体" w:cs="Times New Roman"/>
          <w:b/>
          <w:bCs/>
          <w:sz w:val="22"/>
          <w:lang w:val="en-US" w:eastAsia="zh-CN"/>
        </w:rPr>
        <w:t>投标人提供完整、清晰合同扫描件、中标通知书完整扫描件</w:t>
      </w:r>
      <w:r>
        <w:rPr>
          <w:rFonts w:hint="eastAsia" w:ascii="宋体" w:hAnsi="宋体" w:eastAsia="宋体" w:cs="Times New Roman"/>
          <w:b/>
          <w:bCs/>
          <w:sz w:val="22"/>
        </w:rPr>
        <w:t>为准</w:t>
      </w:r>
      <w:r>
        <w:rPr>
          <w:rFonts w:hint="eastAsia" w:ascii="宋体" w:hAnsi="宋体"/>
          <w:b/>
          <w:bCs/>
          <w:sz w:val="22"/>
        </w:rPr>
        <w:t>，相关材料扫描件附后。</w:t>
      </w:r>
    </w:p>
    <w:p w14:paraId="70230008">
      <w:pPr>
        <w:bidi w:val="0"/>
      </w:pPr>
      <w:bookmarkStart w:id="271" w:name="_Toc24112"/>
      <w:bookmarkStart w:id="272" w:name="_Toc507510306"/>
      <w:bookmarkStart w:id="273" w:name="_Toc12604922"/>
    </w:p>
    <w:p w14:paraId="7DDDA590">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日  期：     年   月  日</w:t>
      </w:r>
    </w:p>
    <w:p w14:paraId="29790D49">
      <w:pPr>
        <w:bidi w:val="0"/>
      </w:pPr>
    </w:p>
    <w:p w14:paraId="5FD40EA0">
      <w:pPr>
        <w:rPr>
          <w:rFonts w:hint="eastAsia" w:cs="Times New Roman"/>
          <w:b/>
          <w:kern w:val="2"/>
          <w:sz w:val="28"/>
          <w:szCs w:val="28"/>
          <w:lang w:val="en-US" w:eastAsia="zh-CN" w:bidi="ar-SA"/>
        </w:rPr>
      </w:pPr>
      <w:r>
        <w:rPr>
          <w:rFonts w:hint="eastAsia" w:cs="Times New Roman"/>
          <w:b/>
          <w:kern w:val="2"/>
          <w:sz w:val="28"/>
          <w:szCs w:val="28"/>
          <w:lang w:val="en-US" w:eastAsia="zh-CN" w:bidi="ar-SA"/>
        </w:rPr>
        <w:br w:type="page"/>
      </w:r>
    </w:p>
    <w:p w14:paraId="30A71078">
      <w:pPr>
        <w:numPr>
          <w:ilvl w:val="0"/>
          <w:numId w:val="0"/>
        </w:numPr>
        <w:rPr>
          <w:rFonts w:hint="eastAsia" w:ascii="Times New Roman" w:hAnsi="Times New Roman" w:eastAsia="宋体" w:cs="Times New Roman"/>
          <w:b/>
          <w:sz w:val="28"/>
          <w:szCs w:val="28"/>
          <w:lang w:val="zh-TW" w:eastAsia="zh-CN"/>
        </w:rPr>
      </w:pPr>
      <w:r>
        <w:rPr>
          <w:rFonts w:hint="eastAsia" w:cs="Times New Roman"/>
          <w:b/>
          <w:kern w:val="2"/>
          <w:sz w:val="28"/>
          <w:szCs w:val="28"/>
          <w:lang w:val="en-US" w:eastAsia="zh-CN" w:bidi="ar-SA"/>
        </w:rPr>
        <w:t>2</w:t>
      </w:r>
      <w:r>
        <w:rPr>
          <w:rFonts w:hint="eastAsia" w:ascii="Times New Roman" w:hAnsi="Times New Roman" w:eastAsia="宋体" w:cs="Times New Roman"/>
          <w:b/>
          <w:kern w:val="2"/>
          <w:sz w:val="28"/>
          <w:szCs w:val="28"/>
          <w:lang w:val="zh-TW" w:eastAsia="zh-CN" w:bidi="ar-SA"/>
        </w:rPr>
        <w:t>、</w:t>
      </w:r>
      <w:r>
        <w:rPr>
          <w:rFonts w:hint="eastAsia" w:cs="Times New Roman"/>
          <w:b/>
          <w:sz w:val="28"/>
          <w:szCs w:val="28"/>
          <w:lang w:val="zh-TW" w:eastAsia="zh-CN"/>
        </w:rPr>
        <w:t>供应商须出具本企业无商业贿赂及不正当竞争行为承诺书（格式自拟）</w:t>
      </w:r>
      <w:r>
        <w:rPr>
          <w:rFonts w:hint="eastAsia" w:ascii="Times New Roman" w:hAnsi="Times New Roman" w:eastAsia="宋体" w:cs="Times New Roman"/>
          <w:b/>
          <w:sz w:val="28"/>
          <w:szCs w:val="28"/>
          <w:lang w:val="zh-TW" w:eastAsia="zh-CN"/>
        </w:rPr>
        <w:t>。</w:t>
      </w:r>
    </w:p>
    <w:p w14:paraId="2FEBB7F7">
      <w:pPr>
        <w:rPr>
          <w:rFonts w:hint="eastAsia"/>
          <w:lang w:val="en-US" w:eastAsia="zh-CN"/>
        </w:rPr>
      </w:pPr>
      <w:r>
        <w:rPr>
          <w:rFonts w:hint="eastAsia"/>
          <w:lang w:val="en-US" w:eastAsia="zh-CN"/>
        </w:rPr>
        <w:br w:type="page"/>
      </w:r>
    </w:p>
    <w:p w14:paraId="7C074D85">
      <w:pPr>
        <w:bidi w:val="0"/>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信用截图</w:t>
      </w:r>
    </w:p>
    <w:p w14:paraId="39B6E359">
      <w:pPr>
        <w:bidi w:val="0"/>
        <w:ind w:firstLine="560" w:firstLineChars="200"/>
      </w:pPr>
      <w:bookmarkStart w:id="274" w:name="_Toc25663"/>
      <w:r>
        <w:rPr>
          <w:rFonts w:hint="eastAsia" w:ascii="宋体" w:hAnsi="宋体" w:eastAsia="宋体" w:cs="宋体"/>
          <w:sz w:val="28"/>
          <w:szCs w:val="28"/>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bookmarkEnd w:id="274"/>
    </w:p>
    <w:p w14:paraId="287134D0">
      <w:pPr>
        <w:numPr>
          <w:ilvl w:val="0"/>
          <w:numId w:val="0"/>
        </w:numPr>
        <w:rPr>
          <w:rFonts w:hint="eastAsia" w:ascii="Times New Roman" w:hAnsi="Times New Roman" w:eastAsia="宋体" w:cs="Times New Roman"/>
          <w:b/>
          <w:sz w:val="28"/>
          <w:szCs w:val="28"/>
          <w:lang w:val="zh-TW" w:eastAsia="zh-CN"/>
        </w:rPr>
      </w:pPr>
    </w:p>
    <w:p w14:paraId="1DE9FFF5">
      <w:pPr>
        <w:bidi w:val="0"/>
      </w:pPr>
      <w:bookmarkStart w:id="275" w:name="_Toc38013576"/>
    </w:p>
    <w:p w14:paraId="62E803E3">
      <w:pPr>
        <w:rPr>
          <w:rFonts w:hint="eastAsia"/>
          <w:b/>
          <w:sz w:val="28"/>
          <w:szCs w:val="28"/>
          <w:lang w:val="en-US" w:eastAsia="zh-CN"/>
        </w:rPr>
      </w:pPr>
      <w:r>
        <w:rPr>
          <w:rFonts w:hint="eastAsia"/>
          <w:b/>
          <w:sz w:val="28"/>
          <w:szCs w:val="28"/>
          <w:lang w:val="en-US" w:eastAsia="zh-CN"/>
        </w:rPr>
        <w:br w:type="page"/>
      </w:r>
    </w:p>
    <w:p w14:paraId="31108DF7">
      <w:pPr>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4、企业</w:t>
      </w:r>
      <w:r>
        <w:rPr>
          <w:rFonts w:hint="eastAsia" w:ascii="宋体" w:hAnsi="宋体" w:eastAsia="宋体" w:cs="宋体"/>
          <w:b/>
          <w:bCs w:val="0"/>
          <w:sz w:val="28"/>
          <w:szCs w:val="28"/>
          <w:lang w:val="zh-TW" w:eastAsia="zh-CN"/>
        </w:rPr>
        <w:t>控股、管理关系</w:t>
      </w:r>
    </w:p>
    <w:p w14:paraId="6E026F10">
      <w:pPr>
        <w:bidi w:val="0"/>
        <w:ind w:firstLine="560" w:firstLineChars="200"/>
        <w:rPr>
          <w:rFonts w:hint="eastAsia"/>
          <w:sz w:val="28"/>
          <w:szCs w:val="28"/>
        </w:rPr>
      </w:pPr>
      <w:r>
        <w:rPr>
          <w:rFonts w:hint="eastAsia" w:ascii="宋体" w:hAnsi="宋体" w:eastAsia="宋体" w:cs="宋体"/>
          <w:b w:val="0"/>
          <w:bCs w:val="0"/>
          <w:kern w:val="2"/>
          <w:sz w:val="28"/>
          <w:szCs w:val="28"/>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b w:val="0"/>
          <w:bCs w:val="0"/>
          <w:kern w:val="2"/>
          <w:sz w:val="28"/>
          <w:szCs w:val="28"/>
          <w:lang w:val="zh-TW" w:eastAsia="zh-CN" w:bidi="ar-SA"/>
        </w:rPr>
        <w:t>。</w:t>
      </w:r>
    </w:p>
    <w:p w14:paraId="133ABD22">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0A0D3CCA">
      <w:pPr>
        <w:rPr>
          <w:rFonts w:hint="eastAsia" w:ascii="Arial" w:eastAsia="黑体" w:cs="Times New Roman"/>
          <w:sz w:val="32"/>
          <w:szCs w:val="32"/>
        </w:rPr>
      </w:pPr>
      <w:r>
        <w:rPr>
          <w:rFonts w:hint="eastAsia" w:ascii="宋体" w:hAnsi="宋体" w:eastAsia="宋体" w:cs="宋体"/>
          <w:b/>
          <w:bCs/>
          <w:kern w:val="2"/>
          <w:sz w:val="28"/>
          <w:szCs w:val="28"/>
          <w:lang w:val="en-US" w:eastAsia="zh-CN" w:bidi="ar-SA"/>
        </w:rPr>
        <w:t>5、非联合体投标声明（格式自拟）</w:t>
      </w:r>
      <w:r>
        <w:rPr>
          <w:rFonts w:hint="eastAsia" w:ascii="Arial" w:eastAsia="黑体" w:cs="Times New Roman"/>
          <w:sz w:val="32"/>
          <w:szCs w:val="32"/>
        </w:rPr>
        <w:br w:type="page"/>
      </w:r>
    </w:p>
    <w:bookmarkEnd w:id="271"/>
    <w:bookmarkEnd w:id="272"/>
    <w:bookmarkEnd w:id="273"/>
    <w:bookmarkEnd w:id="275"/>
    <w:p w14:paraId="63B82BF2">
      <w:pPr>
        <w:pStyle w:val="3"/>
        <w:spacing w:before="260" w:after="260" w:line="413" w:lineRule="auto"/>
        <w:jc w:val="center"/>
        <w:rPr>
          <w:rFonts w:ascii="Arial" w:eastAsia="黑体" w:cs="Times New Roman"/>
          <w:sz w:val="32"/>
          <w:szCs w:val="32"/>
        </w:rPr>
      </w:pPr>
      <w:bookmarkStart w:id="276" w:name="_Toc24031"/>
      <w:bookmarkStart w:id="277" w:name="_Toc12604923"/>
      <w:bookmarkStart w:id="278" w:name="_Toc38013577"/>
      <w:bookmarkStart w:id="279" w:name="_Toc490466407"/>
      <w:r>
        <w:rPr>
          <w:rFonts w:hint="eastAsia" w:ascii="Arial" w:eastAsia="黑体" w:cs="Times New Roman"/>
          <w:sz w:val="32"/>
          <w:szCs w:val="32"/>
          <w:lang w:val="en-US" w:eastAsia="zh-CN"/>
        </w:rPr>
        <w:t>五</w:t>
      </w:r>
      <w:r>
        <w:rPr>
          <w:rFonts w:hint="eastAsia" w:ascii="Arial" w:eastAsia="黑体" w:cs="Times New Roman"/>
          <w:sz w:val="32"/>
          <w:szCs w:val="32"/>
        </w:rPr>
        <w:t>、技术规格偏离表</w:t>
      </w:r>
      <w:bookmarkEnd w:id="276"/>
    </w:p>
    <w:tbl>
      <w:tblPr>
        <w:tblStyle w:val="4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65"/>
        <w:gridCol w:w="1865"/>
        <w:gridCol w:w="1865"/>
        <w:gridCol w:w="1130"/>
        <w:gridCol w:w="815"/>
      </w:tblGrid>
      <w:tr w14:paraId="375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40261">
            <w:pPr>
              <w:spacing w:beforeLines="50" w:afterLines="50" w:line="240" w:lineRule="auto"/>
              <w:jc w:val="center"/>
              <w:rPr>
                <w:rFonts w:ascii="宋体" w:hAnsi="宋体" w:cs="宋体"/>
                <w:sz w:val="24"/>
              </w:rPr>
            </w:pPr>
            <w:r>
              <w:rPr>
                <w:rFonts w:hint="eastAsia" w:ascii="宋体" w:hAnsi="宋体" w:cs="微软雅黑"/>
                <w:sz w:val="24"/>
              </w:rPr>
              <w:t>序号</w:t>
            </w:r>
          </w:p>
        </w:tc>
        <w:tc>
          <w:tcPr>
            <w:tcW w:w="1865" w:type="dxa"/>
            <w:tcBorders>
              <w:top w:val="single" w:color="auto" w:sz="4" w:space="0"/>
              <w:left w:val="nil"/>
              <w:bottom w:val="single" w:color="auto" w:sz="4" w:space="0"/>
              <w:right w:val="single" w:color="auto" w:sz="4" w:space="0"/>
            </w:tcBorders>
            <w:vAlign w:val="center"/>
          </w:tcPr>
          <w:p w14:paraId="369E1900">
            <w:pPr>
              <w:spacing w:beforeLines="50" w:afterLines="50" w:line="240" w:lineRule="auto"/>
              <w:jc w:val="center"/>
              <w:rPr>
                <w:rFonts w:ascii="宋体" w:hAnsi="宋体" w:cs="宋体"/>
                <w:sz w:val="24"/>
              </w:rPr>
            </w:pPr>
            <w:r>
              <w:rPr>
                <w:rFonts w:hint="eastAsia" w:ascii="宋体" w:hAnsi="宋体" w:cs="微软雅黑"/>
                <w:sz w:val="24"/>
              </w:rPr>
              <w:t>货物名称</w:t>
            </w:r>
          </w:p>
        </w:tc>
        <w:tc>
          <w:tcPr>
            <w:tcW w:w="1865" w:type="dxa"/>
            <w:tcBorders>
              <w:top w:val="single" w:color="auto" w:sz="4" w:space="0"/>
              <w:left w:val="nil"/>
              <w:bottom w:val="single" w:color="auto" w:sz="4" w:space="0"/>
              <w:right w:val="single" w:color="auto" w:sz="4" w:space="0"/>
            </w:tcBorders>
            <w:vAlign w:val="center"/>
          </w:tcPr>
          <w:p w14:paraId="69059D26">
            <w:pPr>
              <w:spacing w:beforeLines="50" w:afterLines="50" w:line="240" w:lineRule="auto"/>
              <w:jc w:val="center"/>
              <w:rPr>
                <w:rFonts w:ascii="宋体" w:hAnsi="宋体" w:cs="宋体"/>
                <w:sz w:val="24"/>
              </w:rPr>
            </w:pPr>
            <w:r>
              <w:rPr>
                <w:rFonts w:hint="eastAsia" w:ascii="宋体" w:hAnsi="宋体" w:cs="微软雅黑"/>
                <w:sz w:val="24"/>
              </w:rPr>
              <w:t>招标规格</w:t>
            </w:r>
          </w:p>
        </w:tc>
        <w:tc>
          <w:tcPr>
            <w:tcW w:w="1865" w:type="dxa"/>
            <w:tcBorders>
              <w:top w:val="single" w:color="auto" w:sz="4" w:space="0"/>
              <w:left w:val="nil"/>
              <w:bottom w:val="single" w:color="auto" w:sz="4" w:space="0"/>
              <w:right w:val="single" w:color="auto" w:sz="4" w:space="0"/>
            </w:tcBorders>
            <w:vAlign w:val="center"/>
          </w:tcPr>
          <w:p w14:paraId="0B38D99C">
            <w:pPr>
              <w:spacing w:beforeLines="50" w:afterLines="50" w:line="240" w:lineRule="auto"/>
              <w:jc w:val="center"/>
              <w:rPr>
                <w:rFonts w:ascii="宋体" w:hAnsi="宋体" w:cs="宋体"/>
                <w:sz w:val="24"/>
              </w:rPr>
            </w:pPr>
            <w:r>
              <w:rPr>
                <w:rFonts w:hint="eastAsia" w:ascii="宋体" w:hAnsi="宋体" w:cs="微软雅黑"/>
                <w:sz w:val="24"/>
              </w:rPr>
              <w:t>投标规格</w:t>
            </w:r>
          </w:p>
        </w:tc>
        <w:tc>
          <w:tcPr>
            <w:tcW w:w="1130" w:type="dxa"/>
            <w:tcBorders>
              <w:top w:val="single" w:color="auto" w:sz="4" w:space="0"/>
              <w:left w:val="nil"/>
              <w:bottom w:val="single" w:color="auto" w:sz="4" w:space="0"/>
              <w:right w:val="single" w:color="auto" w:sz="4" w:space="0"/>
            </w:tcBorders>
            <w:vAlign w:val="center"/>
          </w:tcPr>
          <w:p w14:paraId="14DA8C55">
            <w:pPr>
              <w:spacing w:beforeLines="50" w:afterLines="50" w:line="240" w:lineRule="auto"/>
              <w:jc w:val="center"/>
              <w:rPr>
                <w:rFonts w:ascii="宋体" w:hAnsi="宋体" w:cs="宋体"/>
                <w:sz w:val="24"/>
              </w:rPr>
            </w:pPr>
            <w:r>
              <w:rPr>
                <w:rFonts w:hint="eastAsia" w:ascii="宋体" w:hAnsi="宋体" w:cs="微软雅黑"/>
                <w:sz w:val="24"/>
              </w:rPr>
              <w:t>偏离</w:t>
            </w:r>
          </w:p>
          <w:p w14:paraId="15413B07">
            <w:pPr>
              <w:spacing w:beforeLines="50" w:afterLines="50" w:line="240" w:lineRule="auto"/>
              <w:jc w:val="center"/>
              <w:rPr>
                <w:rFonts w:ascii="宋体" w:hAnsi="宋体" w:cs="宋体"/>
                <w:sz w:val="24"/>
              </w:rPr>
            </w:pPr>
            <w:r>
              <w:rPr>
                <w:rFonts w:hint="eastAsia" w:ascii="宋体" w:hAnsi="宋体" w:cs="宋体"/>
                <w:sz w:val="24"/>
              </w:rPr>
              <w:t>(</w:t>
            </w:r>
            <w:r>
              <w:rPr>
                <w:rFonts w:hint="eastAsia" w:ascii="宋体" w:hAnsi="宋体" w:cs="微软雅黑"/>
                <w:sz w:val="24"/>
              </w:rPr>
              <w:t>正</w:t>
            </w:r>
            <w:r>
              <w:rPr>
                <w:rFonts w:hint="eastAsia" w:ascii="宋体" w:hAnsi="宋体" w:cs="宋体"/>
                <w:sz w:val="24"/>
              </w:rPr>
              <w:t>/</w:t>
            </w:r>
            <w:r>
              <w:rPr>
                <w:rFonts w:hint="eastAsia" w:ascii="宋体" w:hAnsi="宋体" w:cs="微软雅黑"/>
                <w:sz w:val="24"/>
              </w:rPr>
              <w:t>负</w:t>
            </w:r>
            <w:r>
              <w:rPr>
                <w:rFonts w:hint="eastAsia" w:ascii="宋体" w:hAnsi="宋体" w:cs="宋体"/>
                <w:sz w:val="24"/>
              </w:rPr>
              <w:t>/</w:t>
            </w:r>
            <w:r>
              <w:rPr>
                <w:rFonts w:hint="eastAsia" w:ascii="宋体" w:hAnsi="宋体" w:cs="微软雅黑"/>
                <w:sz w:val="24"/>
              </w:rPr>
              <w:t>无</w:t>
            </w:r>
            <w:r>
              <w:rPr>
                <w:rFonts w:hint="eastAsia" w:ascii="宋体" w:hAnsi="宋体" w:cs="宋体"/>
                <w:sz w:val="24"/>
              </w:rPr>
              <w:t>)</w:t>
            </w:r>
          </w:p>
        </w:tc>
        <w:tc>
          <w:tcPr>
            <w:tcW w:w="815" w:type="dxa"/>
            <w:tcBorders>
              <w:top w:val="single" w:color="auto" w:sz="4" w:space="0"/>
              <w:left w:val="nil"/>
              <w:bottom w:val="single" w:color="auto" w:sz="4" w:space="0"/>
              <w:right w:val="single" w:color="auto" w:sz="4" w:space="0"/>
            </w:tcBorders>
            <w:vAlign w:val="center"/>
          </w:tcPr>
          <w:p w14:paraId="1D0BEF92">
            <w:pPr>
              <w:spacing w:beforeLines="50" w:afterLines="50" w:line="240" w:lineRule="auto"/>
              <w:jc w:val="center"/>
              <w:rPr>
                <w:rFonts w:ascii="宋体" w:hAnsi="宋体" w:cs="宋体"/>
                <w:sz w:val="24"/>
              </w:rPr>
            </w:pPr>
            <w:r>
              <w:rPr>
                <w:rFonts w:hint="eastAsia" w:ascii="宋体" w:hAnsi="宋体" w:cs="微软雅黑"/>
                <w:sz w:val="24"/>
              </w:rPr>
              <w:t>说明</w:t>
            </w:r>
          </w:p>
        </w:tc>
      </w:tr>
      <w:tr w14:paraId="040B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4BEF0E6">
            <w:pPr>
              <w:spacing w:beforeLines="50" w:afterLines="50" w:line="360" w:lineRule="auto"/>
              <w:jc w:val="center"/>
              <w:rPr>
                <w:rFonts w:ascii="宋体" w:hAnsi="宋体" w:cs="宋体"/>
                <w:sz w:val="24"/>
              </w:rPr>
            </w:pPr>
            <w:r>
              <w:rPr>
                <w:rFonts w:hint="eastAsia" w:ascii="宋体" w:hAnsi="宋体" w:cs="宋体"/>
                <w:sz w:val="24"/>
              </w:rPr>
              <w:t>1</w:t>
            </w:r>
          </w:p>
        </w:tc>
        <w:tc>
          <w:tcPr>
            <w:tcW w:w="1865" w:type="dxa"/>
            <w:tcBorders>
              <w:top w:val="single" w:color="auto" w:sz="4" w:space="0"/>
              <w:left w:val="nil"/>
              <w:bottom w:val="single" w:color="auto" w:sz="4" w:space="0"/>
              <w:right w:val="single" w:color="auto" w:sz="4" w:space="0"/>
            </w:tcBorders>
            <w:vAlign w:val="center"/>
          </w:tcPr>
          <w:p w14:paraId="78892023">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7D88DB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6095C3">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44B2123">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700956A">
            <w:pPr>
              <w:spacing w:line="360" w:lineRule="auto"/>
              <w:jc w:val="center"/>
              <w:rPr>
                <w:rFonts w:ascii="宋体" w:hAnsi="宋体" w:cs="宋体"/>
                <w:sz w:val="24"/>
              </w:rPr>
            </w:pPr>
          </w:p>
        </w:tc>
      </w:tr>
      <w:tr w14:paraId="7A7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45EE39">
            <w:pPr>
              <w:spacing w:beforeLines="50" w:afterLines="50" w:line="360" w:lineRule="auto"/>
              <w:jc w:val="center"/>
              <w:rPr>
                <w:rFonts w:ascii="宋体" w:hAnsi="宋体" w:cs="宋体"/>
                <w:sz w:val="24"/>
              </w:rPr>
            </w:pPr>
            <w:r>
              <w:rPr>
                <w:rFonts w:hint="eastAsia" w:ascii="宋体" w:hAnsi="宋体" w:cs="宋体"/>
                <w:sz w:val="24"/>
              </w:rPr>
              <w:t>2</w:t>
            </w:r>
          </w:p>
        </w:tc>
        <w:tc>
          <w:tcPr>
            <w:tcW w:w="1865" w:type="dxa"/>
            <w:tcBorders>
              <w:top w:val="single" w:color="auto" w:sz="4" w:space="0"/>
              <w:left w:val="nil"/>
              <w:bottom w:val="single" w:color="auto" w:sz="4" w:space="0"/>
              <w:right w:val="single" w:color="auto" w:sz="4" w:space="0"/>
            </w:tcBorders>
            <w:vAlign w:val="center"/>
          </w:tcPr>
          <w:p w14:paraId="6BC0BAB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281246C">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4F807E1">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7091BE6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CB6F1B9">
            <w:pPr>
              <w:spacing w:line="360" w:lineRule="auto"/>
              <w:jc w:val="center"/>
              <w:rPr>
                <w:rFonts w:ascii="宋体" w:hAnsi="宋体" w:cs="宋体"/>
                <w:sz w:val="24"/>
              </w:rPr>
            </w:pPr>
          </w:p>
        </w:tc>
      </w:tr>
      <w:tr w14:paraId="3444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E0080A5">
            <w:pPr>
              <w:spacing w:beforeLines="50" w:afterLines="50" w:line="360" w:lineRule="auto"/>
              <w:jc w:val="center"/>
              <w:rPr>
                <w:rFonts w:ascii="宋体" w:hAnsi="宋体" w:cs="宋体"/>
                <w:sz w:val="24"/>
              </w:rPr>
            </w:pPr>
            <w:r>
              <w:rPr>
                <w:rFonts w:hint="eastAsia" w:ascii="宋体" w:hAnsi="宋体" w:cs="宋体"/>
                <w:sz w:val="24"/>
              </w:rPr>
              <w:t>3</w:t>
            </w:r>
          </w:p>
        </w:tc>
        <w:tc>
          <w:tcPr>
            <w:tcW w:w="1865" w:type="dxa"/>
            <w:tcBorders>
              <w:top w:val="single" w:color="auto" w:sz="4" w:space="0"/>
              <w:left w:val="nil"/>
              <w:bottom w:val="single" w:color="auto" w:sz="4" w:space="0"/>
              <w:right w:val="single" w:color="auto" w:sz="4" w:space="0"/>
            </w:tcBorders>
            <w:vAlign w:val="center"/>
          </w:tcPr>
          <w:p w14:paraId="34EE5D7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DEA3ADB">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4BCDFF7">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8CB268A">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5467A2B">
            <w:pPr>
              <w:spacing w:line="360" w:lineRule="auto"/>
              <w:jc w:val="center"/>
              <w:rPr>
                <w:rFonts w:ascii="宋体" w:hAnsi="宋体" w:cs="宋体"/>
                <w:sz w:val="24"/>
              </w:rPr>
            </w:pPr>
          </w:p>
        </w:tc>
      </w:tr>
      <w:tr w14:paraId="1531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8CD713">
            <w:pPr>
              <w:spacing w:beforeLines="50" w:afterLines="50" w:line="360" w:lineRule="auto"/>
              <w:jc w:val="center"/>
              <w:rPr>
                <w:rFonts w:ascii="宋体" w:hAnsi="宋体" w:cs="宋体"/>
                <w:sz w:val="24"/>
              </w:rPr>
            </w:pPr>
            <w:r>
              <w:rPr>
                <w:rFonts w:hint="eastAsia" w:ascii="宋体" w:hAnsi="宋体" w:cs="微软雅黑"/>
                <w:sz w:val="24"/>
              </w:rPr>
              <w:t>…</w:t>
            </w:r>
          </w:p>
        </w:tc>
        <w:tc>
          <w:tcPr>
            <w:tcW w:w="1865" w:type="dxa"/>
            <w:tcBorders>
              <w:top w:val="single" w:color="auto" w:sz="4" w:space="0"/>
              <w:left w:val="nil"/>
              <w:bottom w:val="single" w:color="auto" w:sz="4" w:space="0"/>
              <w:right w:val="single" w:color="auto" w:sz="4" w:space="0"/>
            </w:tcBorders>
            <w:vAlign w:val="center"/>
          </w:tcPr>
          <w:p w14:paraId="5928B9BA">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7CCB9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5130A8B">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2E3CD7E">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0D3F080">
            <w:pPr>
              <w:spacing w:line="360" w:lineRule="auto"/>
              <w:jc w:val="center"/>
              <w:rPr>
                <w:rFonts w:ascii="宋体" w:hAnsi="宋体" w:cs="宋体"/>
                <w:sz w:val="24"/>
              </w:rPr>
            </w:pPr>
          </w:p>
        </w:tc>
      </w:tr>
      <w:tr w14:paraId="309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4F501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EC68A94">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393FA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56AA95">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FE908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7BB796A">
            <w:pPr>
              <w:spacing w:line="360" w:lineRule="auto"/>
              <w:jc w:val="center"/>
              <w:rPr>
                <w:rFonts w:ascii="宋体" w:hAnsi="宋体" w:cs="宋体"/>
                <w:sz w:val="24"/>
              </w:rPr>
            </w:pPr>
          </w:p>
        </w:tc>
      </w:tr>
      <w:tr w14:paraId="6739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8C03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1EDC9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C6BD347">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CB213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043E2562">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FC14546">
            <w:pPr>
              <w:spacing w:line="360" w:lineRule="auto"/>
              <w:jc w:val="center"/>
              <w:rPr>
                <w:rFonts w:ascii="宋体" w:hAnsi="宋体" w:cs="宋体"/>
                <w:sz w:val="24"/>
              </w:rPr>
            </w:pPr>
          </w:p>
        </w:tc>
      </w:tr>
      <w:tr w14:paraId="2BF6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F56DF64">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F0D23A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D2DE9BE">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0DD439">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FFD97FD">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E33EB5C">
            <w:pPr>
              <w:spacing w:line="360" w:lineRule="auto"/>
              <w:jc w:val="center"/>
              <w:rPr>
                <w:rFonts w:ascii="宋体" w:hAnsi="宋体" w:cs="宋体"/>
                <w:sz w:val="24"/>
              </w:rPr>
            </w:pPr>
          </w:p>
        </w:tc>
      </w:tr>
      <w:tr w14:paraId="5F24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47D2FE">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6CCFF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A4BBC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626390F">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6CCBD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8F2FEFE">
            <w:pPr>
              <w:spacing w:line="360" w:lineRule="auto"/>
              <w:jc w:val="center"/>
              <w:rPr>
                <w:rFonts w:ascii="宋体" w:hAnsi="宋体" w:cs="宋体"/>
                <w:sz w:val="24"/>
              </w:rPr>
            </w:pPr>
          </w:p>
        </w:tc>
      </w:tr>
      <w:tr w14:paraId="391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587BA6">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43B1795">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A0DF2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5FDAF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437EF7F">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63773956">
            <w:pPr>
              <w:spacing w:line="360" w:lineRule="auto"/>
              <w:jc w:val="center"/>
              <w:rPr>
                <w:rFonts w:ascii="宋体" w:hAnsi="宋体" w:cs="宋体"/>
                <w:sz w:val="24"/>
              </w:rPr>
            </w:pPr>
          </w:p>
        </w:tc>
      </w:tr>
    </w:tbl>
    <w:p w14:paraId="10E5B298">
      <w:pPr>
        <w:spacing w:line="360" w:lineRule="auto"/>
        <w:rPr>
          <w:rFonts w:ascii="宋体" w:hAnsi="宋体" w:cs="宋体"/>
          <w:b/>
        </w:rPr>
      </w:pPr>
      <w:r>
        <w:rPr>
          <w:rFonts w:hint="eastAsia" w:ascii="宋体" w:hAnsi="宋体" w:cs="宋体"/>
          <w:b/>
        </w:rPr>
        <w:t xml:space="preserve"> </w:t>
      </w:r>
    </w:p>
    <w:p w14:paraId="4D9AD1F8">
      <w:pPr>
        <w:spacing w:line="360" w:lineRule="auto"/>
        <w:ind w:firstLine="5783" w:firstLineChars="2400"/>
        <w:rPr>
          <w:rFonts w:ascii="宋体" w:hAnsi="宋体" w:cs="宋体"/>
          <w:b/>
          <w:sz w:val="24"/>
          <w:szCs w:val="24"/>
        </w:rPr>
      </w:pPr>
      <w:r>
        <w:rPr>
          <w:rFonts w:hint="eastAsia" w:ascii="宋体" w:hAnsi="宋体" w:cs="微软雅黑"/>
          <w:b/>
          <w:sz w:val="24"/>
          <w:szCs w:val="24"/>
        </w:rPr>
        <w:t>供应商：（盖单位章）</w:t>
      </w:r>
    </w:p>
    <w:p w14:paraId="31845F32">
      <w:pPr>
        <w:spacing w:line="360" w:lineRule="auto"/>
        <w:ind w:firstLine="5783" w:firstLineChars="2400"/>
        <w:rPr>
          <w:rFonts w:ascii="宋体" w:hAnsi="宋体" w:cs="宋体"/>
          <w:b/>
          <w:sz w:val="24"/>
          <w:szCs w:val="24"/>
        </w:rPr>
      </w:pPr>
      <w:r>
        <w:rPr>
          <w:rFonts w:hint="eastAsia" w:ascii="宋体" w:hAnsi="宋体" w:cs="微软雅黑"/>
          <w:b/>
          <w:sz w:val="24"/>
          <w:szCs w:val="24"/>
        </w:rPr>
        <w:t>法定代表人：（电子签章）</w:t>
      </w:r>
    </w:p>
    <w:p w14:paraId="712049D4">
      <w:pPr>
        <w:spacing w:line="360" w:lineRule="auto"/>
        <w:rPr>
          <w:rFonts w:ascii="宋体" w:hAnsi="宋体" w:cs="宋体"/>
          <w:b/>
        </w:rPr>
      </w:pPr>
      <w:r>
        <w:rPr>
          <w:rFonts w:hint="eastAsia" w:ascii="宋体" w:hAnsi="宋体" w:cs="微软雅黑"/>
          <w:b/>
        </w:rPr>
        <w:t>注：供应商应对照招标文件技术规格要求，反映所提供货物和服务对招标文件的技术规格要求的全部正</w:t>
      </w:r>
      <w:r>
        <w:rPr>
          <w:rFonts w:hint="eastAsia" w:ascii="宋体" w:hAnsi="宋体" w:cs="宋体"/>
          <w:b/>
        </w:rPr>
        <w:t>/</w:t>
      </w:r>
      <w:r>
        <w:rPr>
          <w:rFonts w:hint="eastAsia" w:ascii="宋体" w:hAnsi="宋体" w:cs="微软雅黑"/>
          <w:b/>
        </w:rPr>
        <w:t>负偏离（优于招标文件要求的为正偏离，低于招标文件要求的为负偏离，与招标文件要求一致的为无偏离）情况。在本表中做出偏离说明的项目，供应商必须提供所投设备的具体参数值，并在技术标中提供详细资料。</w:t>
      </w:r>
    </w:p>
    <w:p w14:paraId="6C6EB026">
      <w:pPr>
        <w:rPr>
          <w:rFonts w:hint="eastAsia" w:ascii="Arial" w:eastAsia="黑体" w:cs="Times New Roman"/>
          <w:sz w:val="32"/>
          <w:szCs w:val="32"/>
        </w:rPr>
      </w:pPr>
      <w:r>
        <w:rPr>
          <w:rFonts w:hint="eastAsia" w:ascii="Arial" w:eastAsia="黑体" w:cs="Times New Roman"/>
          <w:sz w:val="32"/>
          <w:szCs w:val="32"/>
        </w:rPr>
        <w:br w:type="page"/>
      </w:r>
    </w:p>
    <w:p w14:paraId="491415DC">
      <w:pPr>
        <w:pStyle w:val="3"/>
        <w:spacing w:before="260" w:after="260" w:line="413" w:lineRule="auto"/>
        <w:jc w:val="center"/>
        <w:rPr>
          <w:rFonts w:hint="eastAsia" w:ascii="Arial" w:eastAsia="黑体" w:cs="Times New Roman"/>
          <w:sz w:val="32"/>
          <w:szCs w:val="32"/>
          <w:lang w:val="en-US" w:eastAsia="zh-CN"/>
        </w:rPr>
      </w:pPr>
      <w:bookmarkStart w:id="280" w:name="_Toc31865"/>
      <w:r>
        <w:rPr>
          <w:rFonts w:hint="eastAsia" w:ascii="Arial" w:eastAsia="黑体" w:cs="Times New Roman"/>
          <w:sz w:val="32"/>
          <w:szCs w:val="32"/>
          <w:lang w:val="en-US" w:eastAsia="zh-CN"/>
        </w:rPr>
        <w:t>六、项目管理机构</w:t>
      </w:r>
      <w:bookmarkEnd w:id="280"/>
    </w:p>
    <w:tbl>
      <w:tblPr>
        <w:tblStyle w:val="47"/>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35"/>
        <w:gridCol w:w="1409"/>
        <w:gridCol w:w="2206"/>
        <w:gridCol w:w="1665"/>
        <w:gridCol w:w="1200"/>
      </w:tblGrid>
      <w:tr w14:paraId="5B9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36" w:type="dxa"/>
            <w:vAlign w:val="center"/>
          </w:tcPr>
          <w:p w14:paraId="11D6BFA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序号</w:t>
            </w:r>
          </w:p>
        </w:tc>
        <w:tc>
          <w:tcPr>
            <w:tcW w:w="1335" w:type="dxa"/>
            <w:vAlign w:val="center"/>
          </w:tcPr>
          <w:p w14:paraId="47C3D97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职务</w:t>
            </w:r>
          </w:p>
        </w:tc>
        <w:tc>
          <w:tcPr>
            <w:tcW w:w="1409" w:type="dxa"/>
            <w:vAlign w:val="center"/>
          </w:tcPr>
          <w:p w14:paraId="3033856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姓名</w:t>
            </w:r>
          </w:p>
        </w:tc>
        <w:tc>
          <w:tcPr>
            <w:tcW w:w="2206" w:type="dxa"/>
            <w:vAlign w:val="center"/>
          </w:tcPr>
          <w:p w14:paraId="3FD44439">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证书名称及证号</w:t>
            </w:r>
          </w:p>
        </w:tc>
        <w:tc>
          <w:tcPr>
            <w:tcW w:w="1665" w:type="dxa"/>
            <w:vAlign w:val="center"/>
          </w:tcPr>
          <w:p w14:paraId="6F2EF143">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相关工作年限</w:t>
            </w:r>
          </w:p>
        </w:tc>
        <w:tc>
          <w:tcPr>
            <w:tcW w:w="1200" w:type="dxa"/>
            <w:vAlign w:val="center"/>
          </w:tcPr>
          <w:p w14:paraId="6BAB0F52">
            <w:pPr>
              <w:spacing w:line="360" w:lineRule="auto"/>
              <w:jc w:val="center"/>
              <w:rPr>
                <w:rFonts w:ascii="宋体" w:hAnsi="宋体" w:cs="宋体"/>
                <w:sz w:val="24"/>
                <w:szCs w:val="24"/>
              </w:rPr>
            </w:pPr>
            <w:r>
              <w:rPr>
                <w:rFonts w:hint="eastAsia" w:ascii="宋体" w:hAnsi="宋体" w:cs="宋体"/>
                <w:sz w:val="24"/>
                <w:szCs w:val="24"/>
              </w:rPr>
              <w:t>备注</w:t>
            </w:r>
          </w:p>
        </w:tc>
      </w:tr>
      <w:tr w14:paraId="1ADA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79F9456B">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335" w:type="dxa"/>
            <w:vAlign w:val="center"/>
          </w:tcPr>
          <w:p w14:paraId="6C17C79A">
            <w:pPr>
              <w:adjustRightInd w:val="0"/>
              <w:snapToGrid w:val="0"/>
              <w:jc w:val="center"/>
              <w:rPr>
                <w:rFonts w:ascii="宋体" w:hAnsi="宋体" w:cs="宋体"/>
                <w:sz w:val="24"/>
                <w:szCs w:val="24"/>
              </w:rPr>
            </w:pPr>
          </w:p>
        </w:tc>
        <w:tc>
          <w:tcPr>
            <w:tcW w:w="1409" w:type="dxa"/>
            <w:vAlign w:val="center"/>
          </w:tcPr>
          <w:p w14:paraId="2F8B6581">
            <w:pPr>
              <w:adjustRightInd w:val="0"/>
              <w:snapToGrid w:val="0"/>
              <w:jc w:val="center"/>
              <w:rPr>
                <w:rFonts w:ascii="宋体" w:hAnsi="宋体" w:cs="宋体"/>
                <w:sz w:val="24"/>
                <w:szCs w:val="24"/>
              </w:rPr>
            </w:pPr>
          </w:p>
        </w:tc>
        <w:tc>
          <w:tcPr>
            <w:tcW w:w="2206" w:type="dxa"/>
            <w:vAlign w:val="center"/>
          </w:tcPr>
          <w:p w14:paraId="49FC8B3B">
            <w:pPr>
              <w:adjustRightInd w:val="0"/>
              <w:snapToGrid w:val="0"/>
              <w:jc w:val="center"/>
              <w:rPr>
                <w:rFonts w:ascii="宋体" w:hAnsi="宋体" w:cs="宋体"/>
                <w:sz w:val="24"/>
                <w:szCs w:val="24"/>
              </w:rPr>
            </w:pPr>
          </w:p>
        </w:tc>
        <w:tc>
          <w:tcPr>
            <w:tcW w:w="1665" w:type="dxa"/>
            <w:vAlign w:val="center"/>
          </w:tcPr>
          <w:p w14:paraId="44D5701A">
            <w:pPr>
              <w:adjustRightInd w:val="0"/>
              <w:snapToGrid w:val="0"/>
              <w:jc w:val="center"/>
              <w:rPr>
                <w:rFonts w:ascii="宋体" w:hAnsi="宋体" w:cs="宋体"/>
                <w:sz w:val="24"/>
                <w:szCs w:val="24"/>
              </w:rPr>
            </w:pPr>
          </w:p>
        </w:tc>
        <w:tc>
          <w:tcPr>
            <w:tcW w:w="1200" w:type="dxa"/>
            <w:vAlign w:val="center"/>
          </w:tcPr>
          <w:p w14:paraId="1F918883">
            <w:pPr>
              <w:adjustRightInd w:val="0"/>
              <w:snapToGrid w:val="0"/>
              <w:jc w:val="center"/>
              <w:rPr>
                <w:rFonts w:ascii="宋体" w:hAnsi="宋体" w:cs="宋体"/>
                <w:sz w:val="24"/>
                <w:szCs w:val="24"/>
              </w:rPr>
            </w:pPr>
          </w:p>
        </w:tc>
      </w:tr>
      <w:tr w14:paraId="4D3D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5BB472B1">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335" w:type="dxa"/>
            <w:vAlign w:val="center"/>
          </w:tcPr>
          <w:p w14:paraId="7F875FCE">
            <w:pPr>
              <w:adjustRightInd w:val="0"/>
              <w:snapToGrid w:val="0"/>
              <w:jc w:val="center"/>
              <w:rPr>
                <w:rFonts w:ascii="宋体" w:hAnsi="宋体" w:cs="宋体"/>
                <w:sz w:val="24"/>
                <w:szCs w:val="24"/>
              </w:rPr>
            </w:pPr>
          </w:p>
        </w:tc>
        <w:tc>
          <w:tcPr>
            <w:tcW w:w="1409" w:type="dxa"/>
            <w:vAlign w:val="center"/>
          </w:tcPr>
          <w:p w14:paraId="4B3C081B">
            <w:pPr>
              <w:adjustRightInd w:val="0"/>
              <w:snapToGrid w:val="0"/>
              <w:jc w:val="center"/>
              <w:rPr>
                <w:rFonts w:ascii="宋体" w:hAnsi="宋体" w:cs="宋体"/>
                <w:sz w:val="24"/>
                <w:szCs w:val="24"/>
              </w:rPr>
            </w:pPr>
          </w:p>
        </w:tc>
        <w:tc>
          <w:tcPr>
            <w:tcW w:w="2206" w:type="dxa"/>
            <w:vAlign w:val="center"/>
          </w:tcPr>
          <w:p w14:paraId="53E1DC2E">
            <w:pPr>
              <w:adjustRightInd w:val="0"/>
              <w:snapToGrid w:val="0"/>
              <w:jc w:val="center"/>
              <w:rPr>
                <w:rFonts w:ascii="宋体" w:hAnsi="宋体" w:cs="宋体"/>
                <w:sz w:val="24"/>
                <w:szCs w:val="24"/>
              </w:rPr>
            </w:pPr>
          </w:p>
        </w:tc>
        <w:tc>
          <w:tcPr>
            <w:tcW w:w="1665" w:type="dxa"/>
            <w:vAlign w:val="center"/>
          </w:tcPr>
          <w:p w14:paraId="78FF26F6">
            <w:pPr>
              <w:adjustRightInd w:val="0"/>
              <w:snapToGrid w:val="0"/>
              <w:jc w:val="center"/>
              <w:rPr>
                <w:rFonts w:ascii="宋体" w:hAnsi="宋体" w:cs="宋体"/>
                <w:sz w:val="24"/>
                <w:szCs w:val="24"/>
              </w:rPr>
            </w:pPr>
          </w:p>
        </w:tc>
        <w:tc>
          <w:tcPr>
            <w:tcW w:w="1200" w:type="dxa"/>
            <w:vAlign w:val="center"/>
          </w:tcPr>
          <w:p w14:paraId="7B5B2D66">
            <w:pPr>
              <w:adjustRightInd w:val="0"/>
              <w:snapToGrid w:val="0"/>
              <w:jc w:val="center"/>
              <w:rPr>
                <w:rFonts w:ascii="宋体" w:hAnsi="宋体" w:cs="宋体"/>
                <w:sz w:val="24"/>
                <w:szCs w:val="24"/>
              </w:rPr>
            </w:pPr>
          </w:p>
        </w:tc>
      </w:tr>
      <w:tr w14:paraId="173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3221AC7F">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335" w:type="dxa"/>
            <w:vAlign w:val="center"/>
          </w:tcPr>
          <w:p w14:paraId="2CEB6614">
            <w:pPr>
              <w:adjustRightInd w:val="0"/>
              <w:snapToGrid w:val="0"/>
              <w:jc w:val="center"/>
              <w:rPr>
                <w:rFonts w:ascii="宋体" w:hAnsi="宋体" w:cs="宋体"/>
                <w:sz w:val="24"/>
                <w:szCs w:val="24"/>
              </w:rPr>
            </w:pPr>
          </w:p>
        </w:tc>
        <w:tc>
          <w:tcPr>
            <w:tcW w:w="1409" w:type="dxa"/>
            <w:vAlign w:val="center"/>
          </w:tcPr>
          <w:p w14:paraId="51FD00B8">
            <w:pPr>
              <w:adjustRightInd w:val="0"/>
              <w:snapToGrid w:val="0"/>
              <w:jc w:val="center"/>
              <w:rPr>
                <w:rFonts w:ascii="宋体" w:hAnsi="宋体" w:cs="宋体"/>
                <w:sz w:val="24"/>
                <w:szCs w:val="24"/>
              </w:rPr>
            </w:pPr>
          </w:p>
        </w:tc>
        <w:tc>
          <w:tcPr>
            <w:tcW w:w="2206" w:type="dxa"/>
            <w:vAlign w:val="center"/>
          </w:tcPr>
          <w:p w14:paraId="16029462">
            <w:pPr>
              <w:adjustRightInd w:val="0"/>
              <w:snapToGrid w:val="0"/>
              <w:jc w:val="center"/>
              <w:rPr>
                <w:rFonts w:ascii="宋体" w:hAnsi="宋体" w:cs="宋体"/>
                <w:sz w:val="24"/>
                <w:szCs w:val="24"/>
              </w:rPr>
            </w:pPr>
          </w:p>
        </w:tc>
        <w:tc>
          <w:tcPr>
            <w:tcW w:w="1665" w:type="dxa"/>
            <w:vAlign w:val="center"/>
          </w:tcPr>
          <w:p w14:paraId="4D0031CD">
            <w:pPr>
              <w:adjustRightInd w:val="0"/>
              <w:snapToGrid w:val="0"/>
              <w:jc w:val="center"/>
              <w:rPr>
                <w:rFonts w:ascii="宋体" w:hAnsi="宋体" w:cs="宋体"/>
                <w:sz w:val="24"/>
                <w:szCs w:val="24"/>
              </w:rPr>
            </w:pPr>
          </w:p>
        </w:tc>
        <w:tc>
          <w:tcPr>
            <w:tcW w:w="1200" w:type="dxa"/>
            <w:vAlign w:val="center"/>
          </w:tcPr>
          <w:p w14:paraId="5867EA1E">
            <w:pPr>
              <w:adjustRightInd w:val="0"/>
              <w:snapToGrid w:val="0"/>
              <w:jc w:val="center"/>
              <w:rPr>
                <w:rFonts w:ascii="宋体" w:hAnsi="宋体" w:cs="宋体"/>
                <w:sz w:val="24"/>
                <w:szCs w:val="24"/>
              </w:rPr>
            </w:pPr>
          </w:p>
        </w:tc>
      </w:tr>
      <w:tr w14:paraId="737E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7DDB9A09">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335" w:type="dxa"/>
            <w:vAlign w:val="center"/>
          </w:tcPr>
          <w:p w14:paraId="3BED9917">
            <w:pPr>
              <w:adjustRightInd w:val="0"/>
              <w:snapToGrid w:val="0"/>
              <w:jc w:val="center"/>
              <w:rPr>
                <w:rFonts w:ascii="宋体" w:hAnsi="宋体" w:cs="宋体"/>
                <w:sz w:val="24"/>
                <w:szCs w:val="24"/>
              </w:rPr>
            </w:pPr>
          </w:p>
        </w:tc>
        <w:tc>
          <w:tcPr>
            <w:tcW w:w="1409" w:type="dxa"/>
            <w:vAlign w:val="center"/>
          </w:tcPr>
          <w:p w14:paraId="2061B242">
            <w:pPr>
              <w:adjustRightInd w:val="0"/>
              <w:snapToGrid w:val="0"/>
              <w:jc w:val="center"/>
              <w:rPr>
                <w:rFonts w:ascii="宋体" w:hAnsi="宋体" w:cs="宋体"/>
                <w:sz w:val="24"/>
                <w:szCs w:val="24"/>
              </w:rPr>
            </w:pPr>
          </w:p>
        </w:tc>
        <w:tc>
          <w:tcPr>
            <w:tcW w:w="2206" w:type="dxa"/>
            <w:vAlign w:val="center"/>
          </w:tcPr>
          <w:p w14:paraId="3B319980">
            <w:pPr>
              <w:adjustRightInd w:val="0"/>
              <w:snapToGrid w:val="0"/>
              <w:jc w:val="center"/>
              <w:rPr>
                <w:rFonts w:ascii="宋体" w:hAnsi="宋体" w:cs="宋体"/>
                <w:sz w:val="24"/>
                <w:szCs w:val="24"/>
              </w:rPr>
            </w:pPr>
          </w:p>
        </w:tc>
        <w:tc>
          <w:tcPr>
            <w:tcW w:w="1665" w:type="dxa"/>
            <w:vAlign w:val="center"/>
          </w:tcPr>
          <w:p w14:paraId="1717A2F6">
            <w:pPr>
              <w:adjustRightInd w:val="0"/>
              <w:snapToGrid w:val="0"/>
              <w:jc w:val="center"/>
              <w:rPr>
                <w:rFonts w:ascii="宋体" w:hAnsi="宋体" w:cs="宋体"/>
                <w:sz w:val="24"/>
                <w:szCs w:val="24"/>
              </w:rPr>
            </w:pPr>
          </w:p>
        </w:tc>
        <w:tc>
          <w:tcPr>
            <w:tcW w:w="1200" w:type="dxa"/>
            <w:vAlign w:val="center"/>
          </w:tcPr>
          <w:p w14:paraId="5985A9A5">
            <w:pPr>
              <w:adjustRightInd w:val="0"/>
              <w:snapToGrid w:val="0"/>
              <w:jc w:val="center"/>
              <w:rPr>
                <w:rFonts w:ascii="宋体" w:hAnsi="宋体" w:cs="宋体"/>
                <w:sz w:val="24"/>
                <w:szCs w:val="24"/>
              </w:rPr>
            </w:pPr>
          </w:p>
        </w:tc>
      </w:tr>
      <w:tr w14:paraId="64F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54D299CC">
            <w:pPr>
              <w:adjustRightInd w:val="0"/>
              <w:snapToGrid w:val="0"/>
              <w:jc w:val="center"/>
              <w:rPr>
                <w:rFonts w:hint="default" w:ascii="宋体" w:hAnsi="宋体" w:eastAsia="宋体" w:cs="宋体"/>
                <w:sz w:val="24"/>
                <w:szCs w:val="24"/>
                <w:lang w:val="en-US" w:eastAsia="zh-CN"/>
              </w:rPr>
            </w:pPr>
          </w:p>
        </w:tc>
        <w:tc>
          <w:tcPr>
            <w:tcW w:w="1335" w:type="dxa"/>
            <w:vAlign w:val="center"/>
          </w:tcPr>
          <w:p w14:paraId="3AF13BC1">
            <w:pPr>
              <w:adjustRightInd w:val="0"/>
              <w:snapToGrid w:val="0"/>
              <w:jc w:val="center"/>
              <w:rPr>
                <w:rFonts w:ascii="宋体" w:hAnsi="宋体" w:cs="宋体"/>
                <w:sz w:val="24"/>
                <w:szCs w:val="24"/>
              </w:rPr>
            </w:pPr>
          </w:p>
        </w:tc>
        <w:tc>
          <w:tcPr>
            <w:tcW w:w="1409" w:type="dxa"/>
            <w:vAlign w:val="center"/>
          </w:tcPr>
          <w:p w14:paraId="21E69044">
            <w:pPr>
              <w:adjustRightInd w:val="0"/>
              <w:snapToGrid w:val="0"/>
              <w:jc w:val="center"/>
              <w:rPr>
                <w:rFonts w:ascii="宋体" w:hAnsi="宋体" w:cs="宋体"/>
                <w:sz w:val="24"/>
                <w:szCs w:val="24"/>
              </w:rPr>
            </w:pPr>
          </w:p>
        </w:tc>
        <w:tc>
          <w:tcPr>
            <w:tcW w:w="2206" w:type="dxa"/>
            <w:vAlign w:val="center"/>
          </w:tcPr>
          <w:p w14:paraId="70CA1AA9">
            <w:pPr>
              <w:adjustRightInd w:val="0"/>
              <w:snapToGrid w:val="0"/>
              <w:jc w:val="center"/>
              <w:rPr>
                <w:rFonts w:ascii="宋体" w:hAnsi="宋体" w:cs="宋体"/>
                <w:sz w:val="24"/>
                <w:szCs w:val="24"/>
              </w:rPr>
            </w:pPr>
          </w:p>
        </w:tc>
        <w:tc>
          <w:tcPr>
            <w:tcW w:w="1665" w:type="dxa"/>
            <w:vAlign w:val="center"/>
          </w:tcPr>
          <w:p w14:paraId="30B38E47">
            <w:pPr>
              <w:adjustRightInd w:val="0"/>
              <w:snapToGrid w:val="0"/>
              <w:jc w:val="center"/>
              <w:rPr>
                <w:rFonts w:ascii="宋体" w:hAnsi="宋体" w:cs="宋体"/>
                <w:sz w:val="24"/>
                <w:szCs w:val="24"/>
              </w:rPr>
            </w:pPr>
          </w:p>
        </w:tc>
        <w:tc>
          <w:tcPr>
            <w:tcW w:w="1200" w:type="dxa"/>
            <w:vAlign w:val="center"/>
          </w:tcPr>
          <w:p w14:paraId="65E69B6D">
            <w:pPr>
              <w:adjustRightInd w:val="0"/>
              <w:snapToGrid w:val="0"/>
              <w:jc w:val="center"/>
              <w:rPr>
                <w:rFonts w:ascii="宋体" w:hAnsi="宋体" w:cs="宋体"/>
                <w:sz w:val="24"/>
                <w:szCs w:val="24"/>
              </w:rPr>
            </w:pPr>
          </w:p>
        </w:tc>
      </w:tr>
      <w:tr w14:paraId="51EC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2BA8061E">
            <w:pPr>
              <w:adjustRightInd w:val="0"/>
              <w:snapToGrid w:val="0"/>
              <w:jc w:val="center"/>
              <w:rPr>
                <w:rFonts w:ascii="宋体" w:hAnsi="宋体" w:cs="宋体"/>
                <w:sz w:val="24"/>
                <w:szCs w:val="24"/>
              </w:rPr>
            </w:pPr>
          </w:p>
        </w:tc>
        <w:tc>
          <w:tcPr>
            <w:tcW w:w="1335" w:type="dxa"/>
            <w:vAlign w:val="center"/>
          </w:tcPr>
          <w:p w14:paraId="3A5FF94B">
            <w:pPr>
              <w:adjustRightInd w:val="0"/>
              <w:snapToGrid w:val="0"/>
              <w:jc w:val="center"/>
              <w:rPr>
                <w:rFonts w:ascii="宋体" w:hAnsi="宋体" w:cs="宋体"/>
                <w:sz w:val="24"/>
                <w:szCs w:val="24"/>
              </w:rPr>
            </w:pPr>
          </w:p>
        </w:tc>
        <w:tc>
          <w:tcPr>
            <w:tcW w:w="1409" w:type="dxa"/>
            <w:vAlign w:val="center"/>
          </w:tcPr>
          <w:p w14:paraId="25378DB1">
            <w:pPr>
              <w:adjustRightInd w:val="0"/>
              <w:snapToGrid w:val="0"/>
              <w:jc w:val="center"/>
              <w:rPr>
                <w:rFonts w:ascii="宋体" w:hAnsi="宋体" w:cs="宋体"/>
                <w:sz w:val="24"/>
                <w:szCs w:val="24"/>
              </w:rPr>
            </w:pPr>
          </w:p>
        </w:tc>
        <w:tc>
          <w:tcPr>
            <w:tcW w:w="2206" w:type="dxa"/>
            <w:vAlign w:val="center"/>
          </w:tcPr>
          <w:p w14:paraId="49973E5E">
            <w:pPr>
              <w:adjustRightInd w:val="0"/>
              <w:snapToGrid w:val="0"/>
              <w:jc w:val="center"/>
              <w:rPr>
                <w:rFonts w:ascii="宋体" w:hAnsi="宋体" w:cs="宋体"/>
                <w:sz w:val="24"/>
                <w:szCs w:val="24"/>
              </w:rPr>
            </w:pPr>
          </w:p>
        </w:tc>
        <w:tc>
          <w:tcPr>
            <w:tcW w:w="1665" w:type="dxa"/>
            <w:vAlign w:val="center"/>
          </w:tcPr>
          <w:p w14:paraId="77E701F0">
            <w:pPr>
              <w:adjustRightInd w:val="0"/>
              <w:snapToGrid w:val="0"/>
              <w:jc w:val="center"/>
              <w:rPr>
                <w:rFonts w:ascii="宋体" w:hAnsi="宋体" w:cs="宋体"/>
                <w:sz w:val="24"/>
                <w:szCs w:val="24"/>
              </w:rPr>
            </w:pPr>
          </w:p>
        </w:tc>
        <w:tc>
          <w:tcPr>
            <w:tcW w:w="1200" w:type="dxa"/>
            <w:vAlign w:val="center"/>
          </w:tcPr>
          <w:p w14:paraId="175EA2C2">
            <w:pPr>
              <w:adjustRightInd w:val="0"/>
              <w:snapToGrid w:val="0"/>
              <w:jc w:val="center"/>
              <w:rPr>
                <w:rFonts w:ascii="宋体" w:hAnsi="宋体" w:cs="宋体"/>
                <w:sz w:val="24"/>
                <w:szCs w:val="24"/>
              </w:rPr>
            </w:pPr>
          </w:p>
        </w:tc>
      </w:tr>
      <w:tr w14:paraId="05AB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466855D6">
            <w:pPr>
              <w:adjustRightInd w:val="0"/>
              <w:snapToGrid w:val="0"/>
              <w:jc w:val="center"/>
              <w:rPr>
                <w:rFonts w:ascii="宋体" w:hAnsi="宋体" w:cs="宋体"/>
                <w:sz w:val="24"/>
                <w:szCs w:val="24"/>
              </w:rPr>
            </w:pPr>
          </w:p>
        </w:tc>
        <w:tc>
          <w:tcPr>
            <w:tcW w:w="1335" w:type="dxa"/>
            <w:vAlign w:val="center"/>
          </w:tcPr>
          <w:p w14:paraId="62BCF257">
            <w:pPr>
              <w:adjustRightInd w:val="0"/>
              <w:snapToGrid w:val="0"/>
              <w:jc w:val="center"/>
              <w:rPr>
                <w:rFonts w:ascii="宋体" w:hAnsi="宋体" w:cs="宋体"/>
                <w:sz w:val="24"/>
                <w:szCs w:val="24"/>
              </w:rPr>
            </w:pPr>
          </w:p>
        </w:tc>
        <w:tc>
          <w:tcPr>
            <w:tcW w:w="1409" w:type="dxa"/>
            <w:vAlign w:val="center"/>
          </w:tcPr>
          <w:p w14:paraId="2449605D">
            <w:pPr>
              <w:adjustRightInd w:val="0"/>
              <w:snapToGrid w:val="0"/>
              <w:jc w:val="center"/>
              <w:rPr>
                <w:rFonts w:ascii="宋体" w:hAnsi="宋体" w:cs="宋体"/>
                <w:sz w:val="24"/>
                <w:szCs w:val="24"/>
              </w:rPr>
            </w:pPr>
          </w:p>
        </w:tc>
        <w:tc>
          <w:tcPr>
            <w:tcW w:w="2206" w:type="dxa"/>
            <w:vAlign w:val="center"/>
          </w:tcPr>
          <w:p w14:paraId="454BFDAF">
            <w:pPr>
              <w:adjustRightInd w:val="0"/>
              <w:snapToGrid w:val="0"/>
              <w:jc w:val="center"/>
              <w:rPr>
                <w:rFonts w:ascii="宋体" w:hAnsi="宋体" w:cs="宋体"/>
                <w:sz w:val="24"/>
                <w:szCs w:val="24"/>
              </w:rPr>
            </w:pPr>
          </w:p>
        </w:tc>
        <w:tc>
          <w:tcPr>
            <w:tcW w:w="1665" w:type="dxa"/>
            <w:vAlign w:val="center"/>
          </w:tcPr>
          <w:p w14:paraId="180A0CE9">
            <w:pPr>
              <w:adjustRightInd w:val="0"/>
              <w:snapToGrid w:val="0"/>
              <w:jc w:val="center"/>
              <w:rPr>
                <w:rFonts w:ascii="宋体" w:hAnsi="宋体" w:cs="宋体"/>
                <w:sz w:val="24"/>
                <w:szCs w:val="24"/>
              </w:rPr>
            </w:pPr>
          </w:p>
        </w:tc>
        <w:tc>
          <w:tcPr>
            <w:tcW w:w="1200" w:type="dxa"/>
            <w:vAlign w:val="center"/>
          </w:tcPr>
          <w:p w14:paraId="381C04CC">
            <w:pPr>
              <w:adjustRightInd w:val="0"/>
              <w:snapToGrid w:val="0"/>
              <w:jc w:val="center"/>
              <w:rPr>
                <w:rFonts w:ascii="宋体" w:hAnsi="宋体" w:cs="宋体"/>
                <w:sz w:val="24"/>
                <w:szCs w:val="24"/>
              </w:rPr>
            </w:pPr>
          </w:p>
        </w:tc>
      </w:tr>
      <w:tr w14:paraId="17E9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1817E923">
            <w:pPr>
              <w:adjustRightInd w:val="0"/>
              <w:snapToGrid w:val="0"/>
              <w:jc w:val="center"/>
              <w:rPr>
                <w:rFonts w:ascii="宋体" w:hAnsi="宋体" w:cs="宋体"/>
                <w:sz w:val="24"/>
                <w:szCs w:val="24"/>
              </w:rPr>
            </w:pPr>
          </w:p>
        </w:tc>
        <w:tc>
          <w:tcPr>
            <w:tcW w:w="1335" w:type="dxa"/>
            <w:vAlign w:val="center"/>
          </w:tcPr>
          <w:p w14:paraId="70095A50">
            <w:pPr>
              <w:adjustRightInd w:val="0"/>
              <w:snapToGrid w:val="0"/>
              <w:jc w:val="center"/>
              <w:rPr>
                <w:rFonts w:ascii="宋体" w:hAnsi="宋体" w:cs="宋体"/>
                <w:sz w:val="24"/>
                <w:szCs w:val="24"/>
              </w:rPr>
            </w:pPr>
          </w:p>
        </w:tc>
        <w:tc>
          <w:tcPr>
            <w:tcW w:w="1409" w:type="dxa"/>
            <w:vAlign w:val="center"/>
          </w:tcPr>
          <w:p w14:paraId="244C4A0B">
            <w:pPr>
              <w:adjustRightInd w:val="0"/>
              <w:snapToGrid w:val="0"/>
              <w:jc w:val="center"/>
              <w:rPr>
                <w:rFonts w:ascii="宋体" w:hAnsi="宋体" w:cs="宋体"/>
                <w:sz w:val="24"/>
                <w:szCs w:val="24"/>
              </w:rPr>
            </w:pPr>
          </w:p>
        </w:tc>
        <w:tc>
          <w:tcPr>
            <w:tcW w:w="2206" w:type="dxa"/>
            <w:vAlign w:val="center"/>
          </w:tcPr>
          <w:p w14:paraId="52301179">
            <w:pPr>
              <w:adjustRightInd w:val="0"/>
              <w:snapToGrid w:val="0"/>
              <w:jc w:val="center"/>
              <w:rPr>
                <w:rFonts w:ascii="宋体" w:hAnsi="宋体" w:cs="宋体"/>
                <w:sz w:val="24"/>
                <w:szCs w:val="24"/>
              </w:rPr>
            </w:pPr>
          </w:p>
        </w:tc>
        <w:tc>
          <w:tcPr>
            <w:tcW w:w="1665" w:type="dxa"/>
            <w:vAlign w:val="center"/>
          </w:tcPr>
          <w:p w14:paraId="5FF96937">
            <w:pPr>
              <w:adjustRightInd w:val="0"/>
              <w:snapToGrid w:val="0"/>
              <w:jc w:val="center"/>
              <w:rPr>
                <w:rFonts w:ascii="宋体" w:hAnsi="宋体" w:cs="宋体"/>
                <w:sz w:val="24"/>
                <w:szCs w:val="24"/>
              </w:rPr>
            </w:pPr>
          </w:p>
        </w:tc>
        <w:tc>
          <w:tcPr>
            <w:tcW w:w="1200" w:type="dxa"/>
            <w:vAlign w:val="center"/>
          </w:tcPr>
          <w:p w14:paraId="19C012DB">
            <w:pPr>
              <w:adjustRightInd w:val="0"/>
              <w:snapToGrid w:val="0"/>
              <w:jc w:val="center"/>
              <w:rPr>
                <w:rFonts w:ascii="宋体" w:hAnsi="宋体" w:cs="宋体"/>
                <w:sz w:val="24"/>
                <w:szCs w:val="24"/>
              </w:rPr>
            </w:pPr>
          </w:p>
        </w:tc>
      </w:tr>
      <w:tr w14:paraId="785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15C54140">
            <w:pPr>
              <w:adjustRightInd w:val="0"/>
              <w:snapToGrid w:val="0"/>
              <w:jc w:val="center"/>
              <w:rPr>
                <w:rFonts w:ascii="宋体" w:hAnsi="宋体" w:cs="宋体"/>
                <w:sz w:val="24"/>
                <w:szCs w:val="24"/>
              </w:rPr>
            </w:pPr>
          </w:p>
        </w:tc>
        <w:tc>
          <w:tcPr>
            <w:tcW w:w="1335" w:type="dxa"/>
            <w:vAlign w:val="center"/>
          </w:tcPr>
          <w:p w14:paraId="305AD042">
            <w:pPr>
              <w:adjustRightInd w:val="0"/>
              <w:snapToGrid w:val="0"/>
              <w:jc w:val="center"/>
              <w:rPr>
                <w:rFonts w:ascii="宋体" w:hAnsi="宋体" w:cs="宋体"/>
                <w:sz w:val="24"/>
                <w:szCs w:val="24"/>
              </w:rPr>
            </w:pPr>
          </w:p>
        </w:tc>
        <w:tc>
          <w:tcPr>
            <w:tcW w:w="1409" w:type="dxa"/>
            <w:vAlign w:val="center"/>
          </w:tcPr>
          <w:p w14:paraId="5894F130">
            <w:pPr>
              <w:adjustRightInd w:val="0"/>
              <w:snapToGrid w:val="0"/>
              <w:jc w:val="center"/>
              <w:rPr>
                <w:rFonts w:ascii="宋体" w:hAnsi="宋体" w:cs="宋体"/>
                <w:sz w:val="24"/>
                <w:szCs w:val="24"/>
              </w:rPr>
            </w:pPr>
          </w:p>
        </w:tc>
        <w:tc>
          <w:tcPr>
            <w:tcW w:w="2206" w:type="dxa"/>
            <w:vAlign w:val="center"/>
          </w:tcPr>
          <w:p w14:paraId="15DE6880">
            <w:pPr>
              <w:adjustRightInd w:val="0"/>
              <w:snapToGrid w:val="0"/>
              <w:jc w:val="center"/>
              <w:rPr>
                <w:rFonts w:ascii="宋体" w:hAnsi="宋体" w:cs="宋体"/>
                <w:sz w:val="24"/>
                <w:szCs w:val="24"/>
              </w:rPr>
            </w:pPr>
          </w:p>
        </w:tc>
        <w:tc>
          <w:tcPr>
            <w:tcW w:w="1665" w:type="dxa"/>
            <w:vAlign w:val="center"/>
          </w:tcPr>
          <w:p w14:paraId="3CB08D41">
            <w:pPr>
              <w:adjustRightInd w:val="0"/>
              <w:snapToGrid w:val="0"/>
              <w:jc w:val="center"/>
              <w:rPr>
                <w:rFonts w:ascii="宋体" w:hAnsi="宋体" w:cs="宋体"/>
                <w:sz w:val="24"/>
                <w:szCs w:val="24"/>
              </w:rPr>
            </w:pPr>
          </w:p>
        </w:tc>
        <w:tc>
          <w:tcPr>
            <w:tcW w:w="1200" w:type="dxa"/>
            <w:vAlign w:val="center"/>
          </w:tcPr>
          <w:p w14:paraId="1EE3AFBD">
            <w:pPr>
              <w:adjustRightInd w:val="0"/>
              <w:snapToGrid w:val="0"/>
              <w:jc w:val="center"/>
              <w:rPr>
                <w:rFonts w:ascii="宋体" w:hAnsi="宋体" w:cs="宋体"/>
                <w:sz w:val="24"/>
                <w:szCs w:val="24"/>
              </w:rPr>
            </w:pPr>
          </w:p>
        </w:tc>
      </w:tr>
      <w:tr w14:paraId="29A0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4847219A">
            <w:pPr>
              <w:adjustRightInd w:val="0"/>
              <w:snapToGrid w:val="0"/>
              <w:jc w:val="center"/>
              <w:rPr>
                <w:rFonts w:ascii="宋体" w:hAnsi="宋体" w:cs="宋体"/>
                <w:sz w:val="24"/>
                <w:szCs w:val="24"/>
              </w:rPr>
            </w:pPr>
          </w:p>
        </w:tc>
        <w:tc>
          <w:tcPr>
            <w:tcW w:w="1335" w:type="dxa"/>
            <w:vAlign w:val="center"/>
          </w:tcPr>
          <w:p w14:paraId="7059D8E6">
            <w:pPr>
              <w:adjustRightInd w:val="0"/>
              <w:snapToGrid w:val="0"/>
              <w:jc w:val="center"/>
              <w:rPr>
                <w:rFonts w:ascii="宋体" w:hAnsi="宋体" w:cs="宋体"/>
                <w:sz w:val="24"/>
                <w:szCs w:val="24"/>
              </w:rPr>
            </w:pPr>
          </w:p>
        </w:tc>
        <w:tc>
          <w:tcPr>
            <w:tcW w:w="1409" w:type="dxa"/>
            <w:vAlign w:val="center"/>
          </w:tcPr>
          <w:p w14:paraId="1718605F">
            <w:pPr>
              <w:adjustRightInd w:val="0"/>
              <w:snapToGrid w:val="0"/>
              <w:jc w:val="center"/>
              <w:rPr>
                <w:rFonts w:ascii="宋体" w:hAnsi="宋体" w:cs="宋体"/>
                <w:sz w:val="24"/>
                <w:szCs w:val="24"/>
              </w:rPr>
            </w:pPr>
          </w:p>
        </w:tc>
        <w:tc>
          <w:tcPr>
            <w:tcW w:w="2206" w:type="dxa"/>
            <w:vAlign w:val="center"/>
          </w:tcPr>
          <w:p w14:paraId="013F6F3B">
            <w:pPr>
              <w:adjustRightInd w:val="0"/>
              <w:snapToGrid w:val="0"/>
              <w:jc w:val="center"/>
              <w:rPr>
                <w:rFonts w:ascii="宋体" w:hAnsi="宋体" w:cs="宋体"/>
                <w:sz w:val="24"/>
                <w:szCs w:val="24"/>
              </w:rPr>
            </w:pPr>
          </w:p>
        </w:tc>
        <w:tc>
          <w:tcPr>
            <w:tcW w:w="1665" w:type="dxa"/>
            <w:vAlign w:val="center"/>
          </w:tcPr>
          <w:p w14:paraId="7B0E7C16">
            <w:pPr>
              <w:adjustRightInd w:val="0"/>
              <w:snapToGrid w:val="0"/>
              <w:jc w:val="center"/>
              <w:rPr>
                <w:rFonts w:ascii="宋体" w:hAnsi="宋体" w:cs="宋体"/>
                <w:sz w:val="24"/>
                <w:szCs w:val="24"/>
              </w:rPr>
            </w:pPr>
          </w:p>
        </w:tc>
        <w:tc>
          <w:tcPr>
            <w:tcW w:w="1200" w:type="dxa"/>
            <w:vAlign w:val="center"/>
          </w:tcPr>
          <w:p w14:paraId="1A000884">
            <w:pPr>
              <w:adjustRightInd w:val="0"/>
              <w:snapToGrid w:val="0"/>
              <w:jc w:val="center"/>
              <w:rPr>
                <w:rFonts w:ascii="宋体" w:hAnsi="宋体" w:cs="宋体"/>
                <w:sz w:val="24"/>
                <w:szCs w:val="24"/>
              </w:rPr>
            </w:pPr>
          </w:p>
        </w:tc>
      </w:tr>
      <w:tr w14:paraId="40A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20469958">
            <w:pPr>
              <w:adjustRightInd w:val="0"/>
              <w:snapToGrid w:val="0"/>
              <w:jc w:val="center"/>
              <w:rPr>
                <w:rFonts w:ascii="宋体" w:hAnsi="宋体" w:cs="宋体"/>
                <w:sz w:val="24"/>
                <w:szCs w:val="24"/>
              </w:rPr>
            </w:pPr>
          </w:p>
        </w:tc>
        <w:tc>
          <w:tcPr>
            <w:tcW w:w="1335" w:type="dxa"/>
            <w:vAlign w:val="center"/>
          </w:tcPr>
          <w:p w14:paraId="3D5BE8BA">
            <w:pPr>
              <w:adjustRightInd w:val="0"/>
              <w:snapToGrid w:val="0"/>
              <w:jc w:val="center"/>
              <w:rPr>
                <w:rFonts w:ascii="宋体" w:hAnsi="宋体" w:cs="宋体"/>
                <w:sz w:val="24"/>
                <w:szCs w:val="24"/>
              </w:rPr>
            </w:pPr>
          </w:p>
        </w:tc>
        <w:tc>
          <w:tcPr>
            <w:tcW w:w="1409" w:type="dxa"/>
            <w:vAlign w:val="center"/>
          </w:tcPr>
          <w:p w14:paraId="001630B4">
            <w:pPr>
              <w:adjustRightInd w:val="0"/>
              <w:snapToGrid w:val="0"/>
              <w:jc w:val="center"/>
              <w:rPr>
                <w:rFonts w:ascii="宋体" w:hAnsi="宋体" w:cs="宋体"/>
                <w:sz w:val="24"/>
                <w:szCs w:val="24"/>
              </w:rPr>
            </w:pPr>
          </w:p>
        </w:tc>
        <w:tc>
          <w:tcPr>
            <w:tcW w:w="2206" w:type="dxa"/>
            <w:vAlign w:val="center"/>
          </w:tcPr>
          <w:p w14:paraId="0768D10B">
            <w:pPr>
              <w:adjustRightInd w:val="0"/>
              <w:snapToGrid w:val="0"/>
              <w:jc w:val="center"/>
              <w:rPr>
                <w:rFonts w:ascii="宋体" w:hAnsi="宋体" w:cs="宋体"/>
                <w:sz w:val="24"/>
                <w:szCs w:val="24"/>
              </w:rPr>
            </w:pPr>
          </w:p>
        </w:tc>
        <w:tc>
          <w:tcPr>
            <w:tcW w:w="1665" w:type="dxa"/>
            <w:vAlign w:val="center"/>
          </w:tcPr>
          <w:p w14:paraId="09A4E34A">
            <w:pPr>
              <w:adjustRightInd w:val="0"/>
              <w:snapToGrid w:val="0"/>
              <w:jc w:val="center"/>
              <w:rPr>
                <w:rFonts w:ascii="宋体" w:hAnsi="宋体" w:cs="宋体"/>
                <w:sz w:val="24"/>
                <w:szCs w:val="24"/>
              </w:rPr>
            </w:pPr>
          </w:p>
        </w:tc>
        <w:tc>
          <w:tcPr>
            <w:tcW w:w="1200" w:type="dxa"/>
            <w:vAlign w:val="center"/>
          </w:tcPr>
          <w:p w14:paraId="69005EFE">
            <w:pPr>
              <w:adjustRightInd w:val="0"/>
              <w:snapToGrid w:val="0"/>
              <w:jc w:val="center"/>
              <w:rPr>
                <w:rFonts w:ascii="宋体" w:hAnsi="宋体" w:cs="宋体"/>
                <w:sz w:val="24"/>
                <w:szCs w:val="24"/>
              </w:rPr>
            </w:pPr>
          </w:p>
        </w:tc>
      </w:tr>
    </w:tbl>
    <w:p w14:paraId="359C1726">
      <w:pPr>
        <w:numPr>
          <w:ilvl w:val="0"/>
          <w:numId w:val="0"/>
        </w:numPr>
        <w:rPr>
          <w:rFonts w:hint="eastAsia" w:ascii="宋体" w:hAnsi="宋体"/>
          <w:sz w:val="24"/>
          <w:lang w:val="en-US" w:eastAsia="zh-CN"/>
        </w:rPr>
      </w:pPr>
      <w:r>
        <w:rPr>
          <w:rFonts w:hint="eastAsia" w:ascii="宋体" w:hAnsi="宋体"/>
          <w:sz w:val="24"/>
        </w:rPr>
        <w:t>注：</w:t>
      </w:r>
      <w:r>
        <w:rPr>
          <w:rFonts w:hint="eastAsia" w:ascii="宋体" w:hAnsi="宋体"/>
          <w:sz w:val="24"/>
          <w:lang w:val="en-US" w:eastAsia="zh-CN"/>
        </w:rPr>
        <w:t>项目机构人员按顺序填写：附件1：项目人员简历表。</w:t>
      </w:r>
    </w:p>
    <w:p w14:paraId="1116E154">
      <w:pPr>
        <w:rPr>
          <w:rFonts w:hint="eastAsia" w:ascii="Arial" w:eastAsia="黑体" w:cs="Times New Roman"/>
          <w:sz w:val="32"/>
          <w:szCs w:val="32"/>
        </w:rPr>
      </w:pPr>
      <w:r>
        <w:rPr>
          <w:rFonts w:hint="eastAsia" w:ascii="Arial" w:eastAsia="黑体" w:cs="Times New Roman"/>
          <w:sz w:val="32"/>
          <w:szCs w:val="32"/>
        </w:rPr>
        <w:br w:type="page"/>
      </w:r>
    </w:p>
    <w:p w14:paraId="15425906">
      <w:pPr>
        <w:spacing w:afterLines="50"/>
        <w:rPr>
          <w:sz w:val="28"/>
          <w:szCs w:val="28"/>
        </w:rPr>
      </w:pPr>
      <w:bookmarkStart w:id="281" w:name="_Toc38285418"/>
      <w:bookmarkStart w:id="282" w:name="_Toc18247009"/>
      <w:bookmarkStart w:id="283" w:name="_Toc16159389"/>
      <w:bookmarkStart w:id="284" w:name="_Toc38285156"/>
      <w:r>
        <w:rPr>
          <w:rFonts w:hint="eastAsia"/>
          <w:sz w:val="28"/>
          <w:szCs w:val="28"/>
        </w:rPr>
        <w:t>附件1：项目</w:t>
      </w:r>
      <w:r>
        <w:rPr>
          <w:rFonts w:hint="eastAsia"/>
          <w:sz w:val="28"/>
          <w:szCs w:val="28"/>
          <w:lang w:val="en-US" w:eastAsia="zh-CN"/>
        </w:rPr>
        <w:t>人员</w:t>
      </w:r>
      <w:r>
        <w:rPr>
          <w:rFonts w:hint="eastAsia"/>
          <w:sz w:val="28"/>
          <w:szCs w:val="28"/>
        </w:rPr>
        <w:t>简历表</w:t>
      </w:r>
      <w:bookmarkEnd w:id="281"/>
      <w:bookmarkEnd w:id="282"/>
      <w:bookmarkEnd w:id="283"/>
      <w:bookmarkEnd w:id="284"/>
    </w:p>
    <w:tbl>
      <w:tblPr>
        <w:tblStyle w:val="47"/>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375"/>
        <w:gridCol w:w="154"/>
        <w:gridCol w:w="1275"/>
        <w:gridCol w:w="751"/>
        <w:gridCol w:w="950"/>
        <w:gridCol w:w="1230"/>
        <w:gridCol w:w="46"/>
        <w:gridCol w:w="2134"/>
      </w:tblGrid>
      <w:tr w14:paraId="3E11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805" w:type="dxa"/>
            <w:vAlign w:val="center"/>
          </w:tcPr>
          <w:p w14:paraId="599E8E63">
            <w:pPr>
              <w:jc w:val="center"/>
              <w:rPr>
                <w:rFonts w:ascii="宋体" w:hAnsi="宋体"/>
                <w:sz w:val="24"/>
              </w:rPr>
            </w:pPr>
            <w:r>
              <w:rPr>
                <w:rFonts w:hint="eastAsia" w:ascii="宋体" w:hAnsi="宋体"/>
                <w:sz w:val="24"/>
              </w:rPr>
              <w:t>姓名</w:t>
            </w:r>
          </w:p>
        </w:tc>
        <w:tc>
          <w:tcPr>
            <w:tcW w:w="1529" w:type="dxa"/>
            <w:gridSpan w:val="2"/>
            <w:vAlign w:val="center"/>
          </w:tcPr>
          <w:p w14:paraId="664BED51">
            <w:pPr>
              <w:jc w:val="center"/>
              <w:rPr>
                <w:rFonts w:ascii="宋体" w:hAnsi="宋体"/>
                <w:sz w:val="24"/>
              </w:rPr>
            </w:pPr>
          </w:p>
        </w:tc>
        <w:tc>
          <w:tcPr>
            <w:tcW w:w="1275" w:type="dxa"/>
            <w:vAlign w:val="center"/>
          </w:tcPr>
          <w:p w14:paraId="654E7AC8">
            <w:pPr>
              <w:jc w:val="center"/>
              <w:rPr>
                <w:rFonts w:ascii="宋体" w:hAnsi="宋体"/>
                <w:sz w:val="24"/>
              </w:rPr>
            </w:pPr>
            <w:r>
              <w:rPr>
                <w:rFonts w:hint="eastAsia" w:ascii="宋体" w:hAnsi="宋体"/>
                <w:sz w:val="24"/>
              </w:rPr>
              <w:t>年龄</w:t>
            </w:r>
          </w:p>
        </w:tc>
        <w:tc>
          <w:tcPr>
            <w:tcW w:w="1701" w:type="dxa"/>
            <w:gridSpan w:val="2"/>
            <w:vAlign w:val="center"/>
          </w:tcPr>
          <w:p w14:paraId="166E8C62">
            <w:pPr>
              <w:jc w:val="center"/>
              <w:rPr>
                <w:rFonts w:ascii="宋体" w:hAnsi="宋体"/>
                <w:sz w:val="24"/>
              </w:rPr>
            </w:pPr>
          </w:p>
        </w:tc>
        <w:tc>
          <w:tcPr>
            <w:tcW w:w="1276" w:type="dxa"/>
            <w:gridSpan w:val="2"/>
            <w:vAlign w:val="center"/>
          </w:tcPr>
          <w:p w14:paraId="58D73230">
            <w:pPr>
              <w:jc w:val="center"/>
              <w:rPr>
                <w:rFonts w:ascii="宋体" w:hAnsi="宋体"/>
                <w:sz w:val="24"/>
              </w:rPr>
            </w:pPr>
            <w:r>
              <w:rPr>
                <w:rFonts w:hint="eastAsia" w:ascii="宋体" w:hAnsi="宋体"/>
                <w:sz w:val="24"/>
              </w:rPr>
              <w:t>联系方式</w:t>
            </w:r>
          </w:p>
        </w:tc>
        <w:tc>
          <w:tcPr>
            <w:tcW w:w="2134" w:type="dxa"/>
            <w:vAlign w:val="center"/>
          </w:tcPr>
          <w:p w14:paraId="4AF0761C">
            <w:pPr>
              <w:ind w:firstLine="480"/>
              <w:rPr>
                <w:rFonts w:ascii="宋体" w:hAnsi="宋体"/>
                <w:sz w:val="24"/>
              </w:rPr>
            </w:pPr>
          </w:p>
        </w:tc>
      </w:tr>
      <w:tr w14:paraId="2A65D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05" w:type="dxa"/>
            <w:vAlign w:val="center"/>
          </w:tcPr>
          <w:p w14:paraId="2BC279DC">
            <w:pPr>
              <w:rPr>
                <w:rFonts w:ascii="宋体" w:hAnsi="宋体"/>
                <w:sz w:val="24"/>
              </w:rPr>
            </w:pPr>
            <w:r>
              <w:rPr>
                <w:rFonts w:hint="eastAsia" w:ascii="宋体" w:hAnsi="宋体"/>
                <w:sz w:val="24"/>
              </w:rPr>
              <w:t>学历</w:t>
            </w:r>
          </w:p>
        </w:tc>
        <w:tc>
          <w:tcPr>
            <w:tcW w:w="1529" w:type="dxa"/>
            <w:gridSpan w:val="2"/>
            <w:vAlign w:val="center"/>
          </w:tcPr>
          <w:p w14:paraId="5D90FD35">
            <w:pPr>
              <w:jc w:val="center"/>
              <w:rPr>
                <w:rFonts w:ascii="宋体" w:hAnsi="宋体"/>
                <w:sz w:val="24"/>
              </w:rPr>
            </w:pPr>
          </w:p>
        </w:tc>
        <w:tc>
          <w:tcPr>
            <w:tcW w:w="1275" w:type="dxa"/>
            <w:vAlign w:val="center"/>
          </w:tcPr>
          <w:p w14:paraId="5D7CC808">
            <w:pPr>
              <w:jc w:val="center"/>
              <w:rPr>
                <w:rFonts w:ascii="宋体" w:hAnsi="宋体"/>
                <w:sz w:val="24"/>
              </w:rPr>
            </w:pPr>
            <w:r>
              <w:rPr>
                <w:rFonts w:hint="eastAsia" w:ascii="宋体" w:hAnsi="宋体"/>
                <w:sz w:val="24"/>
                <w:lang w:val="en-US" w:eastAsia="zh-CN"/>
              </w:rPr>
              <w:t>毕业院校、</w:t>
            </w:r>
            <w:r>
              <w:rPr>
                <w:rFonts w:hint="eastAsia" w:ascii="宋体" w:hAnsi="宋体"/>
                <w:sz w:val="24"/>
              </w:rPr>
              <w:t>专业</w:t>
            </w:r>
          </w:p>
        </w:tc>
        <w:tc>
          <w:tcPr>
            <w:tcW w:w="5111" w:type="dxa"/>
            <w:gridSpan w:val="5"/>
            <w:vAlign w:val="center"/>
          </w:tcPr>
          <w:p w14:paraId="1A627689">
            <w:pPr>
              <w:jc w:val="center"/>
              <w:rPr>
                <w:rFonts w:ascii="宋体" w:hAnsi="宋体"/>
                <w:sz w:val="24"/>
              </w:rPr>
            </w:pPr>
          </w:p>
        </w:tc>
      </w:tr>
      <w:tr w14:paraId="1CBED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05" w:type="dxa"/>
            <w:vMerge w:val="restart"/>
            <w:vAlign w:val="center"/>
          </w:tcPr>
          <w:p w14:paraId="13D3BE62">
            <w:pPr>
              <w:jc w:val="center"/>
              <w:rPr>
                <w:rFonts w:ascii="宋体" w:hAnsi="宋体"/>
                <w:sz w:val="24"/>
              </w:rPr>
            </w:pPr>
            <w:r>
              <w:rPr>
                <w:rFonts w:hint="eastAsia" w:ascii="宋体" w:hAnsi="宋体"/>
                <w:sz w:val="24"/>
              </w:rPr>
              <w:t>职务</w:t>
            </w:r>
          </w:p>
        </w:tc>
        <w:tc>
          <w:tcPr>
            <w:tcW w:w="1529" w:type="dxa"/>
            <w:gridSpan w:val="2"/>
            <w:vMerge w:val="restart"/>
            <w:vAlign w:val="center"/>
          </w:tcPr>
          <w:p w14:paraId="2F8E8EF9">
            <w:pPr>
              <w:jc w:val="center"/>
              <w:rPr>
                <w:rFonts w:ascii="宋体" w:hAnsi="宋体"/>
                <w:sz w:val="24"/>
              </w:rPr>
            </w:pPr>
          </w:p>
        </w:tc>
        <w:tc>
          <w:tcPr>
            <w:tcW w:w="1275" w:type="dxa"/>
            <w:vMerge w:val="restart"/>
            <w:vAlign w:val="center"/>
          </w:tcPr>
          <w:p w14:paraId="59954665">
            <w:pPr>
              <w:jc w:val="center"/>
              <w:rPr>
                <w:rFonts w:ascii="宋体" w:hAnsi="宋体"/>
                <w:sz w:val="24"/>
              </w:rPr>
            </w:pPr>
            <w:r>
              <w:rPr>
                <w:rFonts w:hint="eastAsia" w:ascii="宋体" w:hAnsi="宋体"/>
                <w:sz w:val="24"/>
              </w:rPr>
              <w:t>证书名称</w:t>
            </w:r>
          </w:p>
        </w:tc>
        <w:tc>
          <w:tcPr>
            <w:tcW w:w="1701" w:type="dxa"/>
            <w:gridSpan w:val="2"/>
            <w:vMerge w:val="restart"/>
            <w:vAlign w:val="center"/>
          </w:tcPr>
          <w:p w14:paraId="6D35E35C">
            <w:pPr>
              <w:jc w:val="center"/>
              <w:rPr>
                <w:rFonts w:ascii="宋体" w:hAnsi="宋体"/>
                <w:sz w:val="24"/>
              </w:rPr>
            </w:pPr>
          </w:p>
        </w:tc>
        <w:tc>
          <w:tcPr>
            <w:tcW w:w="1276" w:type="dxa"/>
            <w:gridSpan w:val="2"/>
            <w:vAlign w:val="center"/>
          </w:tcPr>
          <w:p w14:paraId="25F72CC0">
            <w:pPr>
              <w:jc w:val="center"/>
              <w:rPr>
                <w:rFonts w:ascii="宋体" w:hAnsi="宋体"/>
                <w:sz w:val="24"/>
              </w:rPr>
            </w:pPr>
            <w:r>
              <w:rPr>
                <w:rFonts w:hint="eastAsia" w:ascii="宋体" w:hAnsi="宋体"/>
                <w:sz w:val="24"/>
              </w:rPr>
              <w:t>日期</w:t>
            </w:r>
          </w:p>
        </w:tc>
        <w:tc>
          <w:tcPr>
            <w:tcW w:w="2134" w:type="dxa"/>
            <w:vAlign w:val="center"/>
          </w:tcPr>
          <w:p w14:paraId="0925337B">
            <w:pPr>
              <w:jc w:val="center"/>
              <w:rPr>
                <w:rFonts w:ascii="宋体" w:hAnsi="宋体"/>
                <w:sz w:val="24"/>
              </w:rPr>
            </w:pPr>
          </w:p>
        </w:tc>
      </w:tr>
      <w:tr w14:paraId="63CD2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05" w:type="dxa"/>
            <w:vMerge w:val="continue"/>
            <w:vAlign w:val="center"/>
          </w:tcPr>
          <w:p w14:paraId="0EA10716">
            <w:pPr>
              <w:jc w:val="center"/>
              <w:rPr>
                <w:rFonts w:ascii="宋体" w:hAnsi="宋体"/>
                <w:sz w:val="24"/>
              </w:rPr>
            </w:pPr>
          </w:p>
        </w:tc>
        <w:tc>
          <w:tcPr>
            <w:tcW w:w="1529" w:type="dxa"/>
            <w:gridSpan w:val="2"/>
            <w:vMerge w:val="continue"/>
            <w:vAlign w:val="center"/>
          </w:tcPr>
          <w:p w14:paraId="37BDD33C">
            <w:pPr>
              <w:jc w:val="center"/>
              <w:rPr>
                <w:rFonts w:ascii="宋体" w:hAnsi="宋体"/>
                <w:sz w:val="24"/>
              </w:rPr>
            </w:pPr>
          </w:p>
        </w:tc>
        <w:tc>
          <w:tcPr>
            <w:tcW w:w="1275" w:type="dxa"/>
            <w:vMerge w:val="continue"/>
            <w:vAlign w:val="center"/>
          </w:tcPr>
          <w:p w14:paraId="4530ED05">
            <w:pPr>
              <w:jc w:val="center"/>
              <w:rPr>
                <w:rFonts w:ascii="宋体" w:hAnsi="宋体"/>
                <w:sz w:val="24"/>
              </w:rPr>
            </w:pPr>
          </w:p>
        </w:tc>
        <w:tc>
          <w:tcPr>
            <w:tcW w:w="1701" w:type="dxa"/>
            <w:gridSpan w:val="2"/>
            <w:vMerge w:val="continue"/>
            <w:vAlign w:val="center"/>
          </w:tcPr>
          <w:p w14:paraId="3A2B5118">
            <w:pPr>
              <w:jc w:val="center"/>
              <w:rPr>
                <w:rFonts w:ascii="宋体" w:hAnsi="宋体"/>
                <w:sz w:val="24"/>
              </w:rPr>
            </w:pPr>
          </w:p>
        </w:tc>
        <w:tc>
          <w:tcPr>
            <w:tcW w:w="1276" w:type="dxa"/>
            <w:gridSpan w:val="2"/>
            <w:vAlign w:val="center"/>
          </w:tcPr>
          <w:p w14:paraId="22AC74CE">
            <w:pPr>
              <w:jc w:val="center"/>
              <w:rPr>
                <w:rFonts w:ascii="宋体" w:hAnsi="宋体"/>
                <w:sz w:val="24"/>
              </w:rPr>
            </w:pPr>
            <w:r>
              <w:rPr>
                <w:rFonts w:hint="eastAsia" w:ascii="宋体" w:hAnsi="宋体"/>
                <w:sz w:val="24"/>
              </w:rPr>
              <w:t>证书号</w:t>
            </w:r>
          </w:p>
        </w:tc>
        <w:tc>
          <w:tcPr>
            <w:tcW w:w="2134" w:type="dxa"/>
            <w:vAlign w:val="center"/>
          </w:tcPr>
          <w:p w14:paraId="7684C3A2">
            <w:pPr>
              <w:jc w:val="center"/>
              <w:rPr>
                <w:rFonts w:ascii="宋体" w:hAnsi="宋体"/>
                <w:sz w:val="24"/>
              </w:rPr>
            </w:pPr>
          </w:p>
        </w:tc>
      </w:tr>
      <w:tr w14:paraId="7AB73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720" w:type="dxa"/>
            <w:gridSpan w:val="9"/>
            <w:vAlign w:val="center"/>
          </w:tcPr>
          <w:p w14:paraId="4A8C4535">
            <w:pPr>
              <w:jc w:val="center"/>
              <w:rPr>
                <w:rFonts w:ascii="宋体" w:hAnsi="宋体"/>
                <w:sz w:val="24"/>
              </w:rPr>
            </w:pPr>
            <w:r>
              <w:rPr>
                <w:rFonts w:hint="eastAsia" w:ascii="宋体" w:hAnsi="宋体"/>
                <w:sz w:val="24"/>
              </w:rPr>
              <w:t>工作简历</w:t>
            </w:r>
          </w:p>
        </w:tc>
      </w:tr>
      <w:tr w14:paraId="7B4E3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180" w:type="dxa"/>
            <w:gridSpan w:val="2"/>
            <w:vAlign w:val="center"/>
          </w:tcPr>
          <w:p w14:paraId="62FCF68E">
            <w:pPr>
              <w:jc w:val="center"/>
              <w:rPr>
                <w:rFonts w:ascii="宋体" w:hAnsi="宋体"/>
                <w:sz w:val="24"/>
              </w:rPr>
            </w:pPr>
            <w:r>
              <w:rPr>
                <w:rFonts w:hint="eastAsia" w:ascii="宋体" w:hAnsi="宋体"/>
                <w:sz w:val="24"/>
              </w:rPr>
              <w:t>时  间</w:t>
            </w:r>
          </w:p>
        </w:tc>
        <w:tc>
          <w:tcPr>
            <w:tcW w:w="2180" w:type="dxa"/>
            <w:gridSpan w:val="3"/>
            <w:vAlign w:val="center"/>
          </w:tcPr>
          <w:p w14:paraId="767BCEC1">
            <w:pPr>
              <w:jc w:val="center"/>
              <w:rPr>
                <w:rFonts w:ascii="宋体" w:hAnsi="宋体"/>
                <w:sz w:val="24"/>
              </w:rPr>
            </w:pPr>
            <w:r>
              <w:rPr>
                <w:rFonts w:hint="eastAsia" w:ascii="宋体" w:hAnsi="宋体" w:cs="宋体"/>
                <w:sz w:val="24"/>
                <w:szCs w:val="24"/>
              </w:rPr>
              <w:t>参加过的类似项目</w:t>
            </w:r>
          </w:p>
        </w:tc>
        <w:tc>
          <w:tcPr>
            <w:tcW w:w="2180" w:type="dxa"/>
            <w:gridSpan w:val="2"/>
            <w:vAlign w:val="center"/>
          </w:tcPr>
          <w:p w14:paraId="5D67556B">
            <w:pPr>
              <w:jc w:val="center"/>
              <w:rPr>
                <w:rFonts w:ascii="宋体" w:hAnsi="宋体"/>
                <w:sz w:val="24"/>
              </w:rPr>
            </w:pPr>
            <w:r>
              <w:rPr>
                <w:rFonts w:hint="eastAsia" w:ascii="宋体" w:hAnsi="宋体"/>
                <w:sz w:val="24"/>
              </w:rPr>
              <w:t>担任职务</w:t>
            </w:r>
          </w:p>
        </w:tc>
        <w:tc>
          <w:tcPr>
            <w:tcW w:w="2180" w:type="dxa"/>
            <w:gridSpan w:val="2"/>
            <w:vAlign w:val="center"/>
          </w:tcPr>
          <w:p w14:paraId="2B61C5E7">
            <w:pPr>
              <w:jc w:val="center"/>
              <w:rPr>
                <w:rFonts w:ascii="宋体" w:hAnsi="宋体"/>
                <w:sz w:val="24"/>
              </w:rPr>
            </w:pPr>
            <w:r>
              <w:rPr>
                <w:rFonts w:hint="eastAsia" w:ascii="宋体" w:hAnsi="宋体"/>
                <w:sz w:val="24"/>
                <w:lang w:val="en-US" w:eastAsia="zh-CN"/>
              </w:rPr>
              <w:t>业主</w:t>
            </w:r>
            <w:r>
              <w:rPr>
                <w:rFonts w:hint="eastAsia" w:ascii="宋体" w:hAnsi="宋体"/>
                <w:sz w:val="24"/>
              </w:rPr>
              <w:t>单位</w:t>
            </w:r>
          </w:p>
        </w:tc>
      </w:tr>
      <w:tr w14:paraId="15259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F951B3E">
            <w:pPr>
              <w:rPr>
                <w:rFonts w:ascii="宋体" w:hAnsi="宋体"/>
                <w:sz w:val="24"/>
              </w:rPr>
            </w:pPr>
          </w:p>
        </w:tc>
        <w:tc>
          <w:tcPr>
            <w:tcW w:w="2180" w:type="dxa"/>
            <w:gridSpan w:val="3"/>
          </w:tcPr>
          <w:p w14:paraId="494F9DD1">
            <w:pPr>
              <w:rPr>
                <w:rFonts w:ascii="宋体" w:hAnsi="宋体"/>
                <w:sz w:val="24"/>
              </w:rPr>
            </w:pPr>
          </w:p>
        </w:tc>
        <w:tc>
          <w:tcPr>
            <w:tcW w:w="2180" w:type="dxa"/>
            <w:gridSpan w:val="2"/>
          </w:tcPr>
          <w:p w14:paraId="3955B0EC">
            <w:pPr>
              <w:rPr>
                <w:rFonts w:ascii="宋体" w:hAnsi="宋体"/>
                <w:sz w:val="24"/>
              </w:rPr>
            </w:pPr>
          </w:p>
        </w:tc>
        <w:tc>
          <w:tcPr>
            <w:tcW w:w="2180" w:type="dxa"/>
            <w:gridSpan w:val="2"/>
          </w:tcPr>
          <w:p w14:paraId="48E84D02">
            <w:pPr>
              <w:rPr>
                <w:rFonts w:ascii="宋体" w:hAnsi="宋体"/>
                <w:sz w:val="24"/>
              </w:rPr>
            </w:pPr>
          </w:p>
        </w:tc>
      </w:tr>
      <w:tr w14:paraId="57954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025FF9D7">
            <w:pPr>
              <w:rPr>
                <w:rFonts w:ascii="宋体" w:hAnsi="宋体"/>
                <w:sz w:val="24"/>
              </w:rPr>
            </w:pPr>
          </w:p>
        </w:tc>
        <w:tc>
          <w:tcPr>
            <w:tcW w:w="2180" w:type="dxa"/>
            <w:gridSpan w:val="3"/>
          </w:tcPr>
          <w:p w14:paraId="1D0BF56A">
            <w:pPr>
              <w:rPr>
                <w:rFonts w:ascii="宋体" w:hAnsi="宋体"/>
                <w:sz w:val="24"/>
              </w:rPr>
            </w:pPr>
          </w:p>
        </w:tc>
        <w:tc>
          <w:tcPr>
            <w:tcW w:w="2180" w:type="dxa"/>
            <w:gridSpan w:val="2"/>
          </w:tcPr>
          <w:p w14:paraId="4301F9D0">
            <w:pPr>
              <w:rPr>
                <w:rFonts w:ascii="宋体" w:hAnsi="宋体"/>
                <w:sz w:val="24"/>
              </w:rPr>
            </w:pPr>
          </w:p>
        </w:tc>
        <w:tc>
          <w:tcPr>
            <w:tcW w:w="2180" w:type="dxa"/>
            <w:gridSpan w:val="2"/>
          </w:tcPr>
          <w:p w14:paraId="028FFDF9">
            <w:pPr>
              <w:rPr>
                <w:rFonts w:ascii="宋体" w:hAnsi="宋体"/>
                <w:sz w:val="24"/>
              </w:rPr>
            </w:pPr>
          </w:p>
        </w:tc>
      </w:tr>
      <w:tr w14:paraId="69D8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586C2043">
            <w:pPr>
              <w:rPr>
                <w:rFonts w:ascii="宋体" w:hAnsi="宋体"/>
                <w:sz w:val="24"/>
              </w:rPr>
            </w:pPr>
          </w:p>
        </w:tc>
        <w:tc>
          <w:tcPr>
            <w:tcW w:w="2180" w:type="dxa"/>
            <w:gridSpan w:val="3"/>
          </w:tcPr>
          <w:p w14:paraId="1953AAC9">
            <w:pPr>
              <w:rPr>
                <w:rFonts w:ascii="宋体" w:hAnsi="宋体"/>
                <w:sz w:val="24"/>
              </w:rPr>
            </w:pPr>
          </w:p>
        </w:tc>
        <w:tc>
          <w:tcPr>
            <w:tcW w:w="2180" w:type="dxa"/>
            <w:gridSpan w:val="2"/>
          </w:tcPr>
          <w:p w14:paraId="1A51E30A">
            <w:pPr>
              <w:rPr>
                <w:rFonts w:ascii="宋体" w:hAnsi="宋体"/>
                <w:sz w:val="24"/>
              </w:rPr>
            </w:pPr>
          </w:p>
        </w:tc>
        <w:tc>
          <w:tcPr>
            <w:tcW w:w="2180" w:type="dxa"/>
            <w:gridSpan w:val="2"/>
          </w:tcPr>
          <w:p w14:paraId="3D6947D3">
            <w:pPr>
              <w:rPr>
                <w:rFonts w:ascii="宋体" w:hAnsi="宋体"/>
                <w:sz w:val="24"/>
              </w:rPr>
            </w:pPr>
          </w:p>
        </w:tc>
      </w:tr>
      <w:tr w14:paraId="61E8D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9E18672">
            <w:pPr>
              <w:rPr>
                <w:rFonts w:ascii="宋体" w:hAnsi="宋体"/>
                <w:sz w:val="24"/>
              </w:rPr>
            </w:pPr>
          </w:p>
        </w:tc>
        <w:tc>
          <w:tcPr>
            <w:tcW w:w="2180" w:type="dxa"/>
            <w:gridSpan w:val="3"/>
          </w:tcPr>
          <w:p w14:paraId="46402674">
            <w:pPr>
              <w:rPr>
                <w:rFonts w:ascii="宋体" w:hAnsi="宋体"/>
                <w:sz w:val="24"/>
              </w:rPr>
            </w:pPr>
          </w:p>
        </w:tc>
        <w:tc>
          <w:tcPr>
            <w:tcW w:w="2180" w:type="dxa"/>
            <w:gridSpan w:val="2"/>
          </w:tcPr>
          <w:p w14:paraId="47CFB198">
            <w:pPr>
              <w:rPr>
                <w:rFonts w:ascii="宋体" w:hAnsi="宋体"/>
                <w:sz w:val="24"/>
              </w:rPr>
            </w:pPr>
          </w:p>
        </w:tc>
        <w:tc>
          <w:tcPr>
            <w:tcW w:w="2180" w:type="dxa"/>
            <w:gridSpan w:val="2"/>
          </w:tcPr>
          <w:p w14:paraId="6AD67CF2">
            <w:pPr>
              <w:rPr>
                <w:rFonts w:ascii="宋体" w:hAnsi="宋体"/>
                <w:sz w:val="24"/>
              </w:rPr>
            </w:pPr>
          </w:p>
        </w:tc>
      </w:tr>
      <w:tr w14:paraId="0021A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150612B">
            <w:pPr>
              <w:rPr>
                <w:rFonts w:ascii="宋体" w:hAnsi="宋体"/>
                <w:sz w:val="24"/>
              </w:rPr>
            </w:pPr>
          </w:p>
        </w:tc>
        <w:tc>
          <w:tcPr>
            <w:tcW w:w="2180" w:type="dxa"/>
            <w:gridSpan w:val="3"/>
          </w:tcPr>
          <w:p w14:paraId="4E0336CE">
            <w:pPr>
              <w:rPr>
                <w:rFonts w:ascii="宋体" w:hAnsi="宋体"/>
                <w:sz w:val="24"/>
              </w:rPr>
            </w:pPr>
          </w:p>
        </w:tc>
        <w:tc>
          <w:tcPr>
            <w:tcW w:w="2180" w:type="dxa"/>
            <w:gridSpan w:val="2"/>
          </w:tcPr>
          <w:p w14:paraId="774F1C8B">
            <w:pPr>
              <w:rPr>
                <w:rFonts w:ascii="宋体" w:hAnsi="宋体"/>
                <w:sz w:val="24"/>
              </w:rPr>
            </w:pPr>
          </w:p>
        </w:tc>
        <w:tc>
          <w:tcPr>
            <w:tcW w:w="2180" w:type="dxa"/>
            <w:gridSpan w:val="2"/>
          </w:tcPr>
          <w:p w14:paraId="7C00EB64">
            <w:pPr>
              <w:rPr>
                <w:rFonts w:ascii="宋体" w:hAnsi="宋体"/>
                <w:sz w:val="24"/>
              </w:rPr>
            </w:pPr>
          </w:p>
        </w:tc>
      </w:tr>
      <w:tr w14:paraId="485B1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16CA0B9">
            <w:pPr>
              <w:rPr>
                <w:rFonts w:ascii="宋体" w:hAnsi="宋体"/>
                <w:sz w:val="24"/>
              </w:rPr>
            </w:pPr>
          </w:p>
        </w:tc>
        <w:tc>
          <w:tcPr>
            <w:tcW w:w="2180" w:type="dxa"/>
            <w:gridSpan w:val="3"/>
          </w:tcPr>
          <w:p w14:paraId="3F136BC4">
            <w:pPr>
              <w:rPr>
                <w:rFonts w:ascii="宋体" w:hAnsi="宋体"/>
                <w:sz w:val="24"/>
              </w:rPr>
            </w:pPr>
          </w:p>
        </w:tc>
        <w:tc>
          <w:tcPr>
            <w:tcW w:w="2180" w:type="dxa"/>
            <w:gridSpan w:val="2"/>
          </w:tcPr>
          <w:p w14:paraId="4110507F">
            <w:pPr>
              <w:rPr>
                <w:rFonts w:ascii="宋体" w:hAnsi="宋体"/>
                <w:sz w:val="24"/>
              </w:rPr>
            </w:pPr>
          </w:p>
        </w:tc>
        <w:tc>
          <w:tcPr>
            <w:tcW w:w="2180" w:type="dxa"/>
            <w:gridSpan w:val="2"/>
          </w:tcPr>
          <w:p w14:paraId="150FA6FA">
            <w:pPr>
              <w:rPr>
                <w:rFonts w:ascii="宋体" w:hAnsi="宋体"/>
                <w:sz w:val="24"/>
              </w:rPr>
            </w:pPr>
          </w:p>
        </w:tc>
      </w:tr>
      <w:tr w14:paraId="04EA6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19D49D3">
            <w:pPr>
              <w:rPr>
                <w:rFonts w:ascii="宋体" w:hAnsi="宋体"/>
                <w:sz w:val="24"/>
              </w:rPr>
            </w:pPr>
          </w:p>
        </w:tc>
        <w:tc>
          <w:tcPr>
            <w:tcW w:w="2180" w:type="dxa"/>
            <w:gridSpan w:val="3"/>
          </w:tcPr>
          <w:p w14:paraId="4C29F8C6">
            <w:pPr>
              <w:rPr>
                <w:rFonts w:ascii="宋体" w:hAnsi="宋体"/>
                <w:sz w:val="24"/>
              </w:rPr>
            </w:pPr>
          </w:p>
        </w:tc>
        <w:tc>
          <w:tcPr>
            <w:tcW w:w="2180" w:type="dxa"/>
            <w:gridSpan w:val="2"/>
          </w:tcPr>
          <w:p w14:paraId="55AD40FD">
            <w:pPr>
              <w:rPr>
                <w:rFonts w:ascii="宋体" w:hAnsi="宋体"/>
                <w:sz w:val="24"/>
              </w:rPr>
            </w:pPr>
          </w:p>
        </w:tc>
        <w:tc>
          <w:tcPr>
            <w:tcW w:w="2180" w:type="dxa"/>
            <w:gridSpan w:val="2"/>
          </w:tcPr>
          <w:p w14:paraId="16F66E41">
            <w:pPr>
              <w:rPr>
                <w:rFonts w:ascii="宋体" w:hAnsi="宋体"/>
                <w:sz w:val="24"/>
              </w:rPr>
            </w:pPr>
          </w:p>
        </w:tc>
      </w:tr>
      <w:tr w14:paraId="4053E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2C88C45D">
            <w:pPr>
              <w:rPr>
                <w:rFonts w:ascii="宋体" w:hAnsi="宋体"/>
                <w:sz w:val="24"/>
              </w:rPr>
            </w:pPr>
          </w:p>
        </w:tc>
        <w:tc>
          <w:tcPr>
            <w:tcW w:w="2180" w:type="dxa"/>
            <w:gridSpan w:val="3"/>
          </w:tcPr>
          <w:p w14:paraId="26E2D1FF">
            <w:pPr>
              <w:rPr>
                <w:rFonts w:ascii="宋体" w:hAnsi="宋体"/>
                <w:sz w:val="24"/>
              </w:rPr>
            </w:pPr>
          </w:p>
        </w:tc>
        <w:tc>
          <w:tcPr>
            <w:tcW w:w="2180" w:type="dxa"/>
            <w:gridSpan w:val="2"/>
          </w:tcPr>
          <w:p w14:paraId="3F9DBB82">
            <w:pPr>
              <w:rPr>
                <w:rFonts w:ascii="宋体" w:hAnsi="宋体"/>
                <w:sz w:val="24"/>
              </w:rPr>
            </w:pPr>
          </w:p>
        </w:tc>
        <w:tc>
          <w:tcPr>
            <w:tcW w:w="2180" w:type="dxa"/>
            <w:gridSpan w:val="2"/>
          </w:tcPr>
          <w:p w14:paraId="05513B6A">
            <w:pPr>
              <w:rPr>
                <w:rFonts w:ascii="宋体" w:hAnsi="宋体"/>
                <w:sz w:val="24"/>
              </w:rPr>
            </w:pPr>
          </w:p>
        </w:tc>
      </w:tr>
      <w:tr w14:paraId="42318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B334950">
            <w:pPr>
              <w:rPr>
                <w:rFonts w:ascii="宋体" w:hAnsi="宋体"/>
                <w:sz w:val="24"/>
              </w:rPr>
            </w:pPr>
          </w:p>
        </w:tc>
        <w:tc>
          <w:tcPr>
            <w:tcW w:w="2180" w:type="dxa"/>
            <w:gridSpan w:val="3"/>
          </w:tcPr>
          <w:p w14:paraId="0ED9998D">
            <w:pPr>
              <w:rPr>
                <w:rFonts w:ascii="宋体" w:hAnsi="宋体"/>
                <w:sz w:val="24"/>
              </w:rPr>
            </w:pPr>
          </w:p>
        </w:tc>
        <w:tc>
          <w:tcPr>
            <w:tcW w:w="2180" w:type="dxa"/>
            <w:gridSpan w:val="2"/>
          </w:tcPr>
          <w:p w14:paraId="2105BBDF">
            <w:pPr>
              <w:rPr>
                <w:rFonts w:ascii="宋体" w:hAnsi="宋体"/>
                <w:sz w:val="24"/>
              </w:rPr>
            </w:pPr>
          </w:p>
        </w:tc>
        <w:tc>
          <w:tcPr>
            <w:tcW w:w="2180" w:type="dxa"/>
            <w:gridSpan w:val="2"/>
          </w:tcPr>
          <w:p w14:paraId="22B32376">
            <w:pPr>
              <w:rPr>
                <w:rFonts w:ascii="宋体" w:hAnsi="宋体"/>
                <w:sz w:val="24"/>
              </w:rPr>
            </w:pPr>
          </w:p>
        </w:tc>
      </w:tr>
      <w:tr w14:paraId="359E6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4D53611">
            <w:pPr>
              <w:rPr>
                <w:rFonts w:ascii="宋体" w:hAnsi="宋体"/>
                <w:sz w:val="24"/>
              </w:rPr>
            </w:pPr>
          </w:p>
          <w:p w14:paraId="031996F6">
            <w:pPr>
              <w:rPr>
                <w:rFonts w:ascii="宋体" w:hAnsi="宋体"/>
                <w:sz w:val="24"/>
              </w:rPr>
            </w:pPr>
          </w:p>
        </w:tc>
        <w:tc>
          <w:tcPr>
            <w:tcW w:w="2180" w:type="dxa"/>
            <w:gridSpan w:val="3"/>
          </w:tcPr>
          <w:p w14:paraId="44712C2A">
            <w:pPr>
              <w:rPr>
                <w:rFonts w:ascii="宋体" w:hAnsi="宋体"/>
                <w:sz w:val="24"/>
              </w:rPr>
            </w:pPr>
          </w:p>
        </w:tc>
        <w:tc>
          <w:tcPr>
            <w:tcW w:w="2180" w:type="dxa"/>
            <w:gridSpan w:val="2"/>
          </w:tcPr>
          <w:p w14:paraId="4DD7E1AC">
            <w:pPr>
              <w:rPr>
                <w:rFonts w:ascii="宋体" w:hAnsi="宋体"/>
                <w:sz w:val="24"/>
              </w:rPr>
            </w:pPr>
          </w:p>
        </w:tc>
        <w:tc>
          <w:tcPr>
            <w:tcW w:w="2180" w:type="dxa"/>
            <w:gridSpan w:val="2"/>
          </w:tcPr>
          <w:p w14:paraId="05FAA85D">
            <w:pPr>
              <w:rPr>
                <w:rFonts w:ascii="宋体" w:hAnsi="宋体"/>
                <w:sz w:val="24"/>
              </w:rPr>
            </w:pPr>
          </w:p>
        </w:tc>
      </w:tr>
      <w:tr w14:paraId="4ED67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07B917DD">
            <w:pPr>
              <w:rPr>
                <w:rFonts w:ascii="宋体" w:hAnsi="宋体"/>
                <w:sz w:val="24"/>
              </w:rPr>
            </w:pPr>
            <w:bookmarkStart w:id="285" w:name="_Toc24285"/>
          </w:p>
        </w:tc>
        <w:tc>
          <w:tcPr>
            <w:tcW w:w="2180" w:type="dxa"/>
            <w:gridSpan w:val="3"/>
          </w:tcPr>
          <w:p w14:paraId="50211847">
            <w:pPr>
              <w:rPr>
                <w:rFonts w:ascii="宋体" w:hAnsi="宋体"/>
                <w:sz w:val="24"/>
              </w:rPr>
            </w:pPr>
          </w:p>
        </w:tc>
        <w:tc>
          <w:tcPr>
            <w:tcW w:w="2180" w:type="dxa"/>
            <w:gridSpan w:val="2"/>
          </w:tcPr>
          <w:p w14:paraId="1BF88C58">
            <w:pPr>
              <w:rPr>
                <w:rFonts w:ascii="宋体" w:hAnsi="宋体"/>
                <w:sz w:val="24"/>
              </w:rPr>
            </w:pPr>
          </w:p>
        </w:tc>
        <w:tc>
          <w:tcPr>
            <w:tcW w:w="2180" w:type="dxa"/>
            <w:gridSpan w:val="2"/>
          </w:tcPr>
          <w:p w14:paraId="2465EC74">
            <w:pPr>
              <w:rPr>
                <w:rFonts w:ascii="宋体" w:hAnsi="宋体"/>
                <w:sz w:val="24"/>
              </w:rPr>
            </w:pPr>
          </w:p>
        </w:tc>
      </w:tr>
    </w:tbl>
    <w:p w14:paraId="4D297DD2">
      <w:pPr>
        <w:bidi w:val="0"/>
        <w:ind w:firstLine="480" w:firstLineChars="200"/>
        <w:rPr>
          <w:rFonts w:ascii="Arial" w:eastAsia="黑体" w:cs="Times New Roman"/>
          <w:sz w:val="24"/>
          <w:szCs w:val="24"/>
        </w:rPr>
      </w:pPr>
      <w:r>
        <w:rPr>
          <w:rFonts w:hint="eastAsia"/>
          <w:sz w:val="24"/>
          <w:szCs w:val="24"/>
        </w:rPr>
        <w:t>注：后附身份证等相关证书扫描件并单位签章，工作业绩需附合同或中标通知书扫描件，供应商应保证其上传资料真实性并承担相应责任。</w:t>
      </w:r>
      <w:bookmarkEnd w:id="285"/>
    </w:p>
    <w:p w14:paraId="4DD8D57C">
      <w:pPr>
        <w:numPr>
          <w:ilvl w:val="0"/>
          <w:numId w:val="0"/>
        </w:numPr>
        <w:rPr>
          <w:rFonts w:hint="eastAsia" w:ascii="Arial" w:eastAsia="黑体" w:cs="Times New Roman"/>
          <w:sz w:val="32"/>
          <w:szCs w:val="32"/>
          <w:lang w:val="en-US" w:eastAsia="zh-CN"/>
        </w:rPr>
      </w:pPr>
      <w:r>
        <w:rPr>
          <w:rFonts w:hint="eastAsia" w:ascii="Arial" w:eastAsia="黑体" w:cs="Times New Roman"/>
          <w:sz w:val="32"/>
          <w:szCs w:val="32"/>
        </w:rPr>
        <w:br w:type="page"/>
      </w:r>
    </w:p>
    <w:p w14:paraId="280525CA">
      <w:pPr>
        <w:pStyle w:val="3"/>
        <w:spacing w:before="260" w:after="260" w:line="413" w:lineRule="auto"/>
        <w:jc w:val="center"/>
        <w:rPr>
          <w:rFonts w:ascii="Arial" w:eastAsia="黑体" w:cs="Times New Roman"/>
          <w:sz w:val="32"/>
          <w:szCs w:val="32"/>
        </w:rPr>
      </w:pPr>
      <w:bookmarkStart w:id="286" w:name="_Toc13463"/>
      <w:r>
        <w:rPr>
          <w:rFonts w:hint="eastAsia" w:ascii="Arial" w:eastAsia="黑体" w:cs="Times New Roman"/>
          <w:sz w:val="32"/>
          <w:szCs w:val="32"/>
          <w:lang w:val="en-US" w:eastAsia="zh-CN"/>
        </w:rPr>
        <w:t>七</w:t>
      </w:r>
      <w:r>
        <w:rPr>
          <w:rFonts w:hint="eastAsia" w:ascii="Arial" w:eastAsia="黑体" w:cs="Times New Roman"/>
          <w:sz w:val="32"/>
          <w:szCs w:val="32"/>
        </w:rPr>
        <w:t>、技术资料</w:t>
      </w:r>
      <w:bookmarkEnd w:id="277"/>
      <w:bookmarkEnd w:id="278"/>
      <w:bookmarkEnd w:id="279"/>
      <w:bookmarkEnd w:id="286"/>
    </w:p>
    <w:p w14:paraId="6FFD2394">
      <w:pPr>
        <w:spacing w:line="360" w:lineRule="auto"/>
        <w:rPr>
          <w:sz w:val="24"/>
        </w:rPr>
      </w:pPr>
    </w:p>
    <w:p w14:paraId="5A05734C">
      <w:pPr>
        <w:spacing w:line="360" w:lineRule="auto"/>
        <w:ind w:firstLine="560" w:firstLineChars="200"/>
        <w:jc w:val="left"/>
        <w:rPr>
          <w:color w:val="auto"/>
          <w:sz w:val="28"/>
          <w:szCs w:val="28"/>
        </w:rPr>
      </w:pPr>
      <w:r>
        <w:rPr>
          <w:rFonts w:hint="eastAsia"/>
          <w:sz w:val="28"/>
          <w:szCs w:val="28"/>
        </w:rPr>
        <w:t>投标人根据本项目实际情况</w:t>
      </w:r>
      <w:r>
        <w:rPr>
          <w:rFonts w:hint="eastAsia"/>
          <w:color w:val="auto"/>
          <w:sz w:val="28"/>
          <w:szCs w:val="28"/>
        </w:rPr>
        <w:t>编制</w:t>
      </w:r>
      <w:r>
        <w:rPr>
          <w:rFonts w:hint="eastAsia"/>
          <w:color w:val="auto"/>
          <w:sz w:val="28"/>
          <w:szCs w:val="28"/>
          <w:lang w:val="en-US" w:eastAsia="zh-CN"/>
        </w:rPr>
        <w:t>项目实施方案</w:t>
      </w:r>
      <w:r>
        <w:rPr>
          <w:rFonts w:hint="eastAsia"/>
          <w:color w:val="auto"/>
          <w:sz w:val="28"/>
          <w:szCs w:val="28"/>
        </w:rPr>
        <w:t>、</w:t>
      </w:r>
      <w:r>
        <w:rPr>
          <w:rFonts w:hint="eastAsia"/>
          <w:color w:val="auto"/>
          <w:sz w:val="28"/>
          <w:szCs w:val="28"/>
          <w:lang w:val="en-US" w:eastAsia="zh-CN"/>
        </w:rPr>
        <w:t>质量保证</w:t>
      </w:r>
      <w:r>
        <w:rPr>
          <w:rFonts w:hint="eastAsia"/>
          <w:color w:val="auto"/>
          <w:sz w:val="28"/>
          <w:szCs w:val="28"/>
        </w:rPr>
        <w:t>方案、</w:t>
      </w:r>
      <w:r>
        <w:rPr>
          <w:rFonts w:hint="eastAsia"/>
          <w:color w:val="auto"/>
          <w:sz w:val="28"/>
          <w:szCs w:val="28"/>
          <w:lang w:val="en-US" w:eastAsia="zh-CN"/>
        </w:rPr>
        <w:t>售后</w:t>
      </w:r>
      <w:r>
        <w:rPr>
          <w:rFonts w:hint="eastAsia"/>
          <w:color w:val="auto"/>
          <w:sz w:val="28"/>
          <w:szCs w:val="28"/>
        </w:rPr>
        <w:t>服务</w:t>
      </w:r>
      <w:r>
        <w:rPr>
          <w:rFonts w:hint="eastAsia"/>
          <w:color w:val="auto"/>
          <w:sz w:val="28"/>
          <w:szCs w:val="28"/>
          <w:lang w:val="en-US" w:eastAsia="zh-CN"/>
        </w:rPr>
        <w:t>方案、布点方案、软件平台设计方案</w:t>
      </w:r>
      <w:r>
        <w:rPr>
          <w:rFonts w:hint="eastAsia"/>
          <w:color w:val="auto"/>
          <w:sz w:val="28"/>
          <w:szCs w:val="28"/>
        </w:rPr>
        <w:t>等技术资料。</w:t>
      </w:r>
    </w:p>
    <w:p w14:paraId="06FF27B4">
      <w:pPr>
        <w:spacing w:line="360" w:lineRule="auto"/>
        <w:rPr>
          <w:sz w:val="24"/>
        </w:rPr>
      </w:pPr>
    </w:p>
    <w:p w14:paraId="31F5A952">
      <w:pPr>
        <w:bidi w:val="0"/>
      </w:pPr>
    </w:p>
    <w:p w14:paraId="2B3921FF">
      <w:pPr>
        <w:rPr>
          <w:color w:val="000000"/>
          <w:sz w:val="28"/>
        </w:rPr>
      </w:pPr>
    </w:p>
    <w:p w14:paraId="25C39F0F">
      <w:pPr>
        <w:spacing w:beforeLines="100" w:afterLines="50" w:line="480" w:lineRule="exact"/>
        <w:textAlignment w:val="center"/>
        <w:rPr>
          <w:rFonts w:ascii="宋体" w:hAnsi="宋体" w:cs="宋体"/>
          <w:sz w:val="24"/>
          <w:szCs w:val="24"/>
        </w:rPr>
      </w:pPr>
    </w:p>
    <w:p w14:paraId="28CF6DCD">
      <w:pPr>
        <w:spacing w:beforeLines="100" w:afterLines="50" w:line="480" w:lineRule="exact"/>
        <w:textAlignment w:val="center"/>
        <w:rPr>
          <w:rFonts w:ascii="宋体" w:hAnsi="宋体" w:cs="宋体"/>
          <w:sz w:val="24"/>
          <w:szCs w:val="24"/>
        </w:rPr>
      </w:pPr>
    </w:p>
    <w:p w14:paraId="7C869BF9">
      <w:pPr>
        <w:spacing w:beforeLines="100" w:afterLines="50" w:line="480" w:lineRule="exact"/>
        <w:textAlignment w:val="center"/>
        <w:rPr>
          <w:rFonts w:ascii="宋体" w:hAnsi="宋体" w:cs="宋体"/>
          <w:sz w:val="24"/>
          <w:szCs w:val="24"/>
        </w:rPr>
      </w:pPr>
    </w:p>
    <w:p w14:paraId="3C2B1CAF">
      <w:pPr>
        <w:spacing w:beforeLines="100" w:afterLines="50" w:line="480" w:lineRule="exact"/>
        <w:textAlignment w:val="center"/>
        <w:rPr>
          <w:rFonts w:ascii="宋体" w:hAnsi="宋体" w:cs="宋体"/>
          <w:sz w:val="24"/>
          <w:szCs w:val="24"/>
        </w:rPr>
      </w:pPr>
    </w:p>
    <w:p w14:paraId="5677F548">
      <w:pPr>
        <w:spacing w:beforeLines="100" w:afterLines="50" w:line="480" w:lineRule="exact"/>
        <w:textAlignment w:val="center"/>
        <w:rPr>
          <w:rFonts w:ascii="宋体" w:hAnsi="宋体" w:cs="宋体"/>
          <w:sz w:val="24"/>
          <w:szCs w:val="24"/>
        </w:rPr>
      </w:pPr>
    </w:p>
    <w:p w14:paraId="546F298B">
      <w:pPr>
        <w:spacing w:beforeLines="100" w:afterLines="50" w:line="480" w:lineRule="exact"/>
        <w:textAlignment w:val="center"/>
        <w:rPr>
          <w:rFonts w:ascii="宋体" w:hAnsi="宋体" w:cs="宋体"/>
          <w:sz w:val="24"/>
          <w:szCs w:val="24"/>
        </w:rPr>
      </w:pPr>
    </w:p>
    <w:p w14:paraId="5B94CD38">
      <w:pPr>
        <w:spacing w:beforeLines="100" w:afterLines="50" w:line="480" w:lineRule="exact"/>
        <w:textAlignment w:val="center"/>
        <w:rPr>
          <w:rFonts w:ascii="宋体" w:hAnsi="宋体" w:cs="宋体"/>
          <w:sz w:val="24"/>
          <w:szCs w:val="24"/>
        </w:rPr>
      </w:pPr>
    </w:p>
    <w:p w14:paraId="23D2A34B">
      <w:pPr>
        <w:spacing w:beforeLines="100" w:afterLines="50" w:line="480" w:lineRule="exact"/>
        <w:textAlignment w:val="center"/>
        <w:rPr>
          <w:rFonts w:ascii="宋体" w:hAnsi="宋体" w:cs="宋体"/>
          <w:sz w:val="24"/>
          <w:szCs w:val="24"/>
        </w:rPr>
      </w:pPr>
    </w:p>
    <w:p w14:paraId="095A2E18">
      <w:pPr>
        <w:spacing w:beforeLines="100" w:afterLines="50" w:line="480" w:lineRule="exact"/>
        <w:textAlignment w:val="center"/>
        <w:rPr>
          <w:rFonts w:ascii="宋体" w:hAnsi="宋体" w:cs="宋体"/>
          <w:b/>
          <w:bCs/>
          <w:sz w:val="24"/>
          <w:szCs w:val="24"/>
        </w:rPr>
      </w:pPr>
    </w:p>
    <w:p w14:paraId="30EF7D5B">
      <w:pPr>
        <w:spacing w:beforeLines="100" w:afterLines="50" w:line="480" w:lineRule="exact"/>
        <w:textAlignment w:val="center"/>
        <w:rPr>
          <w:rFonts w:ascii="宋体" w:hAnsi="宋体" w:cs="宋体"/>
          <w:b/>
          <w:bCs/>
          <w:sz w:val="24"/>
          <w:szCs w:val="24"/>
        </w:rPr>
      </w:pPr>
    </w:p>
    <w:p w14:paraId="21C43FD1">
      <w:pPr>
        <w:spacing w:beforeLines="100" w:afterLines="50" w:line="480" w:lineRule="exact"/>
        <w:textAlignment w:val="center"/>
        <w:rPr>
          <w:rFonts w:ascii="宋体" w:hAnsi="宋体" w:cs="宋体"/>
          <w:b/>
          <w:bCs/>
          <w:sz w:val="24"/>
          <w:szCs w:val="24"/>
        </w:rPr>
      </w:pPr>
    </w:p>
    <w:p w14:paraId="4936CBDA">
      <w:pPr>
        <w:spacing w:beforeLines="100" w:afterLines="50" w:line="480" w:lineRule="exact"/>
        <w:textAlignment w:val="center"/>
        <w:rPr>
          <w:rFonts w:ascii="宋体" w:hAnsi="宋体" w:cs="宋体"/>
          <w:sz w:val="24"/>
          <w:szCs w:val="24"/>
        </w:rPr>
      </w:pPr>
    </w:p>
    <w:p w14:paraId="130E10E5">
      <w:pPr>
        <w:pStyle w:val="3"/>
        <w:jc w:val="center"/>
        <w:rPr>
          <w:rFonts w:ascii="Arial" w:eastAsia="黑体" w:cs="Times New Roman"/>
          <w:sz w:val="32"/>
          <w:szCs w:val="32"/>
        </w:rPr>
      </w:pPr>
      <w:bookmarkStart w:id="287" w:name="_Toc38013579"/>
      <w:bookmarkStart w:id="288" w:name="_Toc1452"/>
      <w:r>
        <w:rPr>
          <w:rFonts w:hint="eastAsia" w:ascii="Arial" w:eastAsia="黑体" w:cs="Times New Roman"/>
          <w:sz w:val="32"/>
          <w:szCs w:val="32"/>
          <w:lang w:val="en-US" w:eastAsia="zh-CN"/>
        </w:rPr>
        <w:t>八</w:t>
      </w:r>
      <w:r>
        <w:rPr>
          <w:rFonts w:hint="eastAsia" w:ascii="Arial" w:eastAsia="黑体" w:cs="Times New Roman"/>
          <w:sz w:val="32"/>
          <w:szCs w:val="32"/>
        </w:rPr>
        <w:t>、供应商认为需要提供的其他材料</w:t>
      </w:r>
      <w:bookmarkEnd w:id="287"/>
      <w:bookmarkEnd w:id="288"/>
    </w:p>
    <w:p w14:paraId="0D476FF2">
      <w:pPr>
        <w:spacing w:line="500" w:lineRule="exact"/>
        <w:rPr>
          <w:rFonts w:ascii="宋体" w:hAnsi="宋体" w:cs="宋体"/>
          <w:sz w:val="32"/>
          <w:szCs w:val="32"/>
        </w:rPr>
      </w:pPr>
    </w:p>
    <w:p w14:paraId="5EC89E14">
      <w:pPr>
        <w:spacing w:line="500" w:lineRule="exact"/>
        <w:rPr>
          <w:rFonts w:hint="default"/>
          <w:sz w:val="28"/>
          <w:szCs w:val="28"/>
          <w:lang w:val="en-US" w:eastAsia="zh-CN"/>
        </w:rPr>
      </w:pPr>
      <w:r>
        <w:rPr>
          <w:rFonts w:hint="eastAsia"/>
          <w:sz w:val="28"/>
          <w:szCs w:val="28"/>
          <w:lang w:val="en-US" w:eastAsia="zh-CN"/>
        </w:rPr>
        <w:t>1、投标产品的检测报告及相关材料；</w:t>
      </w:r>
    </w:p>
    <w:p w14:paraId="0CA934F0">
      <w:pPr>
        <w:spacing w:line="500" w:lineRule="exact"/>
        <w:rPr>
          <w:sz w:val="28"/>
          <w:szCs w:val="28"/>
        </w:rPr>
      </w:pPr>
      <w:r>
        <w:rPr>
          <w:rFonts w:hint="eastAsia"/>
          <w:sz w:val="28"/>
          <w:szCs w:val="28"/>
          <w:lang w:val="en-US" w:eastAsia="zh-CN"/>
        </w:rPr>
        <w:t>2、</w:t>
      </w:r>
      <w:r>
        <w:rPr>
          <w:rFonts w:hint="eastAsia"/>
          <w:sz w:val="28"/>
          <w:szCs w:val="28"/>
        </w:rPr>
        <w:t>招标文件要求及投标人认为有利于本次投标的其他资料。</w:t>
      </w:r>
    </w:p>
    <w:p w14:paraId="41BBD543">
      <w:pPr>
        <w:spacing w:line="480" w:lineRule="exact"/>
        <w:textAlignment w:val="center"/>
        <w:rPr>
          <w:rFonts w:ascii="宋体" w:hAnsi="宋体" w:cs="宋体"/>
          <w:sz w:val="28"/>
          <w:szCs w:val="28"/>
        </w:rPr>
      </w:pPr>
    </w:p>
    <w:p w14:paraId="6E171AD0">
      <w:pPr>
        <w:spacing w:line="480" w:lineRule="exact"/>
        <w:textAlignment w:val="center"/>
        <w:rPr>
          <w:rFonts w:ascii="宋体" w:hAnsi="宋体" w:cs="宋体"/>
          <w:sz w:val="24"/>
          <w:szCs w:val="24"/>
        </w:rPr>
      </w:pPr>
    </w:p>
    <w:p w14:paraId="1039CFD1">
      <w:pPr>
        <w:spacing w:line="480" w:lineRule="exact"/>
        <w:textAlignment w:val="center"/>
        <w:rPr>
          <w:rFonts w:ascii="宋体" w:hAnsi="宋体" w:cs="宋体"/>
          <w:sz w:val="24"/>
          <w:szCs w:val="24"/>
        </w:rPr>
      </w:pPr>
    </w:p>
    <w:p w14:paraId="2868D071">
      <w:pPr>
        <w:spacing w:line="480" w:lineRule="exact"/>
        <w:textAlignment w:val="center"/>
        <w:rPr>
          <w:rFonts w:ascii="宋体" w:hAnsi="宋体" w:cs="宋体"/>
          <w:sz w:val="24"/>
          <w:szCs w:val="24"/>
        </w:rPr>
      </w:pPr>
    </w:p>
    <w:p w14:paraId="5796CCDC">
      <w:pPr>
        <w:spacing w:line="480" w:lineRule="exact"/>
        <w:textAlignment w:val="center"/>
        <w:rPr>
          <w:rFonts w:ascii="宋体" w:hAnsi="宋体" w:cs="宋体"/>
          <w:sz w:val="24"/>
          <w:szCs w:val="24"/>
        </w:rPr>
      </w:pPr>
    </w:p>
    <w:p w14:paraId="7E864E4D">
      <w:pPr>
        <w:spacing w:line="480" w:lineRule="exact"/>
        <w:textAlignment w:val="center"/>
        <w:rPr>
          <w:rFonts w:ascii="宋体" w:hAnsi="宋体" w:cs="宋体"/>
          <w:sz w:val="24"/>
          <w:szCs w:val="24"/>
        </w:rPr>
      </w:pPr>
    </w:p>
    <w:p w14:paraId="2A4D32F4">
      <w:pPr>
        <w:spacing w:line="480" w:lineRule="exact"/>
        <w:textAlignment w:val="center"/>
        <w:rPr>
          <w:rFonts w:ascii="宋体" w:hAnsi="宋体" w:cs="宋体"/>
          <w:sz w:val="24"/>
          <w:szCs w:val="24"/>
        </w:rPr>
      </w:pPr>
    </w:p>
    <w:p w14:paraId="05AA1B90">
      <w:pPr>
        <w:spacing w:line="480" w:lineRule="exact"/>
        <w:textAlignment w:val="center"/>
        <w:rPr>
          <w:rFonts w:ascii="宋体" w:hAnsi="宋体" w:cs="宋体"/>
          <w:sz w:val="24"/>
          <w:szCs w:val="24"/>
        </w:rPr>
      </w:pPr>
    </w:p>
    <w:p w14:paraId="6B0C66C2">
      <w:pPr>
        <w:spacing w:line="480" w:lineRule="exact"/>
        <w:textAlignment w:val="center"/>
        <w:rPr>
          <w:rFonts w:ascii="宋体" w:hAnsi="宋体" w:cs="宋体"/>
          <w:sz w:val="24"/>
          <w:szCs w:val="24"/>
        </w:rPr>
      </w:pPr>
    </w:p>
    <w:p w14:paraId="354D135F">
      <w:pPr>
        <w:spacing w:line="480" w:lineRule="exact"/>
        <w:textAlignment w:val="center"/>
        <w:rPr>
          <w:rFonts w:ascii="宋体" w:hAnsi="宋体" w:cs="宋体"/>
          <w:sz w:val="24"/>
          <w:szCs w:val="24"/>
        </w:rPr>
      </w:pPr>
    </w:p>
    <w:p w14:paraId="369999CD">
      <w:pPr>
        <w:spacing w:line="480" w:lineRule="exact"/>
        <w:textAlignment w:val="center"/>
        <w:rPr>
          <w:rFonts w:ascii="宋体" w:hAnsi="宋体" w:cs="宋体"/>
          <w:sz w:val="24"/>
          <w:szCs w:val="24"/>
        </w:rPr>
      </w:pPr>
    </w:p>
    <w:p w14:paraId="725CEBBA">
      <w:pPr>
        <w:spacing w:line="588" w:lineRule="exact"/>
        <w:rPr>
          <w:rFonts w:hint="eastAsia" w:ascii="Calibri" w:hAnsi="Calibri" w:eastAsia="仿宋_GB2312"/>
          <w:spacing w:val="6"/>
          <w:sz w:val="30"/>
          <w:szCs w:val="30"/>
        </w:rPr>
      </w:pPr>
    </w:p>
    <w:p w14:paraId="43948855">
      <w:pPr>
        <w:spacing w:line="588" w:lineRule="exact"/>
        <w:rPr>
          <w:rFonts w:hint="eastAsia" w:ascii="Calibri" w:hAnsi="Calibri" w:eastAsia="仿宋_GB2312"/>
          <w:spacing w:val="6"/>
          <w:sz w:val="30"/>
          <w:szCs w:val="30"/>
        </w:rPr>
      </w:pPr>
    </w:p>
    <w:p w14:paraId="32BFD708">
      <w:pPr>
        <w:spacing w:line="588" w:lineRule="exact"/>
        <w:rPr>
          <w:rFonts w:hint="eastAsia" w:ascii="Calibri" w:hAnsi="Calibri" w:eastAsia="仿宋_GB2312"/>
          <w:spacing w:val="6"/>
          <w:sz w:val="30"/>
          <w:szCs w:val="30"/>
        </w:rPr>
      </w:pPr>
    </w:p>
    <w:p w14:paraId="4230B515">
      <w:pPr>
        <w:spacing w:line="588" w:lineRule="exact"/>
        <w:rPr>
          <w:rFonts w:hint="eastAsia" w:ascii="Calibri" w:hAnsi="Calibri" w:eastAsia="仿宋_GB2312"/>
          <w:spacing w:val="6"/>
          <w:sz w:val="30"/>
          <w:szCs w:val="30"/>
        </w:rPr>
      </w:pPr>
    </w:p>
    <w:p w14:paraId="5E233203">
      <w:pPr>
        <w:spacing w:line="588" w:lineRule="exact"/>
        <w:rPr>
          <w:rFonts w:hint="eastAsia" w:ascii="Calibri" w:hAnsi="Calibri" w:eastAsia="仿宋_GB2312"/>
          <w:spacing w:val="6"/>
          <w:sz w:val="30"/>
          <w:szCs w:val="30"/>
        </w:rPr>
      </w:pPr>
    </w:p>
    <w:p w14:paraId="115946DD">
      <w:pPr>
        <w:spacing w:line="588" w:lineRule="exact"/>
        <w:rPr>
          <w:rFonts w:hint="eastAsia" w:ascii="Calibri" w:hAnsi="Calibri" w:eastAsia="仿宋_GB2312"/>
          <w:spacing w:val="6"/>
          <w:sz w:val="30"/>
          <w:szCs w:val="30"/>
        </w:rPr>
      </w:pPr>
    </w:p>
    <w:p w14:paraId="216D7D2F">
      <w:pPr>
        <w:spacing w:line="588" w:lineRule="exact"/>
        <w:rPr>
          <w:rFonts w:hint="eastAsia" w:ascii="Calibri" w:hAnsi="Calibri" w:eastAsia="仿宋_GB2312"/>
          <w:spacing w:val="6"/>
          <w:sz w:val="30"/>
          <w:szCs w:val="30"/>
        </w:rPr>
      </w:pPr>
    </w:p>
    <w:p w14:paraId="7DD8AD7D">
      <w:pPr>
        <w:spacing w:line="588" w:lineRule="exact"/>
        <w:rPr>
          <w:rFonts w:hint="eastAsia" w:ascii="Calibri" w:hAnsi="Calibri" w:eastAsia="仿宋_GB2312"/>
          <w:spacing w:val="6"/>
          <w:sz w:val="30"/>
          <w:szCs w:val="30"/>
        </w:rPr>
      </w:pPr>
    </w:p>
    <w:p w14:paraId="70D14120">
      <w:pPr>
        <w:spacing w:line="588" w:lineRule="exact"/>
        <w:rPr>
          <w:rFonts w:hint="eastAsia" w:ascii="Calibri" w:hAnsi="Calibri" w:eastAsia="仿宋_GB2312"/>
          <w:spacing w:val="6"/>
          <w:sz w:val="30"/>
          <w:szCs w:val="30"/>
        </w:rPr>
      </w:pPr>
    </w:p>
    <w:p w14:paraId="3BEAA3CC">
      <w:pPr>
        <w:spacing w:line="588" w:lineRule="exact"/>
        <w:rPr>
          <w:rFonts w:hint="eastAsia" w:ascii="Calibri" w:hAnsi="Calibri" w:eastAsia="仿宋_GB2312"/>
          <w:spacing w:val="6"/>
          <w:sz w:val="30"/>
          <w:szCs w:val="30"/>
        </w:rPr>
      </w:pPr>
    </w:p>
    <w:p w14:paraId="139312E4">
      <w:pPr>
        <w:spacing w:line="588" w:lineRule="exact"/>
        <w:rPr>
          <w:rFonts w:hint="eastAsia" w:ascii="Calibri" w:hAnsi="Calibri" w:eastAsia="仿宋_GB2312"/>
          <w:spacing w:val="6"/>
          <w:sz w:val="30"/>
          <w:szCs w:val="30"/>
        </w:rPr>
      </w:pPr>
    </w:p>
    <w:p w14:paraId="4845C451">
      <w:pPr>
        <w:spacing w:line="588" w:lineRule="exact"/>
        <w:rPr>
          <w:rFonts w:ascii="Calibri" w:hAnsi="Calibri" w:eastAsia="仿宋_GB2312"/>
          <w:spacing w:val="6"/>
          <w:sz w:val="30"/>
          <w:szCs w:val="30"/>
        </w:rPr>
      </w:pPr>
      <w:r>
        <w:rPr>
          <w:rFonts w:hint="eastAsia" w:ascii="Calibri" w:hAnsi="Calibri" w:eastAsia="仿宋_GB2312"/>
          <w:spacing w:val="6"/>
          <w:sz w:val="30"/>
          <w:szCs w:val="30"/>
        </w:rPr>
        <w:t>附件一</w:t>
      </w:r>
    </w:p>
    <w:p w14:paraId="2519CF13">
      <w:pPr>
        <w:bidi w:val="0"/>
        <w:jc w:val="center"/>
        <w:rPr>
          <w:rFonts w:ascii="宋体" w:hAnsi="宋体" w:cs="宋体"/>
          <w:b/>
          <w:bCs/>
          <w:szCs w:val="24"/>
          <w:lang w:val="zh-CN"/>
        </w:rPr>
      </w:pPr>
      <w:r>
        <w:rPr>
          <w:rFonts w:hint="eastAsia"/>
          <w:b/>
          <w:bCs/>
          <w:sz w:val="28"/>
          <w:szCs w:val="28"/>
          <w:lang w:val="zh-CN"/>
        </w:rPr>
        <w:t>中小企业声明函</w:t>
      </w:r>
    </w:p>
    <w:p w14:paraId="6CAB8496">
      <w:pPr>
        <w:spacing w:line="400" w:lineRule="exact"/>
        <w:ind w:firstLine="410" w:firstLineChars="200"/>
        <w:jc w:val="center"/>
        <w:rPr>
          <w:rFonts w:ascii="宋体" w:hAnsi="宋体" w:eastAsiaTheme="minorEastAsia" w:cstheme="minorBidi"/>
          <w:b/>
          <w:w w:val="66"/>
          <w:sz w:val="31"/>
          <w:szCs w:val="24"/>
        </w:rPr>
      </w:pPr>
    </w:p>
    <w:p w14:paraId="7033A8C6">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 xml:space="preserve">                   </w:t>
      </w:r>
      <w:r>
        <w:rPr>
          <w:rFonts w:hint="eastAsia" w:ascii="宋体" w:hAnsi="宋体" w:cs="宋体"/>
          <w:sz w:val="24"/>
          <w:szCs w:val="24"/>
        </w:rPr>
        <w:t>（单位名称）的</w:t>
      </w:r>
      <w:r>
        <w:rPr>
          <w:rFonts w:hint="eastAsia" w:ascii="宋体" w:hAnsi="宋体" w:cs="宋体"/>
          <w:sz w:val="24"/>
          <w:szCs w:val="24"/>
          <w:u w:val="single"/>
        </w:rPr>
        <w:t xml:space="preserve">   （项目名称）  </w:t>
      </w:r>
      <w:r>
        <w:rPr>
          <w:rFonts w:hint="eastAsia" w:ascii="宋体" w:hAnsi="宋体" w:cs="宋体"/>
          <w:sz w:val="24"/>
          <w:szCs w:val="24"/>
        </w:rPr>
        <w:t>采购活动，</w:t>
      </w:r>
      <w:r>
        <w:rPr>
          <w:rFonts w:hint="eastAsia" w:ascii="宋体" w:hAnsi="宋体" w:cs="宋体"/>
          <w:sz w:val="24"/>
          <w:szCs w:val="24"/>
          <w:lang w:val="en-US" w:eastAsia="zh-CN"/>
        </w:rPr>
        <w:t>提供的货物</w:t>
      </w:r>
      <w:r>
        <w:rPr>
          <w:rFonts w:hint="eastAsia" w:ascii="宋体" w:hAnsi="宋体" w:cs="宋体"/>
          <w:sz w:val="24"/>
          <w:szCs w:val="24"/>
        </w:rPr>
        <w:t>全部</w:t>
      </w:r>
      <w:r>
        <w:rPr>
          <w:rFonts w:hint="eastAsia" w:ascii="宋体" w:hAnsi="宋体" w:cs="宋体"/>
          <w:sz w:val="24"/>
          <w:szCs w:val="24"/>
          <w:lang w:val="en-US" w:eastAsia="zh-CN"/>
        </w:rPr>
        <w:t>由</w:t>
      </w:r>
      <w:r>
        <w:rPr>
          <w:rFonts w:hint="eastAsia" w:ascii="宋体" w:hAnsi="宋体" w:cs="宋体"/>
          <w:sz w:val="24"/>
          <w:szCs w:val="24"/>
        </w:rPr>
        <w:t>符合政策要求的中小企业</w:t>
      </w:r>
      <w:r>
        <w:rPr>
          <w:rFonts w:hint="eastAsia" w:ascii="宋体" w:hAnsi="宋体" w:cs="宋体"/>
          <w:sz w:val="24"/>
          <w:szCs w:val="24"/>
          <w:lang w:val="en-US" w:eastAsia="zh-CN"/>
        </w:rPr>
        <w:t>制造</w:t>
      </w:r>
      <w:r>
        <w:rPr>
          <w:rFonts w:hint="eastAsia" w:ascii="宋体" w:hAnsi="宋体" w:cs="宋体"/>
          <w:sz w:val="24"/>
          <w:szCs w:val="24"/>
        </w:rPr>
        <w:t>。相关企业（含联合体中的中小企业、签订分包意向协议的中小企业）的具体情况如下：</w:t>
      </w:r>
    </w:p>
    <w:p w14:paraId="1ED2A631">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4A71DAE6">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013A1118">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p>
    <w:p w14:paraId="71A6F5F0">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98B4D03">
      <w:pPr>
        <w:spacing w:line="360" w:lineRule="auto"/>
        <w:ind w:firstLine="480" w:firstLineChars="200"/>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14:paraId="7E026694">
      <w:pPr>
        <w:spacing w:after="120"/>
        <w:ind w:firstLine="480" w:firstLineChars="200"/>
        <w:rPr>
          <w:rFonts w:ascii="Calibri" w:hAnsi="Calibri"/>
          <w:sz w:val="24"/>
          <w:szCs w:val="24"/>
        </w:rPr>
      </w:pPr>
    </w:p>
    <w:p w14:paraId="56A0FBF4">
      <w:pPr>
        <w:spacing w:line="360" w:lineRule="auto"/>
        <w:ind w:firstLine="480" w:firstLineChars="200"/>
        <w:jc w:val="right"/>
        <w:rPr>
          <w:rFonts w:ascii="宋体" w:hAnsi="宋体" w:cs="宋体"/>
          <w:sz w:val="24"/>
          <w:szCs w:val="24"/>
        </w:rPr>
      </w:pPr>
    </w:p>
    <w:p w14:paraId="7AEC450B">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企业名称（盖章）： </w:t>
      </w:r>
    </w:p>
    <w:p w14:paraId="46BB0AF1">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日 期： </w:t>
      </w:r>
    </w:p>
    <w:p w14:paraId="27E1A02B">
      <w:pPr>
        <w:spacing w:line="360" w:lineRule="auto"/>
        <w:ind w:firstLine="480" w:firstLineChars="200"/>
        <w:rPr>
          <w:rFonts w:ascii="宋体" w:hAnsi="宋体" w:cs="宋体"/>
          <w:sz w:val="24"/>
          <w:szCs w:val="24"/>
        </w:rPr>
      </w:pPr>
    </w:p>
    <w:p w14:paraId="21F38336">
      <w:pPr>
        <w:spacing w:line="360" w:lineRule="auto"/>
        <w:ind w:firstLine="480" w:firstLineChars="200"/>
        <w:rPr>
          <w:rFonts w:ascii="宋体" w:hAnsi="宋体" w:cs="宋体"/>
          <w:sz w:val="24"/>
          <w:szCs w:val="24"/>
        </w:rPr>
      </w:pPr>
    </w:p>
    <w:p w14:paraId="74A1574A">
      <w:pPr>
        <w:spacing w:line="360" w:lineRule="auto"/>
        <w:ind w:firstLine="480" w:firstLineChars="200"/>
        <w:rPr>
          <w:rFonts w:hint="eastAsia"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1、</w:t>
      </w:r>
      <w:r>
        <w:rPr>
          <w:rFonts w:hint="eastAsia" w:ascii="宋体" w:hAnsi="宋体" w:cs="宋体"/>
          <w:sz w:val="24"/>
          <w:szCs w:val="24"/>
        </w:rPr>
        <w:t>从业人员、营业收入、资产总额填报上一年度数据，无上一年度数据的新成立企业可不填报。</w:t>
      </w:r>
    </w:p>
    <w:p w14:paraId="4FA8839F">
      <w:pPr>
        <w:spacing w:line="360" w:lineRule="auto"/>
        <w:ind w:firstLine="960" w:firstLineChars="4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中小企业划分标准见工业和信息化部国家统计局国家发展和改革委员财政部《关于印发中小企业划型标准规定的通知》(工信部联企业【2011】300号)。</w:t>
      </w:r>
    </w:p>
    <w:p w14:paraId="6097AC26">
      <w:pPr>
        <w:spacing w:after="120"/>
        <w:ind w:firstLine="420" w:firstLineChars="200"/>
        <w:rPr>
          <w:rFonts w:ascii="宋体" w:hAnsi="宋体" w:cs="宋体"/>
          <w:b/>
          <w:sz w:val="24"/>
          <w:szCs w:val="24"/>
        </w:rPr>
      </w:pPr>
      <w:r>
        <w:rPr>
          <w:rFonts w:hint="eastAsia" w:ascii="Calibri" w:hAnsi="Calibri"/>
          <w:lang w:val="en-US" w:eastAsia="zh-CN"/>
        </w:rPr>
        <w:t xml:space="preserve">     3、</w:t>
      </w:r>
      <w:r>
        <w:rPr>
          <w:rFonts w:hint="eastAsia" w:ascii="宋体" w:hAnsi="宋体" w:cs="宋体"/>
          <w:b/>
          <w:sz w:val="24"/>
          <w:szCs w:val="24"/>
        </w:rPr>
        <w:t>本项目</w:t>
      </w:r>
      <w:r>
        <w:rPr>
          <w:rFonts w:hint="eastAsia" w:ascii="宋体" w:hAnsi="宋体" w:cs="宋体"/>
          <w:b/>
          <w:sz w:val="24"/>
          <w:szCs w:val="24"/>
          <w:lang w:val="en-US" w:eastAsia="zh-CN"/>
        </w:rPr>
        <w:t>采购标的</w:t>
      </w:r>
      <w:r>
        <w:rPr>
          <w:rFonts w:hint="eastAsia" w:ascii="宋体" w:hAnsi="宋体" w:cs="宋体"/>
          <w:b/>
          <w:sz w:val="24"/>
          <w:szCs w:val="24"/>
        </w:rPr>
        <w:t>对应的中小企业划分标准所属行业为：</w:t>
      </w:r>
      <w:r>
        <w:rPr>
          <w:rFonts w:hint="eastAsia" w:ascii="宋体" w:hAnsi="宋体" w:cs="宋体"/>
          <w:b/>
          <w:color w:val="auto"/>
          <w:sz w:val="24"/>
          <w:szCs w:val="24"/>
          <w:lang w:val="en-US" w:eastAsia="zh-CN"/>
        </w:rPr>
        <w:t>工业</w:t>
      </w:r>
      <w:r>
        <w:rPr>
          <w:rFonts w:hint="eastAsia" w:ascii="宋体" w:hAnsi="宋体" w:cs="宋体"/>
          <w:b/>
          <w:color w:val="auto"/>
          <w:sz w:val="24"/>
          <w:szCs w:val="24"/>
        </w:rPr>
        <w:t>。</w:t>
      </w:r>
    </w:p>
    <w:p w14:paraId="013234FE">
      <w:pPr>
        <w:spacing w:after="120"/>
        <w:ind w:firstLine="482" w:firstLineChars="200"/>
        <w:rPr>
          <w:rFonts w:ascii="宋体" w:hAnsi="宋体" w:cs="宋体"/>
          <w:b/>
          <w:sz w:val="24"/>
          <w:szCs w:val="24"/>
        </w:rPr>
      </w:pPr>
    </w:p>
    <w:p w14:paraId="467CD252">
      <w:pPr>
        <w:ind w:firstLine="482" w:firstLineChars="200"/>
        <w:rPr>
          <w:rFonts w:ascii="宋体" w:hAnsi="宋体" w:cs="宋体"/>
          <w:b/>
          <w:sz w:val="24"/>
          <w:szCs w:val="24"/>
        </w:rPr>
      </w:pPr>
    </w:p>
    <w:p w14:paraId="629176E4">
      <w:pPr>
        <w:bidi w:val="0"/>
        <w:jc w:val="center"/>
        <w:rPr>
          <w:rFonts w:ascii="宋体" w:hAnsi="宋体" w:cs="宋体"/>
          <w:b/>
          <w:bCs/>
          <w:spacing w:val="6"/>
          <w:szCs w:val="24"/>
        </w:rPr>
      </w:pPr>
      <w:bookmarkStart w:id="289" w:name="_Toc25719"/>
      <w:bookmarkStart w:id="290" w:name="_Toc3686"/>
      <w:bookmarkStart w:id="291" w:name="_Toc7278"/>
      <w:bookmarkStart w:id="292" w:name="_Toc14029"/>
      <w:bookmarkStart w:id="293" w:name="_Toc22816"/>
      <w:bookmarkStart w:id="294" w:name="OLE_LINK13"/>
      <w:bookmarkStart w:id="295" w:name="_Toc26908"/>
      <w:bookmarkStart w:id="296" w:name="_Toc23527"/>
      <w:bookmarkStart w:id="297" w:name="_Toc29482"/>
      <w:bookmarkStart w:id="298" w:name="_Toc10802"/>
      <w:bookmarkStart w:id="299" w:name="_Toc22084"/>
      <w:bookmarkStart w:id="300" w:name="OLE_LINK14"/>
      <w:bookmarkStart w:id="301" w:name="_Toc5459"/>
      <w:bookmarkStart w:id="302" w:name="_Toc14656"/>
      <w:bookmarkStart w:id="303" w:name="_Toc18758"/>
      <w:bookmarkStart w:id="304" w:name="_Toc15388"/>
      <w:bookmarkStart w:id="305" w:name="_Toc25504"/>
      <w:bookmarkStart w:id="306" w:name="_Toc21261"/>
      <w:bookmarkStart w:id="307" w:name="_Toc2835"/>
      <w:bookmarkStart w:id="308" w:name="_Toc1407"/>
      <w:r>
        <w:rPr>
          <w:rFonts w:hint="eastAsia"/>
          <w:b/>
          <w:bCs/>
          <w:sz w:val="28"/>
          <w:szCs w:val="28"/>
        </w:rPr>
        <w:t>残疾人福利性单位声明函</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C080B2D">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038A87A">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1BEAA76">
      <w:pPr>
        <w:spacing w:line="360" w:lineRule="auto"/>
        <w:ind w:firstLine="504" w:firstLineChars="200"/>
        <w:rPr>
          <w:rFonts w:ascii="宋体" w:hAnsi="宋体" w:cs="宋体"/>
          <w:spacing w:val="6"/>
          <w:sz w:val="24"/>
          <w:szCs w:val="24"/>
        </w:rPr>
      </w:pPr>
    </w:p>
    <w:p w14:paraId="3A5B3D5A">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6F6C7E77">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3B00CBE3">
      <w:pPr>
        <w:tabs>
          <w:tab w:val="left" w:pos="840"/>
        </w:tabs>
        <w:autoSpaceDE w:val="0"/>
        <w:autoSpaceDN w:val="0"/>
        <w:adjustRightInd w:val="0"/>
        <w:spacing w:line="360" w:lineRule="auto"/>
        <w:ind w:firstLine="482" w:firstLineChars="200"/>
        <w:jc w:val="center"/>
        <w:rPr>
          <w:rFonts w:ascii="宋体" w:hAnsi="宋体" w:cs="宋体"/>
          <w:b/>
          <w:sz w:val="24"/>
          <w:szCs w:val="24"/>
        </w:rPr>
      </w:pPr>
    </w:p>
    <w:p w14:paraId="49F83CBD">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9312D30">
      <w:pPr>
        <w:tabs>
          <w:tab w:val="left" w:pos="840"/>
        </w:tabs>
        <w:autoSpaceDE w:val="0"/>
        <w:autoSpaceDN w:val="0"/>
        <w:adjustRightInd w:val="0"/>
        <w:spacing w:line="360" w:lineRule="auto"/>
        <w:ind w:firstLine="482" w:firstLineChars="200"/>
        <w:rPr>
          <w:rFonts w:ascii="宋体" w:hAnsi="宋体" w:cs="宋体"/>
          <w:b/>
          <w:sz w:val="24"/>
          <w:szCs w:val="24"/>
        </w:rPr>
      </w:pPr>
    </w:p>
    <w:p w14:paraId="51E1B553">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03C15FE">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9B7AF78">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C598026">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B21F5A3">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1133E99">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E430D97">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3083C0C">
      <w:pPr>
        <w:spacing w:line="360" w:lineRule="auto"/>
        <w:ind w:firstLine="480" w:firstLineChars="200"/>
        <w:rPr>
          <w:rFonts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2EC14BB4">
      <w:pPr>
        <w:spacing w:after="120"/>
        <w:ind w:firstLine="210" w:firstLineChars="100"/>
        <w:rPr>
          <w:rFonts w:asciiTheme="minorHAnsi" w:hAnsiTheme="minorHAnsi" w:eastAsiaTheme="minorEastAsia" w:cstheme="minorBidi"/>
          <w:szCs w:val="24"/>
        </w:rPr>
      </w:pPr>
    </w:p>
    <w:p w14:paraId="0210FDD2">
      <w:pPr>
        <w:bidi w:val="0"/>
        <w:jc w:val="center"/>
        <w:rPr>
          <w:rFonts w:ascii="宋体" w:hAnsi="宋体" w:cs="宋体"/>
          <w:b/>
          <w:bCs/>
          <w:szCs w:val="24"/>
        </w:rPr>
      </w:pPr>
      <w:bookmarkStart w:id="309" w:name="_Toc28942"/>
      <w:bookmarkStart w:id="310" w:name="_Toc12130"/>
      <w:bookmarkStart w:id="311" w:name="_Toc2763"/>
      <w:bookmarkStart w:id="312" w:name="_Toc27334"/>
      <w:r>
        <w:rPr>
          <w:rFonts w:hint="eastAsia"/>
          <w:b/>
          <w:bCs/>
          <w:sz w:val="28"/>
          <w:szCs w:val="28"/>
        </w:rPr>
        <w:t>监狱企业证明文件</w:t>
      </w:r>
      <w:bookmarkEnd w:id="309"/>
      <w:bookmarkEnd w:id="310"/>
      <w:bookmarkEnd w:id="311"/>
      <w:bookmarkEnd w:id="312"/>
    </w:p>
    <w:p w14:paraId="5D61A908">
      <w:pPr>
        <w:spacing w:beforeLines="50" w:afterLines="100" w:line="420" w:lineRule="exact"/>
        <w:ind w:firstLine="420" w:firstLineChars="200"/>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34C2B28">
      <w:pPr>
        <w:spacing w:line="480" w:lineRule="exact"/>
        <w:textAlignment w:val="center"/>
        <w:rPr>
          <w:rFonts w:ascii="宋体" w:hAnsi="宋体" w:cs="宋体"/>
          <w:sz w:val="24"/>
          <w:szCs w:val="24"/>
        </w:rPr>
      </w:pPr>
    </w:p>
    <w:p w14:paraId="597E5714">
      <w:pPr>
        <w:spacing w:line="480" w:lineRule="exact"/>
        <w:textAlignment w:val="center"/>
        <w:rPr>
          <w:rFonts w:ascii="宋体" w:hAnsi="宋体" w:cs="宋体"/>
          <w:sz w:val="24"/>
          <w:szCs w:val="24"/>
        </w:rPr>
      </w:pPr>
    </w:p>
    <w:p w14:paraId="01F6962C">
      <w:pPr>
        <w:spacing w:line="480" w:lineRule="exact"/>
        <w:textAlignment w:val="center"/>
        <w:rPr>
          <w:rFonts w:ascii="宋体" w:hAnsi="宋体" w:cs="宋体"/>
          <w:sz w:val="24"/>
          <w:szCs w:val="24"/>
        </w:rPr>
      </w:pPr>
    </w:p>
    <w:p w14:paraId="795C4DD5">
      <w:pPr>
        <w:spacing w:line="480" w:lineRule="exact"/>
        <w:textAlignment w:val="center"/>
        <w:rPr>
          <w:rFonts w:ascii="宋体" w:hAnsi="宋体" w:cs="宋体"/>
          <w:sz w:val="24"/>
          <w:szCs w:val="24"/>
        </w:rPr>
      </w:pPr>
    </w:p>
    <w:p w14:paraId="1D746610">
      <w:pPr>
        <w:spacing w:line="480" w:lineRule="exact"/>
        <w:textAlignment w:val="center"/>
        <w:rPr>
          <w:rFonts w:ascii="宋体" w:hAnsi="宋体" w:cs="宋体"/>
          <w:sz w:val="24"/>
          <w:szCs w:val="24"/>
        </w:rPr>
      </w:pPr>
    </w:p>
    <w:p w14:paraId="1BE25A56">
      <w:pPr>
        <w:spacing w:line="480" w:lineRule="exact"/>
        <w:textAlignment w:val="center"/>
        <w:rPr>
          <w:rFonts w:ascii="宋体" w:hAnsi="宋体" w:cs="宋体"/>
          <w:sz w:val="24"/>
          <w:szCs w:val="24"/>
        </w:rPr>
      </w:pPr>
    </w:p>
    <w:p w14:paraId="557F3761">
      <w:pPr>
        <w:spacing w:line="480" w:lineRule="exact"/>
        <w:textAlignment w:val="center"/>
        <w:rPr>
          <w:rFonts w:ascii="宋体" w:hAnsi="宋体" w:cs="宋体"/>
          <w:sz w:val="24"/>
          <w:szCs w:val="24"/>
        </w:rPr>
      </w:pPr>
    </w:p>
    <w:p w14:paraId="671293E5">
      <w:pPr>
        <w:spacing w:line="480" w:lineRule="exact"/>
        <w:jc w:val="center"/>
        <w:textAlignment w:val="center"/>
        <w:rPr>
          <w:rFonts w:ascii="宋体" w:hAnsi="宋体" w:cs="宋体"/>
          <w:sz w:val="24"/>
          <w:szCs w:val="24"/>
        </w:rPr>
      </w:pPr>
    </w:p>
    <w:p w14:paraId="02F83B1F">
      <w:pPr>
        <w:spacing w:line="480" w:lineRule="exact"/>
        <w:textAlignment w:val="center"/>
        <w:rPr>
          <w:rFonts w:ascii="宋体" w:hAnsi="宋体" w:cs="宋体"/>
          <w:sz w:val="24"/>
          <w:szCs w:val="24"/>
        </w:rPr>
      </w:pPr>
    </w:p>
    <w:p w14:paraId="365CBAF4">
      <w:pPr>
        <w:spacing w:line="480" w:lineRule="exact"/>
        <w:jc w:val="center"/>
        <w:textAlignment w:val="center"/>
        <w:rPr>
          <w:rFonts w:ascii="宋体" w:hAnsi="宋体" w:cs="宋体"/>
          <w:sz w:val="24"/>
          <w:szCs w:val="24"/>
        </w:rPr>
      </w:pPr>
    </w:p>
    <w:p w14:paraId="73652E09">
      <w:pPr>
        <w:spacing w:line="480" w:lineRule="exact"/>
        <w:jc w:val="center"/>
        <w:textAlignment w:val="center"/>
        <w:rPr>
          <w:rFonts w:ascii="宋体" w:hAnsi="宋体" w:cs="宋体"/>
          <w:sz w:val="24"/>
          <w:szCs w:val="24"/>
        </w:rPr>
      </w:pPr>
    </w:p>
    <w:p w14:paraId="3E27BC02">
      <w:pPr>
        <w:spacing w:line="480" w:lineRule="exact"/>
        <w:jc w:val="center"/>
        <w:textAlignment w:val="center"/>
        <w:rPr>
          <w:rFonts w:ascii="宋体" w:hAnsi="宋体" w:cs="宋体"/>
          <w:sz w:val="24"/>
          <w:szCs w:val="24"/>
        </w:rPr>
      </w:pPr>
    </w:p>
    <w:bookmarkEnd w:id="124"/>
    <w:bookmarkEnd w:id="125"/>
    <w:bookmarkEnd w:id="126"/>
    <w:bookmarkEnd w:id="127"/>
    <w:bookmarkEnd w:id="141"/>
    <w:p w14:paraId="63BF4D4F">
      <w:pPr>
        <w:spacing w:line="480" w:lineRule="exact"/>
        <w:textAlignment w:val="center"/>
        <w:rPr>
          <w:rFonts w:ascii="宋体" w:hAnsi="宋体" w:cs="宋体"/>
          <w:sz w:val="24"/>
          <w:szCs w:val="24"/>
        </w:rPr>
      </w:pPr>
    </w:p>
    <w:sectPr>
      <w:pgSz w:w="11906" w:h="16838"/>
      <w:pgMar w:top="1440" w:right="10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EDE2">
    <w:pPr>
      <w:pStyle w:val="30"/>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321">
    <w:pPr>
      <w:pStyle w:val="30"/>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C76">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2DB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2B2DB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DF23FE9">
    <w:pPr>
      <w:pStyle w:val="30"/>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6590">
    <w:pPr>
      <w:spacing w:before="1" w:line="169" w:lineRule="auto"/>
      <w:ind w:left="4441"/>
      <w:rPr>
        <w:rFonts w:ascii="Calibri" w:hAnsi="Calibri" w:eastAsia="Calibri" w:cs="Calibri"/>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AF23">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7AF23">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E965">
    <w:pPr>
      <w:pStyle w:val="31"/>
      <w:ind w:right="29" w:rightChars="14"/>
      <w:jc w:val="left"/>
    </w:pPr>
    <w:r>
      <w:rPr>
        <w:rFonts w:hint="eastAsia"/>
        <w:lang w:eastAsia="zh-CN"/>
      </w:rPr>
      <w:t>三门峡市陕州区入河排污口规范化建设项目一期</w:t>
    </w:r>
    <w:r>
      <w:rPr>
        <w:rFonts w:hint="eastAsia"/>
      </w:rPr>
      <w:t xml:space="preserve">                    </w:t>
    </w:r>
    <w:r>
      <w:rPr>
        <w:rFonts w:hint="eastAsia"/>
        <w:lang w:val="en-US" w:eastAsia="zh-CN"/>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E2A2">
    <w:pPr>
      <w:pStyle w:val="18"/>
      <w:keepNext w:val="0"/>
      <w:keepLines w:val="0"/>
      <w:pageBreakBefore w:val="0"/>
      <w:widowControl w:val="0"/>
      <w:kinsoku/>
      <w:wordWrap/>
      <w:overflowPunct/>
      <w:topLinePunct w:val="0"/>
      <w:bidi w:val="0"/>
      <w:adjustRightInd/>
      <w:snapToGrid/>
      <w:spacing w:line="240" w:lineRule="auto"/>
      <w:jc w:val="left"/>
      <w:textAlignment w:val="auto"/>
      <w:rPr>
        <w:sz w:val="18"/>
        <w:szCs w:val="18"/>
      </w:rPr>
    </w:pPr>
    <w:r>
      <w:rPr>
        <w:rFonts w:hint="eastAsia"/>
        <w:sz w:val="18"/>
        <w:szCs w:val="18"/>
        <w:lang w:eastAsia="zh-CN"/>
      </w:rPr>
      <w:t>三门峡市陕州区入河排污口规范化建设项目一期</w:t>
    </w:r>
    <w:r>
      <w:rPr>
        <w:rFonts w:hint="eastAsia"/>
        <w:sz w:val="18"/>
        <w:szCs w:val="18"/>
      </w:rPr>
      <w:t xml:space="preserve">                    </w:t>
    </w:r>
    <w:r>
      <w:rPr>
        <w:rFonts w:hint="eastAsia"/>
        <w:sz w:val="18"/>
        <w:szCs w:val="18"/>
        <w:lang w:val="en-US" w:eastAsia="zh-CN"/>
      </w:rPr>
      <w:t xml:space="preserve">                              </w:t>
    </w:r>
    <w:r>
      <w:rPr>
        <w:rFonts w:hint="eastAsia"/>
        <w:sz w:val="18"/>
        <w:szCs w:val="18"/>
      </w:rPr>
      <w:t>招标文</w:t>
    </w:r>
    <w:r>
      <w:rPr>
        <w:rFonts w:hint="eastAsia"/>
        <w:sz w:val="18"/>
        <w:szCs w:val="18"/>
        <w:u w:val="single"/>
      </w:rPr>
      <w:t>件</w:t>
    </w:r>
    <w:r>
      <w:rPr>
        <w:rFonts w:hint="eastAsia"/>
        <w:sz w:val="18"/>
        <w:szCs w:val="18"/>
      </w:rPr>
      <w:t xml:space="preserve"> </w:t>
    </w:r>
    <w:r>
      <mc:AlternateContent>
        <mc:Choice Requires="wps">
          <w:drawing>
            <wp:anchor distT="0" distB="0" distL="114300" distR="114300" simplePos="0" relativeHeight="251659264" behindDoc="0" locked="0" layoutInCell="0" allowOverlap="1">
              <wp:simplePos x="0" y="0"/>
              <wp:positionH relativeFrom="page">
                <wp:posOffset>1080770</wp:posOffset>
              </wp:positionH>
              <wp:positionV relativeFrom="page">
                <wp:posOffset>673100</wp:posOffset>
              </wp:positionV>
              <wp:extent cx="566102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61025" cy="6350"/>
                      </a:xfrm>
                      <a:custGeom>
                        <a:avLst/>
                        <a:gdLst/>
                        <a:ahLst/>
                        <a:cxnLst/>
                        <a:pathLst>
                          <a:path w="8915" h="10">
                            <a:moveTo>
                              <a:pt x="0" y="9"/>
                            </a:moveTo>
                            <a:lnTo>
                              <a:pt x="8915" y="9"/>
                            </a:lnTo>
                            <a:lnTo>
                              <a:pt x="8915"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1pt;margin-top:53pt;height:0.5pt;width:445.75pt;mso-position-horizontal-relative:page;mso-position-vertical-relative:page;z-index:251659264;mso-width-relative:page;mso-height-relative:page;" fillcolor="#000000" filled="t" stroked="f" coordsize="8915,10" o:allowincell="f" o:gfxdata="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ynjfZAAAADAEAAA8A&#10;AAAAAAAAAQAgAAAAIgAAAGRycy9kb3ducmV2LnhtbFBLAQIUABQAAAAIAIdO4kBbT537FgIAAHkE&#10;AAAOAAAAAAAAAAEAIAAAACgBAABkcnMvZTJvRG9jLnhtbFBLBQYAAAAABgAGAFkBAACwBQAAAAA=&#10;" path="m0,9l8915,9,8915,0,0,0,0,9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83087"/>
    <w:multiLevelType w:val="singleLevel"/>
    <w:tmpl w:val="BFE83087"/>
    <w:lvl w:ilvl="0" w:tentative="0">
      <w:start w:val="1"/>
      <w:numFmt w:val="decimal"/>
      <w:suff w:val="nothing"/>
      <w:lvlText w:val="%1、"/>
      <w:lvlJc w:val="left"/>
    </w:lvl>
  </w:abstractNum>
  <w:abstractNum w:abstractNumId="1">
    <w:nsid w:val="75F05B70"/>
    <w:multiLevelType w:val="multilevel"/>
    <w:tmpl w:val="75F05B7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DE23F9"/>
    <w:multiLevelType w:val="singleLevel"/>
    <w:tmpl w:val="78DE23F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lkY2U1M2IwZDRhMzM1ZDBmOGNhYWQ4MTY3ZGUifQ=="/>
  </w:docVars>
  <w:rsids>
    <w:rsidRoot w:val="00110AD9"/>
    <w:rsid w:val="00002A87"/>
    <w:rsid w:val="00004222"/>
    <w:rsid w:val="0000568A"/>
    <w:rsid w:val="00010364"/>
    <w:rsid w:val="00014AB4"/>
    <w:rsid w:val="00017B86"/>
    <w:rsid w:val="0002297D"/>
    <w:rsid w:val="000236F6"/>
    <w:rsid w:val="00025BBD"/>
    <w:rsid w:val="000273C6"/>
    <w:rsid w:val="00040009"/>
    <w:rsid w:val="0004099E"/>
    <w:rsid w:val="00045131"/>
    <w:rsid w:val="0004566C"/>
    <w:rsid w:val="000627D7"/>
    <w:rsid w:val="000650C6"/>
    <w:rsid w:val="00070E9C"/>
    <w:rsid w:val="00071DD5"/>
    <w:rsid w:val="000A2C52"/>
    <w:rsid w:val="000A5A0D"/>
    <w:rsid w:val="000B60E0"/>
    <w:rsid w:val="000C40A8"/>
    <w:rsid w:val="000D014E"/>
    <w:rsid w:val="000D4617"/>
    <w:rsid w:val="000D6CC4"/>
    <w:rsid w:val="000E1218"/>
    <w:rsid w:val="000E1484"/>
    <w:rsid w:val="000E6637"/>
    <w:rsid w:val="000E7D59"/>
    <w:rsid w:val="000F0F9A"/>
    <w:rsid w:val="000F4B7C"/>
    <w:rsid w:val="00100976"/>
    <w:rsid w:val="0010215C"/>
    <w:rsid w:val="00102B0A"/>
    <w:rsid w:val="001035EC"/>
    <w:rsid w:val="00104E9E"/>
    <w:rsid w:val="00106F09"/>
    <w:rsid w:val="00110AD9"/>
    <w:rsid w:val="001132BB"/>
    <w:rsid w:val="001134E7"/>
    <w:rsid w:val="001167D7"/>
    <w:rsid w:val="001172F1"/>
    <w:rsid w:val="0012023F"/>
    <w:rsid w:val="00127866"/>
    <w:rsid w:val="00132CD6"/>
    <w:rsid w:val="001330FE"/>
    <w:rsid w:val="00133A0E"/>
    <w:rsid w:val="00135A88"/>
    <w:rsid w:val="00143BC8"/>
    <w:rsid w:val="00143F2E"/>
    <w:rsid w:val="00145C43"/>
    <w:rsid w:val="001467F5"/>
    <w:rsid w:val="00152D04"/>
    <w:rsid w:val="00153A1D"/>
    <w:rsid w:val="001544BF"/>
    <w:rsid w:val="00155E38"/>
    <w:rsid w:val="0016054C"/>
    <w:rsid w:val="00160CC6"/>
    <w:rsid w:val="00164951"/>
    <w:rsid w:val="001674DF"/>
    <w:rsid w:val="00171D62"/>
    <w:rsid w:val="00172D8E"/>
    <w:rsid w:val="00180BB9"/>
    <w:rsid w:val="00180BCF"/>
    <w:rsid w:val="00181833"/>
    <w:rsid w:val="001835F0"/>
    <w:rsid w:val="0019286A"/>
    <w:rsid w:val="001944F3"/>
    <w:rsid w:val="00195130"/>
    <w:rsid w:val="001954C9"/>
    <w:rsid w:val="001A50FC"/>
    <w:rsid w:val="001A54E5"/>
    <w:rsid w:val="001B014B"/>
    <w:rsid w:val="001B2B5D"/>
    <w:rsid w:val="001C346D"/>
    <w:rsid w:val="001C3769"/>
    <w:rsid w:val="001C7E8C"/>
    <w:rsid w:val="001D2B2C"/>
    <w:rsid w:val="001E101E"/>
    <w:rsid w:val="001E4F55"/>
    <w:rsid w:val="001F074B"/>
    <w:rsid w:val="001F0FCA"/>
    <w:rsid w:val="00201AA3"/>
    <w:rsid w:val="00202167"/>
    <w:rsid w:val="0020380C"/>
    <w:rsid w:val="00204A38"/>
    <w:rsid w:val="00204B77"/>
    <w:rsid w:val="00211FF2"/>
    <w:rsid w:val="00220783"/>
    <w:rsid w:val="00220FBD"/>
    <w:rsid w:val="002219EA"/>
    <w:rsid w:val="00225765"/>
    <w:rsid w:val="00227357"/>
    <w:rsid w:val="0023405C"/>
    <w:rsid w:val="002378DF"/>
    <w:rsid w:val="00242166"/>
    <w:rsid w:val="00245602"/>
    <w:rsid w:val="002458D9"/>
    <w:rsid w:val="00252976"/>
    <w:rsid w:val="002566C3"/>
    <w:rsid w:val="00256923"/>
    <w:rsid w:val="002579B8"/>
    <w:rsid w:val="00266B4E"/>
    <w:rsid w:val="00270610"/>
    <w:rsid w:val="00273466"/>
    <w:rsid w:val="00283A8F"/>
    <w:rsid w:val="00283E01"/>
    <w:rsid w:val="00286D6D"/>
    <w:rsid w:val="00286DDF"/>
    <w:rsid w:val="00290B2E"/>
    <w:rsid w:val="0029419A"/>
    <w:rsid w:val="002957F9"/>
    <w:rsid w:val="00296795"/>
    <w:rsid w:val="002A1A96"/>
    <w:rsid w:val="002A2173"/>
    <w:rsid w:val="002A356F"/>
    <w:rsid w:val="002B2E43"/>
    <w:rsid w:val="002B3B87"/>
    <w:rsid w:val="002C1910"/>
    <w:rsid w:val="002C61F7"/>
    <w:rsid w:val="002C66BB"/>
    <w:rsid w:val="002D584B"/>
    <w:rsid w:val="002E3FA4"/>
    <w:rsid w:val="002F0DF7"/>
    <w:rsid w:val="002F4F73"/>
    <w:rsid w:val="002F7139"/>
    <w:rsid w:val="003057C4"/>
    <w:rsid w:val="00306F63"/>
    <w:rsid w:val="00315C97"/>
    <w:rsid w:val="003177E9"/>
    <w:rsid w:val="00321851"/>
    <w:rsid w:val="00327F62"/>
    <w:rsid w:val="003329EC"/>
    <w:rsid w:val="00333180"/>
    <w:rsid w:val="0033640C"/>
    <w:rsid w:val="0033778A"/>
    <w:rsid w:val="0034311C"/>
    <w:rsid w:val="00357BCF"/>
    <w:rsid w:val="00360705"/>
    <w:rsid w:val="00363F38"/>
    <w:rsid w:val="00371B5B"/>
    <w:rsid w:val="00374E16"/>
    <w:rsid w:val="003759B6"/>
    <w:rsid w:val="003852C8"/>
    <w:rsid w:val="00385BA7"/>
    <w:rsid w:val="0039205F"/>
    <w:rsid w:val="00392406"/>
    <w:rsid w:val="003955F0"/>
    <w:rsid w:val="00396541"/>
    <w:rsid w:val="003B128A"/>
    <w:rsid w:val="003B3B34"/>
    <w:rsid w:val="003B4014"/>
    <w:rsid w:val="003C4322"/>
    <w:rsid w:val="003D5B5A"/>
    <w:rsid w:val="003E0F79"/>
    <w:rsid w:val="003E3AFB"/>
    <w:rsid w:val="003F2FE8"/>
    <w:rsid w:val="003F6DAF"/>
    <w:rsid w:val="00405146"/>
    <w:rsid w:val="00410D05"/>
    <w:rsid w:val="00412BA9"/>
    <w:rsid w:val="00412BD3"/>
    <w:rsid w:val="00414814"/>
    <w:rsid w:val="00414EA0"/>
    <w:rsid w:val="00414EFD"/>
    <w:rsid w:val="00430547"/>
    <w:rsid w:val="00431F23"/>
    <w:rsid w:val="004322D9"/>
    <w:rsid w:val="00433267"/>
    <w:rsid w:val="00440AEE"/>
    <w:rsid w:val="0044159F"/>
    <w:rsid w:val="00444313"/>
    <w:rsid w:val="00451C14"/>
    <w:rsid w:val="00463A1E"/>
    <w:rsid w:val="00471BA9"/>
    <w:rsid w:val="00475972"/>
    <w:rsid w:val="00475E7D"/>
    <w:rsid w:val="00477188"/>
    <w:rsid w:val="0048020B"/>
    <w:rsid w:val="0048485C"/>
    <w:rsid w:val="004855F4"/>
    <w:rsid w:val="004862CC"/>
    <w:rsid w:val="00486446"/>
    <w:rsid w:val="004919C1"/>
    <w:rsid w:val="00495AD6"/>
    <w:rsid w:val="004A4593"/>
    <w:rsid w:val="004B2B21"/>
    <w:rsid w:val="004B315C"/>
    <w:rsid w:val="004B49B4"/>
    <w:rsid w:val="004B5BE3"/>
    <w:rsid w:val="004C23C9"/>
    <w:rsid w:val="004C5EB2"/>
    <w:rsid w:val="004D20C8"/>
    <w:rsid w:val="004E3A9C"/>
    <w:rsid w:val="004E57C1"/>
    <w:rsid w:val="004F399F"/>
    <w:rsid w:val="004F554F"/>
    <w:rsid w:val="004F6F77"/>
    <w:rsid w:val="00512078"/>
    <w:rsid w:val="0051337E"/>
    <w:rsid w:val="00514C1B"/>
    <w:rsid w:val="0051522E"/>
    <w:rsid w:val="00520325"/>
    <w:rsid w:val="00521AA0"/>
    <w:rsid w:val="005248DC"/>
    <w:rsid w:val="005403AD"/>
    <w:rsid w:val="00551266"/>
    <w:rsid w:val="00561069"/>
    <w:rsid w:val="00561529"/>
    <w:rsid w:val="00561D33"/>
    <w:rsid w:val="005640DF"/>
    <w:rsid w:val="00567DE6"/>
    <w:rsid w:val="0057163B"/>
    <w:rsid w:val="00573BE6"/>
    <w:rsid w:val="00577718"/>
    <w:rsid w:val="005813B5"/>
    <w:rsid w:val="005817F6"/>
    <w:rsid w:val="0058220C"/>
    <w:rsid w:val="00582530"/>
    <w:rsid w:val="00590E6A"/>
    <w:rsid w:val="00591580"/>
    <w:rsid w:val="00592BEC"/>
    <w:rsid w:val="005A5201"/>
    <w:rsid w:val="005B0439"/>
    <w:rsid w:val="005B0B87"/>
    <w:rsid w:val="005B2BDC"/>
    <w:rsid w:val="005C645D"/>
    <w:rsid w:val="005C6AB6"/>
    <w:rsid w:val="005D3BF8"/>
    <w:rsid w:val="005D3F75"/>
    <w:rsid w:val="005F0A99"/>
    <w:rsid w:val="005F0F83"/>
    <w:rsid w:val="005F56DD"/>
    <w:rsid w:val="006003A1"/>
    <w:rsid w:val="0060050F"/>
    <w:rsid w:val="00604F48"/>
    <w:rsid w:val="00605566"/>
    <w:rsid w:val="00605A92"/>
    <w:rsid w:val="00607F13"/>
    <w:rsid w:val="00614398"/>
    <w:rsid w:val="00624314"/>
    <w:rsid w:val="00626563"/>
    <w:rsid w:val="00635BDF"/>
    <w:rsid w:val="0064493C"/>
    <w:rsid w:val="0064697E"/>
    <w:rsid w:val="00647A6C"/>
    <w:rsid w:val="00654097"/>
    <w:rsid w:val="006625C3"/>
    <w:rsid w:val="0067068B"/>
    <w:rsid w:val="0067195E"/>
    <w:rsid w:val="00680697"/>
    <w:rsid w:val="00682328"/>
    <w:rsid w:val="00685348"/>
    <w:rsid w:val="00687C48"/>
    <w:rsid w:val="00690B12"/>
    <w:rsid w:val="00693FF9"/>
    <w:rsid w:val="006942C4"/>
    <w:rsid w:val="00695A4F"/>
    <w:rsid w:val="006972BC"/>
    <w:rsid w:val="006A05E7"/>
    <w:rsid w:val="006A2AE8"/>
    <w:rsid w:val="006B018D"/>
    <w:rsid w:val="006B4030"/>
    <w:rsid w:val="006B523B"/>
    <w:rsid w:val="006B6941"/>
    <w:rsid w:val="006C48FF"/>
    <w:rsid w:val="006C533F"/>
    <w:rsid w:val="006D0398"/>
    <w:rsid w:val="006D2122"/>
    <w:rsid w:val="006F38CC"/>
    <w:rsid w:val="00701308"/>
    <w:rsid w:val="007015EC"/>
    <w:rsid w:val="00701B5A"/>
    <w:rsid w:val="0070240C"/>
    <w:rsid w:val="00702AE2"/>
    <w:rsid w:val="00712693"/>
    <w:rsid w:val="00713C54"/>
    <w:rsid w:val="00715DB3"/>
    <w:rsid w:val="00725C84"/>
    <w:rsid w:val="00726980"/>
    <w:rsid w:val="00730019"/>
    <w:rsid w:val="00735010"/>
    <w:rsid w:val="00736CA4"/>
    <w:rsid w:val="00736ED2"/>
    <w:rsid w:val="00737717"/>
    <w:rsid w:val="007424B7"/>
    <w:rsid w:val="00751CF3"/>
    <w:rsid w:val="00751E66"/>
    <w:rsid w:val="00752C39"/>
    <w:rsid w:val="00757E56"/>
    <w:rsid w:val="00765412"/>
    <w:rsid w:val="007658F8"/>
    <w:rsid w:val="007710F8"/>
    <w:rsid w:val="00772236"/>
    <w:rsid w:val="007751EA"/>
    <w:rsid w:val="00776946"/>
    <w:rsid w:val="00784007"/>
    <w:rsid w:val="007850B0"/>
    <w:rsid w:val="00792782"/>
    <w:rsid w:val="007A17DB"/>
    <w:rsid w:val="007A1BC0"/>
    <w:rsid w:val="007A4E59"/>
    <w:rsid w:val="007A564F"/>
    <w:rsid w:val="007B0C73"/>
    <w:rsid w:val="007B6134"/>
    <w:rsid w:val="007B72CE"/>
    <w:rsid w:val="007C1CA6"/>
    <w:rsid w:val="007C1FF6"/>
    <w:rsid w:val="007C6609"/>
    <w:rsid w:val="007C671A"/>
    <w:rsid w:val="007D1C34"/>
    <w:rsid w:val="007D6A7F"/>
    <w:rsid w:val="007E15C4"/>
    <w:rsid w:val="007E1F23"/>
    <w:rsid w:val="007E3209"/>
    <w:rsid w:val="007E5550"/>
    <w:rsid w:val="007E55BE"/>
    <w:rsid w:val="007E59E8"/>
    <w:rsid w:val="007E5CDD"/>
    <w:rsid w:val="007F212C"/>
    <w:rsid w:val="007F6C6F"/>
    <w:rsid w:val="00801563"/>
    <w:rsid w:val="00815191"/>
    <w:rsid w:val="00820455"/>
    <w:rsid w:val="008209C3"/>
    <w:rsid w:val="00823B00"/>
    <w:rsid w:val="00824732"/>
    <w:rsid w:val="00825FCC"/>
    <w:rsid w:val="00826E53"/>
    <w:rsid w:val="00830AD8"/>
    <w:rsid w:val="008375F5"/>
    <w:rsid w:val="008403C5"/>
    <w:rsid w:val="00840B43"/>
    <w:rsid w:val="00845151"/>
    <w:rsid w:val="00845D1F"/>
    <w:rsid w:val="0084619D"/>
    <w:rsid w:val="00851DB0"/>
    <w:rsid w:val="008548BE"/>
    <w:rsid w:val="008565EA"/>
    <w:rsid w:val="008627F8"/>
    <w:rsid w:val="00863F6B"/>
    <w:rsid w:val="008648AA"/>
    <w:rsid w:val="00866EAF"/>
    <w:rsid w:val="008718B6"/>
    <w:rsid w:val="00872C1B"/>
    <w:rsid w:val="00881820"/>
    <w:rsid w:val="00881CFF"/>
    <w:rsid w:val="008A756B"/>
    <w:rsid w:val="008B0920"/>
    <w:rsid w:val="008B2AD3"/>
    <w:rsid w:val="008C3812"/>
    <w:rsid w:val="008C5C00"/>
    <w:rsid w:val="008D0D20"/>
    <w:rsid w:val="008D42B8"/>
    <w:rsid w:val="008E26BD"/>
    <w:rsid w:val="008E29BC"/>
    <w:rsid w:val="008E2C6F"/>
    <w:rsid w:val="008E6767"/>
    <w:rsid w:val="008E71F1"/>
    <w:rsid w:val="008F1CD5"/>
    <w:rsid w:val="008F3E78"/>
    <w:rsid w:val="008F5420"/>
    <w:rsid w:val="009020B1"/>
    <w:rsid w:val="009021AC"/>
    <w:rsid w:val="00904D7F"/>
    <w:rsid w:val="009079B6"/>
    <w:rsid w:val="0091051C"/>
    <w:rsid w:val="00910B04"/>
    <w:rsid w:val="00911A14"/>
    <w:rsid w:val="00912BCB"/>
    <w:rsid w:val="009158B6"/>
    <w:rsid w:val="009172EC"/>
    <w:rsid w:val="00921B25"/>
    <w:rsid w:val="0092513A"/>
    <w:rsid w:val="009263F8"/>
    <w:rsid w:val="009279A8"/>
    <w:rsid w:val="00927E80"/>
    <w:rsid w:val="00943967"/>
    <w:rsid w:val="00946650"/>
    <w:rsid w:val="009470A9"/>
    <w:rsid w:val="009502FA"/>
    <w:rsid w:val="009520E3"/>
    <w:rsid w:val="00955D02"/>
    <w:rsid w:val="0096187C"/>
    <w:rsid w:val="00962DED"/>
    <w:rsid w:val="00965A24"/>
    <w:rsid w:val="00965AEF"/>
    <w:rsid w:val="00966BB6"/>
    <w:rsid w:val="009706A5"/>
    <w:rsid w:val="00974A04"/>
    <w:rsid w:val="009812D3"/>
    <w:rsid w:val="0098154F"/>
    <w:rsid w:val="00982ED8"/>
    <w:rsid w:val="00985C44"/>
    <w:rsid w:val="00994BCA"/>
    <w:rsid w:val="009A0791"/>
    <w:rsid w:val="009A0797"/>
    <w:rsid w:val="009A237D"/>
    <w:rsid w:val="009A4B87"/>
    <w:rsid w:val="009A6D19"/>
    <w:rsid w:val="009B314B"/>
    <w:rsid w:val="009B38C1"/>
    <w:rsid w:val="009C030C"/>
    <w:rsid w:val="009C2E3B"/>
    <w:rsid w:val="009D05CE"/>
    <w:rsid w:val="009D624E"/>
    <w:rsid w:val="009D694E"/>
    <w:rsid w:val="009E1112"/>
    <w:rsid w:val="009E2F4F"/>
    <w:rsid w:val="009E33A8"/>
    <w:rsid w:val="009E4469"/>
    <w:rsid w:val="009E4497"/>
    <w:rsid w:val="009F6232"/>
    <w:rsid w:val="00A032CE"/>
    <w:rsid w:val="00A033A7"/>
    <w:rsid w:val="00A05099"/>
    <w:rsid w:val="00A12460"/>
    <w:rsid w:val="00A1562C"/>
    <w:rsid w:val="00A15886"/>
    <w:rsid w:val="00A15B2B"/>
    <w:rsid w:val="00A22EE8"/>
    <w:rsid w:val="00A33F77"/>
    <w:rsid w:val="00A34AFA"/>
    <w:rsid w:val="00A42DEF"/>
    <w:rsid w:val="00A47654"/>
    <w:rsid w:val="00A6716E"/>
    <w:rsid w:val="00A7499F"/>
    <w:rsid w:val="00A8200B"/>
    <w:rsid w:val="00A836ED"/>
    <w:rsid w:val="00A87AE5"/>
    <w:rsid w:val="00A90E17"/>
    <w:rsid w:val="00A9278D"/>
    <w:rsid w:val="00AA0F97"/>
    <w:rsid w:val="00AA2C4A"/>
    <w:rsid w:val="00AA56D5"/>
    <w:rsid w:val="00AB145C"/>
    <w:rsid w:val="00AB1F23"/>
    <w:rsid w:val="00AB266A"/>
    <w:rsid w:val="00AB67B9"/>
    <w:rsid w:val="00AC52C7"/>
    <w:rsid w:val="00AD45CB"/>
    <w:rsid w:val="00AD48DA"/>
    <w:rsid w:val="00AE167E"/>
    <w:rsid w:val="00AE6B55"/>
    <w:rsid w:val="00AE6CAA"/>
    <w:rsid w:val="00AF0728"/>
    <w:rsid w:val="00AF1C07"/>
    <w:rsid w:val="00AF53CA"/>
    <w:rsid w:val="00AF7957"/>
    <w:rsid w:val="00B044A8"/>
    <w:rsid w:val="00B04A4B"/>
    <w:rsid w:val="00B04C28"/>
    <w:rsid w:val="00B06273"/>
    <w:rsid w:val="00B160E1"/>
    <w:rsid w:val="00B20AE6"/>
    <w:rsid w:val="00B256A8"/>
    <w:rsid w:val="00B26C2C"/>
    <w:rsid w:val="00B3642F"/>
    <w:rsid w:val="00B37631"/>
    <w:rsid w:val="00B40E60"/>
    <w:rsid w:val="00B413E8"/>
    <w:rsid w:val="00B43F42"/>
    <w:rsid w:val="00B45CAD"/>
    <w:rsid w:val="00B50722"/>
    <w:rsid w:val="00B52C43"/>
    <w:rsid w:val="00B62FD7"/>
    <w:rsid w:val="00B72620"/>
    <w:rsid w:val="00B729C9"/>
    <w:rsid w:val="00B77DB7"/>
    <w:rsid w:val="00B856C9"/>
    <w:rsid w:val="00B86D4D"/>
    <w:rsid w:val="00B86D85"/>
    <w:rsid w:val="00B9212A"/>
    <w:rsid w:val="00B9299F"/>
    <w:rsid w:val="00B93F2F"/>
    <w:rsid w:val="00B96C1B"/>
    <w:rsid w:val="00BC2944"/>
    <w:rsid w:val="00BC58CE"/>
    <w:rsid w:val="00BC7582"/>
    <w:rsid w:val="00BD2D8D"/>
    <w:rsid w:val="00BD6086"/>
    <w:rsid w:val="00BF1A5A"/>
    <w:rsid w:val="00BF2CF3"/>
    <w:rsid w:val="00BF3DB0"/>
    <w:rsid w:val="00BF5636"/>
    <w:rsid w:val="00BF706B"/>
    <w:rsid w:val="00C00A10"/>
    <w:rsid w:val="00C0190B"/>
    <w:rsid w:val="00C04656"/>
    <w:rsid w:val="00C04A12"/>
    <w:rsid w:val="00C04C58"/>
    <w:rsid w:val="00C07C29"/>
    <w:rsid w:val="00C109F4"/>
    <w:rsid w:val="00C10F9D"/>
    <w:rsid w:val="00C1730C"/>
    <w:rsid w:val="00C23B4A"/>
    <w:rsid w:val="00C241A5"/>
    <w:rsid w:val="00C24D20"/>
    <w:rsid w:val="00C262B2"/>
    <w:rsid w:val="00C265B9"/>
    <w:rsid w:val="00C35F7A"/>
    <w:rsid w:val="00C45184"/>
    <w:rsid w:val="00C46E14"/>
    <w:rsid w:val="00C5165A"/>
    <w:rsid w:val="00C54EE0"/>
    <w:rsid w:val="00C56C1F"/>
    <w:rsid w:val="00C63592"/>
    <w:rsid w:val="00C652AF"/>
    <w:rsid w:val="00C67B4A"/>
    <w:rsid w:val="00C761A2"/>
    <w:rsid w:val="00C7620E"/>
    <w:rsid w:val="00C7710B"/>
    <w:rsid w:val="00C8056C"/>
    <w:rsid w:val="00C80BF4"/>
    <w:rsid w:val="00C85ACD"/>
    <w:rsid w:val="00C94486"/>
    <w:rsid w:val="00C95BA0"/>
    <w:rsid w:val="00C96C67"/>
    <w:rsid w:val="00CA2AAA"/>
    <w:rsid w:val="00CA3E19"/>
    <w:rsid w:val="00CA7C88"/>
    <w:rsid w:val="00CB13DC"/>
    <w:rsid w:val="00CB434F"/>
    <w:rsid w:val="00CB43EF"/>
    <w:rsid w:val="00CB55C4"/>
    <w:rsid w:val="00CC17FC"/>
    <w:rsid w:val="00CC3B94"/>
    <w:rsid w:val="00CD2024"/>
    <w:rsid w:val="00CD59FA"/>
    <w:rsid w:val="00CE124B"/>
    <w:rsid w:val="00CE1B0F"/>
    <w:rsid w:val="00CE3C9E"/>
    <w:rsid w:val="00CE5313"/>
    <w:rsid w:val="00D008DA"/>
    <w:rsid w:val="00D03154"/>
    <w:rsid w:val="00D0591C"/>
    <w:rsid w:val="00D11108"/>
    <w:rsid w:val="00D11792"/>
    <w:rsid w:val="00D11E45"/>
    <w:rsid w:val="00D26DE7"/>
    <w:rsid w:val="00D329B6"/>
    <w:rsid w:val="00D33D00"/>
    <w:rsid w:val="00D42002"/>
    <w:rsid w:val="00D47774"/>
    <w:rsid w:val="00D504A7"/>
    <w:rsid w:val="00D508E1"/>
    <w:rsid w:val="00D541E3"/>
    <w:rsid w:val="00D611D5"/>
    <w:rsid w:val="00D678AB"/>
    <w:rsid w:val="00D72F02"/>
    <w:rsid w:val="00D85F2D"/>
    <w:rsid w:val="00D8614F"/>
    <w:rsid w:val="00D868C6"/>
    <w:rsid w:val="00D91233"/>
    <w:rsid w:val="00D91EF7"/>
    <w:rsid w:val="00D954A6"/>
    <w:rsid w:val="00DA0745"/>
    <w:rsid w:val="00DB47D8"/>
    <w:rsid w:val="00DB5DD7"/>
    <w:rsid w:val="00DB660D"/>
    <w:rsid w:val="00DC5036"/>
    <w:rsid w:val="00DD049B"/>
    <w:rsid w:val="00DD2886"/>
    <w:rsid w:val="00DD566A"/>
    <w:rsid w:val="00DE1709"/>
    <w:rsid w:val="00DE2154"/>
    <w:rsid w:val="00DE2271"/>
    <w:rsid w:val="00DE6241"/>
    <w:rsid w:val="00DF295F"/>
    <w:rsid w:val="00DF6572"/>
    <w:rsid w:val="00E0152C"/>
    <w:rsid w:val="00E03712"/>
    <w:rsid w:val="00E04E44"/>
    <w:rsid w:val="00E05E2D"/>
    <w:rsid w:val="00E06D2F"/>
    <w:rsid w:val="00E12B0B"/>
    <w:rsid w:val="00E15293"/>
    <w:rsid w:val="00E25D6F"/>
    <w:rsid w:val="00E26F7A"/>
    <w:rsid w:val="00E3446B"/>
    <w:rsid w:val="00E360A4"/>
    <w:rsid w:val="00E36ED2"/>
    <w:rsid w:val="00E405EB"/>
    <w:rsid w:val="00E424B2"/>
    <w:rsid w:val="00E472BA"/>
    <w:rsid w:val="00E5245A"/>
    <w:rsid w:val="00E53E10"/>
    <w:rsid w:val="00E569B1"/>
    <w:rsid w:val="00E61251"/>
    <w:rsid w:val="00E6278B"/>
    <w:rsid w:val="00E66532"/>
    <w:rsid w:val="00E67227"/>
    <w:rsid w:val="00E67DFE"/>
    <w:rsid w:val="00E702DB"/>
    <w:rsid w:val="00E715C8"/>
    <w:rsid w:val="00E7613A"/>
    <w:rsid w:val="00E7708D"/>
    <w:rsid w:val="00E81B3E"/>
    <w:rsid w:val="00E846C8"/>
    <w:rsid w:val="00E93C4A"/>
    <w:rsid w:val="00E978EA"/>
    <w:rsid w:val="00EA6B08"/>
    <w:rsid w:val="00EB1B0A"/>
    <w:rsid w:val="00EB1B42"/>
    <w:rsid w:val="00EB7780"/>
    <w:rsid w:val="00EC1BE4"/>
    <w:rsid w:val="00EC4F4B"/>
    <w:rsid w:val="00EC6F2D"/>
    <w:rsid w:val="00ED1456"/>
    <w:rsid w:val="00ED3AFD"/>
    <w:rsid w:val="00EE1849"/>
    <w:rsid w:val="00EE5644"/>
    <w:rsid w:val="00EF70B6"/>
    <w:rsid w:val="00EF7A1F"/>
    <w:rsid w:val="00F0091D"/>
    <w:rsid w:val="00F0326D"/>
    <w:rsid w:val="00F143C1"/>
    <w:rsid w:val="00F20EAE"/>
    <w:rsid w:val="00F21F97"/>
    <w:rsid w:val="00F22127"/>
    <w:rsid w:val="00F27FDA"/>
    <w:rsid w:val="00F31192"/>
    <w:rsid w:val="00F3126C"/>
    <w:rsid w:val="00F31822"/>
    <w:rsid w:val="00F359F5"/>
    <w:rsid w:val="00F37C20"/>
    <w:rsid w:val="00F40DEE"/>
    <w:rsid w:val="00F526EC"/>
    <w:rsid w:val="00F6760F"/>
    <w:rsid w:val="00F67B71"/>
    <w:rsid w:val="00F736AE"/>
    <w:rsid w:val="00F87F1E"/>
    <w:rsid w:val="00F907CF"/>
    <w:rsid w:val="00F90D0C"/>
    <w:rsid w:val="00F9540E"/>
    <w:rsid w:val="00F966B9"/>
    <w:rsid w:val="00F9698D"/>
    <w:rsid w:val="00FB08FB"/>
    <w:rsid w:val="00FB4147"/>
    <w:rsid w:val="00FB7C62"/>
    <w:rsid w:val="00FC0886"/>
    <w:rsid w:val="00FC1318"/>
    <w:rsid w:val="00FC51D1"/>
    <w:rsid w:val="00FC7D2D"/>
    <w:rsid w:val="00FD1991"/>
    <w:rsid w:val="00FD30EC"/>
    <w:rsid w:val="00FE05CF"/>
    <w:rsid w:val="01227D26"/>
    <w:rsid w:val="012810B4"/>
    <w:rsid w:val="014063FE"/>
    <w:rsid w:val="01431A4A"/>
    <w:rsid w:val="017B7436"/>
    <w:rsid w:val="01935C7D"/>
    <w:rsid w:val="01C04874"/>
    <w:rsid w:val="01F86CD9"/>
    <w:rsid w:val="020967F0"/>
    <w:rsid w:val="02291AB0"/>
    <w:rsid w:val="025D4D8E"/>
    <w:rsid w:val="02A824AD"/>
    <w:rsid w:val="02C95F7F"/>
    <w:rsid w:val="02D7069C"/>
    <w:rsid w:val="02E01C47"/>
    <w:rsid w:val="02E96621"/>
    <w:rsid w:val="02FF5E45"/>
    <w:rsid w:val="032F2286"/>
    <w:rsid w:val="0332621A"/>
    <w:rsid w:val="03597E40"/>
    <w:rsid w:val="0374238F"/>
    <w:rsid w:val="03795BF7"/>
    <w:rsid w:val="03885E3A"/>
    <w:rsid w:val="03914CEF"/>
    <w:rsid w:val="0397607D"/>
    <w:rsid w:val="03AD58A1"/>
    <w:rsid w:val="03E80687"/>
    <w:rsid w:val="040E6340"/>
    <w:rsid w:val="04185410"/>
    <w:rsid w:val="04333FF8"/>
    <w:rsid w:val="0456374F"/>
    <w:rsid w:val="0466617C"/>
    <w:rsid w:val="047F723D"/>
    <w:rsid w:val="04954AC7"/>
    <w:rsid w:val="04AE4284"/>
    <w:rsid w:val="04C5067D"/>
    <w:rsid w:val="04CE1F73"/>
    <w:rsid w:val="04D23811"/>
    <w:rsid w:val="04DD3F64"/>
    <w:rsid w:val="0506170D"/>
    <w:rsid w:val="050B6D23"/>
    <w:rsid w:val="05237BC9"/>
    <w:rsid w:val="052C0F40"/>
    <w:rsid w:val="055661F0"/>
    <w:rsid w:val="0575419C"/>
    <w:rsid w:val="05922FA0"/>
    <w:rsid w:val="05976809"/>
    <w:rsid w:val="05C84C14"/>
    <w:rsid w:val="05CF7D50"/>
    <w:rsid w:val="06543ADB"/>
    <w:rsid w:val="065D35AE"/>
    <w:rsid w:val="06AB60C8"/>
    <w:rsid w:val="06C07699"/>
    <w:rsid w:val="06FC2DC7"/>
    <w:rsid w:val="06FC6923"/>
    <w:rsid w:val="070B4DB8"/>
    <w:rsid w:val="070C28DE"/>
    <w:rsid w:val="071C6FC5"/>
    <w:rsid w:val="07232CDC"/>
    <w:rsid w:val="077C7A64"/>
    <w:rsid w:val="07972AF0"/>
    <w:rsid w:val="07A1571D"/>
    <w:rsid w:val="07AD40C1"/>
    <w:rsid w:val="080C703A"/>
    <w:rsid w:val="0845254C"/>
    <w:rsid w:val="085602C7"/>
    <w:rsid w:val="0874698D"/>
    <w:rsid w:val="08856DEC"/>
    <w:rsid w:val="08A13C26"/>
    <w:rsid w:val="08B46BC8"/>
    <w:rsid w:val="08FD6E97"/>
    <w:rsid w:val="09067F2D"/>
    <w:rsid w:val="091B505B"/>
    <w:rsid w:val="094B1DE4"/>
    <w:rsid w:val="094B2FBF"/>
    <w:rsid w:val="09570789"/>
    <w:rsid w:val="0963712E"/>
    <w:rsid w:val="09794312"/>
    <w:rsid w:val="09A339CE"/>
    <w:rsid w:val="0A0855DF"/>
    <w:rsid w:val="0A3E2088"/>
    <w:rsid w:val="0A432ABB"/>
    <w:rsid w:val="0A481E7F"/>
    <w:rsid w:val="0A4A3E4A"/>
    <w:rsid w:val="0A8E4236"/>
    <w:rsid w:val="0A917CCA"/>
    <w:rsid w:val="0A9D666F"/>
    <w:rsid w:val="0ACE6829"/>
    <w:rsid w:val="0AEE0C79"/>
    <w:rsid w:val="0B0F299D"/>
    <w:rsid w:val="0B732F2C"/>
    <w:rsid w:val="0B860EB1"/>
    <w:rsid w:val="0BB023D2"/>
    <w:rsid w:val="0BD46892"/>
    <w:rsid w:val="0BE1221F"/>
    <w:rsid w:val="0BF7590B"/>
    <w:rsid w:val="0C032502"/>
    <w:rsid w:val="0C1464BD"/>
    <w:rsid w:val="0C281F69"/>
    <w:rsid w:val="0C324B95"/>
    <w:rsid w:val="0C3E79DE"/>
    <w:rsid w:val="0C5D60B6"/>
    <w:rsid w:val="0C711231"/>
    <w:rsid w:val="0C796C68"/>
    <w:rsid w:val="0C7E2E8D"/>
    <w:rsid w:val="0C8E2B7B"/>
    <w:rsid w:val="0C915D60"/>
    <w:rsid w:val="0C9D4705"/>
    <w:rsid w:val="0CAC0DEC"/>
    <w:rsid w:val="0CC51EAD"/>
    <w:rsid w:val="0D2564A8"/>
    <w:rsid w:val="0D5154EF"/>
    <w:rsid w:val="0D5D3E94"/>
    <w:rsid w:val="0D702390"/>
    <w:rsid w:val="0D7B08CD"/>
    <w:rsid w:val="0D8633EB"/>
    <w:rsid w:val="0D911372"/>
    <w:rsid w:val="0DB937C0"/>
    <w:rsid w:val="0DE6032D"/>
    <w:rsid w:val="0DEC67BF"/>
    <w:rsid w:val="0E012A71"/>
    <w:rsid w:val="0E2A646C"/>
    <w:rsid w:val="0E715E49"/>
    <w:rsid w:val="0EC266A4"/>
    <w:rsid w:val="0EE26D46"/>
    <w:rsid w:val="0F234C69"/>
    <w:rsid w:val="0F307AB2"/>
    <w:rsid w:val="0F4C5F6E"/>
    <w:rsid w:val="0F59068B"/>
    <w:rsid w:val="0F691B78"/>
    <w:rsid w:val="0FBD50BE"/>
    <w:rsid w:val="0FC24482"/>
    <w:rsid w:val="0FEB1C2B"/>
    <w:rsid w:val="0FF94EDA"/>
    <w:rsid w:val="1025513D"/>
    <w:rsid w:val="102D3FF1"/>
    <w:rsid w:val="10417A9D"/>
    <w:rsid w:val="10600733"/>
    <w:rsid w:val="106A2B50"/>
    <w:rsid w:val="10831E63"/>
    <w:rsid w:val="10952813"/>
    <w:rsid w:val="109C0C94"/>
    <w:rsid w:val="10B422DB"/>
    <w:rsid w:val="10B95885"/>
    <w:rsid w:val="110A251D"/>
    <w:rsid w:val="111D5E14"/>
    <w:rsid w:val="112A22DF"/>
    <w:rsid w:val="115A3630"/>
    <w:rsid w:val="115E01DA"/>
    <w:rsid w:val="115F467E"/>
    <w:rsid w:val="119963B9"/>
    <w:rsid w:val="11C664AC"/>
    <w:rsid w:val="11CC783A"/>
    <w:rsid w:val="11FC011F"/>
    <w:rsid w:val="12040D82"/>
    <w:rsid w:val="12046FD4"/>
    <w:rsid w:val="12154D3D"/>
    <w:rsid w:val="1255683B"/>
    <w:rsid w:val="1256357C"/>
    <w:rsid w:val="12744159"/>
    <w:rsid w:val="127759F8"/>
    <w:rsid w:val="127F665A"/>
    <w:rsid w:val="12A06CFD"/>
    <w:rsid w:val="12BC78AF"/>
    <w:rsid w:val="12F11306"/>
    <w:rsid w:val="132211CA"/>
    <w:rsid w:val="13640795"/>
    <w:rsid w:val="136917E4"/>
    <w:rsid w:val="136E6014"/>
    <w:rsid w:val="1376180B"/>
    <w:rsid w:val="137A57A0"/>
    <w:rsid w:val="138A52B7"/>
    <w:rsid w:val="138E4ADE"/>
    <w:rsid w:val="139A7BF0"/>
    <w:rsid w:val="13DC1FB6"/>
    <w:rsid w:val="13DF1AA7"/>
    <w:rsid w:val="13E76BAD"/>
    <w:rsid w:val="140C2170"/>
    <w:rsid w:val="142D2812"/>
    <w:rsid w:val="14335E9F"/>
    <w:rsid w:val="144162BD"/>
    <w:rsid w:val="1444633F"/>
    <w:rsid w:val="144E5BAF"/>
    <w:rsid w:val="14522278"/>
    <w:rsid w:val="145E6E6F"/>
    <w:rsid w:val="147F6DE6"/>
    <w:rsid w:val="1485231C"/>
    <w:rsid w:val="14A14FAE"/>
    <w:rsid w:val="14BC5944"/>
    <w:rsid w:val="14F21366"/>
    <w:rsid w:val="150115A9"/>
    <w:rsid w:val="150712B5"/>
    <w:rsid w:val="151612A0"/>
    <w:rsid w:val="151D2886"/>
    <w:rsid w:val="153951E6"/>
    <w:rsid w:val="15542020"/>
    <w:rsid w:val="15671D54"/>
    <w:rsid w:val="157A2903"/>
    <w:rsid w:val="157F6CF7"/>
    <w:rsid w:val="1594241D"/>
    <w:rsid w:val="159B7C4F"/>
    <w:rsid w:val="15E038B4"/>
    <w:rsid w:val="16226043"/>
    <w:rsid w:val="16253698"/>
    <w:rsid w:val="16287735"/>
    <w:rsid w:val="16351E52"/>
    <w:rsid w:val="16377978"/>
    <w:rsid w:val="16461969"/>
    <w:rsid w:val="16557DFE"/>
    <w:rsid w:val="16630E82"/>
    <w:rsid w:val="1686445B"/>
    <w:rsid w:val="16BC60CF"/>
    <w:rsid w:val="16D57191"/>
    <w:rsid w:val="16E80C72"/>
    <w:rsid w:val="16FE2244"/>
    <w:rsid w:val="1706559C"/>
    <w:rsid w:val="172176A4"/>
    <w:rsid w:val="172A4DE7"/>
    <w:rsid w:val="17321EED"/>
    <w:rsid w:val="174D31CB"/>
    <w:rsid w:val="176A78D9"/>
    <w:rsid w:val="17A052AD"/>
    <w:rsid w:val="17AA3615"/>
    <w:rsid w:val="17AA5F28"/>
    <w:rsid w:val="17C70888"/>
    <w:rsid w:val="17D86F39"/>
    <w:rsid w:val="17EA64CC"/>
    <w:rsid w:val="181066D2"/>
    <w:rsid w:val="181141F9"/>
    <w:rsid w:val="181A3E44"/>
    <w:rsid w:val="183A374F"/>
    <w:rsid w:val="1840688C"/>
    <w:rsid w:val="18475E6C"/>
    <w:rsid w:val="185540E5"/>
    <w:rsid w:val="186802BC"/>
    <w:rsid w:val="188C616C"/>
    <w:rsid w:val="189C0DB5"/>
    <w:rsid w:val="18CB084B"/>
    <w:rsid w:val="18CE20EA"/>
    <w:rsid w:val="18FA6A3B"/>
    <w:rsid w:val="190B1A28"/>
    <w:rsid w:val="1921046B"/>
    <w:rsid w:val="193261D5"/>
    <w:rsid w:val="195E6FCA"/>
    <w:rsid w:val="196F12BF"/>
    <w:rsid w:val="197B401F"/>
    <w:rsid w:val="198F7ACB"/>
    <w:rsid w:val="19964256"/>
    <w:rsid w:val="19B248B2"/>
    <w:rsid w:val="19B47531"/>
    <w:rsid w:val="1A367F46"/>
    <w:rsid w:val="1A450189"/>
    <w:rsid w:val="1A620D3B"/>
    <w:rsid w:val="1A676352"/>
    <w:rsid w:val="1A7A6085"/>
    <w:rsid w:val="1A935399"/>
    <w:rsid w:val="1AA43102"/>
    <w:rsid w:val="1AAE21D3"/>
    <w:rsid w:val="1AD25EC1"/>
    <w:rsid w:val="1AD87250"/>
    <w:rsid w:val="1AEB0D31"/>
    <w:rsid w:val="1AED2CFB"/>
    <w:rsid w:val="1AF75928"/>
    <w:rsid w:val="1AFA0F74"/>
    <w:rsid w:val="1B574618"/>
    <w:rsid w:val="1B662AAD"/>
    <w:rsid w:val="1B7E3953"/>
    <w:rsid w:val="1B8227E1"/>
    <w:rsid w:val="1B9B6711"/>
    <w:rsid w:val="1B9E2247"/>
    <w:rsid w:val="1BB05AD7"/>
    <w:rsid w:val="1BB455C7"/>
    <w:rsid w:val="1BBC447B"/>
    <w:rsid w:val="1BF01486"/>
    <w:rsid w:val="1C2248B1"/>
    <w:rsid w:val="1C6010F7"/>
    <w:rsid w:val="1C632B49"/>
    <w:rsid w:val="1C7D27DA"/>
    <w:rsid w:val="1C9571A6"/>
    <w:rsid w:val="1CB11B06"/>
    <w:rsid w:val="1CB87339"/>
    <w:rsid w:val="1CBF5FD1"/>
    <w:rsid w:val="1CED6FE2"/>
    <w:rsid w:val="1D01483C"/>
    <w:rsid w:val="1D1125A5"/>
    <w:rsid w:val="1D434E54"/>
    <w:rsid w:val="1D5F5A06"/>
    <w:rsid w:val="1D61352C"/>
    <w:rsid w:val="1D660B43"/>
    <w:rsid w:val="1D8F0099"/>
    <w:rsid w:val="1D90796E"/>
    <w:rsid w:val="1DAF53D0"/>
    <w:rsid w:val="1DC35F95"/>
    <w:rsid w:val="1DCA3F6F"/>
    <w:rsid w:val="1DFE0D7B"/>
    <w:rsid w:val="1E03354B"/>
    <w:rsid w:val="1E2E78B2"/>
    <w:rsid w:val="1E763007"/>
    <w:rsid w:val="1E764DB5"/>
    <w:rsid w:val="1E85149C"/>
    <w:rsid w:val="1E8C6387"/>
    <w:rsid w:val="1E901396"/>
    <w:rsid w:val="1EB12291"/>
    <w:rsid w:val="1EF67CA4"/>
    <w:rsid w:val="1F057940"/>
    <w:rsid w:val="1F0625DD"/>
    <w:rsid w:val="1F071756"/>
    <w:rsid w:val="1F095C2A"/>
    <w:rsid w:val="1F234F3D"/>
    <w:rsid w:val="1F2B2044"/>
    <w:rsid w:val="1F316F2E"/>
    <w:rsid w:val="1F4924CA"/>
    <w:rsid w:val="1F721825"/>
    <w:rsid w:val="1F890B18"/>
    <w:rsid w:val="1FB43DE7"/>
    <w:rsid w:val="1FC51DA4"/>
    <w:rsid w:val="1FC94AE7"/>
    <w:rsid w:val="1FD77AD6"/>
    <w:rsid w:val="1FD955FC"/>
    <w:rsid w:val="1FE83BFC"/>
    <w:rsid w:val="200F101E"/>
    <w:rsid w:val="203211B0"/>
    <w:rsid w:val="20337402"/>
    <w:rsid w:val="203C5B8B"/>
    <w:rsid w:val="204C4020"/>
    <w:rsid w:val="205A11F9"/>
    <w:rsid w:val="208714FC"/>
    <w:rsid w:val="20A909DD"/>
    <w:rsid w:val="20C55B80"/>
    <w:rsid w:val="20CC5161"/>
    <w:rsid w:val="20E26732"/>
    <w:rsid w:val="20F50195"/>
    <w:rsid w:val="210743EB"/>
    <w:rsid w:val="211B6A3D"/>
    <w:rsid w:val="213351E0"/>
    <w:rsid w:val="214B42D7"/>
    <w:rsid w:val="215533A8"/>
    <w:rsid w:val="21577120"/>
    <w:rsid w:val="21621621"/>
    <w:rsid w:val="21B77BBF"/>
    <w:rsid w:val="21CB71C6"/>
    <w:rsid w:val="21D7668C"/>
    <w:rsid w:val="21DE0E90"/>
    <w:rsid w:val="21DF0EC4"/>
    <w:rsid w:val="21EF7359"/>
    <w:rsid w:val="21FF3314"/>
    <w:rsid w:val="22284619"/>
    <w:rsid w:val="22361730"/>
    <w:rsid w:val="22421B7E"/>
    <w:rsid w:val="2265761B"/>
    <w:rsid w:val="226A4C31"/>
    <w:rsid w:val="22925F36"/>
    <w:rsid w:val="22AF4D3A"/>
    <w:rsid w:val="22C32FEA"/>
    <w:rsid w:val="22EA7B20"/>
    <w:rsid w:val="22F369D5"/>
    <w:rsid w:val="22FB1D2D"/>
    <w:rsid w:val="23144B9D"/>
    <w:rsid w:val="23660F82"/>
    <w:rsid w:val="23675615"/>
    <w:rsid w:val="237A5348"/>
    <w:rsid w:val="23861B05"/>
    <w:rsid w:val="23955CDE"/>
    <w:rsid w:val="23B4085A"/>
    <w:rsid w:val="23B85FFA"/>
    <w:rsid w:val="23C2284B"/>
    <w:rsid w:val="23C30A9D"/>
    <w:rsid w:val="23C6058D"/>
    <w:rsid w:val="23E361D1"/>
    <w:rsid w:val="23FC7B0B"/>
    <w:rsid w:val="240264F6"/>
    <w:rsid w:val="24155071"/>
    <w:rsid w:val="241B49E1"/>
    <w:rsid w:val="24455956"/>
    <w:rsid w:val="24466FD8"/>
    <w:rsid w:val="2471674B"/>
    <w:rsid w:val="24797562"/>
    <w:rsid w:val="24861ACA"/>
    <w:rsid w:val="248808AB"/>
    <w:rsid w:val="24961D0D"/>
    <w:rsid w:val="24A90021"/>
    <w:rsid w:val="24AF1021"/>
    <w:rsid w:val="24DB3BC4"/>
    <w:rsid w:val="251F3C47"/>
    <w:rsid w:val="25284930"/>
    <w:rsid w:val="252A68FA"/>
    <w:rsid w:val="254E4396"/>
    <w:rsid w:val="257162D7"/>
    <w:rsid w:val="258C1362"/>
    <w:rsid w:val="259C77F7"/>
    <w:rsid w:val="25A8380F"/>
    <w:rsid w:val="25AC5561"/>
    <w:rsid w:val="25AE3E06"/>
    <w:rsid w:val="25DD396C"/>
    <w:rsid w:val="25DF1492"/>
    <w:rsid w:val="25E1345C"/>
    <w:rsid w:val="25F969F8"/>
    <w:rsid w:val="25FD7B6A"/>
    <w:rsid w:val="26130D79"/>
    <w:rsid w:val="261E020C"/>
    <w:rsid w:val="26373CFE"/>
    <w:rsid w:val="263B7010"/>
    <w:rsid w:val="26431A21"/>
    <w:rsid w:val="267F67D1"/>
    <w:rsid w:val="26911E4F"/>
    <w:rsid w:val="26946721"/>
    <w:rsid w:val="269C3827"/>
    <w:rsid w:val="26A821CC"/>
    <w:rsid w:val="26BB3CAD"/>
    <w:rsid w:val="26BE72FA"/>
    <w:rsid w:val="26D92385"/>
    <w:rsid w:val="26E128B9"/>
    <w:rsid w:val="26E256DE"/>
    <w:rsid w:val="26F45411"/>
    <w:rsid w:val="272E0923"/>
    <w:rsid w:val="273C4EE5"/>
    <w:rsid w:val="27400656"/>
    <w:rsid w:val="277A3B68"/>
    <w:rsid w:val="279664C8"/>
    <w:rsid w:val="27B64475"/>
    <w:rsid w:val="27C2106B"/>
    <w:rsid w:val="27C546B8"/>
    <w:rsid w:val="27EE1232"/>
    <w:rsid w:val="281D62A2"/>
    <w:rsid w:val="28722A91"/>
    <w:rsid w:val="287B12EA"/>
    <w:rsid w:val="28C36E49"/>
    <w:rsid w:val="28CD1A76"/>
    <w:rsid w:val="28CD5F1A"/>
    <w:rsid w:val="28DF17A9"/>
    <w:rsid w:val="28EC2844"/>
    <w:rsid w:val="29345F99"/>
    <w:rsid w:val="296543A4"/>
    <w:rsid w:val="29CA2A3B"/>
    <w:rsid w:val="29CC2EC5"/>
    <w:rsid w:val="29D357B2"/>
    <w:rsid w:val="29E4351B"/>
    <w:rsid w:val="29F85218"/>
    <w:rsid w:val="2A1D4C7F"/>
    <w:rsid w:val="2A225DF1"/>
    <w:rsid w:val="2A4D7312"/>
    <w:rsid w:val="2A5D6CB9"/>
    <w:rsid w:val="2A7E571E"/>
    <w:rsid w:val="2A88659C"/>
    <w:rsid w:val="2A8F792B"/>
    <w:rsid w:val="2A905451"/>
    <w:rsid w:val="2A936DFF"/>
    <w:rsid w:val="2A950CB9"/>
    <w:rsid w:val="2A9767DF"/>
    <w:rsid w:val="2AA809EC"/>
    <w:rsid w:val="2AAB228B"/>
    <w:rsid w:val="2B1E0CAF"/>
    <w:rsid w:val="2B2D68FB"/>
    <w:rsid w:val="2B4A1AA4"/>
    <w:rsid w:val="2B4F0E68"/>
    <w:rsid w:val="2B5B15BB"/>
    <w:rsid w:val="2B6F32B8"/>
    <w:rsid w:val="2B7222C7"/>
    <w:rsid w:val="2B801021"/>
    <w:rsid w:val="2B874780"/>
    <w:rsid w:val="2B98280F"/>
    <w:rsid w:val="2BA53912"/>
    <w:rsid w:val="2BAF7B59"/>
    <w:rsid w:val="2BD355F5"/>
    <w:rsid w:val="2C057779"/>
    <w:rsid w:val="2C0E0D23"/>
    <w:rsid w:val="2C293467"/>
    <w:rsid w:val="2C6721E1"/>
    <w:rsid w:val="2C862667"/>
    <w:rsid w:val="2CA13945"/>
    <w:rsid w:val="2CC82C80"/>
    <w:rsid w:val="2CD86C3B"/>
    <w:rsid w:val="2CD92B40"/>
    <w:rsid w:val="2CEC71A0"/>
    <w:rsid w:val="2CED26E7"/>
    <w:rsid w:val="2CFF066C"/>
    <w:rsid w:val="2D0F6B01"/>
    <w:rsid w:val="2D297497"/>
    <w:rsid w:val="2D2B1461"/>
    <w:rsid w:val="2D3B5B48"/>
    <w:rsid w:val="2DAF5BEE"/>
    <w:rsid w:val="2DCC49F2"/>
    <w:rsid w:val="2DEC308B"/>
    <w:rsid w:val="2E0423DE"/>
    <w:rsid w:val="2E516CA5"/>
    <w:rsid w:val="2E861045"/>
    <w:rsid w:val="2E876B6B"/>
    <w:rsid w:val="2E965E6D"/>
    <w:rsid w:val="2EA43279"/>
    <w:rsid w:val="2EA9088F"/>
    <w:rsid w:val="2EB21E3A"/>
    <w:rsid w:val="2F1120F6"/>
    <w:rsid w:val="2F1231BF"/>
    <w:rsid w:val="2F3A598B"/>
    <w:rsid w:val="2F3C5BA7"/>
    <w:rsid w:val="2F44591D"/>
    <w:rsid w:val="2F5C0536"/>
    <w:rsid w:val="2F6D6C0E"/>
    <w:rsid w:val="2F77098D"/>
    <w:rsid w:val="2F863C19"/>
    <w:rsid w:val="2F987B8B"/>
    <w:rsid w:val="2FC00586"/>
    <w:rsid w:val="2FDB0F1C"/>
    <w:rsid w:val="2FDB2CCA"/>
    <w:rsid w:val="2FFA3A98"/>
    <w:rsid w:val="300E12F2"/>
    <w:rsid w:val="302562D8"/>
    <w:rsid w:val="3038011D"/>
    <w:rsid w:val="303C75E7"/>
    <w:rsid w:val="305331A8"/>
    <w:rsid w:val="30A92DC8"/>
    <w:rsid w:val="30A97174"/>
    <w:rsid w:val="30A9726C"/>
    <w:rsid w:val="30DC4F4C"/>
    <w:rsid w:val="30E3452C"/>
    <w:rsid w:val="31180229"/>
    <w:rsid w:val="31501496"/>
    <w:rsid w:val="31973569"/>
    <w:rsid w:val="319770C5"/>
    <w:rsid w:val="31A16195"/>
    <w:rsid w:val="31DB5204"/>
    <w:rsid w:val="31EC6FCB"/>
    <w:rsid w:val="32222E32"/>
    <w:rsid w:val="323C5A5D"/>
    <w:rsid w:val="326E7E26"/>
    <w:rsid w:val="32701975"/>
    <w:rsid w:val="3296737C"/>
    <w:rsid w:val="32E7712F"/>
    <w:rsid w:val="330E33B7"/>
    <w:rsid w:val="331704BD"/>
    <w:rsid w:val="331F3816"/>
    <w:rsid w:val="33267BFD"/>
    <w:rsid w:val="333A23FE"/>
    <w:rsid w:val="333F5C66"/>
    <w:rsid w:val="33590AD6"/>
    <w:rsid w:val="3365198F"/>
    <w:rsid w:val="336B25B7"/>
    <w:rsid w:val="33B026C0"/>
    <w:rsid w:val="33B65F28"/>
    <w:rsid w:val="33CF6FEA"/>
    <w:rsid w:val="33D20888"/>
    <w:rsid w:val="340547BA"/>
    <w:rsid w:val="340824FC"/>
    <w:rsid w:val="342A2472"/>
    <w:rsid w:val="34403A44"/>
    <w:rsid w:val="34595458"/>
    <w:rsid w:val="346F257B"/>
    <w:rsid w:val="34772B8D"/>
    <w:rsid w:val="3494526F"/>
    <w:rsid w:val="34C53F49"/>
    <w:rsid w:val="34CB5A03"/>
    <w:rsid w:val="34D04DC8"/>
    <w:rsid w:val="34E24AFB"/>
    <w:rsid w:val="34E268A9"/>
    <w:rsid w:val="351729F7"/>
    <w:rsid w:val="3518676F"/>
    <w:rsid w:val="35543B41"/>
    <w:rsid w:val="35666C41"/>
    <w:rsid w:val="35700359"/>
    <w:rsid w:val="35747E49"/>
    <w:rsid w:val="358D4A67"/>
    <w:rsid w:val="3599165E"/>
    <w:rsid w:val="35BC17F0"/>
    <w:rsid w:val="35BE2E72"/>
    <w:rsid w:val="35CF32D1"/>
    <w:rsid w:val="35E87EEF"/>
    <w:rsid w:val="35FC1E9F"/>
    <w:rsid w:val="36017203"/>
    <w:rsid w:val="360C62D3"/>
    <w:rsid w:val="36156204"/>
    <w:rsid w:val="362B17E9"/>
    <w:rsid w:val="365657A0"/>
    <w:rsid w:val="36A71B58"/>
    <w:rsid w:val="36A91D74"/>
    <w:rsid w:val="36B9188B"/>
    <w:rsid w:val="36EA2FE6"/>
    <w:rsid w:val="370276D6"/>
    <w:rsid w:val="372633C5"/>
    <w:rsid w:val="374B4BD9"/>
    <w:rsid w:val="37677539"/>
    <w:rsid w:val="377D6D5D"/>
    <w:rsid w:val="37CA01F4"/>
    <w:rsid w:val="37D22C05"/>
    <w:rsid w:val="380A05F1"/>
    <w:rsid w:val="38353180"/>
    <w:rsid w:val="385E6B8E"/>
    <w:rsid w:val="38981C17"/>
    <w:rsid w:val="389E6F8B"/>
    <w:rsid w:val="38BD5663"/>
    <w:rsid w:val="38D26C34"/>
    <w:rsid w:val="38DE1A7D"/>
    <w:rsid w:val="38E56968"/>
    <w:rsid w:val="392751D2"/>
    <w:rsid w:val="398443D3"/>
    <w:rsid w:val="399C171C"/>
    <w:rsid w:val="39C40C73"/>
    <w:rsid w:val="39D3691A"/>
    <w:rsid w:val="39D569DC"/>
    <w:rsid w:val="3A2160C5"/>
    <w:rsid w:val="3A2D66E4"/>
    <w:rsid w:val="3A6A181A"/>
    <w:rsid w:val="3A722B45"/>
    <w:rsid w:val="3A976388"/>
    <w:rsid w:val="3A995C5C"/>
    <w:rsid w:val="3AC151B3"/>
    <w:rsid w:val="3AC54CA3"/>
    <w:rsid w:val="3AC86541"/>
    <w:rsid w:val="3ADC3D9A"/>
    <w:rsid w:val="3AED2DAA"/>
    <w:rsid w:val="3B180FBF"/>
    <w:rsid w:val="3B1E43B3"/>
    <w:rsid w:val="3B2A2D58"/>
    <w:rsid w:val="3B5B73B5"/>
    <w:rsid w:val="3B5D312D"/>
    <w:rsid w:val="3B710987"/>
    <w:rsid w:val="3BC431AC"/>
    <w:rsid w:val="3C187054"/>
    <w:rsid w:val="3C524D1C"/>
    <w:rsid w:val="3C5F2ED5"/>
    <w:rsid w:val="3C964B49"/>
    <w:rsid w:val="3C9708C1"/>
    <w:rsid w:val="3CB21257"/>
    <w:rsid w:val="3CCA47F2"/>
    <w:rsid w:val="3D145A6E"/>
    <w:rsid w:val="3D163594"/>
    <w:rsid w:val="3D3542AD"/>
    <w:rsid w:val="3D3B749E"/>
    <w:rsid w:val="3D3D4FC4"/>
    <w:rsid w:val="3D536596"/>
    <w:rsid w:val="3D5B544A"/>
    <w:rsid w:val="3D8D2617"/>
    <w:rsid w:val="3D906835"/>
    <w:rsid w:val="3DCC459A"/>
    <w:rsid w:val="3DD1395F"/>
    <w:rsid w:val="3DD31485"/>
    <w:rsid w:val="3DD31D10"/>
    <w:rsid w:val="3DFD29A6"/>
    <w:rsid w:val="3DFF227A"/>
    <w:rsid w:val="3E1F291C"/>
    <w:rsid w:val="3E265A58"/>
    <w:rsid w:val="3E2B6F15"/>
    <w:rsid w:val="3E3C34CE"/>
    <w:rsid w:val="3E3C643A"/>
    <w:rsid w:val="3E3F4D6C"/>
    <w:rsid w:val="3E442A4B"/>
    <w:rsid w:val="3E4D56DB"/>
    <w:rsid w:val="3E506F79"/>
    <w:rsid w:val="3E5153B6"/>
    <w:rsid w:val="3E8135D7"/>
    <w:rsid w:val="3EAD1CD6"/>
    <w:rsid w:val="3EEB0A50"/>
    <w:rsid w:val="3EF20030"/>
    <w:rsid w:val="3F0330DF"/>
    <w:rsid w:val="3F163717"/>
    <w:rsid w:val="3F2E4202"/>
    <w:rsid w:val="3F542A99"/>
    <w:rsid w:val="3F5D7BA0"/>
    <w:rsid w:val="3F6820A1"/>
    <w:rsid w:val="3F7B1DD4"/>
    <w:rsid w:val="3FA96941"/>
    <w:rsid w:val="405E3BCF"/>
    <w:rsid w:val="40786313"/>
    <w:rsid w:val="407D1B7C"/>
    <w:rsid w:val="407F76A2"/>
    <w:rsid w:val="40953369"/>
    <w:rsid w:val="40B41A41"/>
    <w:rsid w:val="40D55514"/>
    <w:rsid w:val="41076015"/>
    <w:rsid w:val="414C58BE"/>
    <w:rsid w:val="41540B2E"/>
    <w:rsid w:val="41B65345"/>
    <w:rsid w:val="41BE244C"/>
    <w:rsid w:val="41E40104"/>
    <w:rsid w:val="421A1D78"/>
    <w:rsid w:val="422A6283"/>
    <w:rsid w:val="423B584A"/>
    <w:rsid w:val="425132C0"/>
    <w:rsid w:val="42A47894"/>
    <w:rsid w:val="42B178C2"/>
    <w:rsid w:val="42C27D1A"/>
    <w:rsid w:val="42C6780A"/>
    <w:rsid w:val="42C83582"/>
    <w:rsid w:val="42E51035"/>
    <w:rsid w:val="42F31478"/>
    <w:rsid w:val="430420E0"/>
    <w:rsid w:val="43171E14"/>
    <w:rsid w:val="431E7646"/>
    <w:rsid w:val="431F4DE0"/>
    <w:rsid w:val="432D2B30"/>
    <w:rsid w:val="43307340"/>
    <w:rsid w:val="433A3D54"/>
    <w:rsid w:val="434846C3"/>
    <w:rsid w:val="434D7F2B"/>
    <w:rsid w:val="43792ACE"/>
    <w:rsid w:val="437D08DD"/>
    <w:rsid w:val="43875B4A"/>
    <w:rsid w:val="43BA4254"/>
    <w:rsid w:val="43D321DE"/>
    <w:rsid w:val="43FB34E3"/>
    <w:rsid w:val="442742D8"/>
    <w:rsid w:val="4439400C"/>
    <w:rsid w:val="44416217"/>
    <w:rsid w:val="444E5809"/>
    <w:rsid w:val="448636F5"/>
    <w:rsid w:val="44901E7E"/>
    <w:rsid w:val="44A678F3"/>
    <w:rsid w:val="44A8366B"/>
    <w:rsid w:val="44B518E4"/>
    <w:rsid w:val="44BD69EB"/>
    <w:rsid w:val="44C935E1"/>
    <w:rsid w:val="44D77AAC"/>
    <w:rsid w:val="44F87A23"/>
    <w:rsid w:val="44FE772F"/>
    <w:rsid w:val="45790B64"/>
    <w:rsid w:val="457C6FD5"/>
    <w:rsid w:val="4588524B"/>
    <w:rsid w:val="45E34426"/>
    <w:rsid w:val="45EA1A61"/>
    <w:rsid w:val="45F34DBA"/>
    <w:rsid w:val="45FF375F"/>
    <w:rsid w:val="462222A9"/>
    <w:rsid w:val="466730B2"/>
    <w:rsid w:val="469320F9"/>
    <w:rsid w:val="469519CD"/>
    <w:rsid w:val="469F0A9E"/>
    <w:rsid w:val="46A01FF7"/>
    <w:rsid w:val="46B61944"/>
    <w:rsid w:val="46E6047B"/>
    <w:rsid w:val="46F04E55"/>
    <w:rsid w:val="46F54B62"/>
    <w:rsid w:val="475950F1"/>
    <w:rsid w:val="4792415F"/>
    <w:rsid w:val="47AF4D11"/>
    <w:rsid w:val="47B2035D"/>
    <w:rsid w:val="47BC11DC"/>
    <w:rsid w:val="47D74267"/>
    <w:rsid w:val="47F46BC7"/>
    <w:rsid w:val="484411F8"/>
    <w:rsid w:val="485F6737"/>
    <w:rsid w:val="48724813"/>
    <w:rsid w:val="48AF469C"/>
    <w:rsid w:val="48D82045"/>
    <w:rsid w:val="49156DF5"/>
    <w:rsid w:val="49276B29"/>
    <w:rsid w:val="494616A5"/>
    <w:rsid w:val="494D47E1"/>
    <w:rsid w:val="495F302F"/>
    <w:rsid w:val="49706721"/>
    <w:rsid w:val="497A68DE"/>
    <w:rsid w:val="498F4DFA"/>
    <w:rsid w:val="49C56A6D"/>
    <w:rsid w:val="49F42EAF"/>
    <w:rsid w:val="4A203CA4"/>
    <w:rsid w:val="4A233794"/>
    <w:rsid w:val="4A2470B2"/>
    <w:rsid w:val="4A325785"/>
    <w:rsid w:val="4A3C6604"/>
    <w:rsid w:val="4A4A2ACF"/>
    <w:rsid w:val="4A6E0EB3"/>
    <w:rsid w:val="4AA30431"/>
    <w:rsid w:val="4AA46683"/>
    <w:rsid w:val="4AC705C3"/>
    <w:rsid w:val="4AC76815"/>
    <w:rsid w:val="4AFF0D4D"/>
    <w:rsid w:val="4B0C1DA2"/>
    <w:rsid w:val="4B111850"/>
    <w:rsid w:val="4B125CE2"/>
    <w:rsid w:val="4B1B446B"/>
    <w:rsid w:val="4B3C6FE3"/>
    <w:rsid w:val="4B5A1437"/>
    <w:rsid w:val="4B7739B9"/>
    <w:rsid w:val="4BB23021"/>
    <w:rsid w:val="4BF076A6"/>
    <w:rsid w:val="4BF74ED8"/>
    <w:rsid w:val="4BFB6776"/>
    <w:rsid w:val="4C0D64AA"/>
    <w:rsid w:val="4C1E4213"/>
    <w:rsid w:val="4C4C2BBF"/>
    <w:rsid w:val="4CA46E0E"/>
    <w:rsid w:val="4CCC3C6F"/>
    <w:rsid w:val="4CEC2563"/>
    <w:rsid w:val="4D023B34"/>
    <w:rsid w:val="4D110FBB"/>
    <w:rsid w:val="4D396C29"/>
    <w:rsid w:val="4D5B4FF3"/>
    <w:rsid w:val="4D626381"/>
    <w:rsid w:val="4D7D140D"/>
    <w:rsid w:val="4D9F1383"/>
    <w:rsid w:val="4DB0533F"/>
    <w:rsid w:val="4DB12E65"/>
    <w:rsid w:val="4DB56DF9"/>
    <w:rsid w:val="4DC62DB4"/>
    <w:rsid w:val="4DDC6134"/>
    <w:rsid w:val="4E5206BC"/>
    <w:rsid w:val="4E561001"/>
    <w:rsid w:val="4E676345"/>
    <w:rsid w:val="4E9D1D67"/>
    <w:rsid w:val="4EAD471B"/>
    <w:rsid w:val="4F027E1C"/>
    <w:rsid w:val="4F0825D5"/>
    <w:rsid w:val="4F1D4C56"/>
    <w:rsid w:val="4F2064F4"/>
    <w:rsid w:val="4F253B0A"/>
    <w:rsid w:val="4F285C45"/>
    <w:rsid w:val="4F560168"/>
    <w:rsid w:val="4F5D14E0"/>
    <w:rsid w:val="4FD07F1A"/>
    <w:rsid w:val="4FE45773"/>
    <w:rsid w:val="502913D8"/>
    <w:rsid w:val="50416722"/>
    <w:rsid w:val="5099030C"/>
    <w:rsid w:val="50B66929"/>
    <w:rsid w:val="50B67110"/>
    <w:rsid w:val="50C11611"/>
    <w:rsid w:val="50DB52E1"/>
    <w:rsid w:val="50EC0D83"/>
    <w:rsid w:val="511B6236"/>
    <w:rsid w:val="511F2F07"/>
    <w:rsid w:val="512C2F2E"/>
    <w:rsid w:val="513149E8"/>
    <w:rsid w:val="51387B25"/>
    <w:rsid w:val="516C5A20"/>
    <w:rsid w:val="517E1085"/>
    <w:rsid w:val="5180327A"/>
    <w:rsid w:val="51A258E6"/>
    <w:rsid w:val="51AA0AAD"/>
    <w:rsid w:val="51BC69A8"/>
    <w:rsid w:val="51D84E64"/>
    <w:rsid w:val="51EE28D9"/>
    <w:rsid w:val="52157E66"/>
    <w:rsid w:val="523A5B1F"/>
    <w:rsid w:val="524B7D2C"/>
    <w:rsid w:val="525B7B04"/>
    <w:rsid w:val="52741DC1"/>
    <w:rsid w:val="527E1EAF"/>
    <w:rsid w:val="527F1783"/>
    <w:rsid w:val="52B15DE1"/>
    <w:rsid w:val="52CD6993"/>
    <w:rsid w:val="52DB2E5E"/>
    <w:rsid w:val="52DC6BD6"/>
    <w:rsid w:val="52FD3A4A"/>
    <w:rsid w:val="53027A5E"/>
    <w:rsid w:val="53531AE8"/>
    <w:rsid w:val="53603363"/>
    <w:rsid w:val="538B4884"/>
    <w:rsid w:val="539F3E8B"/>
    <w:rsid w:val="53A476F3"/>
    <w:rsid w:val="53EC2A7C"/>
    <w:rsid w:val="54181E8F"/>
    <w:rsid w:val="544438A0"/>
    <w:rsid w:val="54444A33"/>
    <w:rsid w:val="54532EC8"/>
    <w:rsid w:val="545C7FCE"/>
    <w:rsid w:val="54B27BEE"/>
    <w:rsid w:val="54C120D0"/>
    <w:rsid w:val="54F52E46"/>
    <w:rsid w:val="55001A1E"/>
    <w:rsid w:val="55472A2C"/>
    <w:rsid w:val="55A439DB"/>
    <w:rsid w:val="55B17EA6"/>
    <w:rsid w:val="55B61960"/>
    <w:rsid w:val="55FF3307"/>
    <w:rsid w:val="56044479"/>
    <w:rsid w:val="56101070"/>
    <w:rsid w:val="561072C2"/>
    <w:rsid w:val="561F7505"/>
    <w:rsid w:val="5627460C"/>
    <w:rsid w:val="56535401"/>
    <w:rsid w:val="567A473C"/>
    <w:rsid w:val="56811F6E"/>
    <w:rsid w:val="569D042A"/>
    <w:rsid w:val="56A65531"/>
    <w:rsid w:val="570606C5"/>
    <w:rsid w:val="571903F8"/>
    <w:rsid w:val="57233025"/>
    <w:rsid w:val="572A6162"/>
    <w:rsid w:val="572F3778"/>
    <w:rsid w:val="574C257C"/>
    <w:rsid w:val="574D1E50"/>
    <w:rsid w:val="574D6E48"/>
    <w:rsid w:val="574F3E1A"/>
    <w:rsid w:val="575D6537"/>
    <w:rsid w:val="576F0018"/>
    <w:rsid w:val="577949F3"/>
    <w:rsid w:val="579D2DD8"/>
    <w:rsid w:val="57CA16F3"/>
    <w:rsid w:val="57E52089"/>
    <w:rsid w:val="57FF139C"/>
    <w:rsid w:val="58020E8D"/>
    <w:rsid w:val="58262DCD"/>
    <w:rsid w:val="585A4825"/>
    <w:rsid w:val="58647451"/>
    <w:rsid w:val="587873A1"/>
    <w:rsid w:val="589870FB"/>
    <w:rsid w:val="589D0BB5"/>
    <w:rsid w:val="58DA3BB7"/>
    <w:rsid w:val="59011144"/>
    <w:rsid w:val="590D463C"/>
    <w:rsid w:val="59101387"/>
    <w:rsid w:val="5919023C"/>
    <w:rsid w:val="596C096E"/>
    <w:rsid w:val="59720769"/>
    <w:rsid w:val="59BB5428"/>
    <w:rsid w:val="5A025174"/>
    <w:rsid w:val="5A046208"/>
    <w:rsid w:val="5A1A070F"/>
    <w:rsid w:val="5A1E5B85"/>
    <w:rsid w:val="5A221372"/>
    <w:rsid w:val="5A33532D"/>
    <w:rsid w:val="5A3410A5"/>
    <w:rsid w:val="5A355549"/>
    <w:rsid w:val="5A3A2B60"/>
    <w:rsid w:val="5A5534F6"/>
    <w:rsid w:val="5A5F471A"/>
    <w:rsid w:val="5A64198B"/>
    <w:rsid w:val="5ABD553F"/>
    <w:rsid w:val="5ACB7C5C"/>
    <w:rsid w:val="5AD06469"/>
    <w:rsid w:val="5ADC5E19"/>
    <w:rsid w:val="5AEF63A5"/>
    <w:rsid w:val="5B070568"/>
    <w:rsid w:val="5B231846"/>
    <w:rsid w:val="5B417F1E"/>
    <w:rsid w:val="5B595267"/>
    <w:rsid w:val="5B6634E0"/>
    <w:rsid w:val="5B7B0F25"/>
    <w:rsid w:val="5B9C0CA9"/>
    <w:rsid w:val="5BBE7ADC"/>
    <w:rsid w:val="5BC052E6"/>
    <w:rsid w:val="5BD82630"/>
    <w:rsid w:val="5BEC1C38"/>
    <w:rsid w:val="5C0C4088"/>
    <w:rsid w:val="5C1A141A"/>
    <w:rsid w:val="5C451348"/>
    <w:rsid w:val="5C4F21C6"/>
    <w:rsid w:val="5C582FA8"/>
    <w:rsid w:val="5C602626"/>
    <w:rsid w:val="5C91458D"/>
    <w:rsid w:val="5CE134A3"/>
    <w:rsid w:val="5CE943C9"/>
    <w:rsid w:val="5CEB6393"/>
    <w:rsid w:val="5D130133"/>
    <w:rsid w:val="5D131446"/>
    <w:rsid w:val="5D380EAD"/>
    <w:rsid w:val="5D722610"/>
    <w:rsid w:val="5D7E7207"/>
    <w:rsid w:val="5D852344"/>
    <w:rsid w:val="5D9E6F62"/>
    <w:rsid w:val="5DC21AC7"/>
    <w:rsid w:val="5DC37C2A"/>
    <w:rsid w:val="5DC97650"/>
    <w:rsid w:val="5DCC7F73"/>
    <w:rsid w:val="5DDE1A54"/>
    <w:rsid w:val="5DEB5F1F"/>
    <w:rsid w:val="5DEF37A8"/>
    <w:rsid w:val="5DFE20F6"/>
    <w:rsid w:val="5E317DD6"/>
    <w:rsid w:val="5E4F64AE"/>
    <w:rsid w:val="5E781EA8"/>
    <w:rsid w:val="5E7B1F70"/>
    <w:rsid w:val="5E826883"/>
    <w:rsid w:val="5E8E7FD8"/>
    <w:rsid w:val="5EA06D09"/>
    <w:rsid w:val="5ED05841"/>
    <w:rsid w:val="5EF534F9"/>
    <w:rsid w:val="5EFB6656"/>
    <w:rsid w:val="5F0E4DF4"/>
    <w:rsid w:val="5F1F4ED8"/>
    <w:rsid w:val="5F225970"/>
    <w:rsid w:val="5F280BF9"/>
    <w:rsid w:val="5F2A229C"/>
    <w:rsid w:val="5F546472"/>
    <w:rsid w:val="5F8B1768"/>
    <w:rsid w:val="5F9E149B"/>
    <w:rsid w:val="5FD56E87"/>
    <w:rsid w:val="5FED2422"/>
    <w:rsid w:val="5FFB072C"/>
    <w:rsid w:val="60065292"/>
    <w:rsid w:val="600A4D82"/>
    <w:rsid w:val="60172FFB"/>
    <w:rsid w:val="602120CC"/>
    <w:rsid w:val="60432042"/>
    <w:rsid w:val="604F4E8B"/>
    <w:rsid w:val="60D55390"/>
    <w:rsid w:val="60E5134B"/>
    <w:rsid w:val="611D0AE5"/>
    <w:rsid w:val="61363D6C"/>
    <w:rsid w:val="61691F7C"/>
    <w:rsid w:val="61812E22"/>
    <w:rsid w:val="619568CD"/>
    <w:rsid w:val="61994561"/>
    <w:rsid w:val="61D76EE6"/>
    <w:rsid w:val="61E909C7"/>
    <w:rsid w:val="62193481"/>
    <w:rsid w:val="622D2FAA"/>
    <w:rsid w:val="6247406C"/>
    <w:rsid w:val="624B3430"/>
    <w:rsid w:val="62764951"/>
    <w:rsid w:val="62946B85"/>
    <w:rsid w:val="62AA0157"/>
    <w:rsid w:val="62D81168"/>
    <w:rsid w:val="62DA1A0F"/>
    <w:rsid w:val="62E573E1"/>
    <w:rsid w:val="62F37D50"/>
    <w:rsid w:val="632E258D"/>
    <w:rsid w:val="635F3637"/>
    <w:rsid w:val="635F53E5"/>
    <w:rsid w:val="63666773"/>
    <w:rsid w:val="6367156B"/>
    <w:rsid w:val="63690012"/>
    <w:rsid w:val="638906B4"/>
    <w:rsid w:val="63AB4186"/>
    <w:rsid w:val="63FF779E"/>
    <w:rsid w:val="641066DF"/>
    <w:rsid w:val="641E2BAA"/>
    <w:rsid w:val="642066CD"/>
    <w:rsid w:val="6429154F"/>
    <w:rsid w:val="644D7933"/>
    <w:rsid w:val="64526CF8"/>
    <w:rsid w:val="647749B0"/>
    <w:rsid w:val="64882719"/>
    <w:rsid w:val="648B3FB8"/>
    <w:rsid w:val="648C5659"/>
    <w:rsid w:val="648D5F82"/>
    <w:rsid w:val="64BE613B"/>
    <w:rsid w:val="64C553E8"/>
    <w:rsid w:val="64F102BF"/>
    <w:rsid w:val="64F81744"/>
    <w:rsid w:val="64FA23D0"/>
    <w:rsid w:val="650E0E71"/>
    <w:rsid w:val="652367E0"/>
    <w:rsid w:val="652C579B"/>
    <w:rsid w:val="65530F79"/>
    <w:rsid w:val="657A4758"/>
    <w:rsid w:val="658630FD"/>
    <w:rsid w:val="6598698C"/>
    <w:rsid w:val="65BA6903"/>
    <w:rsid w:val="65E9368C"/>
    <w:rsid w:val="65EC0A86"/>
    <w:rsid w:val="661F63EA"/>
    <w:rsid w:val="664B1C51"/>
    <w:rsid w:val="664E34EF"/>
    <w:rsid w:val="665E7BD6"/>
    <w:rsid w:val="667271DD"/>
    <w:rsid w:val="668B64F1"/>
    <w:rsid w:val="668F5FE1"/>
    <w:rsid w:val="669453A6"/>
    <w:rsid w:val="669C425A"/>
    <w:rsid w:val="66AB0941"/>
    <w:rsid w:val="670D0958"/>
    <w:rsid w:val="672A3F5C"/>
    <w:rsid w:val="672C3830"/>
    <w:rsid w:val="67362901"/>
    <w:rsid w:val="673F17B5"/>
    <w:rsid w:val="674A1F08"/>
    <w:rsid w:val="676C1E7F"/>
    <w:rsid w:val="676C6322"/>
    <w:rsid w:val="67753429"/>
    <w:rsid w:val="67755D57"/>
    <w:rsid w:val="67762CFD"/>
    <w:rsid w:val="679F2254"/>
    <w:rsid w:val="67A930D3"/>
    <w:rsid w:val="67D0065F"/>
    <w:rsid w:val="68262975"/>
    <w:rsid w:val="685A43CD"/>
    <w:rsid w:val="685D453A"/>
    <w:rsid w:val="68617509"/>
    <w:rsid w:val="68692862"/>
    <w:rsid w:val="68E63EB3"/>
    <w:rsid w:val="68EB3277"/>
    <w:rsid w:val="68F05AC9"/>
    <w:rsid w:val="6905258B"/>
    <w:rsid w:val="690555C8"/>
    <w:rsid w:val="692E7D33"/>
    <w:rsid w:val="692F585A"/>
    <w:rsid w:val="69D56401"/>
    <w:rsid w:val="69E67527"/>
    <w:rsid w:val="69FC398E"/>
    <w:rsid w:val="6A114F5F"/>
    <w:rsid w:val="6A4E3ABD"/>
    <w:rsid w:val="6A503CD9"/>
    <w:rsid w:val="6A9E4A45"/>
    <w:rsid w:val="6AA858C3"/>
    <w:rsid w:val="6AC36259"/>
    <w:rsid w:val="6ADE7537"/>
    <w:rsid w:val="6AE61F48"/>
    <w:rsid w:val="6B3233DF"/>
    <w:rsid w:val="6B361121"/>
    <w:rsid w:val="6B60619E"/>
    <w:rsid w:val="6B7E6624"/>
    <w:rsid w:val="6B803EA1"/>
    <w:rsid w:val="6B827EC3"/>
    <w:rsid w:val="6B910106"/>
    <w:rsid w:val="6BB32772"/>
    <w:rsid w:val="6BE7241B"/>
    <w:rsid w:val="6BF30DC0"/>
    <w:rsid w:val="6C0C3C30"/>
    <w:rsid w:val="6C164AAF"/>
    <w:rsid w:val="6C1A53FF"/>
    <w:rsid w:val="6C1F5711"/>
    <w:rsid w:val="6C97174C"/>
    <w:rsid w:val="6C9D1648"/>
    <w:rsid w:val="6CB24E0B"/>
    <w:rsid w:val="6CB713FD"/>
    <w:rsid w:val="6CBA368C"/>
    <w:rsid w:val="6CCB3AEB"/>
    <w:rsid w:val="6D064B23"/>
    <w:rsid w:val="6D117A09"/>
    <w:rsid w:val="6D434C31"/>
    <w:rsid w:val="6D464F20"/>
    <w:rsid w:val="6D5E670D"/>
    <w:rsid w:val="6D68758C"/>
    <w:rsid w:val="6DEF55B7"/>
    <w:rsid w:val="6E1119D2"/>
    <w:rsid w:val="6E146DCC"/>
    <w:rsid w:val="6E414065"/>
    <w:rsid w:val="6E6C09B6"/>
    <w:rsid w:val="6EB5235D"/>
    <w:rsid w:val="6EC407F2"/>
    <w:rsid w:val="6EE13152"/>
    <w:rsid w:val="6EF1628D"/>
    <w:rsid w:val="6EFC61DE"/>
    <w:rsid w:val="6F2614AD"/>
    <w:rsid w:val="6F3B6D06"/>
    <w:rsid w:val="6F5002D8"/>
    <w:rsid w:val="6F6B6EC0"/>
    <w:rsid w:val="6FA81EC2"/>
    <w:rsid w:val="6FB6638D"/>
    <w:rsid w:val="6FD64C81"/>
    <w:rsid w:val="6FDD600F"/>
    <w:rsid w:val="6FFE1AE2"/>
    <w:rsid w:val="7000585A"/>
    <w:rsid w:val="7004359C"/>
    <w:rsid w:val="700C044D"/>
    <w:rsid w:val="70182BA3"/>
    <w:rsid w:val="70335C2F"/>
    <w:rsid w:val="70651B61"/>
    <w:rsid w:val="70886D23"/>
    <w:rsid w:val="70932B72"/>
    <w:rsid w:val="70944F99"/>
    <w:rsid w:val="70AB1C6A"/>
    <w:rsid w:val="70DF7B65"/>
    <w:rsid w:val="7104137A"/>
    <w:rsid w:val="71241A1C"/>
    <w:rsid w:val="712D6B22"/>
    <w:rsid w:val="714B51FB"/>
    <w:rsid w:val="7169742F"/>
    <w:rsid w:val="71777B2E"/>
    <w:rsid w:val="718304F0"/>
    <w:rsid w:val="718F6E95"/>
    <w:rsid w:val="71AB0B90"/>
    <w:rsid w:val="71AC3EEB"/>
    <w:rsid w:val="71AD7C63"/>
    <w:rsid w:val="72071122"/>
    <w:rsid w:val="720D24B0"/>
    <w:rsid w:val="722E5429"/>
    <w:rsid w:val="724A3704"/>
    <w:rsid w:val="725227F1"/>
    <w:rsid w:val="725B76BF"/>
    <w:rsid w:val="726E11A1"/>
    <w:rsid w:val="727147ED"/>
    <w:rsid w:val="72BC63B0"/>
    <w:rsid w:val="72FD0776"/>
    <w:rsid w:val="73463ECB"/>
    <w:rsid w:val="73702CF6"/>
    <w:rsid w:val="73C92407"/>
    <w:rsid w:val="73D77023"/>
    <w:rsid w:val="73DB133F"/>
    <w:rsid w:val="73DB4206"/>
    <w:rsid w:val="73EB6821"/>
    <w:rsid w:val="73FB2F08"/>
    <w:rsid w:val="745E6FF3"/>
    <w:rsid w:val="74654825"/>
    <w:rsid w:val="74E53270"/>
    <w:rsid w:val="750114D9"/>
    <w:rsid w:val="750E6C6B"/>
    <w:rsid w:val="7530273D"/>
    <w:rsid w:val="754206C3"/>
    <w:rsid w:val="754B271E"/>
    <w:rsid w:val="75A44ED9"/>
    <w:rsid w:val="75A82C1C"/>
    <w:rsid w:val="75A849CA"/>
    <w:rsid w:val="75CA0DE4"/>
    <w:rsid w:val="75D532E5"/>
    <w:rsid w:val="76283D5C"/>
    <w:rsid w:val="76393874"/>
    <w:rsid w:val="76845A85"/>
    <w:rsid w:val="76B4739E"/>
    <w:rsid w:val="76EE3833"/>
    <w:rsid w:val="771A5453"/>
    <w:rsid w:val="774C604A"/>
    <w:rsid w:val="77707769"/>
    <w:rsid w:val="777F175A"/>
    <w:rsid w:val="77B92EBE"/>
    <w:rsid w:val="77ED1B22"/>
    <w:rsid w:val="780103C1"/>
    <w:rsid w:val="780659D7"/>
    <w:rsid w:val="781C344D"/>
    <w:rsid w:val="784B788E"/>
    <w:rsid w:val="7860158C"/>
    <w:rsid w:val="786B1CDE"/>
    <w:rsid w:val="789C633C"/>
    <w:rsid w:val="78A0407E"/>
    <w:rsid w:val="78C22246"/>
    <w:rsid w:val="78FF6FF6"/>
    <w:rsid w:val="79330A4E"/>
    <w:rsid w:val="79426EE3"/>
    <w:rsid w:val="7947274B"/>
    <w:rsid w:val="794C38BE"/>
    <w:rsid w:val="7956126A"/>
    <w:rsid w:val="795B7FA5"/>
    <w:rsid w:val="796230E1"/>
    <w:rsid w:val="796C5D0E"/>
    <w:rsid w:val="79951709"/>
    <w:rsid w:val="79BF22E2"/>
    <w:rsid w:val="79D233B2"/>
    <w:rsid w:val="79D833A4"/>
    <w:rsid w:val="7A0643B5"/>
    <w:rsid w:val="7A0F316A"/>
    <w:rsid w:val="7A170370"/>
    <w:rsid w:val="7A28432B"/>
    <w:rsid w:val="7A6D5267"/>
    <w:rsid w:val="7A925C48"/>
    <w:rsid w:val="7AC35E02"/>
    <w:rsid w:val="7AD61FD9"/>
    <w:rsid w:val="7AD7365B"/>
    <w:rsid w:val="7B2F3497"/>
    <w:rsid w:val="7B5B428C"/>
    <w:rsid w:val="7B5F1FCE"/>
    <w:rsid w:val="7B62561B"/>
    <w:rsid w:val="7B6770D5"/>
    <w:rsid w:val="7B7F0269"/>
    <w:rsid w:val="7BA43E85"/>
    <w:rsid w:val="7BB57E40"/>
    <w:rsid w:val="7BB816DF"/>
    <w:rsid w:val="7C10151B"/>
    <w:rsid w:val="7C393AA3"/>
    <w:rsid w:val="7C977546"/>
    <w:rsid w:val="7CB00608"/>
    <w:rsid w:val="7CB400F8"/>
    <w:rsid w:val="7CB8656F"/>
    <w:rsid w:val="7CCD11BA"/>
    <w:rsid w:val="7CD04806"/>
    <w:rsid w:val="7CE309DD"/>
    <w:rsid w:val="7CE3278B"/>
    <w:rsid w:val="7CE745C5"/>
    <w:rsid w:val="7D192F2B"/>
    <w:rsid w:val="7D2012E9"/>
    <w:rsid w:val="7D3204B3"/>
    <w:rsid w:val="7D586CD5"/>
    <w:rsid w:val="7D79158D"/>
    <w:rsid w:val="7D7A4E9D"/>
    <w:rsid w:val="7D807FDA"/>
    <w:rsid w:val="7D983576"/>
    <w:rsid w:val="7DA30807"/>
    <w:rsid w:val="7DB73264"/>
    <w:rsid w:val="7DC46119"/>
    <w:rsid w:val="7DCA74A7"/>
    <w:rsid w:val="7DD722F0"/>
    <w:rsid w:val="7DD82F61"/>
    <w:rsid w:val="7DE06CCB"/>
    <w:rsid w:val="7E096221"/>
    <w:rsid w:val="7E307C52"/>
    <w:rsid w:val="7E5A082B"/>
    <w:rsid w:val="7E6416AA"/>
    <w:rsid w:val="7E88183C"/>
    <w:rsid w:val="7EAF501B"/>
    <w:rsid w:val="7EC860DC"/>
    <w:rsid w:val="7ECF2FC7"/>
    <w:rsid w:val="7EF23159"/>
    <w:rsid w:val="7F2B5241"/>
    <w:rsid w:val="7F350C0F"/>
    <w:rsid w:val="7F637BB3"/>
    <w:rsid w:val="7F736048"/>
    <w:rsid w:val="7F820039"/>
    <w:rsid w:val="7F8518D8"/>
    <w:rsid w:val="7FA93818"/>
    <w:rsid w:val="7FB126CD"/>
    <w:rsid w:val="7FB87EFF"/>
    <w:rsid w:val="7FC468A4"/>
    <w:rsid w:val="7FE607C0"/>
    <w:rsid w:val="7FEE3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0"/>
    <w:autoRedefine/>
    <w:qFormat/>
    <w:uiPriority w:val="0"/>
    <w:pPr>
      <w:keepNext/>
      <w:keepLines/>
      <w:spacing w:before="60" w:after="60"/>
      <w:outlineLvl w:val="1"/>
    </w:pPr>
    <w:rPr>
      <w:rFonts w:ascii="宋体" w:hAnsi="Arial" w:cs="宋体"/>
      <w:sz w:val="28"/>
      <w:szCs w:val="28"/>
    </w:rPr>
  </w:style>
  <w:style w:type="paragraph" w:styleId="4">
    <w:name w:val="heading 3"/>
    <w:basedOn w:val="3"/>
    <w:next w:val="1"/>
    <w:link w:val="61"/>
    <w:autoRedefine/>
    <w:qFormat/>
    <w:uiPriority w:val="0"/>
    <w:pPr>
      <w:keepNext/>
      <w:keepLines/>
      <w:spacing w:before="120" w:after="120"/>
      <w:ind w:firstLine="480"/>
      <w:outlineLvl w:val="2"/>
    </w:pPr>
    <w:rPr>
      <w:sz w:val="24"/>
      <w:szCs w:val="24"/>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6"/>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rPr>
      <w:szCs w:val="24"/>
    </w:r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4"/>
    <w:autoRedefine/>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autoRedefine/>
    <w:qFormat/>
    <w:uiPriority w:val="0"/>
    <w:pPr>
      <w:spacing w:before="120"/>
    </w:pPr>
    <w:rPr>
      <w:rFonts w:ascii="Arial" w:hAnsi="Arial" w:cs="Arial"/>
      <w:sz w:val="24"/>
      <w:szCs w:val="24"/>
    </w:rPr>
  </w:style>
  <w:style w:type="paragraph" w:styleId="16">
    <w:name w:val="annotation text"/>
    <w:basedOn w:val="1"/>
    <w:link w:val="161"/>
    <w:autoRedefine/>
    <w:unhideWhenUsed/>
    <w:qFormat/>
    <w:uiPriority w:val="0"/>
    <w:pPr>
      <w:jc w:val="left"/>
    </w:pPr>
  </w:style>
  <w:style w:type="paragraph" w:styleId="17">
    <w:name w:val="Body Text 3"/>
    <w:basedOn w:val="1"/>
    <w:link w:val="165"/>
    <w:autoRedefine/>
    <w:qFormat/>
    <w:uiPriority w:val="0"/>
    <w:pPr>
      <w:spacing w:after="120"/>
    </w:pPr>
    <w:rPr>
      <w:rFonts w:asciiTheme="minorHAnsi" w:hAnsiTheme="minorHAnsi" w:eastAsiaTheme="minorEastAsia" w:cstheme="minorBidi"/>
      <w:sz w:val="16"/>
      <w:szCs w:val="16"/>
    </w:rPr>
  </w:style>
  <w:style w:type="paragraph" w:styleId="18">
    <w:name w:val="Body Text"/>
    <w:basedOn w:val="1"/>
    <w:link w:val="166"/>
    <w:autoRedefine/>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1"/>
    <w:link w:val="160"/>
    <w:autoRedefine/>
    <w:qFormat/>
    <w:uiPriority w:val="0"/>
    <w:pPr>
      <w:spacing w:after="120"/>
      <w:ind w:left="420" w:leftChars="200"/>
    </w:pPr>
    <w:rPr>
      <w:rFonts w:asciiTheme="minorHAnsi" w:hAnsiTheme="minorHAnsi" w:eastAsiaTheme="minorEastAsia" w:cstheme="minorBidi"/>
      <w:szCs w:val="24"/>
    </w:rPr>
  </w:style>
  <w:style w:type="paragraph" w:styleId="20">
    <w:name w:val="List 2"/>
    <w:basedOn w:val="1"/>
    <w:autoRedefine/>
    <w:qFormat/>
    <w:uiPriority w:val="0"/>
    <w:pPr>
      <w:ind w:left="100" w:leftChars="200" w:hanging="200" w:hangingChars="200"/>
    </w:pPr>
    <w:rPr>
      <w:szCs w:val="24"/>
    </w:rPr>
  </w:style>
  <w:style w:type="paragraph" w:styleId="21">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tabs>
        <w:tab w:val="right" w:leader="dot" w:pos="8296"/>
      </w:tabs>
      <w:ind w:left="1050" w:leftChars="500"/>
    </w:pPr>
    <w:rPr>
      <w:rFonts w:ascii="Calibri" w:hAnsi="Calibri"/>
      <w:szCs w:val="22"/>
    </w:rPr>
  </w:style>
  <w:style w:type="paragraph" w:styleId="24">
    <w:name w:val="toc 3"/>
    <w:basedOn w:val="1"/>
    <w:next w:val="1"/>
    <w:autoRedefine/>
    <w:qFormat/>
    <w:uiPriority w:val="39"/>
    <w:pPr>
      <w:tabs>
        <w:tab w:val="right" w:leader="dot" w:pos="8302"/>
      </w:tabs>
      <w:ind w:left="420"/>
      <w:jc w:val="left"/>
    </w:pPr>
    <w:rPr>
      <w:rFonts w:ascii="宋体" w:hAnsi="宋体"/>
      <w:iCs/>
      <w:snapToGrid w:val="0"/>
      <w:kern w:val="0"/>
    </w:rPr>
  </w:style>
  <w:style w:type="paragraph" w:styleId="25">
    <w:name w:val="Plain Text"/>
    <w:basedOn w:val="1"/>
    <w:link w:val="65"/>
    <w:autoRedefine/>
    <w:unhideWhenUsed/>
    <w:qFormat/>
    <w:uiPriority w:val="0"/>
    <w:rPr>
      <w:rFonts w:ascii="宋体" w:hAnsi="Courier New" w:cs="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163"/>
    <w:autoRedefine/>
    <w:qFormat/>
    <w:uiPriority w:val="0"/>
    <w:pPr>
      <w:ind w:left="100" w:leftChars="2500"/>
    </w:pPr>
    <w:rPr>
      <w:rFonts w:asciiTheme="minorHAnsi" w:hAnsiTheme="minorHAnsi" w:eastAsiaTheme="minorEastAsia" w:cstheme="minorBidi"/>
      <w:szCs w:val="24"/>
    </w:rPr>
  </w:style>
  <w:style w:type="paragraph" w:styleId="28">
    <w:name w:val="Body Text Indent 2"/>
    <w:basedOn w:val="1"/>
    <w:link w:val="154"/>
    <w:autoRedefine/>
    <w:qFormat/>
    <w:uiPriority w:val="0"/>
    <w:pPr>
      <w:ind w:firstLine="538" w:firstLineChars="192"/>
    </w:pPr>
    <w:rPr>
      <w:rFonts w:asciiTheme="minorHAnsi" w:hAnsiTheme="minorHAnsi" w:eastAsiaTheme="minorEastAsia" w:cstheme="minorBidi"/>
      <w:sz w:val="28"/>
      <w:szCs w:val="22"/>
    </w:rPr>
  </w:style>
  <w:style w:type="paragraph" w:styleId="29">
    <w:name w:val="Balloon Text"/>
    <w:basedOn w:val="1"/>
    <w:link w:val="72"/>
    <w:autoRedefine/>
    <w:unhideWhenUsed/>
    <w:qFormat/>
    <w:uiPriority w:val="0"/>
    <w:rPr>
      <w:sz w:val="18"/>
      <w:szCs w:val="18"/>
    </w:rPr>
  </w:style>
  <w:style w:type="paragraph" w:styleId="30">
    <w:name w:val="footer"/>
    <w:basedOn w:val="1"/>
    <w:link w:val="71"/>
    <w:autoRedefine/>
    <w:unhideWhenUsed/>
    <w:qFormat/>
    <w:uiPriority w:val="99"/>
    <w:pPr>
      <w:snapToGrid w:val="0"/>
      <w:jc w:val="left"/>
    </w:pPr>
    <w:rPr>
      <w:sz w:val="18"/>
      <w:szCs w:val="18"/>
    </w:rPr>
  </w:style>
  <w:style w:type="paragraph" w:styleId="31">
    <w:name w:val="header"/>
    <w:basedOn w:val="1"/>
    <w:link w:val="68"/>
    <w:autoRedefine/>
    <w:unhideWhenUsed/>
    <w:qFormat/>
    <w:uiPriority w:val="99"/>
    <w:pPr>
      <w:pBdr>
        <w:bottom w:val="single" w:color="auto" w:sz="6" w:space="1"/>
      </w:pBdr>
      <w:snapToGrid w:val="0"/>
      <w:jc w:val="center"/>
    </w:pPr>
    <w:rPr>
      <w:sz w:val="18"/>
      <w:szCs w:val="18"/>
    </w:rPr>
  </w:style>
  <w:style w:type="paragraph" w:styleId="32">
    <w:name w:val="toc 1"/>
    <w:basedOn w:val="1"/>
    <w:next w:val="1"/>
    <w:unhideWhenUsed/>
    <w:qFormat/>
    <w:uiPriority w:val="39"/>
    <w:pPr>
      <w:spacing w:line="400" w:lineRule="exact"/>
      <w:jc w:val="left"/>
    </w:pPr>
    <w:rPr>
      <w:rFonts w:ascii="宋体" w:hAnsi="宋体" w:cs="宋体"/>
      <w:b/>
      <w:bCs/>
      <w:caps/>
      <w:color w:val="000000"/>
    </w:rPr>
  </w:style>
  <w:style w:type="paragraph" w:styleId="33">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4">
    <w:name w:val="Subtitle"/>
    <w:basedOn w:val="1"/>
    <w:next w:val="1"/>
    <w:link w:val="158"/>
    <w:autoRedefine/>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5">
    <w:name w:val="footnote text"/>
    <w:basedOn w:val="1"/>
    <w:link w:val="249"/>
    <w:autoRedefine/>
    <w:semiHidden/>
    <w:unhideWhenUsed/>
    <w:qFormat/>
    <w:uiPriority w:val="99"/>
    <w:pPr>
      <w:snapToGrid w:val="0"/>
      <w:jc w:val="left"/>
    </w:pPr>
    <w:rPr>
      <w:sz w:val="18"/>
      <w:szCs w:val="18"/>
    </w:rPr>
  </w:style>
  <w:style w:type="paragraph" w:styleId="36">
    <w:name w:val="toc 6"/>
    <w:basedOn w:val="1"/>
    <w:next w:val="1"/>
    <w:autoRedefine/>
    <w:qFormat/>
    <w:uiPriority w:val="0"/>
    <w:pPr>
      <w:ind w:left="1050"/>
      <w:jc w:val="left"/>
    </w:pPr>
    <w:rPr>
      <w:sz w:val="20"/>
      <w:szCs w:val="20"/>
    </w:rPr>
  </w:style>
  <w:style w:type="paragraph" w:styleId="37">
    <w:name w:val="Body Text Indent 3"/>
    <w:basedOn w:val="1"/>
    <w:link w:val="170"/>
    <w:qFormat/>
    <w:uiPriority w:val="0"/>
    <w:pPr>
      <w:spacing w:after="120"/>
      <w:ind w:left="420" w:leftChars="200"/>
    </w:pPr>
    <w:rPr>
      <w:rFonts w:asciiTheme="minorHAnsi" w:hAnsiTheme="minorHAnsi" w:eastAsiaTheme="minorEastAsia" w:cstheme="minorBidi"/>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0">
    <w:name w:val="toc 9"/>
    <w:basedOn w:val="1"/>
    <w:next w:val="1"/>
    <w:autoRedefine/>
    <w:qFormat/>
    <w:uiPriority w:val="0"/>
    <w:pPr>
      <w:ind w:left="3360" w:leftChars="1600"/>
    </w:pPr>
    <w:rPr>
      <w:rFonts w:ascii="Calibri" w:hAnsi="Calibri"/>
      <w:szCs w:val="22"/>
    </w:rPr>
  </w:style>
  <w:style w:type="paragraph" w:styleId="41">
    <w:name w:val="Body Text 2"/>
    <w:basedOn w:val="1"/>
    <w:next w:val="18"/>
    <w:link w:val="174"/>
    <w:autoRedefine/>
    <w:qFormat/>
    <w:uiPriority w:val="0"/>
    <w:pPr>
      <w:widowControl/>
      <w:spacing w:before="100" w:beforeAutospacing="1" w:after="100" w:afterAutospacing="1"/>
      <w:jc w:val="left"/>
    </w:pPr>
    <w:rPr>
      <w:rFonts w:ascii="宋体" w:hAnsi="宋体" w:cs="宋体" w:eastAsiaTheme="minorEastAsia"/>
      <w:sz w:val="24"/>
      <w:szCs w:val="24"/>
    </w:rPr>
  </w:style>
  <w:style w:type="paragraph" w:styleId="42">
    <w:name w:val="Message Header"/>
    <w:basedOn w:val="1"/>
    <w:link w:val="63"/>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3">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157"/>
    <w:autoRedefine/>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5">
    <w:name w:val="annotation subject"/>
    <w:basedOn w:val="16"/>
    <w:next w:val="16"/>
    <w:link w:val="162"/>
    <w:autoRedefine/>
    <w:qFormat/>
    <w:uiPriority w:val="0"/>
    <w:rPr>
      <w:rFonts w:ascii="宋体" w:hAnsiTheme="minorHAnsi" w:eastAsiaTheme="minorEastAsia" w:cstheme="minorBidi"/>
      <w:b/>
      <w:bCs/>
      <w:sz w:val="28"/>
      <w:szCs w:val="22"/>
    </w:rPr>
  </w:style>
  <w:style w:type="paragraph" w:styleId="46">
    <w:name w:val="Body Text First Indent 2"/>
    <w:basedOn w:val="19"/>
    <w:next w:val="1"/>
    <w:autoRedefine/>
    <w:qFormat/>
    <w:uiPriority w:val="0"/>
    <w:pPr>
      <w:adjustRightInd w:val="0"/>
      <w:spacing w:after="0"/>
      <w:ind w:left="960" w:leftChars="0" w:firstLine="420"/>
      <w:jc w:val="left"/>
    </w:pPr>
    <w:rPr>
      <w:rFonts w:ascii="楷体_GB2312"/>
      <w:kern w:val="0"/>
      <w:sz w:val="28"/>
      <w:szCs w:val="28"/>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basedOn w:val="49"/>
    <w:unhideWhenUsed/>
    <w:qFormat/>
    <w:uiPriority w:val="0"/>
    <w:rPr>
      <w:color w:val="000000"/>
      <w:sz w:val="16"/>
      <w:szCs w:val="16"/>
      <w:u w:val="none"/>
    </w:rPr>
  </w:style>
  <w:style w:type="character" w:styleId="53">
    <w:name w:val="Emphasis"/>
    <w:autoRedefine/>
    <w:qFormat/>
    <w:uiPriority w:val="0"/>
    <w:rPr>
      <w:color w:val="C60A00"/>
    </w:rPr>
  </w:style>
  <w:style w:type="character" w:styleId="54">
    <w:name w:val="Hyperlink"/>
    <w:basedOn w:val="49"/>
    <w:unhideWhenUsed/>
    <w:qFormat/>
    <w:uiPriority w:val="99"/>
    <w:rPr>
      <w:color w:val="000000"/>
      <w:sz w:val="16"/>
      <w:szCs w:val="16"/>
      <w:u w:val="none"/>
    </w:rPr>
  </w:style>
  <w:style w:type="character" w:styleId="55">
    <w:name w:val="annotation reference"/>
    <w:autoRedefine/>
    <w:qFormat/>
    <w:uiPriority w:val="0"/>
    <w:rPr>
      <w:rFonts w:cs="Times New Roman"/>
      <w:sz w:val="21"/>
      <w:szCs w:val="21"/>
    </w:rPr>
  </w:style>
  <w:style w:type="paragraph" w:customStyle="1" w:styleId="56">
    <w:name w:val="Default"/>
    <w:basedOn w:val="1"/>
    <w:next w:val="38"/>
    <w:qFormat/>
    <w:uiPriority w:val="0"/>
    <w:pPr>
      <w:autoSpaceDE w:val="0"/>
      <w:autoSpaceDN w:val="0"/>
      <w:adjustRightInd w:val="0"/>
      <w:jc w:val="left"/>
    </w:pPr>
    <w:rPr>
      <w:rFonts w:ascii="宋体" w:cs="宋体"/>
      <w:color w:val="000000"/>
      <w:kern w:val="0"/>
      <w:sz w:val="24"/>
      <w:szCs w:val="24"/>
    </w:rPr>
  </w:style>
  <w:style w:type="paragraph" w:customStyle="1" w:styleId="57">
    <w:name w:val="首行缩进"/>
    <w:basedOn w:val="1"/>
    <w:qFormat/>
    <w:uiPriority w:val="0"/>
    <w:pPr>
      <w:spacing w:line="360" w:lineRule="auto"/>
      <w:ind w:firstLine="480"/>
    </w:pPr>
    <w:rPr>
      <w:rFonts w:ascii="宋体" w:hAnsi="宋体"/>
      <w:kern w:val="0"/>
      <w:sz w:val="24"/>
    </w:rPr>
  </w:style>
  <w:style w:type="paragraph" w:customStyle="1" w:styleId="58">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59">
    <w:name w:val="标题 1 Char"/>
    <w:basedOn w:val="49"/>
    <w:link w:val="2"/>
    <w:qFormat/>
    <w:uiPriority w:val="0"/>
    <w:rPr>
      <w:rFonts w:ascii="Times New Roman" w:hAnsi="Times New Roman" w:eastAsia="宋体" w:cs="Times New Roman"/>
      <w:b/>
      <w:bCs/>
      <w:kern w:val="44"/>
      <w:sz w:val="44"/>
      <w:szCs w:val="44"/>
    </w:rPr>
  </w:style>
  <w:style w:type="character" w:customStyle="1" w:styleId="60">
    <w:name w:val="标题 2 Char"/>
    <w:basedOn w:val="49"/>
    <w:link w:val="3"/>
    <w:autoRedefine/>
    <w:qFormat/>
    <w:uiPriority w:val="0"/>
    <w:rPr>
      <w:rFonts w:ascii="宋体" w:hAnsi="Arial" w:eastAsia="宋体" w:cs="宋体"/>
      <w:b/>
      <w:bCs/>
      <w:sz w:val="28"/>
      <w:szCs w:val="28"/>
    </w:rPr>
  </w:style>
  <w:style w:type="character" w:customStyle="1" w:styleId="61">
    <w:name w:val="标题 3 Char"/>
    <w:basedOn w:val="49"/>
    <w:link w:val="4"/>
    <w:qFormat/>
    <w:uiPriority w:val="0"/>
    <w:rPr>
      <w:rFonts w:ascii="Times New Roman" w:hAnsi="Times New Roman" w:eastAsia="宋体" w:cs="Times New Roman"/>
      <w:b/>
      <w:bCs/>
      <w:sz w:val="24"/>
      <w:szCs w:val="24"/>
    </w:rPr>
  </w:style>
  <w:style w:type="character" w:customStyle="1" w:styleId="62">
    <w:name w:val="标题 4 Char"/>
    <w:basedOn w:val="49"/>
    <w:link w:val="5"/>
    <w:autoRedefine/>
    <w:qFormat/>
    <w:uiPriority w:val="0"/>
    <w:rPr>
      <w:rFonts w:ascii="Arial" w:hAnsi="Arial" w:eastAsia="黑体" w:cs="Arial"/>
      <w:b/>
      <w:bCs/>
      <w:sz w:val="28"/>
      <w:szCs w:val="28"/>
    </w:rPr>
  </w:style>
  <w:style w:type="character" w:customStyle="1" w:styleId="63">
    <w:name w:val="信息标题 Char"/>
    <w:basedOn w:val="49"/>
    <w:link w:val="42"/>
    <w:autoRedefine/>
    <w:semiHidden/>
    <w:qFormat/>
    <w:uiPriority w:val="99"/>
    <w:rPr>
      <w:rFonts w:ascii="Cambria" w:hAnsi="Cambria" w:eastAsia="宋体" w:cs="宋体"/>
      <w:sz w:val="24"/>
      <w:szCs w:val="24"/>
      <w:shd w:val="clear" w:color="auto" w:fill="7F7F7F"/>
    </w:rPr>
  </w:style>
  <w:style w:type="paragraph" w:customStyle="1" w:styleId="6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character" w:customStyle="1" w:styleId="65">
    <w:name w:val="纯文本 Char"/>
    <w:basedOn w:val="49"/>
    <w:link w:val="25"/>
    <w:qFormat/>
    <w:uiPriority w:val="0"/>
    <w:rPr>
      <w:rFonts w:ascii="宋体" w:hAnsi="Courier New" w:eastAsia="宋体" w:cs="Courier New"/>
      <w:szCs w:val="21"/>
    </w:rPr>
  </w:style>
  <w:style w:type="paragraph" w:customStyle="1" w:styleId="66">
    <w:name w:val="zw"/>
    <w:basedOn w:val="1"/>
    <w:autoRedefine/>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7">
    <w:name w:val="列出段落1"/>
    <w:basedOn w:val="1"/>
    <w:autoRedefine/>
    <w:qFormat/>
    <w:uiPriority w:val="0"/>
    <w:pPr>
      <w:ind w:firstLine="420" w:firstLineChars="200"/>
    </w:pPr>
  </w:style>
  <w:style w:type="character" w:customStyle="1" w:styleId="68">
    <w:name w:val="页眉 Char"/>
    <w:basedOn w:val="49"/>
    <w:link w:val="31"/>
    <w:autoRedefine/>
    <w:qFormat/>
    <w:uiPriority w:val="99"/>
    <w:rPr>
      <w:rFonts w:ascii="Times New Roman" w:hAnsi="Times New Roman" w:eastAsia="宋体" w:cs="Times New Roman"/>
      <w:sz w:val="18"/>
      <w:szCs w:val="18"/>
    </w:rPr>
  </w:style>
  <w:style w:type="paragraph" w:customStyle="1" w:styleId="69">
    <w:name w:val="p15"/>
    <w:basedOn w:val="1"/>
    <w:autoRedefine/>
    <w:qFormat/>
    <w:uiPriority w:val="0"/>
    <w:pPr>
      <w:widowControl/>
      <w:spacing w:before="100" w:after="100"/>
      <w:jc w:val="left"/>
    </w:pPr>
    <w:rPr>
      <w:rFonts w:ascii="宋体" w:hAnsi="宋体" w:cs="宋体"/>
      <w:kern w:val="0"/>
      <w:sz w:val="24"/>
      <w:szCs w:val="24"/>
    </w:rPr>
  </w:style>
  <w:style w:type="paragraph" w:customStyle="1" w:styleId="70">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71">
    <w:name w:val="页脚 Char"/>
    <w:basedOn w:val="49"/>
    <w:link w:val="30"/>
    <w:qFormat/>
    <w:uiPriority w:val="99"/>
    <w:rPr>
      <w:rFonts w:ascii="Times New Roman" w:hAnsi="Times New Roman" w:eastAsia="宋体" w:cs="Times New Roman"/>
      <w:sz w:val="18"/>
      <w:szCs w:val="18"/>
    </w:rPr>
  </w:style>
  <w:style w:type="character" w:customStyle="1" w:styleId="72">
    <w:name w:val="批注框文本 Char"/>
    <w:basedOn w:val="49"/>
    <w:link w:val="29"/>
    <w:qFormat/>
    <w:uiPriority w:val="0"/>
    <w:rPr>
      <w:rFonts w:ascii="Times New Roman" w:hAnsi="Times New Roman" w:eastAsia="宋体" w:cs="Times New Roman"/>
      <w:sz w:val="18"/>
      <w:szCs w:val="18"/>
    </w:rPr>
  </w:style>
  <w:style w:type="character" w:customStyle="1" w:styleId="73">
    <w:name w:val="标题 5 Char"/>
    <w:basedOn w:val="49"/>
    <w:link w:val="6"/>
    <w:autoRedefine/>
    <w:qFormat/>
    <w:uiPriority w:val="0"/>
    <w:rPr>
      <w:rFonts w:ascii="Times New Roman" w:hAnsi="Times New Roman" w:eastAsia="宋体" w:cs="Times New Roman"/>
      <w:b/>
      <w:bCs/>
      <w:sz w:val="28"/>
      <w:szCs w:val="28"/>
    </w:rPr>
  </w:style>
  <w:style w:type="character" w:customStyle="1" w:styleId="74">
    <w:name w:val="标题 6 Char"/>
    <w:basedOn w:val="49"/>
    <w:link w:val="7"/>
    <w:autoRedefine/>
    <w:qFormat/>
    <w:uiPriority w:val="0"/>
    <w:rPr>
      <w:rFonts w:ascii="Arial" w:hAnsi="Arial" w:eastAsia="黑体" w:cs="Times New Roman"/>
      <w:b/>
      <w:bCs/>
      <w:kern w:val="0"/>
      <w:sz w:val="24"/>
      <w:szCs w:val="24"/>
    </w:rPr>
  </w:style>
  <w:style w:type="character" w:customStyle="1" w:styleId="75">
    <w:name w:val="标题 7 Char"/>
    <w:basedOn w:val="49"/>
    <w:link w:val="8"/>
    <w:autoRedefine/>
    <w:qFormat/>
    <w:uiPriority w:val="0"/>
    <w:rPr>
      <w:rFonts w:ascii="Times New Roman" w:hAnsi="Times New Roman" w:eastAsia="宋体" w:cs="Times New Roman"/>
      <w:b/>
      <w:bCs/>
      <w:kern w:val="0"/>
      <w:sz w:val="24"/>
      <w:szCs w:val="24"/>
    </w:rPr>
  </w:style>
  <w:style w:type="character" w:customStyle="1" w:styleId="76">
    <w:name w:val="标题 8 Char"/>
    <w:basedOn w:val="49"/>
    <w:link w:val="9"/>
    <w:qFormat/>
    <w:uiPriority w:val="0"/>
    <w:rPr>
      <w:rFonts w:ascii="Arial" w:hAnsi="Arial" w:eastAsia="黑体" w:cs="Times New Roman"/>
      <w:kern w:val="0"/>
      <w:sz w:val="24"/>
      <w:szCs w:val="24"/>
    </w:rPr>
  </w:style>
  <w:style w:type="character" w:customStyle="1" w:styleId="77">
    <w:name w:val="标题 9 Char"/>
    <w:basedOn w:val="49"/>
    <w:link w:val="10"/>
    <w:qFormat/>
    <w:uiPriority w:val="0"/>
    <w:rPr>
      <w:rFonts w:ascii="Arial" w:hAnsi="Arial" w:eastAsia="黑体" w:cs="Times New Roman"/>
      <w:kern w:val="0"/>
      <w:szCs w:val="21"/>
    </w:rPr>
  </w:style>
  <w:style w:type="character" w:customStyle="1" w:styleId="78">
    <w:name w:val="批注文字 Char"/>
    <w:autoRedefine/>
    <w:qFormat/>
    <w:uiPriority w:val="0"/>
    <w:rPr>
      <w:szCs w:val="24"/>
    </w:rPr>
  </w:style>
  <w:style w:type="character" w:customStyle="1" w:styleId="79">
    <w:name w:val="批注文字 Char3"/>
    <w:basedOn w:val="49"/>
    <w:autoRedefine/>
    <w:semiHidden/>
    <w:qFormat/>
    <w:uiPriority w:val="99"/>
    <w:rPr>
      <w:rFonts w:ascii="Times New Roman" w:hAnsi="Times New Roman" w:eastAsia="宋体" w:cs="Times New Roman"/>
      <w:szCs w:val="24"/>
    </w:rPr>
  </w:style>
  <w:style w:type="character" w:customStyle="1" w:styleId="80">
    <w:name w:val="文档结构图 Char4"/>
    <w:basedOn w:val="49"/>
    <w:autoRedefine/>
    <w:semiHidden/>
    <w:qFormat/>
    <w:uiPriority w:val="99"/>
    <w:rPr>
      <w:rFonts w:ascii="宋体" w:hAnsi="Times New Roman" w:eastAsia="宋体" w:cs="Times New Roman"/>
      <w:sz w:val="18"/>
      <w:szCs w:val="18"/>
    </w:rPr>
  </w:style>
  <w:style w:type="character" w:customStyle="1" w:styleId="81">
    <w:name w:val="正文文本 Char2"/>
    <w:basedOn w:val="49"/>
    <w:autoRedefine/>
    <w:qFormat/>
    <w:uiPriority w:val="99"/>
    <w:rPr>
      <w:kern w:val="2"/>
      <w:sz w:val="21"/>
      <w:szCs w:val="24"/>
    </w:rPr>
  </w:style>
  <w:style w:type="character" w:customStyle="1" w:styleId="82">
    <w:name w:val="批注主题 Char4"/>
    <w:basedOn w:val="79"/>
    <w:autoRedefine/>
    <w:semiHidden/>
    <w:qFormat/>
    <w:uiPriority w:val="99"/>
    <w:rPr>
      <w:rFonts w:ascii="Times New Roman" w:hAnsi="Times New Roman" w:eastAsia="宋体" w:cs="Times New Roman"/>
      <w:b/>
      <w:bCs/>
      <w:szCs w:val="24"/>
    </w:rPr>
  </w:style>
  <w:style w:type="character" w:customStyle="1" w:styleId="83">
    <w:name w:val="正文文本 Char3"/>
    <w:basedOn w:val="49"/>
    <w:autoRedefine/>
    <w:semiHidden/>
    <w:qFormat/>
    <w:uiPriority w:val="99"/>
    <w:rPr>
      <w:rFonts w:ascii="Times New Roman" w:hAnsi="Times New Roman" w:eastAsia="宋体" w:cs="Times New Roman"/>
      <w:szCs w:val="24"/>
    </w:rPr>
  </w:style>
  <w:style w:type="character" w:customStyle="1" w:styleId="84">
    <w:name w:val="标题 Char2"/>
    <w:basedOn w:val="49"/>
    <w:autoRedefine/>
    <w:qFormat/>
    <w:uiPriority w:val="10"/>
    <w:rPr>
      <w:rFonts w:ascii="Cambria" w:hAnsi="Cambria" w:eastAsia="宋体" w:cs="Times New Roman"/>
      <w:b/>
      <w:bCs/>
      <w:sz w:val="32"/>
      <w:szCs w:val="32"/>
    </w:rPr>
  </w:style>
  <w:style w:type="character" w:customStyle="1" w:styleId="85">
    <w:name w:val="副标题 Char2"/>
    <w:basedOn w:val="49"/>
    <w:qFormat/>
    <w:uiPriority w:val="11"/>
    <w:rPr>
      <w:rFonts w:ascii="Cambria" w:hAnsi="Cambria" w:eastAsia="宋体" w:cs="Times New Roman"/>
      <w:b/>
      <w:bCs/>
      <w:kern w:val="28"/>
      <w:sz w:val="32"/>
      <w:szCs w:val="32"/>
    </w:rPr>
  </w:style>
  <w:style w:type="character" w:customStyle="1" w:styleId="86">
    <w:name w:val="正文文本 Char"/>
    <w:basedOn w:val="49"/>
    <w:autoRedefine/>
    <w:qFormat/>
    <w:uiPriority w:val="0"/>
    <w:rPr>
      <w:rFonts w:cs="Mangal"/>
      <w:szCs w:val="18"/>
      <w:lang w:eastAsia="hi-IN" w:bidi="hi-IN"/>
    </w:rPr>
  </w:style>
  <w:style w:type="character" w:customStyle="1" w:styleId="87">
    <w:name w:val="批注文字 Char1"/>
    <w:basedOn w:val="49"/>
    <w:autoRedefine/>
    <w:qFormat/>
    <w:uiPriority w:val="99"/>
    <w:rPr>
      <w:kern w:val="2"/>
      <w:sz w:val="21"/>
      <w:szCs w:val="24"/>
    </w:rPr>
  </w:style>
  <w:style w:type="character" w:customStyle="1" w:styleId="88">
    <w:name w:val="引用 Char"/>
    <w:qFormat/>
    <w:uiPriority w:val="0"/>
    <w:rPr>
      <w:i/>
      <w:iCs/>
      <w:color w:val="000000"/>
    </w:rPr>
  </w:style>
  <w:style w:type="paragraph" w:styleId="89">
    <w:name w:val="Quote"/>
    <w:basedOn w:val="1"/>
    <w:next w:val="1"/>
    <w:link w:val="181"/>
    <w:autoRedefine/>
    <w:qFormat/>
    <w:uiPriority w:val="0"/>
    <w:rPr>
      <w:rFonts w:asciiTheme="minorHAnsi" w:hAnsiTheme="minorHAnsi" w:eastAsiaTheme="minorEastAsia" w:cstheme="minorBidi"/>
      <w:i/>
      <w:iCs/>
      <w:color w:val="000000"/>
      <w:szCs w:val="22"/>
    </w:rPr>
  </w:style>
  <w:style w:type="character" w:customStyle="1" w:styleId="90">
    <w:name w:val="textcontents"/>
    <w:autoRedefine/>
    <w:qFormat/>
    <w:uiPriority w:val="0"/>
    <w:rPr>
      <w:rFonts w:cs="Times New Roman"/>
    </w:rPr>
  </w:style>
  <w:style w:type="character" w:customStyle="1" w:styleId="91">
    <w:name w:val="正文文本 3 Char"/>
    <w:basedOn w:val="49"/>
    <w:autoRedefine/>
    <w:qFormat/>
    <w:uiPriority w:val="0"/>
    <w:rPr>
      <w:sz w:val="16"/>
      <w:szCs w:val="16"/>
    </w:rPr>
  </w:style>
  <w:style w:type="character" w:customStyle="1" w:styleId="92">
    <w:name w:val="正文文本缩进 Char"/>
    <w:basedOn w:val="49"/>
    <w:autoRedefine/>
    <w:qFormat/>
    <w:uiPriority w:val="0"/>
    <w:rPr>
      <w:szCs w:val="24"/>
    </w:rPr>
  </w:style>
  <w:style w:type="character" w:customStyle="1" w:styleId="93">
    <w:name w:val="副标题 Char1"/>
    <w:basedOn w:val="49"/>
    <w:autoRedefine/>
    <w:qFormat/>
    <w:uiPriority w:val="11"/>
    <w:rPr>
      <w:rFonts w:ascii="Cambria" w:hAnsi="Cambria" w:cs="Times New Roman"/>
      <w:b/>
      <w:bCs/>
      <w:kern w:val="28"/>
      <w:sz w:val="32"/>
      <w:szCs w:val="32"/>
    </w:rPr>
  </w:style>
  <w:style w:type="character" w:customStyle="1" w:styleId="94">
    <w:name w:val="文档结构图 Char"/>
    <w:autoRedefine/>
    <w:qFormat/>
    <w:uiPriority w:val="0"/>
    <w:rPr>
      <w:szCs w:val="24"/>
      <w:shd w:val="clear" w:color="auto" w:fill="000080"/>
    </w:rPr>
  </w:style>
  <w:style w:type="character" w:customStyle="1" w:styleId="95">
    <w:name w:val="日期 Char"/>
    <w:autoRedefine/>
    <w:qFormat/>
    <w:uiPriority w:val="0"/>
    <w:rPr>
      <w:szCs w:val="24"/>
    </w:rPr>
  </w:style>
  <w:style w:type="character" w:customStyle="1" w:styleId="96">
    <w:name w:val="正文文本缩进 Char1"/>
    <w:basedOn w:val="49"/>
    <w:autoRedefine/>
    <w:qFormat/>
    <w:uiPriority w:val="0"/>
    <w:rPr>
      <w:kern w:val="2"/>
      <w:sz w:val="21"/>
      <w:szCs w:val="24"/>
    </w:rPr>
  </w:style>
  <w:style w:type="character" w:customStyle="1" w:styleId="97">
    <w:name w:val="明显引用 Char"/>
    <w:autoRedefine/>
    <w:qFormat/>
    <w:uiPriority w:val="0"/>
    <w:rPr>
      <w:b/>
      <w:bCs/>
      <w:i/>
      <w:iCs/>
      <w:color w:val="4F81BD"/>
    </w:rPr>
  </w:style>
  <w:style w:type="paragraph" w:styleId="98">
    <w:name w:val="Intense Quote"/>
    <w:basedOn w:val="1"/>
    <w:next w:val="1"/>
    <w:link w:val="18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99">
    <w:name w:val="副标题 Char"/>
    <w:autoRedefine/>
    <w:qFormat/>
    <w:uiPriority w:val="0"/>
    <w:rPr>
      <w:rFonts w:ascii="Cambria" w:hAnsi="Cambria" w:cs="Nimbus Sans L"/>
      <w:b/>
      <w:bCs/>
      <w:kern w:val="28"/>
      <w:sz w:val="32"/>
      <w:szCs w:val="32"/>
      <w:lang w:bidi="he-IL"/>
    </w:rPr>
  </w:style>
  <w:style w:type="character" w:customStyle="1" w:styleId="100">
    <w:name w:val="引用 Char3"/>
    <w:basedOn w:val="49"/>
    <w:autoRedefine/>
    <w:qFormat/>
    <w:uiPriority w:val="29"/>
    <w:rPr>
      <w:rFonts w:ascii="Times New Roman" w:hAnsi="Times New Roman" w:eastAsia="宋体" w:cs="Times New Roman"/>
      <w:i/>
      <w:iCs/>
      <w:color w:val="000000"/>
      <w:szCs w:val="24"/>
    </w:rPr>
  </w:style>
  <w:style w:type="character" w:customStyle="1" w:styleId="101">
    <w:name w:val="不明显强调1"/>
    <w:autoRedefine/>
    <w:qFormat/>
    <w:uiPriority w:val="0"/>
    <w:rPr>
      <w:i/>
      <w:iCs/>
      <w:color w:val="808080"/>
    </w:rPr>
  </w:style>
  <w:style w:type="character" w:customStyle="1" w:styleId="102">
    <w:name w:val="明显强调1"/>
    <w:autoRedefine/>
    <w:qFormat/>
    <w:uiPriority w:val="0"/>
    <w:rPr>
      <w:b/>
      <w:bCs/>
      <w:i/>
      <w:iCs/>
      <w:color w:val="4F81BD"/>
    </w:rPr>
  </w:style>
  <w:style w:type="character" w:customStyle="1" w:styleId="103">
    <w:name w:val="正文文本缩进 3 Char"/>
    <w:basedOn w:val="49"/>
    <w:autoRedefine/>
    <w:qFormat/>
    <w:uiPriority w:val="0"/>
    <w:rPr>
      <w:sz w:val="16"/>
      <w:szCs w:val="16"/>
    </w:rPr>
  </w:style>
  <w:style w:type="character" w:customStyle="1" w:styleId="104">
    <w:name w:val="批注框文本 Char3"/>
    <w:basedOn w:val="49"/>
    <w:autoRedefine/>
    <w:qFormat/>
    <w:uiPriority w:val="0"/>
    <w:rPr>
      <w:kern w:val="2"/>
      <w:sz w:val="18"/>
      <w:szCs w:val="18"/>
    </w:rPr>
  </w:style>
  <w:style w:type="character" w:customStyle="1" w:styleId="105">
    <w:name w:val="正文文本 2 Char"/>
    <w:basedOn w:val="49"/>
    <w:autoRedefine/>
    <w:qFormat/>
    <w:uiPriority w:val="0"/>
    <w:rPr>
      <w:rFonts w:ascii="宋体" w:hAnsi="宋体" w:cs="宋体"/>
      <w:sz w:val="24"/>
      <w:szCs w:val="24"/>
    </w:rPr>
  </w:style>
  <w:style w:type="character" w:customStyle="1" w:styleId="106">
    <w:name w:val="明显引用 Char2"/>
    <w:basedOn w:val="49"/>
    <w:autoRedefine/>
    <w:qFormat/>
    <w:uiPriority w:val="30"/>
    <w:rPr>
      <w:b/>
      <w:bCs/>
      <w:i/>
      <w:iCs/>
      <w:color w:val="4F81BD"/>
      <w:kern w:val="2"/>
      <w:sz w:val="21"/>
      <w:szCs w:val="24"/>
    </w:rPr>
  </w:style>
  <w:style w:type="character" w:customStyle="1" w:styleId="107">
    <w:name w:val="批注主题 Char3"/>
    <w:basedOn w:val="108"/>
    <w:autoRedefine/>
    <w:qFormat/>
    <w:uiPriority w:val="0"/>
    <w:rPr>
      <w:b/>
      <w:bCs/>
      <w:kern w:val="2"/>
      <w:sz w:val="21"/>
      <w:szCs w:val="24"/>
    </w:rPr>
  </w:style>
  <w:style w:type="character" w:customStyle="1" w:styleId="108">
    <w:name w:val="批注文字 Char2"/>
    <w:basedOn w:val="49"/>
    <w:autoRedefine/>
    <w:qFormat/>
    <w:uiPriority w:val="0"/>
    <w:rPr>
      <w:kern w:val="2"/>
      <w:sz w:val="21"/>
      <w:szCs w:val="24"/>
    </w:rPr>
  </w:style>
  <w:style w:type="character" w:customStyle="1" w:styleId="109">
    <w:name w:val="批注主题 Char2"/>
    <w:basedOn w:val="87"/>
    <w:autoRedefine/>
    <w:qFormat/>
    <w:uiPriority w:val="99"/>
    <w:rPr>
      <w:b/>
      <w:bCs/>
      <w:kern w:val="2"/>
      <w:sz w:val="21"/>
      <w:szCs w:val="24"/>
    </w:rPr>
  </w:style>
  <w:style w:type="character" w:customStyle="1" w:styleId="110">
    <w:name w:val="批注主题 Char"/>
    <w:autoRedefine/>
    <w:qFormat/>
    <w:uiPriority w:val="0"/>
    <w:rPr>
      <w:rFonts w:ascii="宋体"/>
      <w:b/>
      <w:bCs/>
      <w:sz w:val="28"/>
    </w:rPr>
  </w:style>
  <w:style w:type="character" w:customStyle="1" w:styleId="111">
    <w:name w:val="正文文本缩进 3 Char1"/>
    <w:basedOn w:val="49"/>
    <w:autoRedefine/>
    <w:qFormat/>
    <w:uiPriority w:val="0"/>
    <w:rPr>
      <w:kern w:val="2"/>
      <w:sz w:val="16"/>
      <w:szCs w:val="16"/>
    </w:rPr>
  </w:style>
  <w:style w:type="character" w:customStyle="1" w:styleId="112">
    <w:name w:val="正文文本缩进 Char2"/>
    <w:basedOn w:val="49"/>
    <w:autoRedefine/>
    <w:semiHidden/>
    <w:qFormat/>
    <w:uiPriority w:val="99"/>
    <w:rPr>
      <w:rFonts w:ascii="Times New Roman" w:hAnsi="Times New Roman" w:eastAsia="宋体" w:cs="Times New Roman"/>
      <w:szCs w:val="24"/>
    </w:rPr>
  </w:style>
  <w:style w:type="character" w:customStyle="1" w:styleId="113">
    <w:name w:val="书籍标题1"/>
    <w:autoRedefine/>
    <w:qFormat/>
    <w:uiPriority w:val="0"/>
    <w:rPr>
      <w:b/>
      <w:bCs/>
      <w:smallCaps/>
      <w:spacing w:val="5"/>
    </w:rPr>
  </w:style>
  <w:style w:type="character" w:customStyle="1" w:styleId="114">
    <w:name w:val="文档结构图 Char3"/>
    <w:basedOn w:val="49"/>
    <w:autoRedefine/>
    <w:qFormat/>
    <w:uiPriority w:val="0"/>
    <w:rPr>
      <w:rFonts w:ascii="宋体"/>
      <w:kern w:val="2"/>
      <w:sz w:val="18"/>
      <w:szCs w:val="18"/>
    </w:rPr>
  </w:style>
  <w:style w:type="character" w:customStyle="1" w:styleId="115">
    <w:name w:val="纯文本 Char1"/>
    <w:basedOn w:val="49"/>
    <w:autoRedefine/>
    <w:qFormat/>
    <w:uiPriority w:val="0"/>
    <w:rPr>
      <w:rFonts w:ascii="宋体" w:hAnsi="Courier New" w:cs="Courier New"/>
      <w:kern w:val="2"/>
      <w:sz w:val="21"/>
      <w:szCs w:val="21"/>
    </w:rPr>
  </w:style>
  <w:style w:type="character" w:customStyle="1" w:styleId="116">
    <w:name w:val="页脚 Char2"/>
    <w:basedOn w:val="49"/>
    <w:autoRedefine/>
    <w:qFormat/>
    <w:uiPriority w:val="0"/>
    <w:rPr>
      <w:kern w:val="2"/>
      <w:sz w:val="18"/>
      <w:szCs w:val="18"/>
    </w:rPr>
  </w:style>
  <w:style w:type="character" w:customStyle="1" w:styleId="117">
    <w:name w:val="Char Char18"/>
    <w:autoRedefine/>
    <w:qFormat/>
    <w:uiPriority w:val="0"/>
    <w:rPr>
      <w:rFonts w:ascii="Calibri" w:hAnsi="Calibri" w:eastAsia="宋体"/>
      <w:b/>
      <w:bCs/>
      <w:kern w:val="44"/>
      <w:sz w:val="44"/>
      <w:szCs w:val="44"/>
      <w:lang w:val="en-US" w:eastAsia="zh-CN" w:bidi="ar-SA"/>
    </w:rPr>
  </w:style>
  <w:style w:type="character" w:customStyle="1" w:styleId="118">
    <w:name w:val="日期 Char1"/>
    <w:autoRedefine/>
    <w:qFormat/>
    <w:uiPriority w:val="0"/>
    <w:rPr>
      <w:kern w:val="2"/>
      <w:sz w:val="21"/>
      <w:szCs w:val="22"/>
    </w:rPr>
  </w:style>
  <w:style w:type="character" w:customStyle="1" w:styleId="119">
    <w:name w:val="批注框文本 Char1"/>
    <w:autoRedefine/>
    <w:qFormat/>
    <w:uiPriority w:val="0"/>
    <w:rPr>
      <w:kern w:val="2"/>
      <w:sz w:val="18"/>
      <w:szCs w:val="18"/>
    </w:rPr>
  </w:style>
  <w:style w:type="character" w:customStyle="1" w:styleId="120">
    <w:name w:val="标题5 Char Char"/>
    <w:link w:val="121"/>
    <w:autoRedefine/>
    <w:qFormat/>
    <w:uiPriority w:val="0"/>
    <w:rPr>
      <w:rFonts w:ascii="Arial" w:hAnsi="Arial"/>
      <w:b/>
      <w:bCs/>
      <w:sz w:val="24"/>
      <w:szCs w:val="32"/>
    </w:rPr>
  </w:style>
  <w:style w:type="paragraph" w:customStyle="1" w:styleId="121">
    <w:name w:val="标题5"/>
    <w:basedOn w:val="4"/>
    <w:link w:val="120"/>
    <w:autoRedefine/>
    <w:qFormat/>
    <w:uiPriority w:val="0"/>
    <w:pPr>
      <w:spacing w:before="260" w:after="260" w:line="413" w:lineRule="auto"/>
      <w:ind w:firstLine="0"/>
    </w:pPr>
    <w:rPr>
      <w:rFonts w:ascii="Arial" w:hAnsi="Arial" w:eastAsiaTheme="minorEastAsia" w:cstheme="minorBidi"/>
      <w:szCs w:val="32"/>
    </w:rPr>
  </w:style>
  <w:style w:type="character" w:customStyle="1" w:styleId="122">
    <w:name w:val="文档结构图 Char1"/>
    <w:qFormat/>
    <w:uiPriority w:val="0"/>
    <w:rPr>
      <w:rFonts w:ascii="宋体"/>
      <w:kern w:val="2"/>
      <w:sz w:val="18"/>
      <w:szCs w:val="18"/>
    </w:rPr>
  </w:style>
  <w:style w:type="character" w:customStyle="1" w:styleId="123">
    <w:name w:val="正文文本 2 Char1"/>
    <w:basedOn w:val="49"/>
    <w:autoRedefine/>
    <w:qFormat/>
    <w:uiPriority w:val="0"/>
    <w:rPr>
      <w:kern w:val="2"/>
      <w:sz w:val="21"/>
      <w:szCs w:val="24"/>
    </w:rPr>
  </w:style>
  <w:style w:type="character" w:customStyle="1" w:styleId="124">
    <w:name w:val="明显参考1"/>
    <w:autoRedefine/>
    <w:qFormat/>
    <w:uiPriority w:val="0"/>
    <w:rPr>
      <w:b/>
      <w:bCs/>
      <w:smallCaps/>
      <w:color w:val="C0504D"/>
      <w:spacing w:val="5"/>
      <w:u w:val="single"/>
    </w:rPr>
  </w:style>
  <w:style w:type="character" w:customStyle="1" w:styleId="125">
    <w:name w:val="引用 Char2"/>
    <w:basedOn w:val="49"/>
    <w:autoRedefine/>
    <w:qFormat/>
    <w:uiPriority w:val="29"/>
    <w:rPr>
      <w:i/>
      <w:iCs/>
      <w:color w:val="000000"/>
      <w:kern w:val="2"/>
      <w:sz w:val="21"/>
      <w:szCs w:val="24"/>
    </w:rPr>
  </w:style>
  <w:style w:type="character" w:customStyle="1" w:styleId="126">
    <w:name w:val="日期 Char4"/>
    <w:basedOn w:val="49"/>
    <w:autoRedefine/>
    <w:semiHidden/>
    <w:qFormat/>
    <w:uiPriority w:val="99"/>
    <w:rPr>
      <w:rFonts w:ascii="Times New Roman" w:hAnsi="Times New Roman" w:eastAsia="宋体" w:cs="Times New Roman"/>
      <w:szCs w:val="24"/>
    </w:rPr>
  </w:style>
  <w:style w:type="character" w:customStyle="1" w:styleId="127">
    <w:name w:val="正文文本 Char1"/>
    <w:qFormat/>
    <w:uiPriority w:val="0"/>
    <w:rPr>
      <w:kern w:val="2"/>
      <w:sz w:val="21"/>
      <w:szCs w:val="22"/>
    </w:rPr>
  </w:style>
  <w:style w:type="character" w:customStyle="1" w:styleId="128">
    <w:name w:val="正文文本缩进 2 Char1"/>
    <w:basedOn w:val="49"/>
    <w:autoRedefine/>
    <w:qFormat/>
    <w:uiPriority w:val="0"/>
    <w:rPr>
      <w:kern w:val="2"/>
      <w:sz w:val="21"/>
      <w:szCs w:val="24"/>
    </w:rPr>
  </w:style>
  <w:style w:type="character" w:customStyle="1" w:styleId="129">
    <w:name w:val="font161"/>
    <w:basedOn w:val="49"/>
    <w:qFormat/>
    <w:uiPriority w:val="0"/>
    <w:rPr>
      <w:b/>
      <w:bCs/>
      <w:sz w:val="32"/>
      <w:szCs w:val="32"/>
    </w:rPr>
  </w:style>
  <w:style w:type="character" w:customStyle="1" w:styleId="130">
    <w:name w:val="标题 Char"/>
    <w:qFormat/>
    <w:uiPriority w:val="0"/>
    <w:rPr>
      <w:rFonts w:ascii="Arial" w:hAnsi="Arial" w:cs="Nimbus Sans L"/>
      <w:b/>
      <w:sz w:val="32"/>
    </w:rPr>
  </w:style>
  <w:style w:type="character" w:customStyle="1" w:styleId="131">
    <w:name w:val="正文文本缩进 2 Char"/>
    <w:basedOn w:val="49"/>
    <w:autoRedefine/>
    <w:qFormat/>
    <w:uiPriority w:val="0"/>
    <w:rPr>
      <w:sz w:val="28"/>
    </w:rPr>
  </w:style>
  <w:style w:type="character" w:customStyle="1" w:styleId="132">
    <w:name w:val="不明显参考1"/>
    <w:autoRedefine/>
    <w:qFormat/>
    <w:uiPriority w:val="0"/>
    <w:rPr>
      <w:smallCaps/>
      <w:color w:val="C0504D"/>
      <w:u w:val="single"/>
    </w:rPr>
  </w:style>
  <w:style w:type="character" w:customStyle="1" w:styleId="133">
    <w:name w:val="批注框文本 Char4"/>
    <w:basedOn w:val="49"/>
    <w:semiHidden/>
    <w:qFormat/>
    <w:uiPriority w:val="99"/>
    <w:rPr>
      <w:rFonts w:ascii="Times New Roman" w:hAnsi="Times New Roman" w:eastAsia="宋体" w:cs="Times New Roman"/>
      <w:sz w:val="18"/>
      <w:szCs w:val="18"/>
    </w:rPr>
  </w:style>
  <w:style w:type="character" w:customStyle="1" w:styleId="134">
    <w:name w:val="正文文本 2 Char2"/>
    <w:basedOn w:val="49"/>
    <w:autoRedefine/>
    <w:semiHidden/>
    <w:qFormat/>
    <w:uiPriority w:val="99"/>
    <w:rPr>
      <w:rFonts w:ascii="Times New Roman" w:hAnsi="Times New Roman" w:eastAsia="宋体" w:cs="Times New Roman"/>
      <w:szCs w:val="24"/>
    </w:rPr>
  </w:style>
  <w:style w:type="character" w:customStyle="1" w:styleId="135">
    <w:name w:val="批注框文本 Char2"/>
    <w:basedOn w:val="49"/>
    <w:qFormat/>
    <w:uiPriority w:val="99"/>
    <w:rPr>
      <w:kern w:val="2"/>
      <w:sz w:val="18"/>
      <w:szCs w:val="18"/>
    </w:rPr>
  </w:style>
  <w:style w:type="character" w:customStyle="1" w:styleId="136">
    <w:name w:val="明显引用 Char3"/>
    <w:basedOn w:val="49"/>
    <w:qFormat/>
    <w:uiPriority w:val="30"/>
    <w:rPr>
      <w:rFonts w:ascii="Times New Roman" w:hAnsi="Times New Roman" w:eastAsia="宋体" w:cs="Times New Roman"/>
      <w:b/>
      <w:bCs/>
      <w:i/>
      <w:iCs/>
      <w:color w:val="4F81BD"/>
      <w:szCs w:val="24"/>
    </w:rPr>
  </w:style>
  <w:style w:type="character" w:customStyle="1" w:styleId="137">
    <w:name w:val="日期 Char3"/>
    <w:basedOn w:val="49"/>
    <w:qFormat/>
    <w:uiPriority w:val="0"/>
    <w:rPr>
      <w:kern w:val="2"/>
      <w:sz w:val="21"/>
      <w:szCs w:val="24"/>
    </w:rPr>
  </w:style>
  <w:style w:type="character" w:customStyle="1" w:styleId="138">
    <w:name w:val="正文文本 3 Char1"/>
    <w:basedOn w:val="49"/>
    <w:qFormat/>
    <w:uiPriority w:val="0"/>
    <w:rPr>
      <w:kern w:val="2"/>
      <w:sz w:val="16"/>
      <w:szCs w:val="16"/>
    </w:rPr>
  </w:style>
  <w:style w:type="character" w:customStyle="1" w:styleId="139">
    <w:name w:val="明显引用 Char1"/>
    <w:basedOn w:val="49"/>
    <w:autoRedefine/>
    <w:qFormat/>
    <w:uiPriority w:val="30"/>
    <w:rPr>
      <w:b/>
      <w:bCs/>
      <w:i/>
      <w:iCs/>
      <w:color w:val="4F81BD"/>
      <w:kern w:val="2"/>
      <w:sz w:val="21"/>
      <w:szCs w:val="24"/>
    </w:rPr>
  </w:style>
  <w:style w:type="character" w:customStyle="1" w:styleId="140">
    <w:name w:val="正文文本缩进 3 Char2"/>
    <w:basedOn w:val="49"/>
    <w:semiHidden/>
    <w:qFormat/>
    <w:uiPriority w:val="99"/>
    <w:rPr>
      <w:rFonts w:ascii="Times New Roman" w:hAnsi="Times New Roman" w:eastAsia="宋体" w:cs="Times New Roman"/>
      <w:sz w:val="16"/>
      <w:szCs w:val="16"/>
    </w:rPr>
  </w:style>
  <w:style w:type="character" w:customStyle="1" w:styleId="141">
    <w:name w:val="引用 Char1"/>
    <w:basedOn w:val="49"/>
    <w:autoRedefine/>
    <w:qFormat/>
    <w:uiPriority w:val="29"/>
    <w:rPr>
      <w:i/>
      <w:iCs/>
      <w:color w:val="000000"/>
      <w:kern w:val="2"/>
      <w:sz w:val="21"/>
      <w:szCs w:val="24"/>
    </w:rPr>
  </w:style>
  <w:style w:type="character" w:customStyle="1" w:styleId="142">
    <w:name w:val="Char Char17"/>
    <w:autoRedefine/>
    <w:qFormat/>
    <w:uiPriority w:val="0"/>
    <w:rPr>
      <w:rFonts w:ascii="Cambria" w:hAnsi="Cambria" w:eastAsia="宋体"/>
      <w:b/>
      <w:bCs/>
      <w:kern w:val="2"/>
      <w:sz w:val="32"/>
      <w:szCs w:val="32"/>
      <w:lang w:val="en-US" w:eastAsia="zh-CN" w:bidi="ar-SA"/>
    </w:rPr>
  </w:style>
  <w:style w:type="character" w:customStyle="1" w:styleId="143">
    <w:name w:val="正文文本 3 Char2"/>
    <w:basedOn w:val="49"/>
    <w:autoRedefine/>
    <w:qFormat/>
    <w:uiPriority w:val="0"/>
    <w:rPr>
      <w:kern w:val="2"/>
      <w:sz w:val="16"/>
      <w:szCs w:val="16"/>
    </w:rPr>
  </w:style>
  <w:style w:type="character" w:customStyle="1" w:styleId="144">
    <w:name w:val="正文文本缩进 2 Char2"/>
    <w:basedOn w:val="49"/>
    <w:autoRedefine/>
    <w:semiHidden/>
    <w:qFormat/>
    <w:uiPriority w:val="99"/>
    <w:rPr>
      <w:rFonts w:ascii="Times New Roman" w:hAnsi="Times New Roman" w:eastAsia="宋体" w:cs="Times New Roman"/>
      <w:szCs w:val="24"/>
    </w:rPr>
  </w:style>
  <w:style w:type="character" w:customStyle="1" w:styleId="145">
    <w:name w:val="页眉 Char2"/>
    <w:basedOn w:val="49"/>
    <w:autoRedefine/>
    <w:qFormat/>
    <w:uiPriority w:val="0"/>
    <w:rPr>
      <w:kern w:val="2"/>
      <w:sz w:val="18"/>
      <w:szCs w:val="18"/>
    </w:rPr>
  </w:style>
  <w:style w:type="character" w:customStyle="1" w:styleId="146">
    <w:name w:val="正文文本 3 Char3"/>
    <w:basedOn w:val="49"/>
    <w:autoRedefine/>
    <w:semiHidden/>
    <w:qFormat/>
    <w:uiPriority w:val="99"/>
    <w:rPr>
      <w:rFonts w:ascii="Times New Roman" w:hAnsi="Times New Roman" w:eastAsia="宋体" w:cs="Times New Roman"/>
      <w:sz w:val="16"/>
      <w:szCs w:val="16"/>
    </w:rPr>
  </w:style>
  <w:style w:type="character" w:customStyle="1" w:styleId="147">
    <w:name w:val="标题 Char1"/>
    <w:basedOn w:val="49"/>
    <w:autoRedefine/>
    <w:qFormat/>
    <w:uiPriority w:val="10"/>
    <w:rPr>
      <w:rFonts w:ascii="Cambria" w:hAnsi="Cambria" w:cs="Times New Roman"/>
      <w:b/>
      <w:bCs/>
      <w:kern w:val="2"/>
      <w:sz w:val="32"/>
      <w:szCs w:val="32"/>
    </w:rPr>
  </w:style>
  <w:style w:type="character" w:customStyle="1" w:styleId="148">
    <w:name w:val="纯文本 Char2"/>
    <w:basedOn w:val="49"/>
    <w:autoRedefine/>
    <w:semiHidden/>
    <w:qFormat/>
    <w:uiPriority w:val="99"/>
    <w:rPr>
      <w:rFonts w:ascii="宋体" w:hAnsi="Courier New" w:eastAsia="宋体" w:cs="Courier New"/>
      <w:szCs w:val="21"/>
    </w:rPr>
  </w:style>
  <w:style w:type="character" w:customStyle="1" w:styleId="149">
    <w:name w:val="批注文字 Char Char"/>
    <w:autoRedefine/>
    <w:qFormat/>
    <w:uiPriority w:val="0"/>
    <w:rPr>
      <w:rFonts w:ascii="宋体" w:hAnsi="Times New Roman" w:eastAsia="宋体" w:cs="Times New Roman"/>
      <w:sz w:val="28"/>
      <w:szCs w:val="20"/>
    </w:rPr>
  </w:style>
  <w:style w:type="character" w:customStyle="1" w:styleId="150">
    <w:name w:val="批注主题 Char1"/>
    <w:autoRedefine/>
    <w:qFormat/>
    <w:uiPriority w:val="0"/>
    <w:rPr>
      <w:b/>
      <w:bCs/>
      <w:kern w:val="2"/>
      <w:sz w:val="21"/>
      <w:szCs w:val="22"/>
    </w:rPr>
  </w:style>
  <w:style w:type="character" w:customStyle="1" w:styleId="151">
    <w:name w:val="标题4 Char Char"/>
    <w:link w:val="152"/>
    <w:autoRedefine/>
    <w:qFormat/>
    <w:uiPriority w:val="0"/>
    <w:rPr>
      <w:rFonts w:ascii="Arial" w:hAnsi="Arial"/>
      <w:b/>
      <w:bCs/>
      <w:sz w:val="24"/>
      <w:szCs w:val="32"/>
    </w:rPr>
  </w:style>
  <w:style w:type="paragraph" w:customStyle="1" w:styleId="152">
    <w:name w:val="标题4"/>
    <w:basedOn w:val="3"/>
    <w:next w:val="22"/>
    <w:link w:val="151"/>
    <w:qFormat/>
    <w:uiPriority w:val="0"/>
    <w:pPr>
      <w:spacing w:before="260" w:after="260" w:line="413" w:lineRule="auto"/>
    </w:pPr>
    <w:rPr>
      <w:rFonts w:ascii="Arial" w:eastAsiaTheme="minorEastAsia" w:cstheme="minorBidi"/>
      <w:sz w:val="24"/>
      <w:szCs w:val="32"/>
    </w:rPr>
  </w:style>
  <w:style w:type="character" w:customStyle="1" w:styleId="153">
    <w:name w:val="普通文字 Char"/>
    <w:basedOn w:val="49"/>
    <w:autoRedefine/>
    <w:qFormat/>
    <w:uiPriority w:val="0"/>
    <w:rPr>
      <w:rFonts w:ascii="宋体" w:hAnsi="Courier New" w:eastAsia="幼圆"/>
      <w:kern w:val="2"/>
      <w:sz w:val="21"/>
      <w:lang w:val="en-US" w:eastAsia="zh-CN" w:bidi="ar-SA"/>
    </w:rPr>
  </w:style>
  <w:style w:type="character" w:customStyle="1" w:styleId="154">
    <w:name w:val="正文文本缩进 2 Char3"/>
    <w:basedOn w:val="49"/>
    <w:link w:val="28"/>
    <w:semiHidden/>
    <w:qFormat/>
    <w:uiPriority w:val="99"/>
    <w:rPr>
      <w:rFonts w:ascii="Times New Roman" w:hAnsi="Times New Roman" w:eastAsia="宋体" w:cs="Times New Roman"/>
      <w:szCs w:val="21"/>
    </w:rPr>
  </w:style>
  <w:style w:type="paragraph" w:customStyle="1" w:styleId="155">
    <w:name w:val="Char"/>
    <w:basedOn w:val="1"/>
    <w:qFormat/>
    <w:uiPriority w:val="0"/>
    <w:rPr>
      <w:szCs w:val="24"/>
    </w:rPr>
  </w:style>
  <w:style w:type="paragraph" w:customStyle="1" w:styleId="156">
    <w:name w:val="Char Char Char Char"/>
    <w:basedOn w:val="14"/>
    <w:qFormat/>
    <w:uiPriority w:val="0"/>
    <w:rPr>
      <w:szCs w:val="20"/>
    </w:rPr>
  </w:style>
  <w:style w:type="character" w:customStyle="1" w:styleId="157">
    <w:name w:val="标题 Char3"/>
    <w:basedOn w:val="49"/>
    <w:link w:val="44"/>
    <w:qFormat/>
    <w:uiPriority w:val="10"/>
    <w:rPr>
      <w:rFonts w:eastAsia="宋体" w:asciiTheme="majorHAnsi" w:hAnsiTheme="majorHAnsi" w:cstheme="majorBidi"/>
      <w:b/>
      <w:bCs/>
      <w:sz w:val="32"/>
      <w:szCs w:val="32"/>
    </w:rPr>
  </w:style>
  <w:style w:type="character" w:customStyle="1" w:styleId="158">
    <w:name w:val="副标题 Char3"/>
    <w:basedOn w:val="49"/>
    <w:link w:val="34"/>
    <w:qFormat/>
    <w:uiPriority w:val="11"/>
    <w:rPr>
      <w:rFonts w:eastAsia="宋体" w:asciiTheme="majorHAnsi" w:hAnsiTheme="majorHAnsi" w:cstheme="majorBidi"/>
      <w:b/>
      <w:bCs/>
      <w:kern w:val="28"/>
      <w:sz w:val="32"/>
      <w:szCs w:val="32"/>
    </w:rPr>
  </w:style>
  <w:style w:type="paragraph" w:customStyle="1" w:styleId="1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0">
    <w:name w:val="正文文本缩进 Char3"/>
    <w:basedOn w:val="49"/>
    <w:link w:val="19"/>
    <w:autoRedefine/>
    <w:semiHidden/>
    <w:qFormat/>
    <w:uiPriority w:val="99"/>
    <w:rPr>
      <w:rFonts w:ascii="Times New Roman" w:hAnsi="Times New Roman" w:eastAsia="宋体" w:cs="Times New Roman"/>
      <w:szCs w:val="21"/>
    </w:rPr>
  </w:style>
  <w:style w:type="character" w:customStyle="1" w:styleId="161">
    <w:name w:val="批注文字 Char4"/>
    <w:basedOn w:val="49"/>
    <w:link w:val="16"/>
    <w:autoRedefine/>
    <w:semiHidden/>
    <w:qFormat/>
    <w:uiPriority w:val="99"/>
    <w:rPr>
      <w:rFonts w:ascii="Times New Roman" w:hAnsi="Times New Roman" w:eastAsia="宋体" w:cs="Times New Roman"/>
      <w:szCs w:val="21"/>
    </w:rPr>
  </w:style>
  <w:style w:type="character" w:customStyle="1" w:styleId="162">
    <w:name w:val="批注主题 Char5"/>
    <w:basedOn w:val="161"/>
    <w:link w:val="45"/>
    <w:semiHidden/>
    <w:qFormat/>
    <w:uiPriority w:val="99"/>
    <w:rPr>
      <w:rFonts w:ascii="Times New Roman" w:hAnsi="Times New Roman" w:eastAsia="宋体" w:cs="Times New Roman"/>
      <w:b/>
      <w:bCs/>
      <w:szCs w:val="21"/>
    </w:rPr>
  </w:style>
  <w:style w:type="character" w:customStyle="1" w:styleId="163">
    <w:name w:val="日期 Char2"/>
    <w:basedOn w:val="49"/>
    <w:link w:val="27"/>
    <w:semiHidden/>
    <w:qFormat/>
    <w:uiPriority w:val="99"/>
    <w:rPr>
      <w:rFonts w:ascii="Times New Roman" w:hAnsi="Times New Roman" w:eastAsia="宋体" w:cs="Times New Roman"/>
      <w:szCs w:val="21"/>
    </w:rPr>
  </w:style>
  <w:style w:type="character" w:customStyle="1" w:styleId="164">
    <w:name w:val="文档结构图 Char2"/>
    <w:basedOn w:val="49"/>
    <w:link w:val="14"/>
    <w:semiHidden/>
    <w:qFormat/>
    <w:uiPriority w:val="99"/>
    <w:rPr>
      <w:rFonts w:ascii="宋体" w:hAnsi="Times New Roman" w:eastAsia="宋体" w:cs="Times New Roman"/>
      <w:sz w:val="18"/>
      <w:szCs w:val="18"/>
    </w:rPr>
  </w:style>
  <w:style w:type="character" w:customStyle="1" w:styleId="165">
    <w:name w:val="正文文本 3 Char4"/>
    <w:basedOn w:val="49"/>
    <w:link w:val="17"/>
    <w:semiHidden/>
    <w:qFormat/>
    <w:uiPriority w:val="99"/>
    <w:rPr>
      <w:rFonts w:ascii="Times New Roman" w:hAnsi="Times New Roman" w:eastAsia="宋体" w:cs="Times New Roman"/>
      <w:sz w:val="16"/>
      <w:szCs w:val="16"/>
    </w:rPr>
  </w:style>
  <w:style w:type="character" w:customStyle="1" w:styleId="166">
    <w:name w:val="正文文本 Char4"/>
    <w:basedOn w:val="49"/>
    <w:link w:val="18"/>
    <w:autoRedefine/>
    <w:semiHidden/>
    <w:qFormat/>
    <w:uiPriority w:val="99"/>
    <w:rPr>
      <w:rFonts w:ascii="Times New Roman" w:hAnsi="Times New Roman" w:eastAsia="宋体" w:cs="Times New Roman"/>
      <w:szCs w:val="21"/>
    </w:rPr>
  </w:style>
  <w:style w:type="paragraph" w:customStyle="1" w:styleId="167">
    <w:name w:val="1"/>
    <w:basedOn w:val="1"/>
    <w:qFormat/>
    <w:uiPriority w:val="0"/>
    <w:rPr>
      <w:szCs w:val="24"/>
    </w:rPr>
  </w:style>
  <w:style w:type="paragraph" w:customStyle="1" w:styleId="168">
    <w:name w:val="dash6b63_65871"/>
    <w:basedOn w:val="1"/>
    <w:autoRedefine/>
    <w:qFormat/>
    <w:uiPriority w:val="0"/>
    <w:pPr>
      <w:widowControl/>
    </w:pPr>
    <w:rPr>
      <w:rFonts w:ascii="Calibri" w:hAnsi="Calibri" w:cs="Calibri"/>
      <w:kern w:val="0"/>
      <w:sz w:val="20"/>
      <w:szCs w:val="20"/>
    </w:rPr>
  </w:style>
  <w:style w:type="paragraph" w:customStyle="1" w:styleId="169">
    <w:name w:val="正文2"/>
    <w:basedOn w:val="1"/>
    <w:autoRedefine/>
    <w:qFormat/>
    <w:uiPriority w:val="0"/>
    <w:pPr>
      <w:widowControl/>
      <w:spacing w:after="160" w:line="360" w:lineRule="auto"/>
      <w:ind w:firstLine="200" w:firstLineChars="200"/>
      <w:jc w:val="left"/>
    </w:pPr>
    <w:rPr>
      <w:szCs w:val="20"/>
    </w:rPr>
  </w:style>
  <w:style w:type="character" w:customStyle="1" w:styleId="170">
    <w:name w:val="正文文本缩进 3 Char3"/>
    <w:basedOn w:val="49"/>
    <w:link w:val="37"/>
    <w:autoRedefine/>
    <w:semiHidden/>
    <w:qFormat/>
    <w:uiPriority w:val="99"/>
    <w:rPr>
      <w:rFonts w:ascii="Times New Roman" w:hAnsi="Times New Roman" w:eastAsia="宋体" w:cs="Times New Roman"/>
      <w:sz w:val="16"/>
      <w:szCs w:val="16"/>
    </w:rPr>
  </w:style>
  <w:style w:type="paragraph" w:customStyle="1" w:styleId="171">
    <w:name w:val="默认段落字体 Para Char Char Char Char"/>
    <w:basedOn w:val="1"/>
    <w:autoRedefine/>
    <w:qFormat/>
    <w:uiPriority w:val="0"/>
    <w:rPr>
      <w:szCs w:val="24"/>
    </w:rPr>
  </w:style>
  <w:style w:type="paragraph" w:customStyle="1" w:styleId="1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3">
    <w:name w:val="List Paragraph"/>
    <w:basedOn w:val="1"/>
    <w:autoRedefine/>
    <w:qFormat/>
    <w:uiPriority w:val="34"/>
    <w:pPr>
      <w:ind w:firstLine="420" w:firstLineChars="200"/>
    </w:pPr>
    <w:rPr>
      <w:rFonts w:ascii="Calibri" w:hAnsi="Calibri"/>
      <w:szCs w:val="22"/>
    </w:rPr>
  </w:style>
  <w:style w:type="character" w:customStyle="1" w:styleId="174">
    <w:name w:val="正文文本 2 Char3"/>
    <w:basedOn w:val="49"/>
    <w:link w:val="41"/>
    <w:semiHidden/>
    <w:qFormat/>
    <w:uiPriority w:val="99"/>
    <w:rPr>
      <w:rFonts w:ascii="Times New Roman" w:hAnsi="Times New Roman" w:eastAsia="宋体" w:cs="Times New Roman"/>
      <w:szCs w:val="21"/>
    </w:rPr>
  </w:style>
  <w:style w:type="paragraph" w:customStyle="1" w:styleId="175">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表格文字"/>
    <w:basedOn w:val="1"/>
    <w:qFormat/>
    <w:uiPriority w:val="0"/>
    <w:pPr>
      <w:adjustRightInd w:val="0"/>
      <w:spacing w:line="420" w:lineRule="atLeast"/>
      <w:jc w:val="left"/>
      <w:textAlignment w:val="baseline"/>
    </w:pPr>
    <w:rPr>
      <w:kern w:val="0"/>
      <w:szCs w:val="20"/>
    </w:rPr>
  </w:style>
  <w:style w:type="paragraph" w:customStyle="1" w:styleId="178">
    <w:name w:val="_Style 43"/>
    <w:autoRedefine/>
    <w:qFormat/>
    <w:uiPriority w:val="0"/>
    <w:rPr>
      <w:rFonts w:ascii="Times New Roman" w:hAnsi="Times New Roman" w:eastAsia="宋体" w:cs="Times New Roman"/>
      <w:lang w:val="en-US" w:eastAsia="zh-CN" w:bidi="ar-SA"/>
    </w:rPr>
  </w:style>
  <w:style w:type="paragraph" w:customStyle="1" w:styleId="179">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80">
    <w:name w:val="明显引用 Char4"/>
    <w:basedOn w:val="49"/>
    <w:link w:val="98"/>
    <w:autoRedefine/>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1">
    <w:name w:val="引用 Char4"/>
    <w:basedOn w:val="49"/>
    <w:link w:val="89"/>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82">
    <w:name w:val="p0"/>
    <w:basedOn w:val="1"/>
    <w:autoRedefine/>
    <w:qFormat/>
    <w:uiPriority w:val="0"/>
  </w:style>
  <w:style w:type="paragraph" w:customStyle="1" w:styleId="183">
    <w:name w:val="修订1"/>
    <w:qFormat/>
    <w:uiPriority w:val="0"/>
    <w:rPr>
      <w:rFonts w:ascii="Times New Roman" w:hAnsi="Times New Roman" w:eastAsia="宋体" w:cs="Times New Roman"/>
      <w:kern w:val="2"/>
      <w:sz w:val="21"/>
      <w:szCs w:val="24"/>
      <w:lang w:val="en-US" w:eastAsia="zh-CN" w:bidi="ar-SA"/>
    </w:rPr>
  </w:style>
  <w:style w:type="paragraph" w:customStyle="1" w:styleId="184">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5">
    <w:name w:val="列出段落2"/>
    <w:basedOn w:val="1"/>
    <w:autoRedefine/>
    <w:unhideWhenUsed/>
    <w:qFormat/>
    <w:uiPriority w:val="99"/>
    <w:pPr>
      <w:ind w:firstLine="420" w:firstLineChars="200"/>
    </w:pPr>
    <w:rPr>
      <w:szCs w:val="24"/>
    </w:rPr>
  </w:style>
  <w:style w:type="paragraph" w:customStyle="1" w:styleId="186">
    <w:name w:val="表格"/>
    <w:basedOn w:val="1"/>
    <w:qFormat/>
    <w:uiPriority w:val="0"/>
    <w:pPr>
      <w:jc w:val="center"/>
      <w:textAlignment w:val="center"/>
    </w:pPr>
    <w:rPr>
      <w:rFonts w:ascii="华文细黑" w:hAnsi="华文细黑"/>
      <w:kern w:val="0"/>
      <w:szCs w:val="20"/>
    </w:rPr>
  </w:style>
  <w:style w:type="paragraph" w:customStyle="1" w:styleId="187">
    <w:name w:val="Char Char10 Char Char Char Char"/>
    <w:basedOn w:val="1"/>
    <w:autoRedefine/>
    <w:qFormat/>
    <w:uiPriority w:val="0"/>
    <w:rPr>
      <w:szCs w:val="24"/>
    </w:rPr>
  </w:style>
  <w:style w:type="paragraph" w:customStyle="1" w:styleId="188">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89">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0">
    <w:name w:val="Char2 Char Char Char Char Char Char"/>
    <w:basedOn w:val="1"/>
    <w:autoRedefine/>
    <w:qFormat/>
    <w:uiPriority w:val="0"/>
    <w:rPr>
      <w:rFonts w:ascii="仿宋_GB2312"/>
      <w:b/>
      <w:sz w:val="30"/>
      <w:szCs w:val="32"/>
    </w:rPr>
  </w:style>
  <w:style w:type="paragraph" w:customStyle="1" w:styleId="191">
    <w:name w:val="Char1"/>
    <w:basedOn w:val="1"/>
    <w:autoRedefine/>
    <w:qFormat/>
    <w:uiPriority w:val="0"/>
    <w:rPr>
      <w:rFonts w:ascii="Tahoma" w:hAnsi="Tahoma"/>
      <w:sz w:val="24"/>
      <w:szCs w:val="20"/>
    </w:rPr>
  </w:style>
  <w:style w:type="character" w:customStyle="1" w:styleId="192">
    <w:name w:val="正  文 Char Char"/>
    <w:link w:val="193"/>
    <w:autoRedefine/>
    <w:qFormat/>
    <w:uiPriority w:val="0"/>
    <w:rPr>
      <w:rFonts w:ascii="宋体"/>
      <w:sz w:val="24"/>
    </w:rPr>
  </w:style>
  <w:style w:type="paragraph" w:customStyle="1" w:styleId="193">
    <w:name w:val="正  文"/>
    <w:basedOn w:val="1"/>
    <w:link w:val="192"/>
    <w:autoRedefine/>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4">
    <w:name w:val="m-text"/>
    <w:basedOn w:val="49"/>
    <w:qFormat/>
    <w:uiPriority w:val="0"/>
  </w:style>
  <w:style w:type="character" w:customStyle="1" w:styleId="195">
    <w:name w:val="swapimg4"/>
    <w:basedOn w:val="49"/>
    <w:qFormat/>
    <w:uiPriority w:val="0"/>
  </w:style>
  <w:style w:type="character" w:customStyle="1" w:styleId="196">
    <w:name w:val="close"/>
    <w:basedOn w:val="49"/>
    <w:autoRedefine/>
    <w:qFormat/>
    <w:uiPriority w:val="0"/>
  </w:style>
  <w:style w:type="character" w:customStyle="1" w:styleId="197">
    <w:name w:val="menutitle10"/>
    <w:basedOn w:val="49"/>
    <w:qFormat/>
    <w:uiPriority w:val="0"/>
    <w:rPr>
      <w:color w:val="333333"/>
      <w:sz w:val="19"/>
      <w:szCs w:val="19"/>
    </w:rPr>
  </w:style>
  <w:style w:type="character" w:customStyle="1" w:styleId="198">
    <w:name w:val="menutitle11"/>
    <w:basedOn w:val="49"/>
    <w:autoRedefine/>
    <w:qFormat/>
    <w:uiPriority w:val="0"/>
    <w:rPr>
      <w:color w:val="333333"/>
      <w:sz w:val="19"/>
      <w:szCs w:val="19"/>
    </w:rPr>
  </w:style>
  <w:style w:type="character" w:customStyle="1" w:styleId="199">
    <w:name w:val="l_111"/>
    <w:basedOn w:val="49"/>
    <w:autoRedefine/>
    <w:qFormat/>
    <w:uiPriority w:val="0"/>
  </w:style>
  <w:style w:type="character" w:customStyle="1" w:styleId="200">
    <w:name w:val="searchopen"/>
    <w:basedOn w:val="49"/>
    <w:autoRedefine/>
    <w:qFormat/>
    <w:uiPriority w:val="0"/>
  </w:style>
  <w:style w:type="character" w:customStyle="1" w:styleId="201">
    <w:name w:val="searchclose"/>
    <w:basedOn w:val="49"/>
    <w:autoRedefine/>
    <w:qFormat/>
    <w:uiPriority w:val="0"/>
  </w:style>
  <w:style w:type="character" w:customStyle="1" w:styleId="202">
    <w:name w:val="l_10"/>
    <w:basedOn w:val="49"/>
    <w:autoRedefine/>
    <w:qFormat/>
    <w:uiPriority w:val="0"/>
  </w:style>
  <w:style w:type="character" w:customStyle="1" w:styleId="203">
    <w:name w:val="focus2"/>
    <w:basedOn w:val="49"/>
    <w:qFormat/>
    <w:uiPriority w:val="0"/>
    <w:rPr>
      <w:b/>
      <w:color w:val="000000"/>
    </w:rPr>
  </w:style>
  <w:style w:type="character" w:customStyle="1" w:styleId="204">
    <w:name w:val="l_1"/>
    <w:basedOn w:val="49"/>
    <w:autoRedefine/>
    <w:qFormat/>
    <w:uiPriority w:val="0"/>
  </w:style>
  <w:style w:type="character" w:customStyle="1" w:styleId="205">
    <w:name w:val="l_11"/>
    <w:basedOn w:val="49"/>
    <w:qFormat/>
    <w:uiPriority w:val="0"/>
  </w:style>
  <w:style w:type="character" w:customStyle="1" w:styleId="206">
    <w:name w:val="l_7"/>
    <w:basedOn w:val="49"/>
    <w:qFormat/>
    <w:uiPriority w:val="0"/>
  </w:style>
  <w:style w:type="character" w:customStyle="1" w:styleId="207">
    <w:name w:val="l_5"/>
    <w:basedOn w:val="49"/>
    <w:autoRedefine/>
    <w:qFormat/>
    <w:uiPriority w:val="0"/>
  </w:style>
  <w:style w:type="character" w:customStyle="1" w:styleId="208">
    <w:name w:val="icon_dljg"/>
    <w:basedOn w:val="49"/>
    <w:autoRedefine/>
    <w:qFormat/>
    <w:uiPriority w:val="0"/>
  </w:style>
  <w:style w:type="character" w:customStyle="1" w:styleId="209">
    <w:name w:val="icon_cxktbr"/>
    <w:basedOn w:val="49"/>
    <w:autoRedefine/>
    <w:qFormat/>
    <w:uiPriority w:val="0"/>
  </w:style>
  <w:style w:type="character" w:customStyle="1" w:styleId="210">
    <w:name w:val="icon_cxkcyry"/>
    <w:basedOn w:val="49"/>
    <w:qFormat/>
    <w:uiPriority w:val="0"/>
  </w:style>
  <w:style w:type="character" w:customStyle="1" w:styleId="211">
    <w:name w:val="icon_gzkj"/>
    <w:basedOn w:val="49"/>
    <w:autoRedefine/>
    <w:qFormat/>
    <w:uiPriority w:val="0"/>
  </w:style>
  <w:style w:type="character" w:customStyle="1" w:styleId="212">
    <w:name w:val="icon_lzrz"/>
    <w:basedOn w:val="49"/>
    <w:autoRedefine/>
    <w:qFormat/>
    <w:uiPriority w:val="0"/>
  </w:style>
  <w:style w:type="character" w:customStyle="1" w:styleId="213">
    <w:name w:val="icon_xglc"/>
    <w:basedOn w:val="49"/>
    <w:autoRedefine/>
    <w:qFormat/>
    <w:uiPriority w:val="0"/>
  </w:style>
  <w:style w:type="character" w:customStyle="1" w:styleId="214">
    <w:name w:val="icon_xzry"/>
    <w:basedOn w:val="49"/>
    <w:autoRedefine/>
    <w:qFormat/>
    <w:uiPriority w:val="0"/>
  </w:style>
  <w:style w:type="character" w:customStyle="1" w:styleId="215">
    <w:name w:val="l_12"/>
    <w:basedOn w:val="49"/>
    <w:autoRedefine/>
    <w:qFormat/>
    <w:uiPriority w:val="0"/>
  </w:style>
  <w:style w:type="character" w:customStyle="1" w:styleId="216">
    <w:name w:val="l_121"/>
    <w:basedOn w:val="49"/>
    <w:qFormat/>
    <w:uiPriority w:val="0"/>
  </w:style>
  <w:style w:type="character" w:customStyle="1" w:styleId="217">
    <w:name w:val="l_2"/>
    <w:basedOn w:val="49"/>
    <w:autoRedefine/>
    <w:qFormat/>
    <w:uiPriority w:val="0"/>
  </w:style>
  <w:style w:type="character" w:customStyle="1" w:styleId="218">
    <w:name w:val="l_21"/>
    <w:basedOn w:val="49"/>
    <w:autoRedefine/>
    <w:qFormat/>
    <w:uiPriority w:val="0"/>
  </w:style>
  <w:style w:type="character" w:customStyle="1" w:styleId="219">
    <w:name w:val="l_4"/>
    <w:basedOn w:val="49"/>
    <w:autoRedefine/>
    <w:qFormat/>
    <w:uiPriority w:val="0"/>
  </w:style>
  <w:style w:type="character" w:customStyle="1" w:styleId="220">
    <w:name w:val="l_41"/>
    <w:basedOn w:val="49"/>
    <w:autoRedefine/>
    <w:qFormat/>
    <w:uiPriority w:val="0"/>
  </w:style>
  <w:style w:type="character" w:customStyle="1" w:styleId="221">
    <w:name w:val="l_0"/>
    <w:basedOn w:val="49"/>
    <w:autoRedefine/>
    <w:qFormat/>
    <w:uiPriority w:val="0"/>
  </w:style>
  <w:style w:type="character" w:customStyle="1" w:styleId="222">
    <w:name w:val="l_01"/>
    <w:basedOn w:val="49"/>
    <w:autoRedefine/>
    <w:qFormat/>
    <w:uiPriority w:val="0"/>
  </w:style>
  <w:style w:type="character" w:customStyle="1" w:styleId="223">
    <w:name w:val="l_3"/>
    <w:basedOn w:val="49"/>
    <w:autoRedefine/>
    <w:qFormat/>
    <w:uiPriority w:val="0"/>
  </w:style>
  <w:style w:type="character" w:customStyle="1" w:styleId="224">
    <w:name w:val="l_31"/>
    <w:basedOn w:val="49"/>
    <w:autoRedefine/>
    <w:qFormat/>
    <w:uiPriority w:val="0"/>
  </w:style>
  <w:style w:type="character" w:customStyle="1" w:styleId="225">
    <w:name w:val="l_6"/>
    <w:basedOn w:val="49"/>
    <w:autoRedefine/>
    <w:qFormat/>
    <w:uiPriority w:val="0"/>
  </w:style>
  <w:style w:type="character" w:customStyle="1" w:styleId="226">
    <w:name w:val="l_61"/>
    <w:basedOn w:val="49"/>
    <w:autoRedefine/>
    <w:qFormat/>
    <w:uiPriority w:val="0"/>
  </w:style>
  <w:style w:type="character" w:customStyle="1" w:styleId="227">
    <w:name w:val="l_8"/>
    <w:basedOn w:val="49"/>
    <w:autoRedefine/>
    <w:qFormat/>
    <w:uiPriority w:val="0"/>
  </w:style>
  <w:style w:type="character" w:customStyle="1" w:styleId="228">
    <w:name w:val="l_81"/>
    <w:basedOn w:val="49"/>
    <w:autoRedefine/>
    <w:qFormat/>
    <w:uiPriority w:val="0"/>
  </w:style>
  <w:style w:type="character" w:customStyle="1" w:styleId="229">
    <w:name w:val="l_9"/>
    <w:basedOn w:val="49"/>
    <w:autoRedefine/>
    <w:qFormat/>
    <w:uiPriority w:val="0"/>
  </w:style>
  <w:style w:type="character" w:customStyle="1" w:styleId="230">
    <w:name w:val="l_91"/>
    <w:basedOn w:val="49"/>
    <w:autoRedefine/>
    <w:qFormat/>
    <w:uiPriority w:val="0"/>
  </w:style>
  <w:style w:type="character" w:customStyle="1" w:styleId="231">
    <w:name w:val="l_13"/>
    <w:basedOn w:val="49"/>
    <w:autoRedefine/>
    <w:qFormat/>
    <w:uiPriority w:val="0"/>
  </w:style>
  <w:style w:type="character" w:customStyle="1" w:styleId="232">
    <w:name w:val="l_131"/>
    <w:basedOn w:val="49"/>
    <w:qFormat/>
    <w:uiPriority w:val="0"/>
  </w:style>
  <w:style w:type="character" w:customStyle="1" w:styleId="233">
    <w:name w:val="l_14"/>
    <w:basedOn w:val="49"/>
    <w:qFormat/>
    <w:uiPriority w:val="0"/>
  </w:style>
  <w:style w:type="character" w:customStyle="1" w:styleId="234">
    <w:name w:val="l_141"/>
    <w:basedOn w:val="49"/>
    <w:qFormat/>
    <w:uiPriority w:val="0"/>
  </w:style>
  <w:style w:type="character" w:customStyle="1" w:styleId="235">
    <w:name w:val="l_15"/>
    <w:basedOn w:val="49"/>
    <w:autoRedefine/>
    <w:qFormat/>
    <w:uiPriority w:val="0"/>
  </w:style>
  <w:style w:type="character" w:customStyle="1" w:styleId="236">
    <w:name w:val="l_151"/>
    <w:basedOn w:val="49"/>
    <w:autoRedefine/>
    <w:qFormat/>
    <w:uiPriority w:val="0"/>
  </w:style>
  <w:style w:type="character" w:customStyle="1" w:styleId="237">
    <w:name w:val="color_cdyy"/>
    <w:basedOn w:val="49"/>
    <w:autoRedefine/>
    <w:qFormat/>
    <w:uiPriority w:val="0"/>
    <w:rPr>
      <w:color w:val="FFFFFF"/>
      <w:bdr w:val="single" w:color="FFFFFF" w:sz="4" w:space="0"/>
    </w:rPr>
  </w:style>
  <w:style w:type="character" w:customStyle="1" w:styleId="238">
    <w:name w:val="menutitle"/>
    <w:basedOn w:val="49"/>
    <w:qFormat/>
    <w:uiPriority w:val="0"/>
    <w:rPr>
      <w:color w:val="333333"/>
      <w:sz w:val="19"/>
      <w:szCs w:val="19"/>
    </w:rPr>
  </w:style>
  <w:style w:type="character" w:customStyle="1" w:styleId="239">
    <w:name w:val="menutitle1"/>
    <w:basedOn w:val="49"/>
    <w:qFormat/>
    <w:uiPriority w:val="0"/>
    <w:rPr>
      <w:color w:val="333333"/>
      <w:sz w:val="19"/>
      <w:szCs w:val="19"/>
    </w:rPr>
  </w:style>
  <w:style w:type="character" w:customStyle="1" w:styleId="240">
    <w:name w:val="l_101"/>
    <w:basedOn w:val="49"/>
    <w:qFormat/>
    <w:uiPriority w:val="0"/>
  </w:style>
  <w:style w:type="character" w:customStyle="1" w:styleId="241">
    <w:name w:val="close6"/>
    <w:basedOn w:val="49"/>
    <w:autoRedefine/>
    <w:qFormat/>
    <w:uiPriority w:val="0"/>
  </w:style>
  <w:style w:type="character" w:customStyle="1" w:styleId="242">
    <w:name w:val="swapimg"/>
    <w:basedOn w:val="49"/>
    <w:autoRedefine/>
    <w:qFormat/>
    <w:uiPriority w:val="0"/>
  </w:style>
  <w:style w:type="character" w:customStyle="1" w:styleId="243">
    <w:name w:val="swapimg1"/>
    <w:basedOn w:val="49"/>
    <w:autoRedefine/>
    <w:qFormat/>
    <w:uiPriority w:val="0"/>
  </w:style>
  <w:style w:type="character" w:customStyle="1" w:styleId="244">
    <w:name w:val="l_51"/>
    <w:basedOn w:val="49"/>
    <w:qFormat/>
    <w:uiPriority w:val="0"/>
  </w:style>
  <w:style w:type="character" w:customStyle="1" w:styleId="245">
    <w:name w:val="l_71"/>
    <w:basedOn w:val="49"/>
    <w:autoRedefine/>
    <w:qFormat/>
    <w:uiPriority w:val="0"/>
  </w:style>
  <w:style w:type="character" w:customStyle="1" w:styleId="246">
    <w:name w:val="swapimg3"/>
    <w:basedOn w:val="49"/>
    <w:autoRedefine/>
    <w:qFormat/>
    <w:uiPriority w:val="0"/>
  </w:style>
  <w:style w:type="character" w:customStyle="1" w:styleId="247">
    <w:name w:val="l_112"/>
    <w:basedOn w:val="49"/>
    <w:autoRedefine/>
    <w:qFormat/>
    <w:uiPriority w:val="0"/>
  </w:style>
  <w:style w:type="character" w:customStyle="1" w:styleId="248">
    <w:name w:val="style4"/>
    <w:basedOn w:val="49"/>
    <w:qFormat/>
    <w:uiPriority w:val="0"/>
  </w:style>
  <w:style w:type="character" w:customStyle="1" w:styleId="249">
    <w:name w:val="脚注文本 Char"/>
    <w:basedOn w:val="49"/>
    <w:link w:val="35"/>
    <w:autoRedefine/>
    <w:semiHidden/>
    <w:qFormat/>
    <w:uiPriority w:val="99"/>
    <w:rPr>
      <w:rFonts w:ascii="Times New Roman" w:hAnsi="Times New Roman" w:eastAsia="宋体" w:cs="Times New Roman"/>
      <w:kern w:val="2"/>
      <w:sz w:val="18"/>
      <w:szCs w:val="18"/>
    </w:rPr>
  </w:style>
  <w:style w:type="paragraph" w:customStyle="1" w:styleId="250">
    <w:name w:val="_Style 2"/>
    <w:basedOn w:val="1"/>
    <w:autoRedefine/>
    <w:qFormat/>
    <w:uiPriority w:val="0"/>
  </w:style>
  <w:style w:type="character" w:customStyle="1" w:styleId="251">
    <w:name w:val="font11"/>
    <w:basedOn w:val="49"/>
    <w:autoRedefine/>
    <w:qFormat/>
    <w:uiPriority w:val="0"/>
    <w:rPr>
      <w:rFonts w:hint="eastAsia" w:ascii="宋体" w:hAnsi="宋体" w:eastAsia="宋体" w:cs="宋体"/>
      <w:color w:val="000000"/>
      <w:sz w:val="21"/>
      <w:szCs w:val="21"/>
      <w:u w:val="none"/>
    </w:rPr>
  </w:style>
  <w:style w:type="table" w:customStyle="1" w:styleId="252">
    <w:name w:val="Table Normal"/>
    <w:autoRedefine/>
    <w:semiHidden/>
    <w:unhideWhenUsed/>
    <w:qFormat/>
    <w:uiPriority w:val="0"/>
    <w:tblPr>
      <w:tblCellMar>
        <w:top w:w="0" w:type="dxa"/>
        <w:left w:w="0" w:type="dxa"/>
        <w:bottom w:w="0" w:type="dxa"/>
        <w:right w:w="0" w:type="dxa"/>
      </w:tblCellMar>
    </w:tblPr>
  </w:style>
  <w:style w:type="paragraph" w:customStyle="1" w:styleId="253">
    <w:name w:val="Table Text"/>
    <w:basedOn w:val="1"/>
    <w:autoRedefine/>
    <w:semiHidden/>
    <w:qFormat/>
    <w:uiPriority w:val="0"/>
    <w:rPr>
      <w:rFonts w:ascii="Arial" w:hAnsi="Arial" w:eastAsia="Arial" w:cs="Arial"/>
      <w:sz w:val="21"/>
      <w:szCs w:val="21"/>
      <w:lang w:val="en-US" w:eastAsia="en-US" w:bidi="ar-SA"/>
    </w:rPr>
  </w:style>
  <w:style w:type="character" w:customStyle="1" w:styleId="254">
    <w:name w:val="font41"/>
    <w:basedOn w:val="49"/>
    <w:qFormat/>
    <w:uiPriority w:val="0"/>
    <w:rPr>
      <w:rFonts w:hint="default" w:ascii="Times New Roman" w:hAnsi="Times New Roman" w:cs="Times New Roman"/>
      <w:color w:val="000000"/>
      <w:sz w:val="21"/>
      <w:szCs w:val="21"/>
      <w:u w:val="none"/>
    </w:rPr>
  </w:style>
  <w:style w:type="character" w:customStyle="1" w:styleId="255">
    <w:name w:val="font51"/>
    <w:basedOn w:val="49"/>
    <w:qFormat/>
    <w:uiPriority w:val="0"/>
    <w:rPr>
      <w:rFonts w:hint="default" w:ascii="Times New Roman" w:hAnsi="Times New Roman" w:cs="Times New Roman"/>
      <w:color w:val="000000"/>
      <w:sz w:val="21"/>
      <w:szCs w:val="21"/>
      <w:u w:val="none"/>
      <w:vertAlign w:val="subscript"/>
    </w:rPr>
  </w:style>
  <w:style w:type="character" w:customStyle="1" w:styleId="256">
    <w:name w:val="font2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EC5B-1950-4418-9CC2-DB8D8F7D25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17790</Words>
  <Characters>19970</Characters>
  <Lines>164</Lines>
  <Paragraphs>46</Paragraphs>
  <TotalTime>10</TotalTime>
  <ScaleCrop>false</ScaleCrop>
  <LinksUpToDate>false</LinksUpToDate>
  <CharactersWithSpaces>20178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2020-01-14T00:34:00Z</cp:lastPrinted>
  <dcterms:modified xsi:type="dcterms:W3CDTF">2025-12-04T08:36:30Z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91D0204CBF164683B12E28981BE972F3_13</vt:lpwstr>
  </property>
  <property fmtid="{D5CDD505-2E9C-101B-9397-08002B2CF9AE}" pid="4" name="KSOTemplateDocerSaveRecord">
    <vt:lpwstr>eyJoZGlkIjoiMmVlZjlkY2U1M2IwZDRhMzM1ZDBmOGNhYWQ4MTY3ZGUiLCJ1c2VySWQiOiIyMDY1MzEyNTYifQ==</vt:lpwstr>
  </property>
</Properties>
</file>