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720" w:lineRule="auto"/>
        <w:jc w:val="center"/>
        <w:rPr>
          <w:rFonts w:hint="eastAsia"/>
          <w:b/>
          <w:bCs/>
          <w:color w:val="auto"/>
          <w:sz w:val="44"/>
          <w:szCs w:val="48"/>
          <w:highlight w:val="none"/>
          <w:lang w:eastAsia="zh-CN"/>
        </w:rPr>
      </w:pPr>
      <w:bookmarkStart w:id="0" w:name="_Toc13814"/>
      <w:bookmarkStart w:id="1" w:name="_Toc15236"/>
      <w:bookmarkStart w:id="2" w:name="_Toc12347"/>
      <w:r>
        <w:rPr>
          <w:rFonts w:hint="eastAsia"/>
          <w:b/>
          <w:bCs/>
          <w:color w:val="auto"/>
          <w:sz w:val="44"/>
          <w:szCs w:val="48"/>
          <w:highlight w:val="none"/>
          <w:lang w:eastAsia="zh-CN"/>
        </w:rPr>
        <w:t>渑池县实验小学录播教室设备采购项目</w:t>
      </w:r>
    </w:p>
    <w:p>
      <w:pPr>
        <w:bidi w:val="0"/>
        <w:spacing w:line="720" w:lineRule="auto"/>
        <w:jc w:val="center"/>
        <w:rPr>
          <w:rFonts w:hint="eastAsia"/>
          <w:b/>
          <w:bCs/>
          <w:color w:val="auto"/>
          <w:sz w:val="44"/>
          <w:szCs w:val="48"/>
          <w:highlight w:val="none"/>
          <w:lang w:eastAsia="zh-CN"/>
        </w:rPr>
      </w:pPr>
    </w:p>
    <w:p>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pPr>
        <w:ind w:firstLine="435"/>
        <w:jc w:val="center"/>
        <w:rPr>
          <w:color w:val="auto"/>
          <w:highlight w:val="none"/>
        </w:rPr>
      </w:pPr>
    </w:p>
    <w:p>
      <w:pPr>
        <w:spacing w:line="360" w:lineRule="auto"/>
        <w:jc w:val="center"/>
        <w:outlineLvl w:val="9"/>
        <w:rPr>
          <w:rFonts w:ascii="宋体" w:hAnsi="宋体" w:cs="宋体"/>
          <w:b/>
          <w:color w:val="auto"/>
          <w:sz w:val="24"/>
          <w:szCs w:val="28"/>
          <w:highlight w:val="none"/>
        </w:rPr>
      </w:pPr>
      <w:bookmarkStart w:id="272" w:name="_GoBack"/>
      <w:bookmarkEnd w:id="272"/>
      <w:bookmarkStart w:id="3" w:name="_Toc12438"/>
    </w:p>
    <w:p>
      <w:pPr>
        <w:bidi w:val="0"/>
        <w:spacing w:line="360" w:lineRule="auto"/>
        <w:jc w:val="center"/>
        <w:rPr>
          <w:rFonts w:hint="eastAsia" w:ascii="宋体" w:hAnsi="宋体" w:eastAsia="宋体" w:cs="宋体"/>
          <w:b/>
          <w:bCs/>
          <w:color w:val="auto"/>
          <w:sz w:val="28"/>
          <w:szCs w:val="28"/>
          <w:highlight w:val="none"/>
          <w:lang w:val="en-US" w:eastAsia="zh-CN"/>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rPr>
        <w:t>MCGZ[2025]299-ZC234</w:t>
      </w:r>
    </w:p>
    <w:p>
      <w:pPr>
        <w:bidi w:val="0"/>
        <w:spacing w:line="360" w:lineRule="auto"/>
        <w:jc w:val="center"/>
        <w:rPr>
          <w:rFonts w:hint="default" w:ascii="宋体" w:hAnsi="宋体" w:eastAsia="宋体" w:cs="宋体"/>
          <w:b/>
          <w:bCs/>
          <w:color w:val="auto"/>
          <w:sz w:val="28"/>
          <w:szCs w:val="32"/>
          <w:highlight w:val="none"/>
          <w:lang w:val="en-US"/>
        </w:rPr>
      </w:pPr>
      <w:r>
        <w:rPr>
          <w:rFonts w:hint="eastAsia" w:asciiTheme="minorEastAsia" w:hAnsiTheme="minorEastAsia" w:cstheme="minorEastAsia"/>
          <w:b/>
          <w:bCs/>
          <w:color w:val="auto"/>
          <w:sz w:val="28"/>
          <w:szCs w:val="28"/>
          <w:highlight w:val="none"/>
          <w:lang w:val="en-US" w:eastAsia="zh-CN"/>
        </w:rPr>
        <w:t xml:space="preserve">           渑池竞磋采购-2025-176</w:t>
      </w:r>
    </w:p>
    <w:p>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pPr>
        <w:ind w:firstLine="435"/>
        <w:jc w:val="center"/>
        <w:rPr>
          <w:color w:val="auto"/>
          <w:highlight w:val="none"/>
        </w:rPr>
      </w:pPr>
    </w:p>
    <w:p>
      <w:pPr>
        <w:ind w:firstLine="435"/>
        <w:jc w:val="center"/>
        <w:rPr>
          <w:color w:val="auto"/>
          <w:highlight w:val="none"/>
        </w:rPr>
      </w:pPr>
    </w:p>
    <w:p>
      <w:pPr>
        <w:spacing w:line="600" w:lineRule="auto"/>
        <w:rPr>
          <w:rFonts w:hint="eastAsia" w:cs="宋体"/>
          <w:b/>
          <w:color w:val="auto"/>
          <w:sz w:val="32"/>
          <w:highlight w:val="none"/>
          <w:lang w:bidi="ar"/>
        </w:rPr>
      </w:pPr>
    </w:p>
    <w:p>
      <w:pPr>
        <w:spacing w:line="600" w:lineRule="auto"/>
        <w:ind w:firstLine="1928" w:firstLineChars="600"/>
        <w:rPr>
          <w:rFonts w:hint="eastAsia" w:cs="宋体"/>
          <w:b/>
          <w:color w:val="auto"/>
          <w:sz w:val="32"/>
          <w:highlight w:val="none"/>
          <w:lang w:bidi="ar"/>
        </w:rPr>
      </w:pPr>
    </w:p>
    <w:p>
      <w:pPr>
        <w:spacing w:line="600" w:lineRule="auto"/>
        <w:ind w:firstLine="1928" w:firstLineChars="600"/>
        <w:rPr>
          <w:rFonts w:hint="eastAsia" w:cs="宋体"/>
          <w:b/>
          <w:color w:val="auto"/>
          <w:sz w:val="32"/>
          <w:highlight w:val="none"/>
          <w:lang w:bidi="ar"/>
        </w:rPr>
      </w:pPr>
    </w:p>
    <w:p>
      <w:pPr>
        <w:spacing w:line="600" w:lineRule="auto"/>
        <w:ind w:firstLine="1928" w:firstLineChars="600"/>
        <w:rPr>
          <w:rFonts w:hint="eastAsia" w:cs="宋体"/>
          <w:b/>
          <w:color w:val="auto"/>
          <w:sz w:val="32"/>
          <w:highlight w:val="none"/>
          <w:lang w:bidi="ar"/>
        </w:rPr>
      </w:pPr>
    </w:p>
    <w:p>
      <w:pPr>
        <w:spacing w:line="600" w:lineRule="auto"/>
        <w:ind w:firstLine="1928" w:firstLineChars="600"/>
        <w:rPr>
          <w:rFonts w:hint="eastAsia" w:cs="宋体"/>
          <w:b/>
          <w:color w:val="auto"/>
          <w:sz w:val="32"/>
          <w:highlight w:val="none"/>
          <w:lang w:bidi="ar"/>
        </w:rPr>
      </w:pPr>
    </w:p>
    <w:p>
      <w:pPr>
        <w:spacing w:line="600" w:lineRule="auto"/>
        <w:ind w:firstLine="1928" w:firstLineChars="600"/>
        <w:rPr>
          <w:rFonts w:hint="eastAsia" w:cs="宋体"/>
          <w:b/>
          <w:color w:val="auto"/>
          <w:sz w:val="32"/>
          <w:highlight w:val="none"/>
          <w:lang w:bidi="ar"/>
        </w:rPr>
      </w:pPr>
    </w:p>
    <w:p>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渑池县实验小学</w:t>
      </w:r>
    </w:p>
    <w:p>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大业信息技术（河南）有限公司</w:t>
      </w:r>
    </w:p>
    <w:p>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十二</w:t>
      </w:r>
      <w:r>
        <w:rPr>
          <w:rFonts w:hint="eastAsia" w:cs="宋体"/>
          <w:b/>
          <w:color w:val="auto"/>
          <w:sz w:val="32"/>
          <w:highlight w:val="none"/>
          <w:lang w:bidi="ar"/>
        </w:rPr>
        <w:t>月</w:t>
      </w:r>
    </w:p>
    <w:p>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pPr>
        <w:spacing w:line="360" w:lineRule="auto"/>
        <w:ind w:firstLine="73"/>
        <w:jc w:val="center"/>
        <w:rPr>
          <w:rFonts w:hint="eastAsia" w:ascii="宋体" w:hAnsi="宋体" w:cs="宋体"/>
          <w:b/>
          <w:bCs/>
          <w:color w:val="auto"/>
          <w:sz w:val="36"/>
          <w:szCs w:val="36"/>
          <w:highlight w:val="none"/>
        </w:rPr>
      </w:pPr>
      <w:bookmarkStart w:id="6" w:name="_Toc39117063"/>
      <w:bookmarkStart w:id="7" w:name="_Toc39116049"/>
      <w:bookmarkStart w:id="8" w:name="_Toc39115111"/>
      <w:bookmarkStart w:id="9" w:name="_Toc39118413"/>
      <w:bookmarkStart w:id="10" w:name="_Toc27964760"/>
      <w:bookmarkStart w:id="11" w:name="_Toc39115684"/>
      <w:bookmarkStart w:id="12" w:name="_Toc27842"/>
      <w:bookmarkStart w:id="13" w:name="_Toc25637"/>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pPr>
        <w:rPr>
          <w:color w:val="auto"/>
          <w:highlight w:val="none"/>
        </w:rPr>
      </w:pPr>
    </w:p>
    <w:p>
      <w:pPr>
        <w:pStyle w:val="16"/>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pPr>
        <w:pStyle w:val="6"/>
        <w:bidi w:val="0"/>
        <w:jc w:val="center"/>
        <w:outlineLvl w:val="0"/>
        <w:rPr>
          <w:color w:val="auto"/>
          <w:highlight w:val="none"/>
        </w:rPr>
      </w:pPr>
      <w:bookmarkStart w:id="16" w:name="_Toc17395"/>
      <w:bookmarkStart w:id="17" w:name="_Toc4132"/>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pPr>
        <w:spacing w:line="360" w:lineRule="auto"/>
        <w:ind w:firstLine="566" w:firstLineChars="236"/>
        <w:rPr>
          <w:rFonts w:hint="eastAsia" w:asciiTheme="minorEastAsia" w:hAnsiTheme="minorEastAsia" w:cstheme="minorEastAsia"/>
          <w:color w:val="auto"/>
          <w:sz w:val="24"/>
          <w:szCs w:val="24"/>
          <w:highlight w:val="none"/>
        </w:rPr>
      </w:pPr>
      <w:bookmarkStart w:id="19" w:name="_Toc498982406"/>
      <w:bookmarkStart w:id="20" w:name="_Toc22724013"/>
      <w:bookmarkStart w:id="21" w:name="_Toc22570552"/>
      <w:bookmarkStart w:id="22" w:name="_Toc22804133"/>
      <w:bookmarkStart w:id="23" w:name="_Toc22568845"/>
      <w:bookmarkStart w:id="24" w:name="_Toc22953455"/>
      <w:bookmarkStart w:id="25" w:name="_Toc15597"/>
      <w:r>
        <w:rPr>
          <w:rFonts w:hint="eastAsia" w:asciiTheme="minorEastAsia" w:hAnsiTheme="minorEastAsia" w:cstheme="minorEastAsia"/>
          <w:color w:val="auto"/>
          <w:sz w:val="24"/>
          <w:szCs w:val="24"/>
          <w:highlight w:val="none"/>
        </w:rPr>
        <w:t>项目概况</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渑池县实验小学录播教室设备采购项目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12月26日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1.采购项目编号：MCGZ[2025]299-ZC234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渑池竞磋采购-2025-176</w:t>
      </w:r>
    </w:p>
    <w:p>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渑池县实验小学录播教室设备采购项目</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370000.00元</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370000.00元</w:t>
      </w:r>
    </w:p>
    <w:tbl>
      <w:tblPr>
        <w:tblStyle w:val="2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MCGZ[2025]299-ZC234</w:t>
            </w:r>
          </w:p>
        </w:tc>
        <w:tc>
          <w:tcPr>
            <w:tcW w:w="2416" w:type="dxa"/>
            <w:vAlign w:val="center"/>
          </w:tcPr>
          <w:p>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渑池县实验小学录播教室设备采购项目</w:t>
            </w:r>
          </w:p>
        </w:tc>
        <w:tc>
          <w:tcPr>
            <w:tcW w:w="1532" w:type="dxa"/>
            <w:vAlign w:val="center"/>
          </w:tcPr>
          <w:p>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370000.00</w:t>
            </w:r>
          </w:p>
        </w:tc>
        <w:tc>
          <w:tcPr>
            <w:tcW w:w="2034" w:type="dxa"/>
            <w:vAlign w:val="center"/>
          </w:tcPr>
          <w:p>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370000.00</w:t>
            </w:r>
          </w:p>
        </w:tc>
      </w:tr>
    </w:tbl>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lang w:val="en-US" w:eastAsia="zh-CN"/>
        </w:rPr>
        <w:t>录播设备、多媒体教学设备、互动设备、教室配套设备</w:t>
      </w:r>
    </w:p>
    <w:p>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cstheme="minorEastAsia"/>
          <w:color w:val="auto"/>
          <w:sz w:val="24"/>
          <w:szCs w:val="24"/>
          <w:highlight w:val="none"/>
        </w:rPr>
        <w:t>（详见第五章技术参数）。</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370000.00元</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3.4供应商具有依法缴纳税收和社会保障资金的良好记录，提供2025年以来任意三个月企业税收证明材料；</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1.时间：2025年12月10日至2025年12月26日，每天上午00:00至12:00，下午12:00至23:59（北京时间，法定节假日除外。）</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12月26日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12月26日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渑池县公共资源交易中心六楼开标二室</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bookmarkStart w:id="29" w:name="_Toc8198"/>
      <w:bookmarkStart w:id="30" w:name="_Toc27640"/>
      <w:r>
        <w:rPr>
          <w:rFonts w:hint="eastAsia" w:asciiTheme="minorEastAsia" w:hAnsiTheme="minorEastAsia" w:cstheme="minorEastAsia"/>
          <w:color w:val="auto"/>
          <w:sz w:val="24"/>
          <w:szCs w:val="24"/>
          <w:highlight w:val="none"/>
        </w:rPr>
        <w:t>2、</w:t>
      </w:r>
      <w:bookmarkEnd w:id="29"/>
      <w:bookmarkEnd w:id="30"/>
      <w:bookmarkStart w:id="31" w:name="_Toc6612"/>
      <w:r>
        <w:rPr>
          <w:rFonts w:hint="eastAsia" w:asciiTheme="minorEastAsia" w:hAnsiTheme="minorEastAsia" w:cstheme="minorEastAsia"/>
          <w:color w:val="auto"/>
          <w:sz w:val="24"/>
          <w:szCs w:val="24"/>
          <w:highlight w:val="none"/>
          <w:lang w:val="en-US" w:eastAsia="zh-CN"/>
        </w:rPr>
        <w:t>采购人：渑池县实验小学</w:t>
      </w:r>
    </w:p>
    <w:p>
      <w:pPr>
        <w:spacing w:line="360" w:lineRule="auto"/>
        <w:ind w:firstLine="484" w:firstLineChars="202"/>
        <w:rPr>
          <w:rFonts w:hint="eastAsia"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地址：渑池县解放大街</w:t>
      </w:r>
    </w:p>
    <w:p>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陈</w:t>
      </w:r>
      <w:r>
        <w:rPr>
          <w:rFonts w:hint="eastAsia" w:asciiTheme="minorEastAsia" w:hAnsiTheme="minorEastAsia" w:cstheme="minorEastAsia"/>
          <w:color w:val="auto"/>
          <w:sz w:val="24"/>
          <w:szCs w:val="24"/>
          <w:highlight w:val="none"/>
        </w:rPr>
        <w:t>先生</w:t>
      </w:r>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联系电话：1</w:t>
      </w:r>
      <w:r>
        <w:rPr>
          <w:rFonts w:hint="eastAsia" w:asciiTheme="minorEastAsia" w:hAnsiTheme="minorEastAsia" w:cstheme="minorEastAsia"/>
          <w:color w:val="auto"/>
          <w:sz w:val="24"/>
          <w:szCs w:val="24"/>
          <w:highlight w:val="none"/>
          <w:lang w:val="en-US" w:eastAsia="zh-CN"/>
        </w:rPr>
        <w:t>3703812980</w:t>
      </w:r>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采购代理机构：</w:t>
      </w:r>
      <w:bookmarkStart w:id="32" w:name="OLE_LINK2"/>
      <w:r>
        <w:rPr>
          <w:rFonts w:hint="eastAsia" w:asciiTheme="minorEastAsia" w:hAnsiTheme="minorEastAsia" w:cstheme="minorEastAsia"/>
          <w:color w:val="auto"/>
          <w:sz w:val="24"/>
          <w:szCs w:val="24"/>
          <w:highlight w:val="none"/>
          <w:lang w:val="en-US" w:eastAsia="zh-CN"/>
        </w:rPr>
        <w:t>大业信息技术（河南）有限公司</w:t>
      </w:r>
      <w:bookmarkEnd w:id="32"/>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地址：河南省郑州市管城回族区紫荆山路63号9层911号</w:t>
      </w:r>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联系人：候女士</w:t>
      </w:r>
    </w:p>
    <w:p>
      <w:pPr>
        <w:spacing w:line="360" w:lineRule="auto"/>
        <w:ind w:firstLine="484" w:firstLineChars="202"/>
        <w:rPr>
          <w:rFonts w:ascii="宋体" w:hAnsi="宋体" w:cs="宋体"/>
          <w:color w:val="auto"/>
          <w:sz w:val="24"/>
          <w:highlight w:val="none"/>
        </w:rPr>
      </w:pPr>
      <w:r>
        <w:rPr>
          <w:rFonts w:hint="eastAsia" w:asciiTheme="minorEastAsia" w:hAnsiTheme="minorEastAsia" w:cstheme="minorEastAsia"/>
          <w:color w:val="auto"/>
          <w:sz w:val="24"/>
          <w:szCs w:val="24"/>
          <w:highlight w:val="none"/>
          <w:lang w:val="en-US" w:eastAsia="zh-CN"/>
        </w:rPr>
        <w:t>联系方式：17886686505</w:t>
      </w:r>
      <w:r>
        <w:rPr>
          <w:rFonts w:hint="eastAsia" w:ascii="宋体" w:hAnsi="宋体" w:cs="宋体"/>
          <w:color w:val="auto"/>
          <w:sz w:val="24"/>
          <w:highlight w:val="none"/>
        </w:rPr>
        <w:br w:type="page"/>
      </w:r>
    </w:p>
    <w:p>
      <w:pPr>
        <w:pStyle w:val="6"/>
        <w:bidi w:val="0"/>
        <w:jc w:val="center"/>
        <w:outlineLvl w:val="0"/>
        <w:rPr>
          <w:color w:val="auto"/>
          <w:highlight w:val="none"/>
        </w:rPr>
      </w:pPr>
      <w:bookmarkStart w:id="33" w:name="_Toc18788"/>
      <w:bookmarkStart w:id="34" w:name="_Toc43302780"/>
      <w:bookmarkStart w:id="35" w:name="_Toc29756"/>
      <w:bookmarkStart w:id="36" w:name="_Toc31308"/>
      <w:bookmarkStart w:id="37" w:name="_Toc10227"/>
      <w:bookmarkStart w:id="38" w:name="_Toc32032"/>
      <w:r>
        <w:rPr>
          <w:rFonts w:hint="eastAsia"/>
          <w:color w:val="auto"/>
          <w:highlight w:val="none"/>
        </w:rPr>
        <w:t>第二章</w:t>
      </w:r>
      <w:bookmarkEnd w:id="33"/>
      <w:r>
        <w:rPr>
          <w:rFonts w:hint="eastAsia"/>
          <w:color w:val="auto"/>
          <w:highlight w:val="none"/>
        </w:rPr>
        <w:t xml:space="preserve">  供应商须知</w:t>
      </w:r>
      <w:bookmarkEnd w:id="34"/>
      <w:bookmarkEnd w:id="35"/>
      <w:bookmarkEnd w:id="36"/>
      <w:bookmarkEnd w:id="37"/>
      <w:bookmarkEnd w:id="38"/>
    </w:p>
    <w:p>
      <w:pPr>
        <w:widowControl/>
        <w:jc w:val="center"/>
        <w:rPr>
          <w:color w:val="auto"/>
          <w:sz w:val="24"/>
          <w:highlight w:val="none"/>
        </w:rPr>
      </w:pPr>
      <w:bookmarkStart w:id="39" w:name="_Toc44996337"/>
      <w:bookmarkEnd w:id="39"/>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渑池县实验小学</w:t>
            </w:r>
          </w:p>
          <w:p>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地址：渑池县解放大街</w:t>
            </w:r>
          </w:p>
          <w:p>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陈</w:t>
            </w:r>
            <w:r>
              <w:rPr>
                <w:rFonts w:hint="eastAsia" w:asciiTheme="minorEastAsia" w:hAnsiTheme="minorEastAsia" w:cstheme="minorEastAsia"/>
                <w:color w:val="auto"/>
                <w:sz w:val="24"/>
                <w:szCs w:val="24"/>
                <w:highlight w:val="none"/>
              </w:rPr>
              <w:t>先生</w:t>
            </w:r>
          </w:p>
          <w:p>
            <w:pPr>
              <w:spacing w:line="360" w:lineRule="auto"/>
              <w:rPr>
                <w:rFonts w:hint="default"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联系电话：1</w:t>
            </w:r>
            <w:r>
              <w:rPr>
                <w:rFonts w:hint="eastAsia" w:asciiTheme="minorEastAsia" w:hAnsiTheme="minorEastAsia" w:cstheme="minorEastAsia"/>
                <w:color w:val="auto"/>
                <w:sz w:val="24"/>
                <w:szCs w:val="24"/>
                <w:highlight w:val="none"/>
                <w:lang w:val="en-US" w:eastAsia="zh-CN"/>
              </w:rPr>
              <w:t>3703812980</w:t>
            </w:r>
          </w:p>
        </w:tc>
      </w:tr>
      <w:tr>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采购代理机构：大业信息技术（河南）有限公司</w:t>
            </w:r>
          </w:p>
          <w:p>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地址：河南省郑州市管城回族区紫荆山路63号9层911号</w:t>
            </w:r>
          </w:p>
          <w:p>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联系人：候女士</w:t>
            </w:r>
          </w:p>
          <w:p>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联系方式：17886686505</w:t>
            </w:r>
          </w:p>
        </w:tc>
      </w:tr>
      <w:tr>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渑池县实验小学录播教室设备采购项目</w:t>
            </w:r>
          </w:p>
        </w:tc>
      </w:tr>
      <w:tr>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pPr>
              <w:widowControl/>
              <w:rPr>
                <w:rFonts w:hint="default" w:ascii="宋体" w:hAnsi="宋体" w:cs="Calibri" w:eastAsiaTheme="minorEastAsia"/>
                <w:color w:val="auto"/>
                <w:sz w:val="24"/>
                <w:highlight w:val="none"/>
                <w:shd w:val="clear" w:color="auto" w:fill="FFFFFF"/>
                <w:lang w:val="en-US" w:eastAsia="zh-CN"/>
              </w:rPr>
            </w:pPr>
            <w:r>
              <w:rPr>
                <w:rFonts w:hint="eastAsia" w:asciiTheme="minorEastAsia" w:hAnsiTheme="minorEastAsia" w:cstheme="minorEastAsia"/>
                <w:color w:val="auto"/>
                <w:sz w:val="24"/>
                <w:szCs w:val="24"/>
                <w:highlight w:val="none"/>
              </w:rPr>
              <w:t>MCGZ[2025]299-ZC234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渑池竞磋采购-2025-176</w:t>
            </w:r>
          </w:p>
        </w:tc>
      </w:tr>
      <w:tr>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sz w:val="24"/>
                <w:highlight w:val="none"/>
              </w:rPr>
            </w:pPr>
            <w:r>
              <w:rPr>
                <w:rFonts w:hint="eastAsia" w:ascii="宋体" w:hAnsi="宋体" w:cs="Calibri"/>
                <w:color w:val="auto"/>
                <w:sz w:val="24"/>
                <w:highlight w:val="none"/>
              </w:rPr>
              <w:t>一年</w:t>
            </w:r>
          </w:p>
        </w:tc>
      </w:tr>
      <w:tr>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30日历天内</w:t>
            </w:r>
          </w:p>
        </w:tc>
      </w:tr>
      <w:tr>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3.4供应商具有依法缴纳税收和社会保障资金的良好记录，提供2025年以来任意三个月企业税收证明材料；</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12月26日8时20分</w:t>
            </w:r>
            <w:r>
              <w:rPr>
                <w:rFonts w:hint="eastAsia" w:ascii="宋体" w:hAnsi="宋体" w:cs="Calibri"/>
                <w:b/>
                <w:bCs/>
                <w:color w:val="auto"/>
                <w:kern w:val="0"/>
                <w:sz w:val="24"/>
                <w:highlight w:val="none"/>
              </w:rPr>
              <w:t>（北京时间</w:t>
            </w:r>
            <w:r>
              <w:rPr>
                <w:rFonts w:hint="eastAsia" w:ascii="宋体" w:hAnsi="宋体" w:cs="Calibri"/>
                <w:b/>
                <w:bCs/>
                <w:color w:val="auto"/>
                <w:kern w:val="0"/>
                <w:sz w:val="24"/>
                <w:highlight w:val="none"/>
              </w:rPr>
              <w:t>）</w:t>
            </w:r>
          </w:p>
          <w:p>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12月26日8时20分</w:t>
            </w:r>
            <w:r>
              <w:rPr>
                <w:rFonts w:hint="eastAsia" w:ascii="宋体" w:hAnsi="宋体" w:cs="Calibri"/>
                <w:b/>
                <w:bCs/>
                <w:color w:val="auto"/>
                <w:kern w:val="0"/>
                <w:sz w:val="24"/>
                <w:highlight w:val="none"/>
              </w:rPr>
              <w:t>（北京时间）</w:t>
            </w:r>
          </w:p>
          <w:p>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渑池县公共资源交易中心六楼开标二室</w:t>
            </w:r>
          </w:p>
        </w:tc>
      </w:tr>
      <w:tr>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370000.00元</w:t>
            </w:r>
          </w:p>
          <w:p>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shd w:val="clear" w:color="auto" w:fill="auto"/>
            <w:vAlign w:val="center"/>
          </w:tcPr>
          <w:p>
            <w:pPr>
              <w:wordWrap w:val="0"/>
              <w:rPr>
                <w:rFonts w:hint="eastAsia" w:ascii="宋体" w:hAnsi="宋体" w:cs="Calibri" w:eastAsiaTheme="minorEastAsia"/>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shd w:val="clear" w:color="auto" w:fill="auto"/>
            <w:vAlign w:val="center"/>
          </w:tcPr>
          <w:p>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pPr>
              <w:spacing w:line="420" w:lineRule="exact"/>
              <w:rPr>
                <w:rFonts w:hint="eastAsia" w:ascii="宋体" w:hAnsi="宋体" w:cs="Calibri" w:eastAsiaTheme="minorEastAsia"/>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pPr>
              <w:spacing w:line="400" w:lineRule="exact"/>
              <w:rPr>
                <w:rFonts w:ascii="宋体" w:hAnsi="宋体"/>
                <w:color w:val="auto"/>
                <w:sz w:val="24"/>
                <w:highlight w:val="none"/>
              </w:rPr>
            </w:pPr>
            <w:r>
              <w:rPr>
                <w:rFonts w:hint="eastAsia" w:ascii="宋体" w:hAnsi="宋体"/>
                <w:color w:val="auto"/>
                <w:sz w:val="24"/>
                <w:highlight w:val="none"/>
              </w:rPr>
              <w:t>一、电子化投标</w:t>
            </w:r>
          </w:p>
          <w:p>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pPr>
        <w:pStyle w:val="19"/>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40" w:name="_Toc517178993"/>
      <w:bookmarkEnd w:id="40"/>
      <w:bookmarkStart w:id="41" w:name="_Toc513029203"/>
      <w:bookmarkEnd w:id="41"/>
      <w:bookmarkStart w:id="42" w:name="_Toc20823275"/>
      <w:bookmarkEnd w:id="42"/>
      <w:bookmarkStart w:id="43" w:name="_Toc16938519"/>
      <w:bookmarkEnd w:id="43"/>
      <w:bookmarkStart w:id="44" w:name="_Toc120614214"/>
      <w:bookmarkEnd w:id="44"/>
      <w:bookmarkStart w:id="45" w:name="_Toc16770549"/>
      <w:bookmarkEnd w:id="45"/>
      <w:bookmarkStart w:id="46" w:name="_Toc2341_WPSOffice_Level1"/>
      <w:bookmarkStart w:id="47" w:name="_Toc27375_WPSOffice_Level1"/>
      <w:bookmarkStart w:id="48" w:name="_Toc4714_WPSOffice_Level1"/>
      <w:bookmarkStart w:id="49" w:name="_Toc3111_WPSOffice_Level1"/>
      <w:bookmarkStart w:id="50" w:name="_Toc32643"/>
      <w:r>
        <w:rPr>
          <w:rFonts w:hint="eastAsia" w:ascii="宋体" w:hAnsi="宋体" w:eastAsia="宋体" w:cs="宋体"/>
          <w:b/>
          <w:color w:val="auto"/>
          <w:highlight w:val="none"/>
        </w:rPr>
        <w:t>1.总则</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51" w:name="_Toc16938520"/>
      <w:bookmarkEnd w:id="51"/>
      <w:bookmarkStart w:id="52" w:name="_Toc20823276"/>
      <w:bookmarkEnd w:id="52"/>
      <w:bookmarkStart w:id="53" w:name="_Toc513029204"/>
      <w:bookmarkEnd w:id="53"/>
      <w:bookmarkStart w:id="54" w:name="_Toc528078009"/>
      <w:r>
        <w:rPr>
          <w:rFonts w:hint="eastAsia" w:ascii="宋体" w:hAnsi="宋体" w:eastAsia="宋体" w:cs="宋体"/>
          <w:color w:val="auto"/>
          <w:sz w:val="24"/>
          <w:szCs w:val="24"/>
          <w:highlight w:val="none"/>
        </w:rPr>
        <w:t>1.1.1</w:t>
      </w:r>
      <w:bookmarkEnd w:id="54"/>
      <w:r>
        <w:rPr>
          <w:rFonts w:hint="eastAsia" w:ascii="宋体" w:hAnsi="宋体" w:eastAsia="宋体" w:cs="宋体"/>
          <w:color w:val="auto"/>
          <w:sz w:val="24"/>
          <w:szCs w:val="24"/>
          <w:highlight w:val="none"/>
        </w:rPr>
        <w:t>采购方式及定义</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55" w:name="_Toc513029206"/>
      <w:bookmarkEnd w:id="55"/>
      <w:bookmarkStart w:id="56" w:name="_Toc16938522"/>
      <w:bookmarkEnd w:id="56"/>
      <w:bookmarkStart w:id="57" w:name="_Toc20823278"/>
      <w:bookmarkEnd w:id="57"/>
      <w:bookmarkStart w:id="58" w:name="_Toc528078010"/>
      <w:r>
        <w:rPr>
          <w:rFonts w:hint="eastAsia" w:ascii="宋体" w:hAnsi="宋体" w:eastAsia="宋体" w:cs="宋体"/>
          <w:color w:val="auto"/>
          <w:sz w:val="24"/>
          <w:szCs w:val="24"/>
          <w:highlight w:val="none"/>
        </w:rPr>
        <w:t>1.1.2</w:t>
      </w:r>
      <w:bookmarkEnd w:id="58"/>
      <w:r>
        <w:rPr>
          <w:rFonts w:hint="eastAsia" w:ascii="宋体" w:hAnsi="宋体" w:eastAsia="宋体" w:cs="宋体"/>
          <w:color w:val="auto"/>
          <w:sz w:val="24"/>
          <w:szCs w:val="24"/>
          <w:highlight w:val="none"/>
        </w:rPr>
        <w:t>适用法律</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59" w:name="_Toc462564067"/>
      <w:bookmarkEnd w:id="59"/>
      <w:bookmarkStart w:id="60" w:name="_Toc20823279"/>
      <w:bookmarkEnd w:id="60"/>
      <w:bookmarkStart w:id="61" w:name="_Toc513029207"/>
      <w:bookmarkEnd w:id="61"/>
      <w:bookmarkStart w:id="62" w:name="_Toc16938523"/>
      <w:bookmarkEnd w:id="62"/>
      <w:bookmarkStart w:id="63" w:name="_Toc528078011"/>
      <w:r>
        <w:rPr>
          <w:rFonts w:hint="eastAsia" w:ascii="宋体" w:hAnsi="宋体" w:eastAsia="宋体" w:cs="宋体"/>
          <w:color w:val="auto"/>
          <w:sz w:val="24"/>
          <w:szCs w:val="24"/>
          <w:highlight w:val="none"/>
        </w:rPr>
        <w:t>1.1.3</w:t>
      </w:r>
      <w:bookmarkEnd w:id="63"/>
      <w:r>
        <w:rPr>
          <w:rFonts w:hint="eastAsia" w:ascii="宋体" w:hAnsi="宋体" w:eastAsia="宋体" w:cs="宋体"/>
          <w:color w:val="auto"/>
          <w:sz w:val="24"/>
          <w:szCs w:val="24"/>
          <w:highlight w:val="none"/>
        </w:rPr>
        <w:t>磋商费用</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4" w:name="_Toc20823281"/>
      <w:bookmarkEnd w:id="64"/>
      <w:bookmarkStart w:id="65" w:name="_Toc403987206"/>
      <w:bookmarkEnd w:id="65"/>
      <w:bookmarkStart w:id="66" w:name="_Toc517178994"/>
      <w:bookmarkEnd w:id="66"/>
      <w:bookmarkStart w:id="67" w:name="_Toc16938525"/>
      <w:bookmarkEnd w:id="67"/>
      <w:bookmarkStart w:id="68" w:name="_Toc513029209"/>
      <w:bookmarkEnd w:id="68"/>
      <w:bookmarkStart w:id="69" w:name="_Toc120614215"/>
      <w:bookmarkEnd w:id="69"/>
      <w:bookmarkStart w:id="70" w:name="_Toc505350554"/>
      <w:bookmarkEnd w:id="70"/>
      <w:bookmarkStart w:id="71" w:name="_Toc504491968"/>
      <w:bookmarkEnd w:id="71"/>
      <w:bookmarkStart w:id="72" w:name="_Toc528078012"/>
      <w:r>
        <w:rPr>
          <w:rFonts w:hint="eastAsia" w:ascii="宋体" w:hAnsi="宋体" w:eastAsia="宋体" w:cs="宋体"/>
          <w:color w:val="auto"/>
          <w:sz w:val="24"/>
          <w:szCs w:val="24"/>
          <w:highlight w:val="none"/>
        </w:rPr>
        <w:t>2.</w:t>
      </w:r>
      <w:bookmarkEnd w:id="72"/>
      <w:r>
        <w:rPr>
          <w:rFonts w:hint="eastAsia" w:ascii="宋体" w:hAnsi="宋体" w:eastAsia="宋体" w:cs="宋体"/>
          <w:color w:val="auto"/>
          <w:sz w:val="24"/>
          <w:szCs w:val="24"/>
          <w:highlight w:val="none"/>
        </w:rPr>
        <w:t>竞争性磋商文件</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73" w:name="_Toc513029210"/>
      <w:bookmarkEnd w:id="73"/>
      <w:bookmarkStart w:id="74" w:name="_Toc16938526"/>
      <w:bookmarkEnd w:id="74"/>
      <w:bookmarkStart w:id="75" w:name="_Toc20823282"/>
      <w:bookmarkEnd w:id="75"/>
      <w:bookmarkStart w:id="76" w:name="_Toc528078013"/>
      <w:r>
        <w:rPr>
          <w:rFonts w:hint="eastAsia" w:ascii="宋体" w:hAnsi="宋体" w:eastAsia="宋体" w:cs="宋体"/>
          <w:color w:val="auto"/>
          <w:sz w:val="24"/>
          <w:szCs w:val="24"/>
          <w:highlight w:val="none"/>
        </w:rPr>
        <w:t>2.1</w:t>
      </w:r>
      <w:bookmarkEnd w:id="76"/>
      <w:r>
        <w:rPr>
          <w:rFonts w:hint="eastAsia" w:ascii="宋体" w:hAnsi="宋体" w:eastAsia="宋体" w:cs="宋体"/>
          <w:color w:val="auto"/>
          <w:sz w:val="24"/>
          <w:szCs w:val="24"/>
          <w:highlight w:val="none"/>
        </w:rPr>
        <w:t>竞争性磋商文件构成</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77" w:name="_Toc16938527"/>
      <w:bookmarkEnd w:id="77"/>
      <w:bookmarkStart w:id="78" w:name="_Toc513029211"/>
      <w:bookmarkEnd w:id="78"/>
      <w:bookmarkStart w:id="79" w:name="_Toc462564070"/>
      <w:bookmarkEnd w:id="79"/>
      <w:bookmarkStart w:id="80" w:name="_Toc20823283"/>
      <w:bookmarkEnd w:id="80"/>
      <w:bookmarkStart w:id="81" w:name="_Toc528078014"/>
      <w:r>
        <w:rPr>
          <w:rFonts w:hint="eastAsia" w:ascii="宋体" w:hAnsi="宋体" w:eastAsia="宋体" w:cs="宋体"/>
          <w:color w:val="auto"/>
          <w:sz w:val="24"/>
          <w:szCs w:val="24"/>
          <w:highlight w:val="none"/>
        </w:rPr>
        <w:t>2.2</w:t>
      </w:r>
      <w:bookmarkEnd w:id="81"/>
      <w:r>
        <w:rPr>
          <w:rFonts w:hint="eastAsia" w:ascii="宋体" w:hAnsi="宋体" w:eastAsia="宋体" w:cs="宋体"/>
          <w:color w:val="auto"/>
          <w:sz w:val="24"/>
          <w:szCs w:val="24"/>
          <w:highlight w:val="none"/>
        </w:rPr>
        <w:t>竞争性磋商文件的澄清及修改</w:t>
      </w:r>
    </w:p>
    <w:p>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2" w:name="_Toc403987207"/>
      <w:bookmarkEnd w:id="82"/>
      <w:bookmarkStart w:id="83" w:name="_Toc20823285"/>
      <w:bookmarkEnd w:id="83"/>
      <w:bookmarkStart w:id="84" w:name="_Toc504491969"/>
      <w:bookmarkEnd w:id="84"/>
      <w:bookmarkStart w:id="85" w:name="_Toc120614216"/>
      <w:bookmarkEnd w:id="85"/>
      <w:bookmarkStart w:id="86" w:name="_Toc16938529"/>
      <w:bookmarkEnd w:id="86"/>
      <w:bookmarkStart w:id="87" w:name="_Toc505350555"/>
      <w:bookmarkEnd w:id="87"/>
      <w:bookmarkStart w:id="88" w:name="_Toc517178995"/>
      <w:bookmarkEnd w:id="88"/>
      <w:bookmarkStart w:id="89" w:name="_Toc528078015"/>
      <w:bookmarkEnd w:id="89"/>
      <w:bookmarkStart w:id="90" w:name="_Toc462564072"/>
      <w:bookmarkEnd w:id="90"/>
      <w:r>
        <w:rPr>
          <w:rFonts w:hint="eastAsia" w:ascii="宋体" w:hAnsi="宋体" w:eastAsia="宋体" w:cs="宋体"/>
          <w:color w:val="auto"/>
          <w:sz w:val="24"/>
          <w:szCs w:val="24"/>
          <w:highlight w:val="none"/>
        </w:rPr>
        <w:t>3.磋商响应文件的编制及递交</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pPr>
        <w:wordWrap w:val="0"/>
        <w:spacing w:line="460" w:lineRule="exact"/>
        <w:ind w:firstLine="480" w:firstLineChars="200"/>
        <w:jc w:val="left"/>
        <w:outlineLvl w:val="1"/>
        <w:rPr>
          <w:rFonts w:ascii="宋体" w:hAnsi="宋体" w:eastAsia="宋体" w:cs="宋体"/>
          <w:color w:val="auto"/>
          <w:sz w:val="24"/>
          <w:szCs w:val="24"/>
          <w:highlight w:val="none"/>
        </w:rPr>
      </w:pPr>
      <w:bookmarkStart w:id="91" w:name="_Toc528078016"/>
      <w:bookmarkEnd w:id="91"/>
      <w:r>
        <w:rPr>
          <w:rFonts w:hint="eastAsia" w:ascii="宋体" w:hAnsi="宋体" w:eastAsia="宋体" w:cs="宋体"/>
          <w:color w:val="auto"/>
          <w:sz w:val="24"/>
          <w:szCs w:val="24"/>
          <w:highlight w:val="none"/>
        </w:rPr>
        <w:t>3.初次报价表</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92" w:name="_Toc528078017"/>
      <w:bookmarkEnd w:id="92"/>
      <w:r>
        <w:rPr>
          <w:rFonts w:hint="eastAsia" w:ascii="宋体" w:hAnsi="宋体" w:eastAsia="宋体" w:cs="宋体"/>
          <w:color w:val="auto"/>
          <w:sz w:val="24"/>
          <w:szCs w:val="24"/>
          <w:highlight w:val="none"/>
        </w:rPr>
        <w:t>3.1供应商应按照竞争性磋商文件规定格式填报</w:t>
      </w:r>
      <w:bookmarkStart w:id="93" w:name="_Hlt26670399"/>
      <w:bookmarkEnd w:id="93"/>
      <w:r>
        <w:rPr>
          <w:rFonts w:hint="eastAsia" w:ascii="宋体" w:hAnsi="宋体" w:eastAsia="宋体" w:cs="宋体"/>
          <w:color w:val="auto"/>
          <w:sz w:val="24"/>
          <w:szCs w:val="24"/>
          <w:highlight w:val="none"/>
        </w:rPr>
        <w:t>初次报价表。每项费用允许有一个报价，任何有选择的报价将不予接受。</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8"/>
      <w:bookmarkEnd w:id="94"/>
      <w:r>
        <w:rPr>
          <w:rFonts w:hint="eastAsia" w:ascii="宋体" w:hAnsi="宋体" w:eastAsia="宋体" w:cs="宋体"/>
          <w:color w:val="auto"/>
          <w:sz w:val="24"/>
          <w:szCs w:val="24"/>
          <w:highlight w:val="none"/>
        </w:rPr>
        <w:t>3.3其它费用处理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19"/>
      <w:bookmarkEnd w:id="95"/>
      <w:r>
        <w:rPr>
          <w:rFonts w:hint="eastAsia" w:ascii="宋体" w:hAnsi="宋体" w:eastAsia="宋体" w:cs="宋体"/>
          <w:color w:val="auto"/>
          <w:sz w:val="24"/>
          <w:szCs w:val="24"/>
          <w:highlight w:val="none"/>
        </w:rPr>
        <w:t>3.4响应文件货币</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96" w:name="_Toc528078020"/>
      <w:bookmarkEnd w:id="96"/>
      <w:r>
        <w:rPr>
          <w:rFonts w:hint="eastAsia" w:ascii="宋体" w:hAnsi="宋体" w:eastAsia="宋体" w:cs="宋体"/>
          <w:color w:val="auto"/>
          <w:sz w:val="24"/>
          <w:szCs w:val="24"/>
          <w:highlight w:val="none"/>
        </w:rPr>
        <w:t>3.5初次报价表上的价格应按下列方式填写：</w:t>
      </w:r>
    </w:p>
    <w:p>
      <w:pPr>
        <w:wordWrap w:val="0"/>
        <w:spacing w:line="460" w:lineRule="exact"/>
        <w:ind w:firstLine="480" w:firstLineChars="200"/>
        <w:jc w:val="left"/>
        <w:rPr>
          <w:rFonts w:ascii="宋体" w:hAnsi="宋体" w:eastAsia="宋体" w:cs="宋体"/>
          <w:color w:val="auto"/>
          <w:sz w:val="24"/>
          <w:szCs w:val="24"/>
          <w:highlight w:val="none"/>
        </w:rPr>
      </w:pPr>
      <w:bookmarkStart w:id="97" w:name="_Hlt26670425"/>
      <w:bookmarkEnd w:id="97"/>
      <w:bookmarkStart w:id="98" w:name="_Hlt26954844"/>
      <w:bookmarkEnd w:id="98"/>
      <w:bookmarkStart w:id="99" w:name="_Hlt26668983"/>
      <w:bookmarkEnd w:id="99"/>
      <w:bookmarkStart w:id="100" w:name="_Hlt26954842"/>
      <w:bookmarkEnd w:id="100"/>
      <w:bookmarkStart w:id="101" w:name="_Hlt26670403"/>
      <w:bookmarkEnd w:id="101"/>
      <w:r>
        <w:rPr>
          <w:rFonts w:hint="eastAsia" w:ascii="宋体" w:hAnsi="宋体" w:eastAsia="宋体" w:cs="宋体"/>
          <w:color w:val="auto"/>
          <w:sz w:val="24"/>
          <w:szCs w:val="24"/>
          <w:highlight w:val="none"/>
        </w:rPr>
        <w:t>3.5.1项目总价：包括买方服务需求所涉及的所有费用。</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2" w:name="_Toc517178996"/>
      <w:bookmarkEnd w:id="102"/>
      <w:bookmarkStart w:id="103" w:name="_Hlt26954848"/>
      <w:bookmarkEnd w:id="103"/>
      <w:bookmarkStart w:id="104" w:name="_Hlt26670486"/>
      <w:bookmarkEnd w:id="104"/>
      <w:bookmarkStart w:id="105" w:name="_Hlt26670482"/>
      <w:bookmarkEnd w:id="105"/>
      <w:bookmarkStart w:id="106" w:name="_Toc505350556"/>
      <w:bookmarkEnd w:id="106"/>
      <w:bookmarkStart w:id="107" w:name="_Hlt26954846"/>
      <w:bookmarkEnd w:id="107"/>
      <w:bookmarkStart w:id="108" w:name="_Hlt26954731"/>
      <w:bookmarkEnd w:id="108"/>
      <w:bookmarkStart w:id="109" w:name="_Toc528078025"/>
      <w:r>
        <w:rPr>
          <w:rFonts w:hint="eastAsia" w:ascii="宋体" w:hAnsi="宋体" w:eastAsia="宋体" w:cs="宋体"/>
          <w:color w:val="auto"/>
          <w:sz w:val="24"/>
          <w:szCs w:val="24"/>
          <w:highlight w:val="none"/>
        </w:rPr>
        <w:t>4.磋商与评审</w:t>
      </w:r>
      <w:bookmarkEnd w:id="109"/>
      <w:bookmarkStart w:id="110" w:name="_Toc528078026"/>
      <w:bookmarkEnd w:id="110"/>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1" w:name="_Toc528078027"/>
      <w:bookmarkEnd w:id="111"/>
    </w:p>
    <w:p>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12" w:name="_Toc528078029"/>
      <w:bookmarkEnd w:id="112"/>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wordWrap w:val="0"/>
        <w:spacing w:line="460" w:lineRule="exact"/>
        <w:ind w:firstLine="480" w:firstLineChars="200"/>
        <w:jc w:val="left"/>
        <w:outlineLvl w:val="1"/>
        <w:rPr>
          <w:rFonts w:ascii="宋体" w:hAnsi="宋体" w:eastAsia="宋体" w:cs="宋体"/>
          <w:color w:val="auto"/>
          <w:sz w:val="24"/>
          <w:szCs w:val="24"/>
          <w:highlight w:val="none"/>
        </w:rPr>
      </w:pPr>
      <w:bookmarkStart w:id="113" w:name="_Toc528078030"/>
      <w:bookmarkEnd w:id="113"/>
      <w:r>
        <w:rPr>
          <w:rFonts w:hint="eastAsia" w:ascii="宋体" w:hAnsi="宋体" w:eastAsia="宋体" w:cs="宋体"/>
          <w:color w:val="auto"/>
          <w:sz w:val="24"/>
          <w:szCs w:val="24"/>
          <w:highlight w:val="none"/>
        </w:rPr>
        <w:t>6、响应文件审查</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14" w:name="_Toc528078031"/>
      <w:bookmarkEnd w:id="114"/>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wordWrap w:val="0"/>
        <w:spacing w:line="460" w:lineRule="exact"/>
        <w:ind w:firstLine="480" w:firstLineChars="200"/>
        <w:jc w:val="left"/>
        <w:outlineLvl w:val="1"/>
        <w:rPr>
          <w:rFonts w:ascii="宋体" w:hAnsi="宋体" w:eastAsia="宋体" w:cs="宋体"/>
          <w:color w:val="auto"/>
          <w:sz w:val="24"/>
          <w:szCs w:val="24"/>
          <w:highlight w:val="none"/>
        </w:rPr>
      </w:pPr>
      <w:bookmarkStart w:id="115" w:name="_Toc16938548"/>
      <w:bookmarkEnd w:id="115"/>
      <w:bookmarkStart w:id="116" w:name="_Toc513029232"/>
      <w:bookmarkEnd w:id="116"/>
      <w:bookmarkStart w:id="117" w:name="_Toc20823304"/>
      <w:bookmarkEnd w:id="117"/>
      <w:r>
        <w:rPr>
          <w:rFonts w:hint="eastAsia" w:ascii="宋体" w:hAnsi="宋体" w:eastAsia="宋体" w:cs="宋体"/>
          <w:color w:val="auto"/>
          <w:sz w:val="24"/>
          <w:szCs w:val="24"/>
          <w:highlight w:val="none"/>
        </w:rPr>
        <w:t>7、磋商程序、最后报价、综合评分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4"/>
      <w:bookmarkEnd w:id="118"/>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5"/>
      <w:bookmarkEnd w:id="119"/>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6"/>
      <w:bookmarkEnd w:id="120"/>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7"/>
      <w:bookmarkEnd w:id="121"/>
      <w:r>
        <w:rPr>
          <w:rFonts w:hint="eastAsia" w:ascii="宋体" w:hAnsi="宋体" w:eastAsia="宋体" w:cs="宋体"/>
          <w:color w:val="auto"/>
          <w:sz w:val="24"/>
          <w:szCs w:val="24"/>
          <w:highlight w:val="none"/>
        </w:rPr>
        <w:t>7.4已提交响应文件的供应商，在提交最后报价之前，可以根据磋商情况退出磋商。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8"/>
      <w:bookmarkEnd w:id="122"/>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3" w:name="_Toc528078039"/>
      <w:bookmarkEnd w:id="123"/>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0"/>
      <w:bookmarkEnd w:id="124"/>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41"/>
      <w:bookmarkEnd w:id="125"/>
      <w:r>
        <w:rPr>
          <w:rFonts w:hint="eastAsia" w:ascii="宋体" w:hAnsi="宋体" w:eastAsia="宋体" w:cs="宋体"/>
          <w:color w:val="auto"/>
          <w:sz w:val="24"/>
          <w:szCs w:val="24"/>
          <w:highlight w:val="none"/>
        </w:rPr>
        <w:t>7.7响应无效和终止磋商活动条款</w:t>
      </w:r>
    </w:p>
    <w:p>
      <w:pPr>
        <w:wordWrap w:val="0"/>
        <w:spacing w:line="460" w:lineRule="exact"/>
        <w:ind w:firstLine="480" w:firstLineChars="200"/>
        <w:jc w:val="left"/>
        <w:rPr>
          <w:rFonts w:ascii="宋体" w:hAnsi="宋体" w:eastAsia="宋体" w:cs="宋体"/>
          <w:color w:val="auto"/>
          <w:sz w:val="24"/>
          <w:szCs w:val="24"/>
          <w:highlight w:val="none"/>
        </w:rPr>
      </w:pPr>
      <w:bookmarkStart w:id="126" w:name="_Toc513029235"/>
      <w:bookmarkEnd w:id="126"/>
      <w:bookmarkStart w:id="127" w:name="_Toc16938551"/>
      <w:bookmarkEnd w:id="127"/>
      <w:r>
        <w:rPr>
          <w:rFonts w:hint="eastAsia" w:ascii="宋体" w:hAnsi="宋体" w:eastAsia="宋体" w:cs="宋体"/>
          <w:color w:val="auto"/>
          <w:sz w:val="24"/>
          <w:szCs w:val="24"/>
          <w:highlight w:val="none"/>
        </w:rPr>
        <w:t>1）未按照竞争性磋商文件规定要求签署、盖章的；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8" w:name="_Toc517178997"/>
      <w:bookmarkEnd w:id="128"/>
      <w:bookmarkStart w:id="129" w:name="_Toc504491971"/>
      <w:bookmarkEnd w:id="129"/>
      <w:bookmarkStart w:id="130" w:name="_Toc505350557"/>
      <w:bookmarkEnd w:id="130"/>
      <w:bookmarkStart w:id="131" w:name="_Toc528078042"/>
      <w:r>
        <w:rPr>
          <w:rFonts w:hint="eastAsia" w:ascii="宋体" w:hAnsi="宋体" w:eastAsia="宋体" w:cs="宋体"/>
          <w:color w:val="auto"/>
          <w:sz w:val="24"/>
          <w:szCs w:val="24"/>
          <w:highlight w:val="none"/>
        </w:rPr>
        <w:t>8.确定成交、询问及质疑</w:t>
      </w:r>
      <w:bookmarkEnd w:id="131"/>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32" w:name="_Toc16938554"/>
      <w:bookmarkEnd w:id="132"/>
      <w:bookmarkStart w:id="133" w:name="_Toc20823310"/>
      <w:bookmarkEnd w:id="133"/>
      <w:bookmarkStart w:id="134" w:name="_Toc528078043"/>
      <w:r>
        <w:rPr>
          <w:rFonts w:hint="eastAsia" w:ascii="宋体" w:hAnsi="宋体" w:eastAsia="宋体" w:cs="宋体"/>
          <w:color w:val="auto"/>
          <w:sz w:val="24"/>
          <w:szCs w:val="24"/>
          <w:highlight w:val="none"/>
        </w:rPr>
        <w:t>8.1</w:t>
      </w:r>
      <w:bookmarkEnd w:id="134"/>
      <w:r>
        <w:rPr>
          <w:rFonts w:hint="eastAsia" w:ascii="宋体" w:hAnsi="宋体" w:eastAsia="宋体" w:cs="宋体"/>
          <w:color w:val="auto"/>
          <w:sz w:val="24"/>
          <w:szCs w:val="24"/>
          <w:highlight w:val="none"/>
        </w:rPr>
        <w:t>确定成交供应商</w:t>
      </w:r>
    </w:p>
    <w:p>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35" w:name="_Toc200451960"/>
      <w:bookmarkEnd w:id="135"/>
      <w:bookmarkStart w:id="136" w:name="_Toc528078044"/>
      <w:r>
        <w:rPr>
          <w:rFonts w:hint="eastAsia" w:ascii="宋体" w:hAnsi="宋体" w:eastAsia="宋体" w:cs="宋体"/>
          <w:color w:val="auto"/>
          <w:sz w:val="24"/>
          <w:szCs w:val="24"/>
          <w:highlight w:val="none"/>
        </w:rPr>
        <w:t>8.2询问及质疑</w:t>
      </w:r>
      <w:bookmarkEnd w:id="136"/>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7" w:name="_Toc504491972"/>
      <w:bookmarkEnd w:id="137"/>
      <w:bookmarkStart w:id="138" w:name="_Toc16938552"/>
      <w:bookmarkEnd w:id="138"/>
      <w:bookmarkStart w:id="139" w:name="_Toc505350558"/>
      <w:bookmarkEnd w:id="139"/>
      <w:bookmarkStart w:id="140" w:name="_Toc120614220"/>
      <w:bookmarkEnd w:id="140"/>
      <w:bookmarkStart w:id="141" w:name="_Toc403987211"/>
      <w:bookmarkEnd w:id="141"/>
      <w:bookmarkStart w:id="142" w:name="_Toc513029236"/>
      <w:bookmarkEnd w:id="142"/>
      <w:bookmarkStart w:id="143" w:name="_Toc517178998"/>
      <w:bookmarkEnd w:id="143"/>
      <w:bookmarkStart w:id="144" w:name="_Toc20823308"/>
      <w:bookmarkEnd w:id="144"/>
      <w:bookmarkStart w:id="145" w:name="_Toc528078045"/>
      <w:r>
        <w:rPr>
          <w:rFonts w:hint="eastAsia" w:ascii="宋体" w:hAnsi="宋体" w:eastAsia="宋体" w:cs="宋体"/>
          <w:color w:val="auto"/>
          <w:sz w:val="24"/>
          <w:szCs w:val="24"/>
          <w:highlight w:val="none"/>
        </w:rPr>
        <w:t>9.</w:t>
      </w:r>
      <w:bookmarkEnd w:id="145"/>
      <w:r>
        <w:rPr>
          <w:rFonts w:hint="eastAsia" w:ascii="宋体" w:hAnsi="宋体" w:eastAsia="宋体" w:cs="宋体"/>
          <w:color w:val="auto"/>
          <w:sz w:val="24"/>
          <w:szCs w:val="24"/>
          <w:highlight w:val="none"/>
        </w:rPr>
        <w:t>授予合同</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6" w:name="_Toc16938553"/>
      <w:bookmarkEnd w:id="146"/>
      <w:bookmarkStart w:id="147" w:name="_Toc513029237"/>
      <w:bookmarkEnd w:id="147"/>
      <w:bookmarkStart w:id="148" w:name="_Toc20823309"/>
      <w:bookmarkEnd w:id="148"/>
      <w:bookmarkStart w:id="149" w:name="_Toc528078046"/>
      <w:r>
        <w:rPr>
          <w:rFonts w:hint="eastAsia" w:ascii="宋体" w:hAnsi="宋体" w:eastAsia="宋体" w:cs="宋体"/>
          <w:color w:val="auto"/>
          <w:sz w:val="24"/>
          <w:szCs w:val="24"/>
          <w:highlight w:val="none"/>
        </w:rPr>
        <w:t>9.1签订合同</w:t>
      </w:r>
      <w:bookmarkEnd w:id="149"/>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0" w:name="_Toc20823314"/>
      <w:bookmarkEnd w:id="150"/>
      <w:bookmarkStart w:id="151" w:name="_Toc479757207"/>
      <w:bookmarkEnd w:id="151"/>
      <w:bookmarkStart w:id="152" w:name="_Toc16938558"/>
      <w:bookmarkEnd w:id="152"/>
      <w:bookmarkStart w:id="153" w:name="_Toc517178999"/>
      <w:bookmarkEnd w:id="153"/>
      <w:bookmarkStart w:id="154" w:name="_Toc513029242"/>
      <w:bookmarkEnd w:id="154"/>
      <w:bookmarkStart w:id="155" w:name="_Toc528078047"/>
      <w:bookmarkEnd w:id="155"/>
      <w:bookmarkStart w:id="156" w:name="_Toc479757211"/>
      <w:bookmarkEnd w:id="156"/>
      <w:bookmarkStart w:id="157" w:name="_Toc120614221"/>
      <w:bookmarkEnd w:id="157"/>
      <w:bookmarkStart w:id="158" w:name="_Hlt16619475"/>
      <w:bookmarkEnd w:id="158"/>
      <w:bookmarkStart w:id="159" w:name="_Toc528078062"/>
      <w:r>
        <w:rPr>
          <w:rFonts w:hint="eastAsia" w:ascii="宋体" w:hAnsi="宋体" w:eastAsia="宋体" w:cs="宋体"/>
          <w:color w:val="auto"/>
          <w:sz w:val="24"/>
          <w:szCs w:val="24"/>
          <w:highlight w:val="none"/>
        </w:rPr>
        <w:t>。</w:t>
      </w:r>
      <w:bookmarkEnd w:id="159"/>
    </w:p>
    <w:p>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pPr>
        <w:spacing w:line="500" w:lineRule="exact"/>
        <w:ind w:firstLine="480" w:firstLineChars="200"/>
        <w:rPr>
          <w:rFonts w:ascii="宋体" w:hAnsi="宋体" w:eastAsia="宋体" w:cs="Times New Roman"/>
          <w:color w:val="auto"/>
          <w:sz w:val="24"/>
          <w:szCs w:val="24"/>
          <w:highlight w:val="none"/>
        </w:rPr>
      </w:pPr>
      <w:bookmarkStart w:id="160"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1" w:name="第四部分_合同条款"/>
      <w:bookmarkEnd w:id="161"/>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0"/>
    <w:p>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pPr>
        <w:spacing w:line="480" w:lineRule="exact"/>
        <w:ind w:firstLine="480" w:firstLineChars="200"/>
        <w:rPr>
          <w:rFonts w:ascii="宋体" w:hAnsi="宋体" w:eastAsia="宋体" w:cs="宋体"/>
          <w:color w:val="auto"/>
          <w:kern w:val="0"/>
          <w:sz w:val="24"/>
          <w:szCs w:val="24"/>
          <w:highlight w:val="none"/>
        </w:rPr>
      </w:pP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pPr>
        <w:spacing w:line="480" w:lineRule="exact"/>
        <w:ind w:firstLine="480" w:firstLineChars="200"/>
        <w:rPr>
          <w:rFonts w:ascii="宋体" w:hAnsi="宋体" w:eastAsia="宋体" w:cs="宋体"/>
          <w:color w:val="auto"/>
          <w:kern w:val="0"/>
          <w:sz w:val="24"/>
          <w:szCs w:val="24"/>
          <w:highlight w:val="none"/>
        </w:rPr>
      </w:pP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pPr>
        <w:pStyle w:val="6"/>
        <w:bidi w:val="0"/>
        <w:jc w:val="center"/>
        <w:outlineLvl w:val="0"/>
        <w:rPr>
          <w:color w:val="auto"/>
          <w:highlight w:val="none"/>
        </w:rPr>
      </w:pPr>
      <w:bookmarkStart w:id="162" w:name="_Toc28251"/>
      <w:bookmarkStart w:id="163" w:name="_Toc14135"/>
      <w:bookmarkStart w:id="164" w:name="_Toc6120"/>
      <w:r>
        <w:rPr>
          <w:rFonts w:hint="eastAsia"/>
          <w:color w:val="auto"/>
          <w:highlight w:val="none"/>
        </w:rPr>
        <w:t>第三章  评标办法（综合评估法）</w:t>
      </w:r>
      <w:bookmarkEnd w:id="46"/>
      <w:bookmarkEnd w:id="47"/>
      <w:bookmarkEnd w:id="48"/>
      <w:bookmarkEnd w:id="49"/>
      <w:bookmarkEnd w:id="50"/>
      <w:bookmarkEnd w:id="162"/>
      <w:bookmarkEnd w:id="163"/>
      <w:bookmarkEnd w:id="164"/>
    </w:p>
    <w:p>
      <w:pPr>
        <w:widowControl/>
        <w:spacing w:line="400" w:lineRule="exact"/>
        <w:ind w:firstLine="420"/>
        <w:rPr>
          <w:rFonts w:ascii="宋体" w:hAnsi="宋体" w:cs="Calibri"/>
          <w:color w:val="auto"/>
          <w:sz w:val="24"/>
          <w:highlight w:val="none"/>
        </w:rPr>
      </w:pPr>
      <w:bookmarkStart w:id="165" w:name="_Toc375053347"/>
      <w:bookmarkEnd w:id="165"/>
      <w:bookmarkStart w:id="166" w:name="_Toc152045600"/>
      <w:bookmarkEnd w:id="166"/>
      <w:bookmarkStart w:id="167" w:name="_Toc144974567"/>
      <w:bookmarkEnd w:id="167"/>
      <w:bookmarkStart w:id="168" w:name="_Toc466566705"/>
      <w:bookmarkEnd w:id="168"/>
      <w:bookmarkStart w:id="169" w:name="_Toc179632618"/>
      <w:bookmarkEnd w:id="169"/>
      <w:bookmarkStart w:id="170" w:name="_Toc466566794"/>
      <w:bookmarkEnd w:id="170"/>
      <w:bookmarkStart w:id="171" w:name="OLE_LINK1"/>
      <w:r>
        <w:rPr>
          <w:rFonts w:hint="eastAsia" w:ascii="宋体" w:hAnsi="宋体" w:cs="Calibri"/>
          <w:color w:val="auto"/>
          <w:kern w:val="0"/>
          <w:sz w:val="24"/>
          <w:highlight w:val="none"/>
        </w:rPr>
        <w:t>本次项目的评审分为初步审查和详细审查。详细审查采用综合评分法，总分为100分。</w:t>
      </w:r>
      <w:bookmarkEnd w:id="171"/>
      <w:r>
        <w:rPr>
          <w:rFonts w:hint="eastAsia" w:ascii="宋体" w:hAnsi="宋体" w:cs="Calibri"/>
          <w:color w:val="auto"/>
          <w:kern w:val="0"/>
          <w:sz w:val="24"/>
          <w:highlight w:val="none"/>
        </w:rPr>
        <w:t>评审因素如下：</w:t>
      </w:r>
    </w:p>
    <w:p>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rPr>
                <w:rFonts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满足《中华人民共和国政府采购法》第二十二条规定</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供应商具有依法缴纳税收和社会保障资金的良好记录，提供2025年以来任意三个月企业税收证明材料</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pPr>
        <w:widowControl/>
        <w:rPr>
          <w:rFonts w:ascii="宋体" w:hAnsi="宋体" w:eastAsia="宋体" w:cs="宋体"/>
          <w:color w:val="auto"/>
          <w:sz w:val="24"/>
          <w:szCs w:val="32"/>
          <w:highlight w:val="none"/>
        </w:rPr>
      </w:pPr>
      <w:bookmarkStart w:id="172" w:name="_Toc512514899"/>
      <w:bookmarkEnd w:id="172"/>
      <w:bookmarkStart w:id="173" w:name="_Toc517179004"/>
      <w:bookmarkEnd w:id="173"/>
      <w:bookmarkStart w:id="174" w:name="_Toc528078063"/>
      <w:bookmarkEnd w:id="174"/>
      <w:bookmarkStart w:id="175" w:name="_Toc16770583"/>
      <w:bookmarkEnd w:id="175"/>
      <w:bookmarkStart w:id="176" w:name="_Toc13219"/>
      <w:bookmarkStart w:id="177" w:name="_Toc43302814"/>
      <w:r>
        <w:rPr>
          <w:rFonts w:hint="eastAsia" w:ascii="宋体" w:hAnsi="宋体" w:eastAsia="宋体" w:cs="宋体"/>
          <w:color w:val="auto"/>
          <w:sz w:val="24"/>
          <w:szCs w:val="32"/>
          <w:highlight w:val="none"/>
        </w:rPr>
        <w:t>评分标准</w:t>
      </w:r>
      <w:bookmarkEnd w:id="176"/>
      <w:bookmarkEnd w:id="177"/>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w:t>
            </w:r>
            <w:r>
              <w:rPr>
                <w:rFonts w:hint="eastAsia" w:ascii="宋体" w:hAnsi="宋体" w:eastAsia="宋体" w:cs="宋体"/>
                <w:color w:val="auto"/>
                <w:sz w:val="24"/>
                <w:szCs w:val="24"/>
                <w:highlight w:val="none"/>
                <w:lang w:val="en-US" w:eastAsia="zh-CN"/>
              </w:rPr>
              <w:t>扣2分</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pPr>
              <w:pStyle w:val="3"/>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培训内容全面详实情况、培训时间长短、培训人员数量多少。分三个档次打分。</w:t>
            </w:r>
          </w:p>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内容详实，培训时长、人数满足项目需求的得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内容较详实，培训时长、人数较好的得3分</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内容一般，基本满足需求的为第三档得1分</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缺项或不符合要求不得分；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bookmarkStart w:id="178" w:name="OLE_LINK3" w:colFirst="1" w:colLast="2"/>
          </w:p>
        </w:tc>
        <w:tc>
          <w:tcPr>
            <w:tcW w:w="1981" w:type="dxa"/>
            <w:gridSpan w:val="2"/>
            <w:tcBorders>
              <w:top w:val="single" w:color="auto" w:sz="4" w:space="0"/>
              <w:left w:val="nil"/>
              <w:bottom w:val="single" w:color="auto" w:sz="4" w:space="0"/>
              <w:right w:val="single" w:color="auto" w:sz="4" w:space="0"/>
            </w:tcBorders>
            <w:noWrap w:val="0"/>
            <w:vAlign w:val="center"/>
          </w:tcPr>
          <w:p>
            <w:pPr>
              <w:pStyle w:val="3"/>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pPr>
              <w:pStyle w:val="3"/>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bookmark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pPr>
              <w:spacing w:line="360" w:lineRule="auto"/>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（0-4分）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提供2021年1月以来已完成的类似项目业绩，每提供一份得2份，该项最高得4分，没有不得分；须提供合同和中标通知书。注：需在响应文件中提供相应证明资料，没有不得分。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产品实力</w:t>
            </w:r>
          </w:p>
          <w:p>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pPr>
              <w:adjustRightInd w:val="0"/>
              <w:snapToGrid w:val="0"/>
              <w:spacing w:before="62" w:beforeLines="20" w:after="62" w:afterLines="20" w:line="360" w:lineRule="auto"/>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1、所投</w:t>
            </w:r>
            <w:r>
              <w:rPr>
                <w:rFonts w:hint="eastAsia" w:ascii="宋体" w:hAnsi="宋体" w:eastAsia="宋体"/>
                <w:bCs/>
                <w:color w:val="auto"/>
                <w:sz w:val="24"/>
                <w:szCs w:val="24"/>
                <w:highlight w:val="none"/>
                <w:lang w:val="en-US" w:eastAsia="zh-CN"/>
              </w:rPr>
              <w:t>精品录播主机</w:t>
            </w:r>
            <w:r>
              <w:rPr>
                <w:rFonts w:hint="eastAsia" w:ascii="宋体" w:hAnsi="宋体" w:eastAsia="宋体"/>
                <w:bCs/>
                <w:color w:val="auto"/>
                <w:sz w:val="24"/>
                <w:szCs w:val="24"/>
                <w:highlight w:val="none"/>
              </w:rPr>
              <w:t>产品制造商具备创新的质量管理模式、先进的质量理念，获得过中国质量奖或中国质量奖提名奖的，得</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分，否则不得分。（需提供相关证明材料并加盖制造商公章）</w:t>
            </w:r>
          </w:p>
          <w:p>
            <w:pPr>
              <w:adjustRightInd w:val="0"/>
              <w:snapToGrid w:val="0"/>
              <w:spacing w:before="62" w:beforeLines="20" w:after="62" w:afterLines="20" w:line="360" w:lineRule="auto"/>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2、所投</w:t>
            </w:r>
            <w:r>
              <w:rPr>
                <w:rFonts w:hint="eastAsia" w:ascii="宋体" w:hAnsi="宋体" w:eastAsia="宋体"/>
                <w:bCs/>
                <w:color w:val="auto"/>
                <w:sz w:val="24"/>
                <w:szCs w:val="24"/>
                <w:highlight w:val="none"/>
                <w:lang w:val="en-US" w:eastAsia="zh-CN"/>
              </w:rPr>
              <w:t>精品录播主机</w:t>
            </w:r>
            <w:r>
              <w:rPr>
                <w:rFonts w:hint="eastAsia" w:ascii="宋体" w:hAnsi="宋体" w:eastAsia="宋体"/>
                <w:bCs/>
                <w:color w:val="auto"/>
                <w:sz w:val="24"/>
                <w:szCs w:val="24"/>
                <w:highlight w:val="none"/>
              </w:rPr>
              <w:t>产品制造商具备较强的新技术研发实力，可提供高水平技术支撑，为国家技术创新示范企业的得</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分，否则不得分。（需提供相关证明材料并加盖制造商公章）</w:t>
            </w:r>
          </w:p>
          <w:p>
            <w:pPr>
              <w:adjustRightInd w:val="0"/>
              <w:snapToGrid w:val="0"/>
              <w:spacing w:before="62" w:beforeLines="20" w:after="62" w:afterLines="20" w:line="360" w:lineRule="auto"/>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3、所投数字音频处理器产品制造商</w:t>
            </w:r>
            <w:r>
              <w:rPr>
                <w:rFonts w:hint="eastAsia" w:ascii="宋体" w:hAnsi="宋体" w:eastAsia="宋体"/>
                <w:bCs/>
                <w:color w:val="auto"/>
                <w:sz w:val="24"/>
                <w:szCs w:val="24"/>
                <w:highlight w:val="none"/>
                <w:lang w:val="en-US" w:eastAsia="zh-CN"/>
              </w:rPr>
              <w:t>获得</w:t>
            </w:r>
            <w:r>
              <w:rPr>
                <w:rFonts w:hint="eastAsia" w:ascii="宋体" w:hAnsi="宋体" w:eastAsia="宋体"/>
                <w:bCs/>
                <w:color w:val="auto"/>
                <w:sz w:val="24"/>
                <w:szCs w:val="24"/>
                <w:highlight w:val="none"/>
              </w:rPr>
              <w:t>过国家级科学技术进步奖或国家级科学技术发明奖证书的得</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分，否则不得分。（需提供相关证明材料并加盖制造商公章）</w:t>
            </w:r>
          </w:p>
          <w:p>
            <w:pPr>
              <w:adjustRightInd w:val="0"/>
              <w:snapToGrid w:val="0"/>
              <w:spacing w:before="62" w:beforeLines="20" w:after="62" w:afterLines="20" w:line="360" w:lineRule="auto"/>
              <w:jc w:val="left"/>
              <w:rPr>
                <w:rFonts w:hint="eastAsia" w:ascii="宋体" w:hAnsi="宋体" w:eastAsia="宋体" w:cs="宋体"/>
                <w:color w:val="auto"/>
                <w:sz w:val="24"/>
                <w:szCs w:val="24"/>
                <w:highlight w:val="none"/>
                <w:lang w:val="en-US" w:eastAsia="zh-CN" w:bidi="zh-CN"/>
              </w:rPr>
            </w:pPr>
            <w:r>
              <w:rPr>
                <w:rFonts w:hint="eastAsia" w:ascii="宋体" w:hAnsi="宋体" w:eastAsia="宋体"/>
                <w:bCs/>
                <w:color w:val="auto"/>
                <w:sz w:val="24"/>
                <w:szCs w:val="24"/>
                <w:highlight w:val="none"/>
              </w:rPr>
              <w:t>4、所投录播触控平板产品制造商具备较强的企业管理能力，同时具备ISO9001质量管理体系、ISO14001环境管理体系、ISO45001职业健康安全管理体系的得2分，否则不得分。（需提供相关证明材料并加盖制造商公章）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（0-8分）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1、详细说明售后服务(售后服务的内容、形式、免费维修时间、解决质量或操作问题的响应时间、解决问题时间、地点)全面、详细、可行的得2分，基本全面、详细、可行的得1分；没有不得分。</w:t>
            </w:r>
          </w:p>
          <w:p>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2、对保修期限内的承诺（质保期、服务内容等），全面、详细、可行的得2分；基本全面、详细、可行的得1分；没有不得分。</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3、对保修期限外的承诺（质保期、服务内容等），全面、详细、可行的得2分；基本全面、详细、可行的得1分；没有不得分。</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4、供应商详细说明机构设置、人员配备情况、备品备件供应情况，全面、详细、可行的得2分；基本全面、详细、可行的得1分；</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缺项或不符合要求不得分；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服务能力和优惠承诺(0-3分)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磋商小组根据投标人提供的服务能力和优惠承诺，服务程序、人员配备技术力量和问题响应及解决时间等打分。</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内容详实，科学、合理，考虑周全，措施到位，针对性强，完全能够满足项目的需要，得3分。</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内容完整，基本科学、合理，考虑基本周全，措施基本到位，针对性较强，可以满足项目的需要，但有个别细节需要进一步完善或提高，得2分。</w:t>
            </w:r>
          </w:p>
          <w:p>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内容基本完整，科学、合理方面一般，考虑不够全面，措施不够到位，针对性不强，虽然能够基本满足项目的需要，但有很多方面需要进一步完善甚至重新考虑，得1分。</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缺项或不符合要求不得分；</w:t>
            </w:r>
          </w:p>
        </w:tc>
      </w:tr>
    </w:tbl>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pPr>
        <w:pStyle w:val="6"/>
        <w:bidi w:val="0"/>
        <w:jc w:val="center"/>
        <w:outlineLvl w:val="0"/>
        <w:rPr>
          <w:color w:val="auto"/>
          <w:highlight w:val="none"/>
        </w:rPr>
      </w:pPr>
      <w:bookmarkStart w:id="179" w:name="_Toc17744"/>
      <w:bookmarkStart w:id="180" w:name="_Toc26959_WPSOffice_Level1"/>
      <w:bookmarkStart w:id="181" w:name="_Toc11512_WPSOffice_Level1"/>
      <w:bookmarkStart w:id="182" w:name="_Toc333"/>
      <w:bookmarkStart w:id="183" w:name="_Toc13565_WPSOffice_Level1"/>
      <w:bookmarkStart w:id="184" w:name="_Toc6551_WPSOffice_Level1"/>
      <w:bookmarkStart w:id="185" w:name="_Toc8518"/>
      <w:bookmarkStart w:id="186" w:name="_Toc2414"/>
      <w:r>
        <w:rPr>
          <w:rFonts w:hint="eastAsia"/>
          <w:color w:val="auto"/>
          <w:highlight w:val="none"/>
        </w:rPr>
        <w:t>第四章  合同主要条款及格式</w:t>
      </w:r>
      <w:bookmarkEnd w:id="179"/>
      <w:bookmarkEnd w:id="180"/>
      <w:bookmarkEnd w:id="181"/>
      <w:bookmarkEnd w:id="182"/>
      <w:bookmarkEnd w:id="183"/>
      <w:bookmarkEnd w:id="184"/>
      <w:bookmarkEnd w:id="185"/>
      <w:bookmarkEnd w:id="186"/>
    </w:p>
    <w:p>
      <w:pPr>
        <w:widowControl/>
        <w:jc w:val="left"/>
        <w:rPr>
          <w:rFonts w:ascii="宋体" w:hAnsi="宋体" w:eastAsia="宋体" w:cs="宋体"/>
          <w:color w:val="auto"/>
          <w:kern w:val="0"/>
          <w:sz w:val="24"/>
          <w:szCs w:val="24"/>
          <w:highlight w:val="none"/>
        </w:rPr>
      </w:pPr>
    </w:p>
    <w:p>
      <w:pPr>
        <w:widowControl/>
        <w:jc w:val="left"/>
        <w:rPr>
          <w:rFonts w:ascii="宋体" w:hAnsi="宋体" w:eastAsia="宋体" w:cs="宋体"/>
          <w:color w:val="auto"/>
          <w:kern w:val="0"/>
          <w:sz w:val="24"/>
          <w:szCs w:val="24"/>
          <w:highlight w:val="none"/>
        </w:rPr>
      </w:pPr>
    </w:p>
    <w:p>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pPr>
        <w:pStyle w:val="3"/>
        <w:rPr>
          <w:rFonts w:hint="eastAsia" w:ascii="宋体" w:hAnsi="宋体" w:cs="宋体"/>
          <w:b/>
          <w:bCs/>
          <w:color w:val="auto"/>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p>
    <w:p>
      <w:pPr>
        <w:pStyle w:val="3"/>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pPr>
        <w:pStyle w:val="3"/>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pPr>
        <w:rPr>
          <w:rFonts w:hint="eastAsia" w:ascii="宋体" w:hAnsi="宋体" w:eastAsia="宋体" w:cs="宋体"/>
          <w:b/>
          <w:bCs/>
          <w:color w:val="auto"/>
          <w:spacing w:val="-20"/>
          <w:kern w:val="44"/>
          <w:sz w:val="24"/>
          <w:szCs w:val="24"/>
          <w:highlight w:val="none"/>
        </w:rPr>
      </w:pPr>
    </w:p>
    <w:p>
      <w:pPr>
        <w:rPr>
          <w:rFonts w:hint="eastAsia" w:ascii="宋体" w:hAnsi="宋体" w:eastAsia="宋体" w:cs="宋体"/>
          <w:b/>
          <w:bCs/>
          <w:color w:val="auto"/>
          <w:spacing w:val="-20"/>
          <w:kern w:val="44"/>
          <w:sz w:val="24"/>
          <w:szCs w:val="24"/>
          <w:highlight w:val="none"/>
        </w:rPr>
      </w:pPr>
    </w:p>
    <w:p>
      <w:pPr>
        <w:rPr>
          <w:rFonts w:hint="eastAsia" w:ascii="宋体" w:hAnsi="宋体" w:eastAsia="宋体" w:cs="宋体"/>
          <w:b/>
          <w:bCs/>
          <w:color w:val="auto"/>
          <w:spacing w:val="-20"/>
          <w:kern w:val="44"/>
          <w:sz w:val="24"/>
          <w:szCs w:val="24"/>
          <w:highlight w:val="none"/>
        </w:rPr>
      </w:pPr>
    </w:p>
    <w:p>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pPr>
        <w:ind w:firstLine="480" w:firstLineChars="200"/>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5"/>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7" w:name="_Toc22209"/>
      <w:r>
        <w:rPr>
          <w:rFonts w:hint="eastAsia" w:ascii="宋体" w:hAnsi="宋体" w:eastAsia="宋体" w:cs="宋体"/>
          <w:b w:val="0"/>
          <w:bCs w:val="0"/>
          <w:color w:val="auto"/>
          <w:sz w:val="24"/>
          <w:szCs w:val="24"/>
          <w:highlight w:val="none"/>
        </w:rPr>
        <w:t>第一节 政府采购合同协议书</w:t>
      </w:r>
      <w:bookmarkEnd w:id="187"/>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pPr>
        <w:pStyle w:val="8"/>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pPr>
        <w:pStyle w:val="8"/>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pPr>
        <w:pStyle w:val="8"/>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pPr>
        <w:pStyle w:val="8"/>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60"/>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pPr>
        <w:pStyle w:val="4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pPr>
        <w:pStyle w:val="45"/>
        <w:spacing w:beforeLines="0" w:line="400" w:lineRule="exact"/>
        <w:rPr>
          <w:rFonts w:hint="eastAsia" w:ascii="宋体" w:hAnsi="宋体" w:eastAsia="宋体" w:cs="宋体"/>
          <w:color w:val="auto"/>
          <w:sz w:val="24"/>
          <w:szCs w:val="24"/>
          <w:highlight w:val="none"/>
        </w:rPr>
      </w:pPr>
    </w:p>
    <w:p>
      <w:pPr>
        <w:pStyle w:val="5"/>
        <w:adjustRightInd w:val="0"/>
        <w:snapToGrid w:val="0"/>
        <w:spacing w:before="156" w:beforeLines="50"/>
        <w:jc w:val="center"/>
        <w:rPr>
          <w:rFonts w:hint="eastAsia" w:ascii="宋体" w:hAnsi="宋体" w:eastAsia="宋体" w:cs="宋体"/>
          <w:color w:val="auto"/>
          <w:sz w:val="24"/>
          <w:szCs w:val="24"/>
          <w:highlight w:val="none"/>
        </w:rPr>
      </w:pPr>
      <w:bookmarkStart w:id="188" w:name="_Toc27624"/>
      <w:r>
        <w:rPr>
          <w:rFonts w:hint="eastAsia" w:ascii="宋体" w:hAnsi="宋体" w:eastAsia="宋体" w:cs="宋体"/>
          <w:b w:val="0"/>
          <w:bCs w:val="0"/>
          <w:color w:val="auto"/>
          <w:sz w:val="24"/>
          <w:szCs w:val="24"/>
          <w:highlight w:val="none"/>
        </w:rPr>
        <w:t>第二节 政府采购合同通用条款</w:t>
      </w:r>
      <w:bookmarkEnd w:id="188"/>
    </w:p>
    <w:p>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pPr>
        <w:pStyle w:val="3"/>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pPr>
        <w:pStyle w:val="3"/>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pPr>
        <w:pStyle w:val="9"/>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pPr>
        <w:pStyle w:val="9"/>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9"/>
      <w:r>
        <w:rPr>
          <w:rFonts w:hint="eastAsia" w:ascii="宋体" w:hAnsi="宋体" w:eastAsia="宋体" w:cs="宋体"/>
          <w:color w:val="auto"/>
          <w:sz w:val="24"/>
          <w:szCs w:val="24"/>
          <w:highlight w:val="none"/>
        </w:rPr>
        <w:t>。</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pPr>
        <w:pStyle w:val="5"/>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pPr>
        <w:pStyle w:val="3"/>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pPr>
        <w:pStyle w:val="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pPr>
        <w:pStyle w:val="3"/>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pPr>
        <w:pStyle w:val="60"/>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pPr>
        <w:pStyle w:val="6"/>
        <w:numPr>
          <w:ilvl w:val="0"/>
          <w:numId w:val="8"/>
        </w:numPr>
        <w:bidi w:val="0"/>
        <w:jc w:val="center"/>
        <w:outlineLvl w:val="0"/>
        <w:rPr>
          <w:rFonts w:hint="eastAsia"/>
          <w:color w:val="auto"/>
          <w:highlight w:val="none"/>
        </w:rPr>
      </w:pPr>
      <w:bookmarkStart w:id="190" w:name="_Toc29042"/>
      <w:bookmarkStart w:id="191" w:name="_Toc21666"/>
      <w:bookmarkStart w:id="192" w:name="_Toc32448"/>
      <w:r>
        <w:rPr>
          <w:rFonts w:hint="eastAsia"/>
          <w:color w:val="auto"/>
          <w:highlight w:val="none"/>
        </w:rPr>
        <w:t>技术参数</w:t>
      </w:r>
      <w:bookmarkEnd w:id="19"/>
      <w:bookmarkEnd w:id="20"/>
      <w:bookmarkEnd w:id="21"/>
      <w:bookmarkEnd w:id="22"/>
      <w:bookmarkEnd w:id="23"/>
      <w:bookmarkEnd w:id="24"/>
      <w:bookmarkEnd w:id="25"/>
      <w:bookmarkEnd w:id="190"/>
      <w:bookmarkEnd w:id="191"/>
      <w:bookmarkEnd w:id="192"/>
      <w:bookmarkStart w:id="193" w:name="_Toc1755_WPSOffice_Level1"/>
      <w:bookmarkStart w:id="194" w:name="_Toc25497"/>
      <w:bookmarkStart w:id="195" w:name="_Toc6078"/>
      <w:bookmarkStart w:id="196" w:name="_Toc15342_WPSOffice_Level1"/>
      <w:bookmarkStart w:id="197" w:name="_Toc5137"/>
      <w:bookmarkStart w:id="198" w:name="_Toc10945"/>
      <w:bookmarkStart w:id="199" w:name="_Toc24845_WPSOffice_Level1"/>
      <w:bookmarkStart w:id="200" w:name="_Toc708_WPSOffice_Level1"/>
    </w:p>
    <w:p>
      <w:pPr>
        <w:jc w:val="center"/>
        <w:rPr>
          <w:rFonts w:hint="eastAsia"/>
          <w:color w:val="auto"/>
          <w:highlight w:val="none"/>
        </w:rPr>
      </w:pPr>
    </w:p>
    <w:tbl>
      <w:tblPr>
        <w:tblStyle w:val="21"/>
        <w:tblW w:w="14754" w:type="dxa"/>
        <w:jc w:val="center"/>
        <w:shd w:val="clear" w:color="auto" w:fill="auto"/>
        <w:tblLayout w:type="fixed"/>
        <w:tblCellMar>
          <w:top w:w="0" w:type="dxa"/>
          <w:left w:w="0" w:type="dxa"/>
          <w:bottom w:w="0" w:type="dxa"/>
          <w:right w:w="0" w:type="dxa"/>
        </w:tblCellMar>
      </w:tblPr>
      <w:tblGrid>
        <w:gridCol w:w="728"/>
        <w:gridCol w:w="1603"/>
        <w:gridCol w:w="8635"/>
        <w:gridCol w:w="616"/>
        <w:gridCol w:w="800"/>
        <w:gridCol w:w="734"/>
        <w:gridCol w:w="747"/>
        <w:gridCol w:w="891"/>
      </w:tblGrid>
      <w:tr>
        <w:tblPrEx>
          <w:tblCellMar>
            <w:top w:w="0" w:type="dxa"/>
            <w:left w:w="0" w:type="dxa"/>
            <w:bottom w:w="0" w:type="dxa"/>
            <w:right w:w="0" w:type="dxa"/>
          </w:tblCellMar>
        </w:tblPrEx>
        <w:trPr>
          <w:trHeight w:val="660" w:hRule="atLeast"/>
          <w:jc w:val="center"/>
        </w:trPr>
        <w:tc>
          <w:tcPr>
            <w:tcW w:w="7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16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产品类别</w:t>
            </w:r>
          </w:p>
        </w:tc>
        <w:tc>
          <w:tcPr>
            <w:tcW w:w="86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技术规格</w:t>
            </w:r>
          </w:p>
        </w:tc>
        <w:tc>
          <w:tcPr>
            <w:tcW w:w="6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数量</w:t>
            </w:r>
          </w:p>
        </w:tc>
        <w:tc>
          <w:tcPr>
            <w:tcW w:w="8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单位</w:t>
            </w:r>
          </w:p>
        </w:tc>
        <w:tc>
          <w:tcPr>
            <w:tcW w:w="7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单价</w:t>
            </w:r>
            <w:r>
              <w:rPr>
                <w:rFonts w:hint="eastAsia" w:ascii="宋体" w:hAnsi="宋体" w:eastAsia="宋体" w:cs="宋体"/>
                <w:b/>
                <w:i w:val="0"/>
                <w:color w:val="auto"/>
                <w:kern w:val="0"/>
                <w:sz w:val="22"/>
                <w:szCs w:val="22"/>
                <w:highlight w:val="none"/>
                <w:u w:val="none"/>
                <w:lang w:val="en-US" w:eastAsia="zh-CN" w:bidi="ar"/>
              </w:rPr>
              <w:br w:type="textWrapping"/>
            </w:r>
            <w:r>
              <w:rPr>
                <w:rFonts w:hint="eastAsia" w:ascii="宋体" w:hAnsi="宋体" w:eastAsia="宋体" w:cs="宋体"/>
                <w:b/>
                <w:i w:val="0"/>
                <w:color w:val="auto"/>
                <w:kern w:val="0"/>
                <w:sz w:val="22"/>
                <w:szCs w:val="22"/>
                <w:highlight w:val="none"/>
                <w:u w:val="none"/>
                <w:lang w:val="en-US" w:eastAsia="zh-CN" w:bidi="ar"/>
              </w:rPr>
              <w:t>（元）</w:t>
            </w:r>
          </w:p>
        </w:tc>
        <w:tc>
          <w:tcPr>
            <w:tcW w:w="7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合计</w:t>
            </w:r>
            <w:r>
              <w:rPr>
                <w:rFonts w:hint="eastAsia" w:ascii="宋体" w:hAnsi="宋体" w:eastAsia="宋体" w:cs="宋体"/>
                <w:b/>
                <w:i w:val="0"/>
                <w:color w:val="auto"/>
                <w:kern w:val="0"/>
                <w:sz w:val="22"/>
                <w:szCs w:val="22"/>
                <w:highlight w:val="none"/>
                <w:u w:val="none"/>
                <w:lang w:val="en-US" w:eastAsia="zh-CN" w:bidi="ar"/>
              </w:rPr>
              <w:br w:type="textWrapping"/>
            </w:r>
            <w:r>
              <w:rPr>
                <w:rFonts w:hint="eastAsia" w:ascii="宋体" w:hAnsi="宋体" w:eastAsia="宋体" w:cs="宋体"/>
                <w:b/>
                <w:i w:val="0"/>
                <w:color w:val="auto"/>
                <w:kern w:val="0"/>
                <w:sz w:val="22"/>
                <w:szCs w:val="22"/>
                <w:highlight w:val="none"/>
                <w:u w:val="none"/>
                <w:lang w:val="en-US" w:eastAsia="zh-CN" w:bidi="ar"/>
              </w:rPr>
              <w:t>（元）</w:t>
            </w:r>
          </w:p>
        </w:tc>
        <w:tc>
          <w:tcPr>
            <w:tcW w:w="8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420" w:hRule="atLeast"/>
          <w:jc w:val="center"/>
        </w:trPr>
        <w:tc>
          <w:tcPr>
            <w:tcW w:w="14754"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一、录播设备</w:t>
            </w:r>
          </w:p>
        </w:tc>
      </w:tr>
      <w:tr>
        <w:tblPrEx>
          <w:tblCellMar>
            <w:top w:w="0" w:type="dxa"/>
            <w:left w:w="0" w:type="dxa"/>
            <w:bottom w:w="0" w:type="dxa"/>
            <w:right w:w="0" w:type="dxa"/>
          </w:tblCellMar>
        </w:tblPrEx>
        <w:trPr>
          <w:trHeight w:val="110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精品录播主机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（含录播系统）</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1.设备须采用专业一体化嵌入式设计，Linux系统；</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2.设备大小须≤1U；</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3.为维护运维方便，设备须前置液晶面板，方便教师或管理人员查看主机IP地址及存储使用情况；</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4.视频输入接口： BNC≥4、HDMI≥1、VGA≥1；视频输出接口：HDMI≥2、VGA≥2；以太网接口≥2； USB3.0接口≥2；</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5.支持接入的网络摄像机编码格式为H.264或H.265；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6.所有通道最高支持1080p高清实时编码图像分辨率，信噪比≥35db，回放图像帧率≥25帧/s，监视水平分辨力≥900TVL，回放水平分辨力≥900TVL；</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7.采用高品质AAC音频编码技术，采样率≥48KHz，实现环境声音的真实还原；</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★8.视音频同步能力应满足使用要求，视音频信号的同步方式可有多种选择，但视音频信号的失步时间应≤1s；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9.对于在记录过程中出现的系统死机或意外故障，设备应能在规定的时间内自动恢复其正常工作并使故障前的信息不丢失，故障恢复时间≤5min；</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10.设备对重要的数据能够进行备份，支持USB口外接U盘/移动硬盘备份，支持网络客户端下载数据备份；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★11.支持导播功能，具有自动、半自动、手动三种导播模式，可设置导播策略（是否学生全景过渡、是否师生双画面等），支持课件检测；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12.录制模式支持电影模式、资源模式、画中画模式，其中资源模式录播时至少可有2画面、3画面、4画面三种组合方式可选；</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13.支持≥13种视频特效功能，支持背景图片叠加功能，支持片头片尾添加功能；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14.为增加设备与各个直播平台等系统等之间的兼容，应支持RTMP、RTSP直播功能；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15.配置一块4TB硬盘；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图像管理软件</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访问方式：支持通用浏览器访问，简化了管理流程。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参数设置：可调整网络参数、曝光模式、白平衡（红/蓝增益可调范围0～200）、噪声抑制（2D和基于运动估计的3D降噪算法）。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图像调节：支持亮度、对比度、色调、饱和度等图像质量参数的优化。</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跟踪功能：内置AI图像识别跟踪算法，无需辅助定位设备，即可实现平滑自然的自动跟踪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学生特写摄像机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1.特写机采用72.5°高品质超广焦镜头，光学变焦达到12倍，并支持16倍数字变焦；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2.支持H.265编码的高清摄像机，可实现全高清1080p超低带宽传输；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3.采用1/2.7英寸、207万有效像素的高品质HD CMOS传感器，可实现最大1920x1080高分辨率的优质图像；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4.1080P下输出帧频可达60fps；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5.支持2D、3D数字降噪、背光补偿等功能；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6.支持32Kbps ~ 10240Kbps码率可调；</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7.支持1路HDMI输出和1路SDI输出、1路RJ45网络输出；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8.支持RS232和RS485接口；</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学生全景摄像机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1.全景机采用72.5°高品质超广焦镜头，光学变焦达到12倍，并支持16倍数字变焦；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2.支持H.265编码的高清摄像机，可实现全高清1080p超低带宽传输；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3.采用1/2.7英寸、207万有效像素的高品质HD CMOS传感器，可实现最大1920x1080高分辨率的优质图像；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4.1080P下输出帧频可达60fps；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5.支持2D、3D数字降噪、背光补偿等功能；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6.支持32Kbps ~ 10240Kbps码率可调；</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7.支持1路HDMI输出和1路SDI输出、1路RJ45网络输出；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8.支持RS232和RS485接口；</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教师特写摄像机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1.特写机采用72.5°高品质超广焦镜头，光学变焦达到12倍，并支持16倍数字变焦；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2.支持H.265编码的高清摄像机，可实现全高清1080p超低带宽传输；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3.采用1/2.7英寸、207万有效像素的高品质HD CMOS传感器，可实现最大1920x1080高分辨率的优质图像；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4.1080P下输出帧频可达60fps；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5.支持2D、3D数字降噪、背光补偿等功能；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6.支持32Kbps ~ 10240Kbps码率可调；</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7.支持1路HDMI输出和1路SDI输出、1路RJ45网络输出；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8.支持RS232和RS485接口；</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教师全景摄像机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1.全景机采用72.5°高品质超广焦镜头，光学变焦达到12倍，并支持16倍数字变焦；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2.支持H.265编码的视频会议摄像机，可实现全高清1080p超低带宽传输；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3.采用1/2.7英寸、207万有效像素的高品质HD CMOS传感器，可实现最大1920x1080高分辨率的优质图像；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4.1080P下输出帧频可达60fps；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5.支持2D、3D数字降噪、背光补偿等功能；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6.支持32Kbps ~ 10240Kbps码率可调；</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7.支持1路HDMI输出和1路SDI输出、1路RJ45网络输出；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8.支持RS232和RS485接口；</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板书特写摄像机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1.全景机采用72.5°高品质超广焦镜头，光学变焦达到12倍，并支持16倍数字变焦；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2.支持H.265编码的视频会议摄像机，可实现全高清1080p超低带宽传输；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3.采用1/2.7英寸、207万有效像素的高品质HD CMOS传感器，可实现最大1920x1080高分辨率的优质图像；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4.1080P下输出帧频可达60fps；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5.支持2D、3D数字降噪、背光补偿等功能；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6.支持32Kbps ~ 10240Kbps码率可调；</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7.支持1路HDMI输出和1路SDI输出、1路RJ45网络输出；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8.支持RS232和RS485接口；</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教师检测摄像机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1.采用800万1/1.8” CMOS。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2.★支持教师、板书检测功能，采用动态跟踪模式，采用教师站定时切特写，走动时切全景的跟踪方式。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3.镜头:（变焦）8-32mm @ F1.8,水平视场角：39.0°~15.6°，垂直视场角：24.9°~10.2°，对角线视场角：45.2°~17.9°</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4.三轴调节角度:P:0-355°, Tilt: 0-75°, Rotation: 0-355°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宽动态:超宽动态范围达120dB</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5.视频压缩标准:H.265/H.264 / MJPEG</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6.★检测摄像机最大图像尺寸:3840×2160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7.存储功能:支持Micro SD(即TF卡)/Micro SDHC /Micro SDXC卡(128GB或者256GB)断网本地存储及断网续传,NAS(NFS,SMB/CIFS均支持),配合支持SD卡加密及SD状态检测功能，接口类型:内插。</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8.通讯接口:1个RJ45 10M / 100M /1000M自适应以太网口；RS-485;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视频输出:1Vp-p Composite Output(75Ω/CVBS)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9.电源输出:DC12V 200mA</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10.音频接口:音频输入： 支持1路3.5mm JACK LINE IN; 音频输出：支持1路3.5mm JACK LINE OUT; MIC：支持1个内置MIC（可关闭）</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11.报警接口:1 输入，1 输出(报警输出最大支持AC/DC24V 1A）</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12.Reset按键:支持</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13.工作温度和湿度:-30℃~60℃,湿度小于95%(无凝结)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14.电源供应:AC24V、DC12V、POE</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15.★为满足夜晚教室巡查需要，摄像机需支持红外补光</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60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学生检测摄像机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1.采用800万1/1.8” CMOS。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2.无需配置任何规则区域，开机即可实现学生起立检测。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3.最低照度:彩色:0.002 Lux @ (F1.2, AGC ON) 黑白:0.0002 Lux @ (F1.2, AGC ON), 0 Lux with IR</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镜头:（2.8-12mm）@F1.2，水平视场角：112.3°~41.2°</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4.三轴调节:P:0-355°, Tilt: 0-75°, Rotation: 0-355°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5.视频压缩标准:H.265/H.264 / MJPEG</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6.最大图像尺寸:3840 x 2160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存储功能:支持Micro SD(即TF卡)/Micro SDHC /Micro SDXC卡(256G)断网本地存储,NAS(NFS,SMB/CIFS均支持)。</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7.音频接口:音频输入：支持1路3.5mm JACK LINE IN</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音频输出：支持1路3.5mm JACK LINE OUT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MIC：支持1个内置MIC（可关闭）。</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8.通讯接口:1 个RJ45 10M / 100M /1000M自适应以太网口,1个RS-485接口。</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9.报警输入:1路，报警输出:1路(报警输出最大支持DC24V 1A或AC30V 500mA)。</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10.视频输出:1Vp-p Composite Output(75Ω/CVBS)</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Reset按键:支持（内置）。</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11.工作温度和湿度:-30℃～60℃（湿度：0-95%）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12.电源供应:DC：12V±20%；AC24V：24V±20%；PoE：802.3at, class 4，电源接口类型:两线式电源接口</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12.红外波长:850nm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13.红外距离:10-30米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14.功耗:DC12V：12V，1.2A，Max：13.5W;AC24V：24V，0.6A, Max：13.5W;POE：(802.3at,42.5-57V)，0.3-0.4A，CLASS 4 MAX：13.5W</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精品吊麦</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1.频率响应：100Hz～18KHz</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2.灵敏度：-40dB±3 dB （re 0dB=1V/Pa@1kHz）</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3.指向特性：超心型 ≤135°</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4.输出阻抗：200Ω±30%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5.输出幅度：Max 300mV</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6.最大承受声压：110dB SPL（A计权@1KHz，THD≤1%）</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7.动态范围：76dB（A）</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8.信噪比：60dB（A)（re 94dBSPL=1Pa@1KHz)</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9.幻象供电：直流48V</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10.输出连接器：外置式3针卡侬公头XLR-3-12C</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数字音频处理器</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1.输入/输出：8*8，平衡式话筒／线路输入，平衡式线路输出，均采用裸线接口端子，平衡接法。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2.内置两通道无线麦克风，标配1手持麦、1头戴麦。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3.内置两通道100 W功放模块。</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4.支持24 bit/48 kHz。</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5.支持AEC(回声消除)、ANS(噪声抑制)、AFC(反馈抑制)、AutoMixer(自动混音)。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6.8段式参量均衡，提供5种滤波器选择。</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标配1手持麦、1头戴麦</w:t>
            </w:r>
          </w:p>
        </w:tc>
      </w:tr>
      <w:tr>
        <w:tblPrEx>
          <w:tblCellMar>
            <w:top w:w="0" w:type="dxa"/>
            <w:left w:w="0" w:type="dxa"/>
            <w:bottom w:w="0" w:type="dxa"/>
            <w:right w:w="0" w:type="dxa"/>
          </w:tblCellMar>
        </w:tblPrEx>
        <w:trPr>
          <w:trHeight w:val="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录播触控平板</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1.支持触摸控制，无需借助物理按键即可对实时预览、一键控制功能；不接受物理按键产品方案；</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2.实时预览：支持教师视频画面、学生视频画面、导播合成画面实时预览。</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3.一键控制：支持教师一键控制互动录播系统召集互动课程、互动提问、结束互动课程；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4.10.1英寸TFT LCD触控屏，1024*600显示分辨率； 1个音频输入，3.5mm立体声 （电平：2.0Vp-p，阻抗：600Ω）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5.同时支持有线和无线接入方式，提供1个100M/1000M自适应以太网口，支持wifi；</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6.具备2个U2B 2.0接口，可连接U盘；</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7.1个HDMI，1个DVI接口；本地解码支持支1080P/720P/HD1/BCIF/CIF/QCIF远程图像的本地预览；DC12V/POE供电；功耗≤15W；</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放在讲台，一键录制使用</w:t>
            </w:r>
          </w:p>
        </w:tc>
      </w:tr>
      <w:tr>
        <w:tblPrEx>
          <w:tblCellMar>
            <w:top w:w="0" w:type="dxa"/>
            <w:left w:w="0" w:type="dxa"/>
            <w:bottom w:w="0" w:type="dxa"/>
            <w:right w:w="0" w:type="dxa"/>
          </w:tblCellMar>
        </w:tblPrEx>
        <w:trPr>
          <w:trHeight w:val="420" w:hRule="atLeast"/>
          <w:jc w:val="center"/>
        </w:trPr>
        <w:tc>
          <w:tcPr>
            <w:tcW w:w="1238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小计</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420" w:hRule="atLeast"/>
          <w:jc w:val="center"/>
        </w:trPr>
        <w:tc>
          <w:tcPr>
            <w:tcW w:w="14754"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二、多媒体教学设备</w:t>
            </w:r>
          </w:p>
        </w:tc>
      </w:tr>
      <w:tr>
        <w:tblPrEx>
          <w:shd w:val="clear" w:color="auto" w:fill="auto"/>
          <w:tblCellMar>
            <w:top w:w="0" w:type="dxa"/>
            <w:left w:w="0" w:type="dxa"/>
            <w:bottom w:w="0" w:type="dxa"/>
            <w:right w:w="0" w:type="dxa"/>
          </w:tblCellMar>
        </w:tblPrEx>
        <w:trPr>
          <w:trHeight w:val="110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86寸智慧黑板</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一、整体设计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1、整机屏幕采用UHD超高清LED液晶屏，显示比例16:9，显示分辨率3840*2160，屏幕显示灰度分辨等级达到256及以上灰阶；</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2、屏幕采用86英寸液晶显示器；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3、整机色域覆盖率（NTSC）≥85%，可视角度≥178°。</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4、整机外壳采用金属材质，屏幕采用≥3.2mm防眩钢化玻璃保护，表面硬度大于等于9H，透光率不低于93%，雾度≤8%。</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5、整机液晶面板与防护钢化玻璃零贴合设计。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6、整机支持色彩空间可选，包含标准模式和sRGB，在sRGB模式下可做到高色准△E≤1。</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二、整机设计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整机为双系统设计，自带整机操作系统，支持在线升级，内置安卓系统，CPU核数不小于8核，GPU核数不小于4核，嵌入式安卓操作系统版本为Android14；同时嵌入式Android操作系统下可实现windows系统中常用的教学应用功能，具有白板书写、WPS软件使用和网页浏览，安卓系统ram：4G；rom：32G。</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2、整机具有置物槽，方便粉笔、触控笔等临时放置，提高课堂效率。</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3、整机主屏双侧前置三个丝印按键，不影响副板粉笔书写, 也不占用屏幕显示和触控。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4、整机可通过主屏双侧丝印按键实现主副屏板书同步功能，点击板书同步丝印按键时，有操作界面提示。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5、整机可通过主屏双侧丝印按键实现主副屏板书同步功能，点击板书同步丝印按键时，有操作界面提示。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6、整机可通过主屏双侧丝印按键实现保存板书功能，点击保存丝印按键时，有操作界面提示。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为充分满足用户实际使用需求，前置面板需具≥3路双通道USB3.0接口、≥1路全功能USBType-C接口（具备音视频传输、触控传输、充电、U盘数据传输功能，接管摄像头、快充功能），≥1路HDMI接口。侧置输入接口具备1路HDMIIN、1路RS232、2路USB接口；侧置输出接口具备1路音频输入输出、1路触控USB输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整机屏体无需操作即可实现蓝光防护，具备物理防蓝光功能；整机采用硬件低蓝光背光技术，在源头减少有害蓝光波段能量，蓝光占比（有害蓝光415～455nm能量综合）/（整体蓝光400～500能量综合）&lt;50%，低蓝光保护显示不偏色、不泛黄。</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9、独立扩声系统，可实现单独听功能，在关闭显示部分的待机情况下仍可将接入的多媒体信号混音后通过设备内置音箱播出实现扩声功能，轻触显示部分可点亮屏幕。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10、支持标准、听力、影院、自定义模式以及AI空间感知音效模式，AI空间感知音效模式可通过内置麦克风采集教室物理环境声音，自动生成符合当前教室物理环境的频段、音量、音效。</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11、内置无线传屏接收端，无需外接接收部件，无线传屏发射器与整机匹配后即可实现传屏功能，将外部电脑的屏幕画面通过无线方式传输到整机上显示。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12、整机无需外接无线网卡，在Windows系统下可实现Wi-Fi无线上网连接、AP无线热点发射和BT蓝牙连接功能。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13、智慧黑板具备可单侧或双侧显示的快捷键功能，支持设置开启/关闭或自动显隐，至少具备以下功能：打开白板软件、屏幕批注、前翻页、后翻页、回到桌面、关闭窗口、自定义等，方便教师快捷操作，满足教学应用需求</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14、整机具有整机内置NFC模块支持主从模式，支持搭配具有NFC功能的手机、平板，通过接触整机设备上的NFC模块，即可实现手机、wifi连接后平板与大屏的连接并同步手机、平板的画面到设备上，支持9台手机、平板同时连接并显示，无需其他操作设置；也支持使用设备绑定的IC卡，触碰同一NFC模块对整机大屏解锁。</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15、整机内置蓝牙模块，黑板在安卓和Windows系统下均可由该模块实现外部蓝牙设备的连接和数据传输，支持蓝牙Bluetooth5.4标准，内置蓝牙模块工作距离15米。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16、整机采用红外触控技术，红外黑板支持40点触控。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17、Windows7、Windows8、Windows10、Linux、MacOs系统外置电脑操作系统接入时，无需安装触摸驱动。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18、整机前置按键具备三合一电源按键，同一物理按键完成双系统开机、熄屏、关机操作；</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19、通过一根线（无需重复连接触摸信号）连接到整机的电脑或手机在投屏的同时即可直接读写整机前置USB接口的移动存储设备数据，连接整机前置USB接口的翻页笔和无线鼠标外接设备可直接使用于外接电脑。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20、内置无线传屏接收端，无需外接接收部件，无线传屏发生器与整机匹配后即可实现传屏功能，将外部电脑的屏幕画面通过无线方式传输到整机上显示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21、整机内置1600万像素摄像头麦克风，可拍摄1600万像素数的照片，无需外接线材连接，任何可见外接线材及模块化拼接痕迹，未占用整机设备端口，支持远程巡课、简易录播的应用，整机支持输出视场角145度且水平视场角120度画面摄像头运行时有指示灯提示，支持输出4K图片和视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22、摄像头可做包括但不限于远程巡课、人脸识别，且根据环境色温判断调节合适的显示图像效果，拍摄范围可以涵盖整机距离摄像头垂直法线左右水平距离各大于等于4米，左右最边缘深度大于等于2.3米范围内，并且在≥10米距离时AI识别人像；</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23、整机摄像头支持2D和3D降噪功能，支持H.264和MJPG编解码格式，输出4k图片及视频。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24、整机内置8阵列麦克风，拾音距离≥12米，拾音角度≥180°，拾音效果清晰可满足教学录课需求。</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25、整机内置独立音频处理器，支持麦克风自动增益控制（AGC）、自动抑制噪声（ANC）、自动回声消除（AEC），提升麦克风拾音效果。</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26、整机内置专属的4核音频CPU处理器，最多支持8路麦克风数据处理，采样率支持192K，同时不占用整机系统的CPU能力。</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28、整机具有物联传感器，安卓系统可以监控教室温度、湿度，并可上传到云端，云端可查看各教室温度、湿度情况</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29、前置Type-C接口，支持通过不带转换转置的外部线缆，实现外接电脑HDMI信号的接入显示。外接电脑设备经双头Type-C线连接至整机，可调用整机内置的摄像头、麦克风、扬声器，在外接电脑即可控制整机拍摄教室画面。</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30、外接电脑设备经双头Type-C线连接至整机，可将整机网络共享给外接电脑，并支持反向触控控制功能。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31、整机前置USB接口采用模块化的旋转式设计，支持接口向下翻转，保护U盘同时避免磕碰；前置USB旋转接口模块支持便捷拆卸更换，无需拆开整机前面板。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记忆副屏板</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1、可与主屏同一平面拼接，中间无单独边框阻隔，无推拉式结构及外露连接线；全金属外壳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2、副板支持磁吸附功能，可以满足带有磁吸的板擦等教具进行吸附在副板上。</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4、副屏板支持普通粉笔、液体粉笔、水溶性粉笔直接书写。</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5、副屏板面采用优质烤漆板，板面喷涂纳米书写涂层；整机设备副屏板面夹层采用铝蜂窝材质，漆膜硬度6H。</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6、主副屏板书同步功能可通过主屏按键实现。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110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OPS插拔式电脑</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采用插拔式电脑模块架构，针脚数为 80Pin，屏体与插拔式电脑无单独接线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处理器：不低于Intel Corei5 11代</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内存：不低于8G DDR4</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硬盘：不低于256G SSD 固态硬盘</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支持系统还原保护</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为保证足够的信号强度，内置网卡：10M/100M/1000M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教学管理软件</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1、支持将校本统一教材、教辅资料、校本教材、习题试卷、经典阅读资源按学科、年级、册别、出版社条件进行归类。</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2、支持白板教学，提供个性化主题模板（拼音田字格、田字格、米字格、四线格、日字格、小方格、五线谱、数学本、坐标系、篮球场、足球场、黑板、白板）。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3、不需二次点击、翻页或跳转，在当前白板页面通过双指拖动的方式实现无限板书的功能，教师可对书写后的板书内容进行放大或者缩小，缩放比例在 50%-200%之间；</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提供学科工具，如平面图形、立体图形、尺规、量角器、函数工具、英文词典、数学动图、诗词卡片、仿真实验，其中尺规和平面图形支持角度和长度的数字标注，化学仪器包括加热、计量、分离、收集、干燥等，物理仪器包括磁学、电学、光学、力学、热学、声学。（提供封面具有CNAS标志的权威检测机构的检测报告复印件加盖原厂红色公章）</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5、支持将个人板书同步保存至云端，并按时间轴、班级、来源条件进行分类，随时随地按需进行再次调取并进行二次编辑（非JPG 格式或 PDF 格式）；支持云端存储的板书内容同步删除或批量导出至本地。。</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6、支持第三方网页资源导入，教师检索到的相关教学内容一键插入 PPT，在授课过程中网页资源可直接播放使用。（提供封面具有CNAS标志的权威检测机构的检测报告复印件加盖原厂红色公章）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110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集控软件</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1.管理平台采用 B/S 云架构设计，无需本地部署服务器，即可实现对教学信息化设备进行管理、远程控制，实现对设备的运行数据监测。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2.集控管理平台支持以缩略图及列表两种形式供用户选择以实现实时监控设备状态，支持多台设备的略缩预览、多设备轮播查看，支持一键刷新抓图。</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3.支持查看 Windows 和安卓的 CPU 使用率、内存使用率，设备的连续使用时长、温度，管理平台实时显示教育平板设备异常的告警提示。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高清壁挂展台</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1.设备应采用壁挂式安装方式，壁挂箱体采用铝合金外壳，美观耐用，四周无锐角无利边设计。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★2.设备具有折叠开合式托板，托板展开后可调节为A3或A4面积。</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3.采用 USB 高速接口，单根 USB 线实现供电、高清数据传输；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4.USB线缆支持左、右、底部出现，适应不同位置安装需求；</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5.设备应配有不少于10颗补光灯，支持三档调节触摸开关，补光灯色温不小于5000K。</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6.具备全向MIC，可录制10米以内的声音。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7.具备不少于2个USB-Type C接口，支持即插即用。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8.支持不少于6个功能按键，分别为补光灯调节、A3/A4切换、放大、缩小、拍照、逆时针旋转90°。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9.具备设备工作指示灯，当音视频取流时指示灯常亮，音视频不取流时指示灯灭。</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★10.支持抬杆自动出图，在抬起摇臂时自动显示视频画面。</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★11.支持A3/A4自动切换：在开盖状态下，根据展台的拓展板是否打开，自动切换匹配A3/A4大小的视频画面分辨率。</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整机采用高清摄像头设计，不小于1300万像素定焦镜头。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电教音箱</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1.安装方便，可采用壁挂式安装，水平方向旋转，垂直仰俯角度调整自如，使声场方向任意改变，满足声场的一不同指向性；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2.听感自然，声音清晰，能够很好地表现和还原人声；</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3.额定阻抗：     8Ω；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4.额定功率：     100W；</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5.最大功率：     200W；</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6.有效频率范围（-6dB）：70Hz -18KHz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7.灵敏度：       91dB /w/m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8.连续声压级：   112dB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9.最大声压级：   118dB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10.单元规格：    LF:6.5" ×2； HF:3"×1（纸盆高音）。</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420" w:hRule="atLeast"/>
          <w:jc w:val="center"/>
        </w:trPr>
        <w:tc>
          <w:tcPr>
            <w:tcW w:w="1238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小计</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420" w:hRule="atLeast"/>
          <w:jc w:val="center"/>
        </w:trPr>
        <w:tc>
          <w:tcPr>
            <w:tcW w:w="14754"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三、互动设备</w:t>
            </w:r>
          </w:p>
        </w:tc>
      </w:tr>
      <w:tr>
        <w:tblPrEx>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导播触控平板</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1.16寸全触屏操作，使用体验较好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2.支持有线和无线网络连接</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3.支持网络方式接入海康威视录播主机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4.支持预览多路视频通道：教师全景、教师近景、学生全景、学生近景、板书特写、课件画面等</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5.支持一键控制录播开始、暂停与结束</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6.支持手动、自动、半自动导播模式切换</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7.支持导播画面布局配置、预览切换</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8.支持云台方向控制，预置点、光圈、焦距调用，支持3D定位</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9.支持logo上传配置、片头片尾特效设置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放在观摩室，手动导播使用</w:t>
            </w:r>
          </w:p>
        </w:tc>
      </w:tr>
      <w:tr>
        <w:tblPrEx>
          <w:tblCellMar>
            <w:top w:w="0" w:type="dxa"/>
            <w:left w:w="0" w:type="dxa"/>
            <w:bottom w:w="0" w:type="dxa"/>
            <w:right w:w="0" w:type="dxa"/>
          </w:tblCellMar>
        </w:tblPrEx>
        <w:trPr>
          <w:trHeight w:val="5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观摩电视</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知名品牌65寸电视  4K分辨率以上</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互动电视</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知名品牌55寸电视  4K分辨率以上</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直播服务器</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不低于I7十二代处理器/内存不低于16G DDR5/硬盘不低于512G SSD/显卡：4G独显/Win11/工控机箱</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高清液晶显示器</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23.8寸 1920×1080分辨率显示器</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键鼠套装</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键鼠套装，≥109键，键盘长度≥440mm，光电鼠标</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78 </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千兆POE交换机</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提供16个千兆PoE电口、2个千兆光口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交换容量：56 Gbps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包转发率：41.67 Mpps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支持IEEE 802.3at/af标准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端口最大供电功率：30 W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整机最大供电功率：230 W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支持PoE看门狗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支持6 KV防浪涌（PoE口）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支持IEEE 802.3、IEEE 802.3u、IEEE 802.3x、IEEE 802.3ab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支持管理平台管理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支持手机APP管理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支持安防网络拓扑管理、端口管理，支持远程升级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支持静态链路聚合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支持PoE输出功率管理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支持VLAN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支持SNMPv1/v2c协议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支持DHCP Snooping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支持终端安全防护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坚固式高强度金属外壳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安装方式：机架式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420" w:hRule="atLeast"/>
          <w:jc w:val="center"/>
        </w:trPr>
        <w:tc>
          <w:tcPr>
            <w:tcW w:w="1238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小计</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420" w:hRule="atLeast"/>
          <w:jc w:val="center"/>
        </w:trPr>
        <w:tc>
          <w:tcPr>
            <w:tcW w:w="14754"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四、教室配套设备</w:t>
            </w: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数位讲台</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1、尺寸：长、宽、高，1050mm*710mm*965mm。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2、材料：实木扶手+优质三聚氰胺板+优质冷轧钢板，优质三聚氰胺板≥12mm，钢制部分厚度≥1.0mm。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3、工艺：钣金件表面经过除油、除锈、磷化、酸洗、喷塑而成，坚固耐用，具有防腐蚀性强、防盗、防潮、耐磨等优点。</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4、绿色环保：上台体长宽高1050mm*710mm*365mm，下台体长宽, 高 850mm*600mm*600mm。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5、台面覆盖优质三聚氰胺板。讲台周边圆弧设计以最大限度减少对师生的伤害，整个讲台更安全、更美观；柜体前后开门，使施工、维护作业更加便捷。</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6、上台体前端有凸出造型，凸出部分顶面以及前端覆盖三聚氰胺装饰板，两侧有圆形透气孔；讲台左右两边安装高档实木扶手，适合人体最佳使用。讲台安装一个抽屉，使用方便。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张</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学生桌椅</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A.桌面要求：</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1、材质：采用高抗冲击 ABS 塑料一体注塑成型，生产耐冲击性强。</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2、尺寸：长 600mm×宽 420mm×高 20mm（±2mm）颜色/高度可根据学校要求定制。</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B.桌斗材质：采用食品级聚丙烯一次注塑成型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C. 桌钢架材质及形状：采用椭圆形亮光钢管组合焊接而成， 桌腿和桌脚成直角焊接，牢固可靠，桌斗下方两桌腿间设有横档，横档采用椭圆钢管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D.靠背材质：靠背采用食品级聚丙烯一次注塑成型，尺寸 412mm×295mm（±2mm）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E. 座板材质：靠背采用食品级聚丙烯一次注塑成型，尺寸 400mm×370mm（±2mm）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F.椅腿和椅脚采用椭圆亮光钢管组合焊接而成，椅脚配置塑料脚套，脚套内置一个可调节高度为 2cm 的调节螺丝，同时镶嵌有防滑橡皮垫，保证课椅的着地平稳性。椅腿和椅脚成直角焊接，牢固可靠。座面下方两桌腿间设有横档，横档采用椭圆钢管。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11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观摩椅</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1、座、背海绵：采用铝合金模具，用优质PU发泡料进行高密度冷发泡定型，座海绵密度为60KG/M3，靠背海绵密度为45KG/M3，具有保温、隔热、吸音、减震、防静电、透气性能好等特性。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2、座、背内板：座、背加厚内板，厚度为10mm，使用寿命更长。</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3、座、背外板：采用优质多层板经模具冷压成型，再经修边、打磨、底油密封和精致环保面漆， 厚度不低于15mm.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4、座椅回复：弹簧加钢架回复结构，或是自重回位，或是座内采用独有技术，扭簧与阻尼器（慢回位）装置，回位轻盈，持久耐用，而且无噪音。</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5、座框架：摈弃市场上传统的木质框架，采用优质冷轧钢板（厚度为1.5mm)经磨具冲压焊接成型。（无故障永不变形）</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6、扶手面：采用实木（进口榉木），厚度为29mm。</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7、写字板：采用面板为ABS复合材料经模具一次成型（或者高密度中纤板，外冷压防火面板，四周PU封边，厚度为15mm），厚度为9mm,转轴采用特有的地位装置，支撑连接结构为铝合金压铸成型。</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8、面料：面料采用高级专用布料，抗污，防褪色。</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9、侧板：采用高密度纤维板，扣件式侧板设计，外敷扪布，触感柔和舒适。</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10、站脚：扶手框架、主框架采用2.0mm优质冷轧钢冲压成型，底脚板采用我厂独家专利加强型一次成型，无需焊接，比传统焊接更加稳固耐用，永不脱焊，2.00优质冷轧钢冲压成型，脚管采用80*40*T1.5优质方管经二氧化碳焊接成型，并经打磨、抛光、除锈、磷化、静电喷粉等工序处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7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操作台</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定制款控制操作台，长度1.6米宽度1.1高度0.75，材质：主体：冷轧钢板；装饰：木纹密度板或实木拼接板；标准19英寸机架；背部散热孔；边缘圆润；显示器托盘可调。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张</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转椅</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人体工学转椅，可升降，360°旋转</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把</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8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柜式空调</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能效等级:1级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额定制冷量(W):≥7200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额定制热量(W):≥9000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额定制冷功率（W):≤2400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额定制热功率(W):≤3090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循环风量:≥1200m³/h</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噪音值：室内机≤50db</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适用面积:40-45m²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教室</w:t>
            </w:r>
          </w:p>
        </w:tc>
      </w:tr>
      <w:tr>
        <w:tblPrEx>
          <w:tblCellMar>
            <w:top w:w="0" w:type="dxa"/>
            <w:left w:w="0" w:type="dxa"/>
            <w:bottom w:w="0" w:type="dxa"/>
            <w:right w:w="0" w:type="dxa"/>
          </w:tblCellMar>
        </w:tblPrEx>
        <w:trPr>
          <w:trHeight w:val="8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挂式空调</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电压/频率220V/50Hz</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能效等级:1级</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额定制冷量(W):≥3510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额定制热量(W):≥5010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额定制冷功率（W):≤810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额定制热功率(W):≤1250</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循环风量:≥640m³/h</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噪音值：室内机≤41dB</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适用面积:16-20m²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观摩室</w:t>
            </w:r>
          </w:p>
        </w:tc>
      </w:tr>
      <w:tr>
        <w:tblPrEx>
          <w:tblCellMar>
            <w:top w:w="0" w:type="dxa"/>
            <w:left w:w="0" w:type="dxa"/>
            <w:bottom w:w="0" w:type="dxa"/>
            <w:right w:w="0" w:type="dxa"/>
          </w:tblCellMar>
        </w:tblPrEx>
        <w:trPr>
          <w:trHeight w:val="58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时间显示器</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led数码万年历电子挂钟湿度温度夜光大时间数字显示屏</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HDMI分配器</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4K高清HDMI一分四分配器</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墙面吸音系统</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教室及观摩室的墙面聚酯吸音板、木质吸音板、竹木纤维板；单透玻璃观摩窗、暖气片散热罩等</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吊顶配套设施</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吊顶吸音板、石膏板、护眼格栅灯、筒灯、LED灯、窗帘、PVC地板、木地板等</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6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木质讲台</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木质讲台定制，尺寸：4400*1600*150mm，内面板采用1.5cm厚度工程实木板，基层材料种类、规格：150mm宽18mm厚阻燃板，间距300@300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shd w:val="clear" w:color="auto" w:fill="auto"/>
          <w:tblCellMar>
            <w:top w:w="0" w:type="dxa"/>
            <w:left w:w="0" w:type="dxa"/>
            <w:bottom w:w="0" w:type="dxa"/>
            <w:right w:w="0" w:type="dxa"/>
          </w:tblCellMar>
        </w:tblPrEx>
        <w:trPr>
          <w:trHeight w:val="122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线材</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75-5视频线200米、六类网线2箱、BVR6mm²电线150米、BVR4mm²电源线400米、BVR2.5mm²电源线360米、2*1.0电源线100米、音频线60米、HDMI线15米、VGA线5米3根、VGA线25米、USB公对母5米2条、USB公对公5米1条、5米HUB线2条，5米音频线1根，4分PVC线槽80米、20线管150米，直通弯头等配件</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批</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辅材</w:t>
            </w:r>
          </w:p>
        </w:tc>
        <w:tc>
          <w:tcPr>
            <w:tcW w:w="8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1个电视吊装支架、1个电视壁装支架、2个音箱支架、线卡、膨胀丝、胀栓、结构胶、绝缘胶带、扎带、水晶头、音视频接头等。</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批</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r>
        <w:tblPrEx>
          <w:tblCellMar>
            <w:top w:w="0" w:type="dxa"/>
            <w:left w:w="0" w:type="dxa"/>
            <w:bottom w:w="0" w:type="dxa"/>
            <w:right w:w="0" w:type="dxa"/>
          </w:tblCellMar>
        </w:tblPrEx>
        <w:trPr>
          <w:trHeight w:val="420" w:hRule="atLeast"/>
          <w:jc w:val="center"/>
        </w:trPr>
        <w:tc>
          <w:tcPr>
            <w:tcW w:w="1238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小计</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highlight w:val="none"/>
                <w:u w:val="none"/>
              </w:rPr>
            </w:pPr>
          </w:p>
        </w:tc>
      </w:tr>
    </w:tbl>
    <w:p>
      <w:pPr>
        <w:jc w:val="center"/>
        <w:rPr>
          <w:rFonts w:hint="eastAsia"/>
          <w:color w:val="auto"/>
          <w:sz w:val="28"/>
          <w:szCs w:val="32"/>
          <w:highlight w:val="none"/>
          <w:lang w:val="en-US" w:eastAsia="zh-CN"/>
        </w:rPr>
        <w:sectPr>
          <w:pgSz w:w="16838" w:h="11906" w:orient="landscape"/>
          <w:pgMar w:top="1083" w:right="1440" w:bottom="1083" w:left="1440" w:header="851" w:footer="850" w:gutter="0"/>
          <w:pgNumType w:fmt="decimal"/>
          <w:cols w:space="0" w:num="1"/>
          <w:titlePg/>
          <w:rtlGutter w:val="0"/>
          <w:docGrid w:linePitch="312" w:charSpace="0"/>
        </w:sectPr>
      </w:pPr>
    </w:p>
    <w:p>
      <w:pPr>
        <w:rPr>
          <w:rFonts w:hint="eastAsia"/>
          <w:color w:val="auto"/>
          <w:highlight w:val="none"/>
        </w:rPr>
      </w:pPr>
    </w:p>
    <w:p>
      <w:pPr>
        <w:pStyle w:val="6"/>
        <w:bidi w:val="0"/>
        <w:jc w:val="center"/>
        <w:outlineLvl w:val="0"/>
        <w:rPr>
          <w:color w:val="auto"/>
          <w:highlight w:val="none"/>
        </w:rPr>
      </w:pPr>
      <w:r>
        <w:rPr>
          <w:rFonts w:hint="eastAsia"/>
          <w:color w:val="auto"/>
          <w:highlight w:val="none"/>
        </w:rPr>
        <w:t>第六章  响应性文件格式</w:t>
      </w:r>
      <w:bookmarkEnd w:id="193"/>
      <w:bookmarkEnd w:id="194"/>
      <w:bookmarkEnd w:id="195"/>
      <w:bookmarkEnd w:id="196"/>
      <w:bookmarkEnd w:id="197"/>
      <w:bookmarkEnd w:id="198"/>
      <w:bookmarkEnd w:id="199"/>
      <w:bookmarkEnd w:id="200"/>
    </w:p>
    <w:p>
      <w:pPr>
        <w:widowControl/>
        <w:ind w:firstLine="360"/>
        <w:jc w:val="center"/>
        <w:rPr>
          <w:rFonts w:ascii="宋体" w:hAnsi="宋体" w:eastAsia="宋体" w:cs="宋体"/>
          <w:b/>
          <w:color w:val="auto"/>
          <w:kern w:val="0"/>
          <w:sz w:val="24"/>
          <w:highlight w:val="none"/>
        </w:rPr>
      </w:pPr>
      <w:bookmarkStart w:id="201" w:name="_Toc528078066"/>
      <w:bookmarkEnd w:id="201"/>
      <w:bookmarkStart w:id="202" w:name="_Toc394651921"/>
      <w:bookmarkEnd w:id="202"/>
      <w:bookmarkStart w:id="203" w:name="_Toc27687"/>
      <w:bookmarkEnd w:id="203"/>
      <w:bookmarkStart w:id="204" w:name="_Toc19996"/>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u w:val="single"/>
        </w:rPr>
      </w:pPr>
    </w:p>
    <w:p>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pPr>
        <w:widowControl/>
        <w:ind w:firstLine="360"/>
        <w:jc w:val="center"/>
        <w:rPr>
          <w:rFonts w:ascii="宋体" w:hAnsi="宋体" w:eastAsia="宋体" w:cs="宋体"/>
          <w:b/>
          <w:color w:val="auto"/>
          <w:kern w:val="0"/>
          <w:sz w:val="24"/>
          <w:highlight w:val="none"/>
        </w:rPr>
      </w:pPr>
    </w:p>
    <w:p>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8"/>
          <w:szCs w:val="24"/>
          <w:highlight w:val="none"/>
        </w:rPr>
      </w:pP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pPr>
        <w:widowControl/>
        <w:ind w:firstLine="360"/>
        <w:jc w:val="center"/>
        <w:rPr>
          <w:rFonts w:ascii="宋体" w:hAnsi="宋体" w:eastAsia="宋体" w:cs="宋体"/>
          <w:b/>
          <w:color w:val="auto"/>
          <w:kern w:val="0"/>
          <w:sz w:val="32"/>
          <w:szCs w:val="28"/>
          <w:highlight w:val="none"/>
        </w:rPr>
      </w:pP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pPr>
        <w:widowControl/>
        <w:ind w:firstLine="360"/>
        <w:jc w:val="center"/>
        <w:rPr>
          <w:rFonts w:ascii="宋体" w:hAnsi="宋体" w:eastAsia="宋体" w:cs="宋体"/>
          <w:b/>
          <w:color w:val="auto"/>
          <w:kern w:val="0"/>
          <w:sz w:val="32"/>
          <w:szCs w:val="28"/>
          <w:highlight w:val="none"/>
        </w:rPr>
      </w:pP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pPr>
        <w:widowControl/>
        <w:ind w:firstLine="360"/>
        <w:jc w:val="center"/>
        <w:rPr>
          <w:rFonts w:ascii="宋体" w:hAnsi="宋体" w:eastAsia="宋体" w:cs="宋体"/>
          <w:b/>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pPr>
        <w:spacing w:line="560" w:lineRule="exact"/>
        <w:rPr>
          <w:rFonts w:asciiTheme="minorEastAsia" w:hAnsiTheme="minorEastAsia" w:cstheme="minorEastAsia"/>
          <w:b/>
          <w:color w:val="auto"/>
          <w:sz w:val="28"/>
          <w:szCs w:val="28"/>
          <w:highlight w:val="none"/>
        </w:rPr>
      </w:pPr>
    </w:p>
    <w:p>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4"/>
    <w:p>
      <w:pPr>
        <w:pStyle w:val="6"/>
        <w:jc w:val="center"/>
        <w:rPr>
          <w:color w:val="auto"/>
          <w:highlight w:val="none"/>
        </w:rPr>
      </w:pPr>
      <w:r>
        <w:rPr>
          <w:rFonts w:hint="eastAsia"/>
          <w:color w:val="auto"/>
          <w:highlight w:val="none"/>
        </w:rPr>
        <w:t>一、投标函</w:t>
      </w:r>
      <w:bookmarkStart w:id="205" w:name="_Toc152042578"/>
      <w:bookmarkEnd w:id="205"/>
      <w:bookmarkStart w:id="206" w:name="_Toc19389"/>
      <w:bookmarkEnd w:id="206"/>
      <w:bookmarkStart w:id="207" w:name="_Toc144974858"/>
      <w:bookmarkEnd w:id="207"/>
      <w:bookmarkStart w:id="208" w:name="_Toc246996357"/>
      <w:bookmarkEnd w:id="208"/>
      <w:bookmarkStart w:id="209" w:name="_Toc152045789"/>
      <w:bookmarkEnd w:id="209"/>
      <w:bookmarkStart w:id="210" w:name="_Toc247085875"/>
      <w:bookmarkEnd w:id="210"/>
      <w:bookmarkStart w:id="211" w:name="_Toc179632809"/>
      <w:bookmarkEnd w:id="211"/>
      <w:bookmarkStart w:id="212" w:name="_Toc394651922"/>
      <w:bookmarkEnd w:id="212"/>
      <w:bookmarkStart w:id="213" w:name="_Toc246997100"/>
      <w:bookmarkEnd w:id="213"/>
      <w:r>
        <w:rPr>
          <w:rFonts w:hint="eastAsia"/>
          <w:color w:val="auto"/>
          <w:highlight w:val="none"/>
        </w:rPr>
        <w:t>及投标函附录</w:t>
      </w:r>
    </w:p>
    <w:p>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pPr>
        <w:rPr>
          <w:color w:val="auto"/>
          <w:highlight w:val="none"/>
        </w:rPr>
      </w:pP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pPr>
        <w:spacing w:line="480" w:lineRule="exact"/>
        <w:ind w:firstLine="4200" w:firstLineChars="1750"/>
        <w:rPr>
          <w:rFonts w:ascii="宋体" w:hAnsi="宋体" w:cs="宋体"/>
          <w:color w:val="auto"/>
          <w:sz w:val="24"/>
          <w:highlight w:val="none"/>
        </w:rPr>
      </w:pPr>
    </w:p>
    <w:p>
      <w:pPr>
        <w:spacing w:line="480" w:lineRule="exact"/>
        <w:ind w:firstLine="4200" w:firstLineChars="1750"/>
        <w:rPr>
          <w:rFonts w:ascii="宋体" w:hAnsi="宋体" w:cs="宋体"/>
          <w:color w:val="auto"/>
          <w:sz w:val="24"/>
          <w:highlight w:val="none"/>
        </w:rPr>
      </w:pPr>
    </w:p>
    <w:p>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bookmarkStart w:id="214" w:name="_Toc528078068"/>
      <w:bookmarkEnd w:id="214"/>
      <w:r>
        <w:rPr>
          <w:rFonts w:hint="eastAsia" w:ascii="宋体" w:hAnsi="宋体" w:cs="宋体"/>
          <w:b/>
          <w:bCs/>
          <w:color w:val="auto"/>
          <w:sz w:val="24"/>
          <w:highlight w:val="none"/>
        </w:rPr>
        <w:t>（2）投标函附录</w:t>
      </w:r>
    </w:p>
    <w:p>
      <w:pPr>
        <w:pStyle w:val="2"/>
        <w:rPr>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pPr>
              <w:spacing w:line="480" w:lineRule="exact"/>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pPr>
        <w:pStyle w:val="6"/>
        <w:jc w:val="center"/>
        <w:rPr>
          <w:color w:val="auto"/>
          <w:highlight w:val="none"/>
        </w:rPr>
      </w:pPr>
      <w:r>
        <w:rPr>
          <w:rFonts w:hint="eastAsia" w:ascii="宋体" w:hAnsi="宋体" w:cs="宋体"/>
          <w:color w:val="auto"/>
          <w:szCs w:val="24"/>
          <w:highlight w:val="none"/>
        </w:rPr>
        <w:br w:type="page"/>
      </w:r>
      <w:bookmarkStart w:id="215" w:name="_Toc26862"/>
      <w:bookmarkEnd w:id="215"/>
      <w:r>
        <w:rPr>
          <w:rFonts w:hint="eastAsia"/>
          <w:color w:val="auto"/>
          <w:highlight w:val="none"/>
        </w:rPr>
        <w:t>二、法定代表人身份证明</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pPr>
        <w:spacing w:line="560" w:lineRule="exact"/>
        <w:ind w:left="170" w:firstLine="480" w:firstLineChars="200"/>
        <w:rPr>
          <w:rFonts w:asciiTheme="minorEastAsia" w:hAnsiTheme="minorEastAsia" w:cstheme="minorEastAsia"/>
          <w:color w:val="auto"/>
          <w:sz w:val="24"/>
          <w:szCs w:val="28"/>
          <w:highlight w:val="none"/>
        </w:rPr>
      </w:pPr>
    </w:p>
    <w:p>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pPr>
        <w:pStyle w:val="6"/>
        <w:jc w:val="center"/>
        <w:rPr>
          <w:color w:val="auto"/>
          <w:highlight w:val="none"/>
        </w:rPr>
      </w:pPr>
      <w:r>
        <w:rPr>
          <w:rFonts w:hint="eastAsia" w:ascii="宋体" w:hAnsi="宋体" w:cs="宋体"/>
          <w:color w:val="auto"/>
          <w:szCs w:val="24"/>
          <w:highlight w:val="none"/>
        </w:rPr>
        <w:br w:type="page"/>
      </w:r>
      <w:bookmarkStart w:id="216" w:name="_Toc528078069"/>
      <w:bookmarkEnd w:id="216"/>
      <w:bookmarkStart w:id="217" w:name="_Toc23204"/>
      <w:r>
        <w:rPr>
          <w:rFonts w:hint="eastAsia"/>
          <w:color w:val="auto"/>
          <w:highlight w:val="none"/>
        </w:rPr>
        <w:t>三、授权委托书</w:t>
      </w:r>
      <w:bookmarkEnd w:id="217"/>
    </w:p>
    <w:p>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uppressAutoHyphens/>
        <w:spacing w:line="360" w:lineRule="auto"/>
        <w:ind w:firstLine="3120" w:firstLineChars="1300"/>
        <w:rPr>
          <w:rFonts w:ascii="宋体" w:hAnsi="宋体" w:eastAsia="宋体" w:cs="Times New Roman"/>
          <w:color w:val="auto"/>
          <w:kern w:val="1"/>
          <w:sz w:val="24"/>
          <w:szCs w:val="24"/>
          <w:highlight w:val="none"/>
        </w:rPr>
      </w:pPr>
    </w:p>
    <w:p>
      <w:pPr>
        <w:suppressAutoHyphens/>
        <w:spacing w:line="360" w:lineRule="auto"/>
        <w:ind w:firstLine="3120" w:firstLineChars="1300"/>
        <w:rPr>
          <w:rFonts w:ascii="宋体" w:hAnsi="宋体" w:eastAsia="宋体" w:cs="Times New Roman"/>
          <w:color w:val="auto"/>
          <w:kern w:val="1"/>
          <w:sz w:val="24"/>
          <w:szCs w:val="24"/>
          <w:highlight w:val="none"/>
        </w:rPr>
      </w:pPr>
    </w:p>
    <w:p>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pPr>
        <w:suppressAutoHyphens/>
        <w:spacing w:line="360" w:lineRule="auto"/>
        <w:ind w:firstLine="3120" w:firstLineChars="1300"/>
        <w:rPr>
          <w:rFonts w:ascii="宋体" w:hAnsi="宋体" w:eastAsia="宋体" w:cs="Times New Roman"/>
          <w:color w:val="auto"/>
          <w:kern w:val="1"/>
          <w:sz w:val="24"/>
          <w:szCs w:val="24"/>
          <w:highlight w:val="none"/>
        </w:rPr>
      </w:pPr>
    </w:p>
    <w:p>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pPr>
        <w:widowControl/>
        <w:ind w:firstLine="360"/>
        <w:jc w:val="left"/>
        <w:rPr>
          <w:rFonts w:ascii="宋体" w:hAnsi="宋体" w:eastAsia="宋体" w:cs="宋体"/>
          <w:b/>
          <w:bCs/>
          <w:color w:val="auto"/>
          <w:spacing w:val="10"/>
          <w:kern w:val="0"/>
          <w:sz w:val="24"/>
          <w:highlight w:val="none"/>
        </w:rPr>
      </w:pPr>
    </w:p>
    <w:p>
      <w:pPr>
        <w:spacing w:line="560" w:lineRule="exact"/>
        <w:rPr>
          <w:rFonts w:asciiTheme="minorEastAsia" w:hAnsiTheme="minorEastAsia" w:cstheme="minorEastAsia"/>
          <w:b/>
          <w:bCs/>
          <w:color w:val="auto"/>
          <w:kern w:val="0"/>
          <w:sz w:val="28"/>
          <w:szCs w:val="28"/>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pStyle w:val="6"/>
        <w:jc w:val="center"/>
        <w:rPr>
          <w:color w:val="auto"/>
          <w:highlight w:val="none"/>
        </w:rPr>
      </w:pPr>
      <w:bookmarkStart w:id="218" w:name="_Toc10352"/>
      <w:bookmarkEnd w:id="218"/>
      <w:r>
        <w:rPr>
          <w:rFonts w:hint="eastAsia" w:ascii="宋体" w:hAnsi="宋体" w:cs="宋体"/>
          <w:color w:val="auto"/>
          <w:szCs w:val="24"/>
          <w:highlight w:val="none"/>
        </w:rPr>
        <w:br w:type="page"/>
      </w:r>
      <w:r>
        <w:rPr>
          <w:rFonts w:hint="eastAsia"/>
          <w:color w:val="auto"/>
          <w:highlight w:val="none"/>
        </w:rPr>
        <w:t>四、投标承诺函</w:t>
      </w:r>
    </w:p>
    <w:p>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pPr>
        <w:spacing w:line="360" w:lineRule="auto"/>
        <w:ind w:firstLine="480" w:firstLineChars="200"/>
        <w:rPr>
          <w:color w:val="auto"/>
          <w:sz w:val="24"/>
          <w:szCs w:val="28"/>
          <w:highlight w:val="none"/>
        </w:rPr>
      </w:pPr>
    </w:p>
    <w:p>
      <w:pPr>
        <w:spacing w:line="360" w:lineRule="auto"/>
        <w:ind w:firstLine="480" w:firstLineChars="200"/>
        <w:rPr>
          <w:color w:val="auto"/>
          <w:sz w:val="24"/>
          <w:szCs w:val="28"/>
          <w:highlight w:val="none"/>
        </w:rPr>
      </w:pPr>
      <w:bookmarkStart w:id="219" w:name="五、磋商报价明细表"/>
      <w:bookmarkEnd w:id="219"/>
    </w:p>
    <w:p>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pPr>
        <w:spacing w:line="360" w:lineRule="auto"/>
        <w:ind w:firstLine="480" w:firstLineChars="200"/>
        <w:rPr>
          <w:color w:val="auto"/>
          <w:sz w:val="24"/>
          <w:szCs w:val="28"/>
          <w:highlight w:val="none"/>
        </w:rPr>
      </w:pPr>
      <w:r>
        <w:rPr>
          <w:rFonts w:hint="eastAsia"/>
          <w:color w:val="auto"/>
          <w:sz w:val="24"/>
          <w:szCs w:val="28"/>
          <w:highlight w:val="none"/>
        </w:rPr>
        <w:t>日期：        年      月      日</w:t>
      </w:r>
    </w:p>
    <w:p>
      <w:pPr>
        <w:pStyle w:val="6"/>
        <w:jc w:val="center"/>
        <w:rPr>
          <w:color w:val="auto"/>
          <w:highlight w:val="none"/>
        </w:rPr>
      </w:pPr>
      <w:r>
        <w:rPr>
          <w:rFonts w:hint="eastAsia" w:ascii="宋体" w:hAnsi="宋体" w:cs="宋体"/>
          <w:color w:val="auto"/>
          <w:szCs w:val="24"/>
          <w:highlight w:val="none"/>
        </w:rPr>
        <w:br w:type="page"/>
      </w:r>
      <w:bookmarkStart w:id="220" w:name="_Hlk3282331"/>
      <w:bookmarkEnd w:id="220"/>
      <w:bookmarkStart w:id="221" w:name="_Toc244934212"/>
      <w:bookmarkEnd w:id="221"/>
      <w:bookmarkStart w:id="222" w:name="_Toc528078071"/>
      <w:bookmarkEnd w:id="222"/>
      <w:bookmarkStart w:id="223" w:name="_Toc361989462"/>
      <w:bookmarkEnd w:id="223"/>
      <w:bookmarkStart w:id="224" w:name="_Toc23028"/>
      <w:bookmarkStart w:id="225" w:name="_Toc28663"/>
      <w:bookmarkStart w:id="226" w:name="_Toc6985"/>
      <w:r>
        <w:rPr>
          <w:rFonts w:hint="eastAsia"/>
          <w:color w:val="auto"/>
          <w:highlight w:val="none"/>
        </w:rPr>
        <w:t>五、报价明细表</w:t>
      </w:r>
      <w:bookmarkEnd w:id="224"/>
      <w:bookmarkEnd w:id="225"/>
      <w:bookmarkEnd w:id="226"/>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w:t>
            </w:r>
          </w:p>
          <w:p>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bl>
    <w:p>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7" w:name="_Hlk522286805"/>
      <w:bookmarkEnd w:id="227"/>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pPr>
        <w:pStyle w:val="6"/>
        <w:jc w:val="center"/>
        <w:rPr>
          <w:color w:val="auto"/>
          <w:highlight w:val="none"/>
        </w:rPr>
      </w:pPr>
      <w:bookmarkStart w:id="228" w:name="_Toc244934213"/>
      <w:bookmarkEnd w:id="228"/>
      <w:bookmarkStart w:id="229" w:name="_Toc361989463"/>
      <w:bookmarkEnd w:id="229"/>
      <w:bookmarkStart w:id="230" w:name="_Toc10655"/>
      <w:bookmarkStart w:id="231" w:name="_Toc25298"/>
      <w:bookmarkStart w:id="232" w:name="_Toc17010"/>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bl>
    <w:p>
      <w:pPr>
        <w:spacing w:line="360" w:lineRule="auto"/>
        <w:rPr>
          <w:rFonts w:hint="eastAsia" w:ascii="宋体" w:hAnsi="宋体" w:eastAsia="宋体" w:cs="宋体"/>
          <w:b w:val="0"/>
          <w:bCs w:val="0"/>
          <w:color w:val="auto"/>
          <w:sz w:val="24"/>
          <w:szCs w:val="20"/>
          <w:highlight w:val="none"/>
          <w:lang w:eastAsia="zh-CN"/>
        </w:rPr>
      </w:pPr>
      <w:r>
        <w:rPr>
          <w:rFonts w:hint="eastAsia" w:ascii="宋体" w:hAnsi="宋体" w:eastAsia="宋体" w:cs="宋体"/>
          <w:b w:val="0"/>
          <w:bCs w:val="0"/>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供应商可根据需要自行增减表格行数</w:t>
      </w:r>
      <w:r>
        <w:rPr>
          <w:rFonts w:hint="eastAsia" w:ascii="宋体" w:hAnsi="宋体" w:eastAsia="宋体" w:cs="宋体"/>
          <w:b w:val="0"/>
          <w:bCs w:val="0"/>
          <w:color w:val="auto"/>
          <w:sz w:val="24"/>
          <w:szCs w:val="20"/>
          <w:highlight w:val="none"/>
          <w:lang w:eastAsia="zh-CN"/>
        </w:rPr>
        <w:t>。</w:t>
      </w:r>
    </w:p>
    <w:p>
      <w:pPr>
        <w:spacing w:line="360" w:lineRule="auto"/>
        <w:ind w:firstLine="3360" w:firstLineChars="1400"/>
        <w:rPr>
          <w:rFonts w:ascii="宋体" w:hAnsi="宋体" w:eastAsia="宋体" w:cs="宋体"/>
          <w:color w:val="auto"/>
          <w:sz w:val="24"/>
          <w:szCs w:val="20"/>
          <w:highlight w:val="none"/>
        </w:rPr>
      </w:pPr>
    </w:p>
    <w:p>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pPr>
        <w:widowControl/>
        <w:jc w:val="left"/>
        <w:rPr>
          <w:rFonts w:ascii="宋体" w:hAnsi="宋体" w:cs="宋体"/>
          <w:color w:val="auto"/>
          <w:szCs w:val="24"/>
          <w:highlight w:val="none"/>
        </w:rPr>
      </w:pPr>
    </w:p>
    <w:p>
      <w:pPr>
        <w:widowControl/>
        <w:jc w:val="left"/>
        <w:rPr>
          <w:color w:val="auto"/>
          <w:highlight w:val="none"/>
        </w:rPr>
      </w:pPr>
      <w:r>
        <w:rPr>
          <w:color w:val="auto"/>
          <w:highlight w:val="none"/>
        </w:rPr>
        <w:br w:type="page"/>
      </w:r>
    </w:p>
    <w:p>
      <w:pPr>
        <w:pStyle w:val="6"/>
        <w:jc w:val="center"/>
        <w:rPr>
          <w:color w:val="auto"/>
          <w:highlight w:val="none"/>
        </w:rPr>
      </w:pPr>
      <w:r>
        <w:rPr>
          <w:rFonts w:hint="eastAsia"/>
          <w:color w:val="auto"/>
          <w:highlight w:val="none"/>
        </w:rPr>
        <w:t>七、技术标部分</w:t>
      </w:r>
      <w:bookmarkEnd w:id="230"/>
      <w:bookmarkEnd w:id="231"/>
      <w:bookmarkEnd w:id="232"/>
    </w:p>
    <w:p>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pPr>
        <w:rPr>
          <w:color w:val="auto"/>
          <w:highlight w:val="none"/>
        </w:rPr>
      </w:pPr>
      <w:bookmarkStart w:id="233" w:name="_Toc12073"/>
      <w:bookmarkEnd w:id="233"/>
      <w:r>
        <w:rPr>
          <w:rFonts w:hint="eastAsia"/>
          <w:color w:val="auto"/>
          <w:highlight w:val="none"/>
        </w:rPr>
        <w:br w:type="page"/>
      </w:r>
      <w:bookmarkStart w:id="234" w:name="_Toc2770"/>
      <w:bookmarkEnd w:id="234"/>
      <w:bookmarkStart w:id="235" w:name="_Toc4724"/>
      <w:bookmarkStart w:id="236" w:name="_Toc20210"/>
    </w:p>
    <w:p>
      <w:pPr>
        <w:pStyle w:val="6"/>
        <w:jc w:val="center"/>
        <w:rPr>
          <w:color w:val="auto"/>
          <w:highlight w:val="none"/>
        </w:rPr>
      </w:pPr>
      <w:r>
        <w:rPr>
          <w:rFonts w:hint="eastAsia"/>
          <w:color w:val="auto"/>
          <w:highlight w:val="none"/>
        </w:rPr>
        <w:t>八、供应商资格证明</w:t>
      </w:r>
      <w:bookmarkEnd w:id="235"/>
      <w:bookmarkEnd w:id="236"/>
      <w:r>
        <w:rPr>
          <w:rFonts w:hint="eastAsia"/>
          <w:color w:val="auto"/>
          <w:highlight w:val="none"/>
        </w:rPr>
        <w:t>材料</w:t>
      </w:r>
    </w:p>
    <w:p>
      <w:pPr>
        <w:jc w:val="center"/>
        <w:rPr>
          <w:rFonts w:ascii="宋体" w:hAnsi="宋体" w:cs="宋体"/>
          <w:color w:val="auto"/>
          <w:sz w:val="24"/>
          <w:highlight w:val="none"/>
        </w:rPr>
      </w:pPr>
      <w:bookmarkStart w:id="237" w:name="_Toc361989464"/>
      <w:bookmarkEnd w:id="237"/>
      <w:r>
        <w:rPr>
          <w:rFonts w:hint="eastAsia" w:ascii="宋体" w:hAnsi="宋体" w:cs="宋体"/>
          <w:color w:val="auto"/>
          <w:sz w:val="24"/>
          <w:highlight w:val="none"/>
        </w:rPr>
        <w:br w:type="page"/>
      </w:r>
      <w:bookmarkStart w:id="238" w:name="_Toc361989467"/>
      <w:bookmarkEnd w:id="238"/>
      <w:bookmarkStart w:id="239" w:name="_Toc234213567"/>
      <w:bookmarkEnd w:id="239"/>
      <w:bookmarkStart w:id="240" w:name="_Toc361989466"/>
      <w:bookmarkEnd w:id="240"/>
      <w:bookmarkStart w:id="241" w:name="_Toc528078075"/>
      <w:bookmarkEnd w:id="241"/>
      <w:bookmarkStart w:id="242" w:name="_Toc244934216"/>
      <w:bookmarkEnd w:id="242"/>
      <w:bookmarkStart w:id="243" w:name="_Toc7868"/>
    </w:p>
    <w:p>
      <w:pPr>
        <w:pStyle w:val="6"/>
        <w:jc w:val="center"/>
        <w:rPr>
          <w:color w:val="auto"/>
          <w:highlight w:val="none"/>
        </w:rPr>
      </w:pPr>
      <w:r>
        <w:rPr>
          <w:rFonts w:hint="eastAsia"/>
          <w:color w:val="auto"/>
          <w:highlight w:val="none"/>
        </w:rPr>
        <w:t>九、</w:t>
      </w:r>
      <w:bookmarkEnd w:id="243"/>
      <w:r>
        <w:rPr>
          <w:rFonts w:hint="eastAsia"/>
          <w:color w:val="auto"/>
          <w:highlight w:val="none"/>
        </w:rPr>
        <w:t>商务标部分</w:t>
      </w:r>
    </w:p>
    <w:p>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pPr>
        <w:ind w:firstLine="420"/>
        <w:jc w:val="center"/>
        <w:rPr>
          <w:rFonts w:ascii="宋体" w:hAnsi="宋体" w:cs="宋体"/>
          <w:b/>
          <w:bCs/>
          <w:color w:val="auto"/>
          <w:sz w:val="24"/>
          <w:highlight w:val="none"/>
        </w:rPr>
      </w:pPr>
    </w:p>
    <w:p>
      <w:pPr>
        <w:pStyle w:val="6"/>
        <w:jc w:val="center"/>
        <w:rPr>
          <w:color w:val="auto"/>
          <w:highlight w:val="none"/>
        </w:rPr>
      </w:pPr>
      <w:bookmarkStart w:id="244" w:name="_Toc244934217"/>
      <w:bookmarkEnd w:id="244"/>
      <w:bookmarkStart w:id="245" w:name="_Toc361989468"/>
      <w:bookmarkEnd w:id="245"/>
      <w:bookmarkStart w:id="246" w:name="_Toc528078076"/>
      <w:bookmarkEnd w:id="246"/>
      <w:bookmarkStart w:id="247" w:name="_Toc23775"/>
      <w:r>
        <w:rPr>
          <w:rFonts w:hint="eastAsia"/>
          <w:color w:val="auto"/>
          <w:highlight w:val="none"/>
        </w:rPr>
        <w:t>十、其他资料</w:t>
      </w:r>
      <w:bookmarkEnd w:id="247"/>
    </w:p>
    <w:p>
      <w:pPr>
        <w:jc w:val="center"/>
        <w:rPr>
          <w:rFonts w:ascii="宋体" w:hAnsi="宋体" w:cs="宋体"/>
          <w:b/>
          <w:bCs/>
          <w:color w:val="auto"/>
          <w:sz w:val="24"/>
          <w:highlight w:val="none"/>
        </w:rPr>
      </w:pPr>
    </w:p>
    <w:p>
      <w:pPr>
        <w:jc w:val="center"/>
        <w:outlineLvl w:val="0"/>
        <w:rPr>
          <w:rFonts w:ascii="宋体" w:hAnsi="宋体" w:cs="宋体"/>
          <w:b/>
          <w:bCs/>
          <w:color w:val="auto"/>
          <w:sz w:val="24"/>
          <w:highlight w:val="none"/>
        </w:rPr>
      </w:pPr>
      <w:bookmarkStart w:id="248" w:name="_Toc24855"/>
      <w:bookmarkStart w:id="249" w:name="_Toc9253"/>
      <w:bookmarkStart w:id="250" w:name="_Toc30780"/>
      <w:bookmarkStart w:id="251" w:name="_Toc5157"/>
      <w:r>
        <w:rPr>
          <w:rFonts w:hint="eastAsia" w:ascii="宋体" w:hAnsi="宋体" w:cs="宋体"/>
          <w:b/>
          <w:bCs/>
          <w:color w:val="auto"/>
          <w:sz w:val="24"/>
          <w:highlight w:val="none"/>
        </w:rPr>
        <w:t>（供应商认为应该提交的资料）</w:t>
      </w:r>
      <w:bookmarkEnd w:id="248"/>
      <w:bookmarkEnd w:id="249"/>
      <w:bookmarkEnd w:id="250"/>
      <w:bookmarkEnd w:id="251"/>
    </w:p>
    <w:p>
      <w:pPr>
        <w:jc w:val="center"/>
        <w:rPr>
          <w:rFonts w:ascii="宋体" w:hAnsi="宋体" w:cs="宋体"/>
          <w:b/>
          <w:bCs/>
          <w:color w:val="auto"/>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eastAsia="宋体" w:cs="宋体"/>
          <w:color w:val="auto"/>
          <w:sz w:val="24"/>
          <w:szCs w:val="24"/>
          <w:highlight w:val="none"/>
        </w:rPr>
      </w:pPr>
    </w:p>
    <w:p>
      <w:pPr>
        <w:widowControl/>
        <w:jc w:val="left"/>
        <w:rPr>
          <w:color w:val="auto"/>
          <w:highlight w:val="none"/>
        </w:rPr>
      </w:pPr>
      <w:r>
        <w:rPr>
          <w:color w:val="auto"/>
          <w:highlight w:val="none"/>
        </w:rPr>
        <w:br w:type="page"/>
      </w:r>
    </w:p>
    <w:p>
      <w:pPr>
        <w:wordWrap w:val="0"/>
        <w:topLinePunct/>
        <w:outlineLvl w:val="0"/>
        <w:rPr>
          <w:rFonts w:ascii="宋体" w:hAnsi="宋体" w:eastAsia="宋体" w:cs="宋体"/>
          <w:color w:val="auto"/>
          <w:sz w:val="24"/>
          <w:szCs w:val="24"/>
          <w:highlight w:val="none"/>
        </w:rPr>
      </w:pPr>
      <w:bookmarkStart w:id="252" w:name="_Toc17134"/>
      <w:bookmarkStart w:id="253" w:name="_Toc5971"/>
      <w:bookmarkStart w:id="254" w:name="_Toc16496"/>
      <w:bookmarkStart w:id="255" w:name="_Toc30800"/>
      <w:r>
        <w:rPr>
          <w:rFonts w:hint="eastAsia" w:ascii="宋体" w:hAnsi="宋体" w:eastAsia="宋体" w:cs="宋体"/>
          <w:color w:val="auto"/>
          <w:sz w:val="24"/>
          <w:szCs w:val="24"/>
          <w:highlight w:val="none"/>
        </w:rPr>
        <w:t>附件1</w:t>
      </w:r>
      <w:bookmarkEnd w:id="252"/>
      <w:bookmarkEnd w:id="253"/>
      <w:bookmarkEnd w:id="254"/>
      <w:bookmarkEnd w:id="255"/>
    </w:p>
    <w:p>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pPr>
        <w:wordWrap w:val="0"/>
        <w:topLinePunct/>
        <w:adjustRightInd w:val="0"/>
        <w:snapToGrid w:val="0"/>
        <w:spacing w:line="360" w:lineRule="auto"/>
        <w:rPr>
          <w:rFonts w:ascii="宋体" w:hAnsi="宋体" w:eastAsia="宋体" w:cs="宋体"/>
          <w:color w:val="auto"/>
          <w:spacing w:val="6"/>
          <w:sz w:val="24"/>
          <w:szCs w:val="24"/>
          <w:highlight w:val="none"/>
        </w:rPr>
      </w:pPr>
    </w:p>
    <w:p>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wordWrap w:val="0"/>
        <w:topLinePunct/>
        <w:spacing w:after="120" w:line="360" w:lineRule="auto"/>
        <w:outlineLvl w:val="0"/>
        <w:rPr>
          <w:rFonts w:ascii="宋体" w:hAnsi="宋体" w:eastAsia="宋体" w:cs="宋体"/>
          <w:color w:val="auto"/>
          <w:sz w:val="24"/>
          <w:szCs w:val="24"/>
          <w:highlight w:val="none"/>
        </w:rPr>
      </w:pPr>
      <w:bookmarkStart w:id="256" w:name="_Toc28455"/>
      <w:bookmarkStart w:id="257" w:name="_Toc4122"/>
      <w:bookmarkStart w:id="258" w:name="_Toc11019"/>
      <w:bookmarkStart w:id="259" w:name="_Toc2102"/>
      <w:r>
        <w:rPr>
          <w:rFonts w:hint="eastAsia" w:ascii="宋体" w:hAnsi="宋体" w:eastAsia="宋体" w:cs="宋体"/>
          <w:color w:val="auto"/>
          <w:sz w:val="24"/>
          <w:szCs w:val="24"/>
          <w:highlight w:val="none"/>
        </w:rPr>
        <w:t>附件2</w:t>
      </w:r>
      <w:bookmarkEnd w:id="256"/>
      <w:bookmarkEnd w:id="257"/>
      <w:bookmarkEnd w:id="258"/>
      <w:bookmarkEnd w:id="259"/>
    </w:p>
    <w:p>
      <w:pPr>
        <w:wordWrap w:val="0"/>
        <w:topLinePunct/>
        <w:adjustRightInd w:val="0"/>
        <w:snapToGrid w:val="0"/>
        <w:ind w:firstLine="480" w:firstLineChars="200"/>
        <w:rPr>
          <w:rFonts w:ascii="宋体" w:hAnsi="宋体" w:eastAsia="宋体" w:cs="宋体"/>
          <w:color w:val="auto"/>
          <w:sz w:val="24"/>
          <w:szCs w:val="24"/>
          <w:highlight w:val="none"/>
        </w:rPr>
      </w:pPr>
    </w:p>
    <w:p>
      <w:pPr>
        <w:wordWrap w:val="0"/>
        <w:topLinePunct/>
        <w:adjustRightInd w:val="0"/>
        <w:snapToGrid w:val="0"/>
        <w:ind w:firstLine="360" w:firstLineChars="150"/>
        <w:rPr>
          <w:rFonts w:ascii="宋体" w:hAnsi="宋体" w:eastAsia="宋体" w:cs="宋体"/>
          <w:color w:val="auto"/>
          <w:sz w:val="24"/>
          <w:szCs w:val="24"/>
          <w:highlight w:val="none"/>
        </w:rPr>
      </w:pPr>
    </w:p>
    <w:p>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0" w:name="_Toc30785"/>
      <w:bookmarkStart w:id="261" w:name="_Toc14760"/>
      <w:bookmarkStart w:id="262" w:name="_Toc13308"/>
      <w:bookmarkStart w:id="263" w:name="_Toc20491"/>
      <w:r>
        <w:rPr>
          <w:rFonts w:hint="eastAsia" w:ascii="宋体" w:hAnsi="宋体" w:eastAsia="宋体" w:cs="宋体"/>
          <w:b/>
          <w:bCs/>
          <w:color w:val="auto"/>
          <w:sz w:val="24"/>
          <w:szCs w:val="24"/>
          <w:highlight w:val="none"/>
          <w:lang w:val="zh-CN"/>
        </w:rPr>
        <w:t>监狱企业证明文件</w:t>
      </w:r>
      <w:bookmarkEnd w:id="260"/>
      <w:bookmarkEnd w:id="261"/>
      <w:bookmarkEnd w:id="262"/>
      <w:bookmarkEnd w:id="263"/>
    </w:p>
    <w:p>
      <w:pPr>
        <w:wordWrap w:val="0"/>
        <w:topLinePunct/>
        <w:jc w:val="center"/>
        <w:rPr>
          <w:rFonts w:ascii="宋体" w:hAnsi="宋体" w:eastAsia="宋体" w:cs="宋体"/>
          <w:b/>
          <w:bCs/>
          <w:color w:val="auto"/>
          <w:sz w:val="24"/>
          <w:szCs w:val="24"/>
          <w:highlight w:val="none"/>
        </w:rPr>
      </w:pPr>
    </w:p>
    <w:p>
      <w:pPr>
        <w:wordWrap w:val="0"/>
        <w:topLinePunct/>
        <w:spacing w:line="500" w:lineRule="exact"/>
        <w:rPr>
          <w:rFonts w:ascii="宋体" w:hAnsi="宋体" w:eastAsia="宋体" w:cs="宋体"/>
          <w:color w:val="auto"/>
          <w:spacing w:val="6"/>
          <w:sz w:val="24"/>
          <w:szCs w:val="24"/>
          <w:highlight w:val="none"/>
        </w:rPr>
      </w:pPr>
    </w:p>
    <w:p>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wordWrap w:val="0"/>
        <w:topLinePunct/>
        <w:spacing w:line="500" w:lineRule="exact"/>
        <w:ind w:firstLine="504" w:firstLineChars="200"/>
        <w:rPr>
          <w:rFonts w:ascii="宋体" w:hAnsi="宋体" w:eastAsia="宋体" w:cs="宋体"/>
          <w:color w:val="auto"/>
          <w:spacing w:val="6"/>
          <w:sz w:val="24"/>
          <w:szCs w:val="24"/>
          <w:highlight w:val="none"/>
        </w:rPr>
      </w:pPr>
    </w:p>
    <w:p>
      <w:pPr>
        <w:wordWrap w:val="0"/>
        <w:topLinePunct/>
        <w:spacing w:line="500" w:lineRule="exact"/>
        <w:ind w:firstLine="504" w:firstLineChars="200"/>
        <w:rPr>
          <w:rFonts w:ascii="宋体" w:hAnsi="宋体" w:eastAsia="宋体" w:cs="宋体"/>
          <w:color w:val="auto"/>
          <w:spacing w:val="6"/>
          <w:sz w:val="24"/>
          <w:szCs w:val="24"/>
          <w:highlight w:val="none"/>
        </w:rPr>
      </w:pPr>
    </w:p>
    <w:p>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pPr>
        <w:wordWrap w:val="0"/>
        <w:topLinePunct/>
        <w:spacing w:line="500" w:lineRule="exact"/>
        <w:rPr>
          <w:rFonts w:ascii="宋体" w:hAnsi="宋体" w:eastAsia="宋体" w:cs="宋体"/>
          <w:color w:val="auto"/>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pageBreakBefore/>
        <w:wordWrap w:val="0"/>
        <w:topLinePunct/>
        <w:ind w:firstLine="360" w:firstLineChars="150"/>
        <w:outlineLvl w:val="0"/>
        <w:rPr>
          <w:rFonts w:ascii="宋体" w:hAnsi="宋体" w:eastAsia="宋体" w:cs="宋体"/>
          <w:color w:val="auto"/>
          <w:sz w:val="24"/>
          <w:szCs w:val="24"/>
          <w:highlight w:val="none"/>
        </w:rPr>
      </w:pPr>
      <w:bookmarkStart w:id="264" w:name="_Toc11345"/>
      <w:bookmarkStart w:id="265" w:name="_Toc8392"/>
      <w:bookmarkStart w:id="266" w:name="_Toc6264"/>
      <w:bookmarkStart w:id="267" w:name="_Toc14655"/>
      <w:r>
        <w:rPr>
          <w:rFonts w:hint="eastAsia" w:ascii="宋体" w:hAnsi="宋体" w:eastAsia="宋体" w:cs="宋体"/>
          <w:color w:val="auto"/>
          <w:sz w:val="24"/>
          <w:szCs w:val="24"/>
          <w:highlight w:val="none"/>
        </w:rPr>
        <w:t>附件3</w:t>
      </w:r>
      <w:bookmarkEnd w:id="264"/>
      <w:bookmarkEnd w:id="265"/>
      <w:bookmarkEnd w:id="266"/>
      <w:bookmarkEnd w:id="267"/>
    </w:p>
    <w:p>
      <w:pPr>
        <w:wordWrap w:val="0"/>
        <w:spacing w:after="120" w:line="480" w:lineRule="exact"/>
        <w:jc w:val="center"/>
        <w:outlineLvl w:val="0"/>
        <w:rPr>
          <w:rFonts w:ascii="宋体" w:hAnsi="宋体" w:eastAsia="宋体" w:cs="宋体"/>
          <w:b/>
          <w:bCs/>
          <w:color w:val="auto"/>
          <w:kern w:val="36"/>
          <w:sz w:val="24"/>
          <w:szCs w:val="24"/>
          <w:highlight w:val="none"/>
        </w:rPr>
      </w:pPr>
      <w:bookmarkStart w:id="268" w:name="_Toc27930"/>
      <w:bookmarkStart w:id="269" w:name="_Toc23906"/>
      <w:bookmarkStart w:id="270" w:name="_Toc32130"/>
      <w:bookmarkStart w:id="271" w:name="_Toc30651"/>
      <w:r>
        <w:rPr>
          <w:rFonts w:hint="eastAsia" w:ascii="宋体" w:hAnsi="宋体" w:eastAsia="宋体" w:cs="宋体"/>
          <w:b/>
          <w:bCs/>
          <w:color w:val="auto"/>
          <w:kern w:val="36"/>
          <w:sz w:val="24"/>
          <w:szCs w:val="24"/>
          <w:highlight w:val="none"/>
        </w:rPr>
        <w:t>残疾人福利性单位声明函（如有）</w:t>
      </w:r>
      <w:bookmarkEnd w:id="268"/>
      <w:bookmarkEnd w:id="269"/>
      <w:bookmarkEnd w:id="270"/>
      <w:bookmarkEnd w:id="271"/>
    </w:p>
    <w:p>
      <w:pPr>
        <w:wordWrap w:val="0"/>
        <w:spacing w:after="120" w:line="480" w:lineRule="exact"/>
        <w:ind w:firstLine="480" w:firstLineChars="200"/>
        <w:rPr>
          <w:rFonts w:ascii="宋体" w:hAnsi="宋体" w:eastAsia="宋体" w:cs="宋体"/>
          <w:color w:val="auto"/>
          <w:kern w:val="36"/>
          <w:sz w:val="24"/>
          <w:szCs w:val="24"/>
          <w:highlight w:val="none"/>
        </w:rPr>
      </w:pPr>
    </w:p>
    <w:p>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pPr>
        <w:wordWrap w:val="0"/>
        <w:spacing w:line="480" w:lineRule="exact"/>
        <w:ind w:firstLine="480" w:firstLineChars="200"/>
        <w:jc w:val="right"/>
        <w:rPr>
          <w:rFonts w:ascii="宋体" w:hAnsi="宋体" w:eastAsia="宋体" w:cs="宋体"/>
          <w:color w:val="auto"/>
          <w:sz w:val="24"/>
          <w:szCs w:val="24"/>
          <w:highlight w:val="none"/>
        </w:rPr>
      </w:pPr>
    </w:p>
    <w:p>
      <w:pPr>
        <w:wordWrap w:val="0"/>
        <w:topLinePunct/>
        <w:spacing w:line="360" w:lineRule="auto"/>
        <w:rPr>
          <w:rFonts w:ascii="宋体" w:hAnsi="宋体" w:eastAsia="宋体" w:cs="宋体"/>
          <w:color w:val="auto"/>
          <w:kern w:val="0"/>
          <w:sz w:val="24"/>
          <w:szCs w:val="24"/>
          <w:highlight w:val="none"/>
        </w:rPr>
      </w:pPr>
    </w:p>
    <w:p>
      <w:pPr>
        <w:wordWrap w:val="0"/>
        <w:topLinePunct/>
        <w:spacing w:line="360" w:lineRule="auto"/>
        <w:ind w:firstLine="480" w:firstLineChars="200"/>
        <w:rPr>
          <w:rFonts w:ascii="宋体" w:hAnsi="宋体" w:eastAsia="宋体" w:cs="宋体"/>
          <w:color w:val="auto"/>
          <w:sz w:val="24"/>
          <w:szCs w:val="24"/>
          <w:highlight w:val="none"/>
        </w:rPr>
      </w:pPr>
    </w:p>
    <w:p>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pPr>
        <w:rPr>
          <w:rFonts w:ascii="Calibri" w:hAnsi="Calibri" w:eastAsia="宋体" w:cs="Times New Roman"/>
          <w:color w:val="auto"/>
          <w:sz w:val="22"/>
          <w:highlight w:val="none"/>
        </w:rPr>
      </w:pPr>
    </w:p>
    <w:p>
      <w:pPr>
        <w:wordWrap w:val="0"/>
        <w:jc w:val="center"/>
        <w:rPr>
          <w:rFonts w:ascii="宋体" w:hAnsi="宋体" w:eastAsia="宋体" w:cs="宋体"/>
          <w:b/>
          <w:bCs/>
          <w:color w:val="auto"/>
          <w:sz w:val="24"/>
          <w:szCs w:val="24"/>
          <w:highlight w:val="none"/>
        </w:rPr>
      </w:pPr>
    </w:p>
    <w:p>
      <w:pPr>
        <w:wordWrap w:val="0"/>
        <w:jc w:val="center"/>
        <w:rPr>
          <w:rFonts w:ascii="宋体" w:hAnsi="宋体" w:eastAsia="宋体" w:cs="宋体"/>
          <w:b/>
          <w:bCs/>
          <w:color w:val="auto"/>
          <w:sz w:val="24"/>
          <w:szCs w:val="24"/>
          <w:highlight w:val="none"/>
        </w:rPr>
      </w:pP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topLinePunct/>
        <w:jc w:val="center"/>
        <w:rPr>
          <w:rFonts w:ascii="宋体" w:hAnsi="宋体" w:eastAsia="宋体" w:cs="宋体"/>
          <w:b/>
          <w:bCs/>
          <w:color w:val="auto"/>
          <w:sz w:val="24"/>
          <w:szCs w:val="24"/>
          <w:highlight w:val="none"/>
        </w:rPr>
      </w:pPr>
    </w:p>
    <w:p>
      <w:pPr>
        <w:topLinePunct/>
        <w:jc w:val="center"/>
        <w:rPr>
          <w:rFonts w:ascii="宋体" w:hAnsi="宋体" w:eastAsia="宋体" w:cs="宋体"/>
          <w:b/>
          <w:bCs/>
          <w:color w:val="auto"/>
          <w:sz w:val="24"/>
          <w:szCs w:val="24"/>
          <w:highlight w:val="none"/>
        </w:rPr>
      </w:pPr>
    </w:p>
    <w:p>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A72900"/>
    <w:rsid w:val="0CF56D46"/>
    <w:rsid w:val="0E1212A0"/>
    <w:rsid w:val="0E707BF7"/>
    <w:rsid w:val="0E805BB5"/>
    <w:rsid w:val="0EA03BFE"/>
    <w:rsid w:val="0EE26D46"/>
    <w:rsid w:val="0FA25AF2"/>
    <w:rsid w:val="0FB623D6"/>
    <w:rsid w:val="102962AF"/>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2A48AB"/>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696CEC"/>
    <w:rsid w:val="23BC3BC2"/>
    <w:rsid w:val="24A13189"/>
    <w:rsid w:val="25320B3D"/>
    <w:rsid w:val="25423C43"/>
    <w:rsid w:val="25615736"/>
    <w:rsid w:val="26484F20"/>
    <w:rsid w:val="276A7481"/>
    <w:rsid w:val="288863B5"/>
    <w:rsid w:val="29017971"/>
    <w:rsid w:val="296E150C"/>
    <w:rsid w:val="29AF5108"/>
    <w:rsid w:val="29B856B6"/>
    <w:rsid w:val="2A6E7289"/>
    <w:rsid w:val="2B0B2D29"/>
    <w:rsid w:val="2B69251F"/>
    <w:rsid w:val="2BEB2BDD"/>
    <w:rsid w:val="2D543A3E"/>
    <w:rsid w:val="2DD6761F"/>
    <w:rsid w:val="2DEA60B2"/>
    <w:rsid w:val="2E132621"/>
    <w:rsid w:val="2E476DBF"/>
    <w:rsid w:val="2E8211B9"/>
    <w:rsid w:val="2EE265FC"/>
    <w:rsid w:val="2EEB0EA8"/>
    <w:rsid w:val="2FFD5AB7"/>
    <w:rsid w:val="30247BD1"/>
    <w:rsid w:val="30323310"/>
    <w:rsid w:val="30FE1366"/>
    <w:rsid w:val="311E1C0C"/>
    <w:rsid w:val="315A0567"/>
    <w:rsid w:val="319C110F"/>
    <w:rsid w:val="32132BEF"/>
    <w:rsid w:val="324375FB"/>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DF31E6B"/>
    <w:rsid w:val="3E066647"/>
    <w:rsid w:val="3E5500EC"/>
    <w:rsid w:val="3EE51F65"/>
    <w:rsid w:val="3EFC4CA0"/>
    <w:rsid w:val="40255396"/>
    <w:rsid w:val="40371000"/>
    <w:rsid w:val="40A86BF9"/>
    <w:rsid w:val="40B97058"/>
    <w:rsid w:val="410A446E"/>
    <w:rsid w:val="41151DB4"/>
    <w:rsid w:val="412B6973"/>
    <w:rsid w:val="426218BA"/>
    <w:rsid w:val="42E87780"/>
    <w:rsid w:val="441614F2"/>
    <w:rsid w:val="444B414F"/>
    <w:rsid w:val="447876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B87BC6"/>
    <w:rsid w:val="50526B81"/>
    <w:rsid w:val="50B43398"/>
    <w:rsid w:val="51047D34"/>
    <w:rsid w:val="5266448B"/>
    <w:rsid w:val="5268268C"/>
    <w:rsid w:val="52DC0CA9"/>
    <w:rsid w:val="530D15CE"/>
    <w:rsid w:val="54C87E4F"/>
    <w:rsid w:val="54CD2C7A"/>
    <w:rsid w:val="555C7B5A"/>
    <w:rsid w:val="560E6FA2"/>
    <w:rsid w:val="56BF65F2"/>
    <w:rsid w:val="56E55B57"/>
    <w:rsid w:val="57083360"/>
    <w:rsid w:val="575064D2"/>
    <w:rsid w:val="581D7A74"/>
    <w:rsid w:val="591075D9"/>
    <w:rsid w:val="59C10DC6"/>
    <w:rsid w:val="59EE16C8"/>
    <w:rsid w:val="5A8B33BB"/>
    <w:rsid w:val="5A8E461A"/>
    <w:rsid w:val="5B550888"/>
    <w:rsid w:val="5BD82630"/>
    <w:rsid w:val="5D7A1F07"/>
    <w:rsid w:val="5E116979"/>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5AF0328"/>
    <w:rsid w:val="66671B30"/>
    <w:rsid w:val="6727446C"/>
    <w:rsid w:val="67DB3C85"/>
    <w:rsid w:val="6822078F"/>
    <w:rsid w:val="68490412"/>
    <w:rsid w:val="688306D3"/>
    <w:rsid w:val="68B27D65"/>
    <w:rsid w:val="68D97EC3"/>
    <w:rsid w:val="69961435"/>
    <w:rsid w:val="6A7259FE"/>
    <w:rsid w:val="6A833AE4"/>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38"/>
      <w:ind w:left="892"/>
      <w:jc w:val="center"/>
      <w:outlineLvl w:val="0"/>
    </w:pPr>
    <w:rPr>
      <w:sz w:val="32"/>
      <w:szCs w:val="32"/>
    </w:rPr>
  </w:style>
  <w:style w:type="paragraph" w:styleId="5">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after="120"/>
      <w:ind w:firstLine="420" w:firstLineChars="100"/>
    </w:pPr>
    <w:rPr>
      <w:rFonts w:ascii="Times New Roman" w:hAnsi="Times New Roman" w:cs="Times New Roman"/>
      <w:sz w:val="21"/>
      <w:szCs w:val="21"/>
    </w:rPr>
  </w:style>
  <w:style w:type="paragraph" w:styleId="3">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annotation text"/>
    <w:basedOn w:val="1"/>
    <w:autoRedefine/>
    <w:unhideWhenUsed/>
    <w:qFormat/>
    <w:uiPriority w:val="99"/>
    <w:rPr>
      <w:sz w:val="20"/>
    </w:rPr>
  </w:style>
  <w:style w:type="paragraph" w:styleId="8">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1"/>
    <w:autoRedefine/>
    <w:semiHidden/>
    <w:unhideWhenUsed/>
    <w:qFormat/>
    <w:uiPriority w:val="99"/>
    <w:rPr>
      <w:sz w:val="18"/>
      <w:szCs w:val="18"/>
    </w:rPr>
  </w:style>
  <w:style w:type="paragraph" w:styleId="12">
    <w:name w:val="footer"/>
    <w:basedOn w:val="1"/>
    <w:link w:val="40"/>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rPr>
  </w:style>
  <w:style w:type="paragraph" w:styleId="14">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Body Text 2"/>
    <w:basedOn w:val="1"/>
    <w:next w:val="9"/>
    <w:autoRedefine/>
    <w:qFormat/>
    <w:uiPriority w:val="0"/>
    <w:pPr>
      <w:spacing w:line="360" w:lineRule="auto"/>
    </w:pPr>
    <w:rPr>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9">
    <w:name w:val="Normal (Web)"/>
    <w:basedOn w:val="1"/>
    <w:autoRedefine/>
    <w:unhideWhenUsed/>
    <w:qFormat/>
    <w:uiPriority w:val="99"/>
    <w:rPr>
      <w:rFonts w:ascii="Times New Roman" w:hAnsi="Times New Roman" w:cs="Times New Roman"/>
      <w:sz w:val="24"/>
      <w:szCs w:val="24"/>
    </w:rPr>
  </w:style>
  <w:style w:type="paragraph" w:styleId="20">
    <w:name w:val="Body Text First Indent 2"/>
    <w:basedOn w:val="8"/>
    <w:next w:val="2"/>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标题 3 Char"/>
    <w:basedOn w:val="23"/>
    <w:link w:val="6"/>
    <w:autoRedefine/>
    <w:qFormat/>
    <w:uiPriority w:val="9"/>
    <w:rPr>
      <w:rFonts w:asciiTheme="minorAscii" w:hAnsiTheme="minorAscii" w:eastAsiaTheme="minorEastAsia"/>
      <w:b/>
      <w:bCs/>
      <w:sz w:val="28"/>
      <w:szCs w:val="32"/>
    </w:rPr>
  </w:style>
  <w:style w:type="paragraph" w:styleId="3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4"/>
    <w:autoRedefine/>
    <w:qFormat/>
    <w:uiPriority w:val="99"/>
    <w:rPr>
      <w:sz w:val="18"/>
      <w:szCs w:val="18"/>
    </w:rPr>
  </w:style>
  <w:style w:type="character" w:customStyle="1" w:styleId="40">
    <w:name w:val="页脚 Char"/>
    <w:basedOn w:val="23"/>
    <w:link w:val="12"/>
    <w:autoRedefine/>
    <w:qFormat/>
    <w:uiPriority w:val="99"/>
    <w:rPr>
      <w:sz w:val="18"/>
      <w:szCs w:val="18"/>
    </w:rPr>
  </w:style>
  <w:style w:type="character" w:customStyle="1" w:styleId="41">
    <w:name w:val="批注框文本 Char"/>
    <w:basedOn w:val="23"/>
    <w:link w:val="11"/>
    <w:autoRedefine/>
    <w:semiHidden/>
    <w:qFormat/>
    <w:uiPriority w:val="99"/>
    <w:rPr>
      <w:sz w:val="18"/>
      <w:szCs w:val="18"/>
    </w:rPr>
  </w:style>
  <w:style w:type="paragraph" w:styleId="42">
    <w:name w:val="List Paragraph"/>
    <w:basedOn w:val="1"/>
    <w:autoRedefine/>
    <w:qFormat/>
    <w:uiPriority w:val="99"/>
    <w:pPr>
      <w:ind w:firstLine="420" w:firstLineChars="200"/>
    </w:pPr>
  </w:style>
  <w:style w:type="character" w:customStyle="1" w:styleId="43">
    <w:name w:val="标题 2 Char"/>
    <w:basedOn w:val="23"/>
    <w:link w:val="5"/>
    <w:autoRedefine/>
    <w:qFormat/>
    <w:uiPriority w:val="9"/>
    <w:rPr>
      <w:rFonts w:asciiTheme="majorHAnsi" w:hAnsiTheme="majorHAnsi" w:eastAsiaTheme="majorEastAsia" w:cstheme="majorBidi"/>
      <w:b/>
      <w:bCs/>
      <w:sz w:val="32"/>
      <w:szCs w:val="32"/>
    </w:rPr>
  </w:style>
  <w:style w:type="paragraph" w:customStyle="1" w:styleId="4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autoRedefine/>
    <w:qFormat/>
    <w:uiPriority w:val="34"/>
    <w:pPr>
      <w:ind w:firstLine="420" w:firstLineChars="200"/>
    </w:pPr>
    <w:rPr>
      <w:szCs w:val="24"/>
    </w:rPr>
  </w:style>
  <w:style w:type="character" w:customStyle="1" w:styleId="46">
    <w:name w:val="副标题 Char"/>
    <w:basedOn w:val="23"/>
    <w:link w:val="16"/>
    <w:autoRedefine/>
    <w:qFormat/>
    <w:uiPriority w:val="11"/>
    <w:rPr>
      <w:rFonts w:eastAsia="宋体" w:asciiTheme="majorHAnsi" w:hAnsiTheme="majorHAnsi" w:cstheme="majorBidi"/>
      <w:b/>
      <w:bCs/>
      <w:kern w:val="28"/>
      <w:sz w:val="32"/>
      <w:szCs w:val="32"/>
    </w:rPr>
  </w:style>
  <w:style w:type="paragraph" w:customStyle="1" w:styleId="47">
    <w:name w:val="Table Paragraph"/>
    <w:basedOn w:val="1"/>
    <w:autoRedefine/>
    <w:qFormat/>
    <w:uiPriority w:val="1"/>
    <w:rPr>
      <w:rFonts w:hAnsi="宋体" w:cs="宋体"/>
    </w:rPr>
  </w:style>
  <w:style w:type="character" w:customStyle="1" w:styleId="48">
    <w:name w:val="font41"/>
    <w:basedOn w:val="23"/>
    <w:autoRedefine/>
    <w:qFormat/>
    <w:uiPriority w:val="0"/>
    <w:rPr>
      <w:rFonts w:hint="default" w:ascii="Times New Roman" w:hAnsi="Times New Roman" w:cs="Times New Roman"/>
      <w:color w:val="000000"/>
      <w:sz w:val="18"/>
      <w:szCs w:val="18"/>
      <w:u w:val="none"/>
    </w:rPr>
  </w:style>
  <w:style w:type="character" w:customStyle="1" w:styleId="49">
    <w:name w:val="first-child"/>
    <w:basedOn w:val="23"/>
    <w:autoRedefine/>
    <w:qFormat/>
    <w:uiPriority w:val="0"/>
  </w:style>
  <w:style w:type="character" w:customStyle="1" w:styleId="50">
    <w:name w:val="layui-layer-tabnow"/>
    <w:basedOn w:val="23"/>
    <w:autoRedefine/>
    <w:qFormat/>
    <w:uiPriority w:val="0"/>
    <w:rPr>
      <w:bdr w:val="single" w:color="CCCCCC" w:sz="6" w:space="0"/>
      <w:shd w:val="clear" w:color="auto" w:fill="FFFFFF"/>
    </w:rPr>
  </w:style>
  <w:style w:type="character" w:customStyle="1" w:styleId="51">
    <w:name w:val="hover"/>
    <w:basedOn w:val="23"/>
    <w:qFormat/>
    <w:uiPriority w:val="0"/>
    <w:rPr>
      <w:color w:val="2590EB"/>
    </w:rPr>
  </w:style>
  <w:style w:type="character" w:customStyle="1" w:styleId="52">
    <w:name w:val="hover1"/>
    <w:basedOn w:val="23"/>
    <w:qFormat/>
    <w:uiPriority w:val="0"/>
    <w:rPr>
      <w:color w:val="2590EB"/>
    </w:rPr>
  </w:style>
  <w:style w:type="character" w:customStyle="1" w:styleId="53">
    <w:name w:val="hover2"/>
    <w:basedOn w:val="23"/>
    <w:qFormat/>
    <w:uiPriority w:val="0"/>
  </w:style>
  <w:style w:type="character" w:customStyle="1" w:styleId="54">
    <w:name w:val="mini-outputtext1"/>
    <w:basedOn w:val="23"/>
    <w:qFormat/>
    <w:uiPriority w:val="0"/>
  </w:style>
  <w:style w:type="character" w:customStyle="1" w:styleId="55">
    <w:name w:val="hover3"/>
    <w:basedOn w:val="23"/>
    <w:qFormat/>
    <w:uiPriority w:val="0"/>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font11"/>
    <w:basedOn w:val="23"/>
    <w:qFormat/>
    <w:uiPriority w:val="0"/>
    <w:rPr>
      <w:rFonts w:hint="eastAsia" w:ascii="宋体" w:hAnsi="宋体" w:eastAsia="宋体" w:cs="宋体"/>
      <w:color w:val="000000"/>
      <w:sz w:val="20"/>
      <w:szCs w:val="20"/>
      <w:u w:val="none"/>
    </w:rPr>
  </w:style>
  <w:style w:type="paragraph" w:customStyle="1" w:styleId="59">
    <w:name w:val="Table Text"/>
    <w:basedOn w:val="1"/>
    <w:autoRedefine/>
    <w:semiHidden/>
    <w:qFormat/>
    <w:uiPriority w:val="0"/>
    <w:rPr>
      <w:rFonts w:ascii="宋体" w:hAnsi="宋体" w:eastAsia="宋体" w:cs="宋体"/>
      <w:sz w:val="24"/>
      <w:szCs w:val="24"/>
      <w:lang w:eastAsia="en-US"/>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25978</Words>
  <Characters>27527</Characters>
  <Lines>165</Lines>
  <Paragraphs>46</Paragraphs>
  <TotalTime>16</TotalTime>
  <ScaleCrop>false</ScaleCrop>
  <LinksUpToDate>false</LinksUpToDate>
  <CharactersWithSpaces>30526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相知相惜</cp:lastModifiedBy>
  <dcterms:modified xsi:type="dcterms:W3CDTF">2025-12-08T12:42:24Z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2368BA96541A4D92A95A72F9461F6788_13</vt:lpwstr>
  </property>
  <property fmtid="{D5CDD505-2E9C-101B-9397-08002B2CF9AE}" pid="4" name="KSOTemplateDocerSaveRecord">
    <vt:lpwstr>eyJoZGlkIjoiOWVjNTAyZTJmOTk5YjJjMzg5ZWM5MjdhMWFkZjhkYzQiLCJ1c2VySWQiOiI0MzczODk0NzkifQ==</vt:lpwstr>
  </property>
</Properties>
</file>