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C08C7">
      <w:pPr>
        <w:jc w:val="center"/>
        <w:rPr>
          <w:rFonts w:ascii="宋体" w:hAnsi="宋体"/>
          <w:b/>
          <w:bCs/>
          <w:color w:val="auto"/>
          <w:spacing w:val="100"/>
          <w:sz w:val="56"/>
          <w:szCs w:val="56"/>
          <w:highlight w:val="none"/>
        </w:rPr>
      </w:pPr>
      <w:r>
        <w:rPr>
          <w:rFonts w:hint="eastAsia" w:ascii="宋体" w:hAnsi="宋体"/>
          <w:b/>
          <w:bCs/>
          <w:color w:val="auto"/>
          <w:spacing w:val="100"/>
          <w:sz w:val="56"/>
          <w:szCs w:val="56"/>
          <w:highlight w:val="none"/>
        </w:rPr>
        <w:t>渑池县X波段相控阵天气建设工程项目（雷达系统设备采购）</w:t>
      </w:r>
    </w:p>
    <w:p w14:paraId="7F09A3A3">
      <w:pPr>
        <w:rPr>
          <w:rFonts w:ascii="宋体" w:hAnsi="宋体"/>
          <w:b/>
          <w:bCs/>
          <w:color w:val="auto"/>
          <w:spacing w:val="100"/>
          <w:sz w:val="56"/>
          <w:szCs w:val="56"/>
          <w:highlight w:val="none"/>
        </w:rPr>
      </w:pPr>
    </w:p>
    <w:p w14:paraId="2FD7B341">
      <w:pPr>
        <w:jc w:val="center"/>
        <w:rPr>
          <w:rFonts w:ascii="宋体" w:hAnsi="宋体"/>
          <w:b/>
          <w:bCs/>
          <w:color w:val="auto"/>
          <w:spacing w:val="100"/>
          <w:sz w:val="60"/>
          <w:szCs w:val="60"/>
          <w:highlight w:val="none"/>
        </w:rPr>
      </w:pPr>
      <w:r>
        <w:rPr>
          <w:rFonts w:hint="eastAsia" w:ascii="宋体" w:hAnsi="宋体"/>
          <w:b/>
          <w:bCs/>
          <w:color w:val="auto"/>
          <w:spacing w:val="100"/>
          <w:sz w:val="72"/>
          <w:szCs w:val="72"/>
          <w:highlight w:val="none"/>
        </w:rPr>
        <w:t>招标文件</w:t>
      </w:r>
    </w:p>
    <w:p w14:paraId="01049504">
      <w:pPr>
        <w:pStyle w:val="3"/>
        <w:rPr>
          <w:color w:val="auto"/>
          <w:highlight w:val="none"/>
          <w:lang w:val="en-GB"/>
        </w:rPr>
      </w:pPr>
    </w:p>
    <w:p w14:paraId="27D56A1C">
      <w:pPr>
        <w:spacing w:line="360" w:lineRule="auto"/>
        <w:jc w:val="center"/>
        <w:rPr>
          <w:rFonts w:ascii="宋体" w:hAnsi="宋体"/>
          <w:b/>
          <w:bCs/>
          <w:color w:val="auto"/>
          <w:sz w:val="32"/>
          <w:szCs w:val="32"/>
          <w:highlight w:val="none"/>
        </w:rPr>
      </w:pPr>
    </w:p>
    <w:p w14:paraId="41547BBB">
      <w:pPr>
        <w:ind w:firstLine="678" w:firstLineChars="323"/>
        <w:jc w:val="center"/>
        <w:rPr>
          <w:b/>
          <w:color w:val="auto"/>
          <w:sz w:val="32"/>
          <w:szCs w:val="32"/>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1262380</wp:posOffset>
            </wp:positionH>
            <wp:positionV relativeFrom="paragraph">
              <wp:posOffset>-169545</wp:posOffset>
            </wp:positionV>
            <wp:extent cx="2482850" cy="2453005"/>
            <wp:effectExtent l="0" t="0" r="0" b="0"/>
            <wp:wrapTight wrapText="bothSides">
              <wp:wrapPolygon>
                <wp:start x="10441" y="1006"/>
                <wp:lineTo x="8452" y="1174"/>
                <wp:lineTo x="4475" y="2852"/>
                <wp:lineTo x="4475" y="3690"/>
                <wp:lineTo x="3812" y="4865"/>
                <wp:lineTo x="3149" y="6374"/>
                <wp:lineTo x="1823" y="7716"/>
                <wp:lineTo x="1326" y="8387"/>
                <wp:lineTo x="1160" y="11742"/>
                <wp:lineTo x="1657" y="14426"/>
                <wp:lineTo x="2983" y="17110"/>
                <wp:lineTo x="6132" y="19962"/>
                <wp:lineTo x="8949" y="20800"/>
                <wp:lineTo x="9447" y="21136"/>
                <wp:lineTo x="12927" y="21136"/>
                <wp:lineTo x="13258" y="20800"/>
                <wp:lineTo x="16076" y="19962"/>
                <wp:lineTo x="18893" y="17110"/>
                <wp:lineTo x="21048" y="12413"/>
                <wp:lineTo x="20716" y="9058"/>
                <wp:lineTo x="19887" y="7884"/>
                <wp:lineTo x="18727" y="6374"/>
                <wp:lineTo x="18727" y="4697"/>
                <wp:lineTo x="18064" y="3187"/>
                <wp:lineTo x="14087" y="1174"/>
                <wp:lineTo x="12761" y="1006"/>
                <wp:lineTo x="10441" y="1006"/>
              </wp:wrapPolygon>
            </wp:wrapTight>
            <wp:docPr id="5" name="图片 1" descr="崇璟工程管理咨询有限公司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崇璟工程管理咨询有限公司_1"/>
                    <pic:cNvPicPr>
                      <a:picLocks noChangeAspect="1"/>
                    </pic:cNvPicPr>
                  </pic:nvPicPr>
                  <pic:blipFill>
                    <a:blip r:embed="rId7" cstate="print"/>
                    <a:srcRect l="24594" t="24054" r="23897" b="25027"/>
                    <a:stretch>
                      <a:fillRect/>
                    </a:stretch>
                  </pic:blipFill>
                  <pic:spPr>
                    <a:xfrm>
                      <a:off x="0" y="0"/>
                      <a:ext cx="2482850" cy="2453005"/>
                    </a:xfrm>
                    <a:prstGeom prst="rect">
                      <a:avLst/>
                    </a:prstGeom>
                    <a:noFill/>
                    <a:ln>
                      <a:noFill/>
                    </a:ln>
                  </pic:spPr>
                </pic:pic>
              </a:graphicData>
            </a:graphic>
          </wp:anchor>
        </w:drawing>
      </w:r>
    </w:p>
    <w:p w14:paraId="611B85D1">
      <w:pPr>
        <w:spacing w:line="360" w:lineRule="auto"/>
        <w:jc w:val="center"/>
        <w:rPr>
          <w:b/>
          <w:color w:val="auto"/>
          <w:sz w:val="32"/>
          <w:szCs w:val="32"/>
          <w:highlight w:val="none"/>
        </w:rPr>
      </w:pPr>
    </w:p>
    <w:p w14:paraId="77E99304">
      <w:pPr>
        <w:spacing w:line="360" w:lineRule="auto"/>
        <w:jc w:val="center"/>
        <w:rPr>
          <w:b/>
          <w:color w:val="auto"/>
          <w:sz w:val="32"/>
          <w:szCs w:val="32"/>
          <w:highlight w:val="none"/>
        </w:rPr>
      </w:pPr>
    </w:p>
    <w:p w14:paraId="56B9F677">
      <w:pPr>
        <w:spacing w:line="360" w:lineRule="auto"/>
        <w:jc w:val="center"/>
        <w:rPr>
          <w:b/>
          <w:color w:val="auto"/>
          <w:sz w:val="32"/>
          <w:szCs w:val="32"/>
          <w:highlight w:val="none"/>
        </w:rPr>
      </w:pPr>
    </w:p>
    <w:p w14:paraId="3731105E">
      <w:pPr>
        <w:spacing w:line="360" w:lineRule="auto"/>
        <w:jc w:val="center"/>
        <w:rPr>
          <w:b/>
          <w:color w:val="auto"/>
          <w:sz w:val="32"/>
          <w:szCs w:val="32"/>
          <w:highlight w:val="none"/>
        </w:rPr>
      </w:pPr>
    </w:p>
    <w:p w14:paraId="704DB785">
      <w:pPr>
        <w:spacing w:line="360" w:lineRule="auto"/>
        <w:jc w:val="center"/>
        <w:rPr>
          <w:b/>
          <w:color w:val="auto"/>
          <w:sz w:val="32"/>
          <w:szCs w:val="32"/>
          <w:highlight w:val="none"/>
        </w:rPr>
      </w:pPr>
    </w:p>
    <w:p w14:paraId="70864D31">
      <w:pPr>
        <w:spacing w:line="360" w:lineRule="auto"/>
        <w:jc w:val="center"/>
        <w:rPr>
          <w:b/>
          <w:color w:val="auto"/>
          <w:sz w:val="32"/>
          <w:szCs w:val="32"/>
          <w:highlight w:val="none"/>
        </w:rPr>
      </w:pPr>
    </w:p>
    <w:p w14:paraId="6B4C55F2">
      <w:pPr>
        <w:spacing w:line="360" w:lineRule="auto"/>
        <w:jc w:val="center"/>
        <w:rPr>
          <w:b/>
          <w:color w:val="auto"/>
          <w:sz w:val="32"/>
          <w:szCs w:val="32"/>
          <w:highlight w:val="none"/>
        </w:rPr>
      </w:pPr>
    </w:p>
    <w:p w14:paraId="6A8A1C93">
      <w:pPr>
        <w:spacing w:line="360" w:lineRule="auto"/>
        <w:jc w:val="center"/>
        <w:rPr>
          <w:b/>
          <w:color w:val="auto"/>
          <w:sz w:val="32"/>
          <w:szCs w:val="32"/>
          <w:highlight w:val="none"/>
        </w:rPr>
      </w:pPr>
    </w:p>
    <w:p w14:paraId="4F771063">
      <w:pPr>
        <w:spacing w:line="360" w:lineRule="auto"/>
        <w:jc w:val="center"/>
        <w:rPr>
          <w:b/>
          <w:color w:val="auto"/>
          <w:sz w:val="32"/>
          <w:szCs w:val="32"/>
          <w:highlight w:val="none"/>
        </w:rPr>
      </w:pPr>
      <w:r>
        <w:rPr>
          <w:rFonts w:hint="eastAsia"/>
          <w:b/>
          <w:color w:val="auto"/>
          <w:sz w:val="32"/>
          <w:szCs w:val="32"/>
          <w:highlight w:val="none"/>
        </w:rPr>
        <w:t xml:space="preserve">招 标 人：渑池县气象局   </w:t>
      </w:r>
    </w:p>
    <w:p w14:paraId="25BC8FC4">
      <w:pPr>
        <w:spacing w:line="360" w:lineRule="auto"/>
        <w:jc w:val="center"/>
        <w:rPr>
          <w:b/>
          <w:color w:val="auto"/>
          <w:sz w:val="32"/>
          <w:szCs w:val="32"/>
          <w:highlight w:val="none"/>
        </w:rPr>
      </w:pPr>
      <w:r>
        <w:rPr>
          <w:rFonts w:hint="eastAsia"/>
          <w:b/>
          <w:color w:val="auto"/>
          <w:sz w:val="32"/>
          <w:szCs w:val="32"/>
          <w:highlight w:val="none"/>
        </w:rPr>
        <w:t xml:space="preserve">          代理机构：崇璟工程管理咨询有限公司</w:t>
      </w:r>
    </w:p>
    <w:p w14:paraId="4DE417F6">
      <w:pPr>
        <w:spacing w:line="360" w:lineRule="auto"/>
        <w:ind w:firstLine="2249" w:firstLineChars="700"/>
        <w:rPr>
          <w:color w:val="auto"/>
          <w:sz w:val="32"/>
          <w:szCs w:val="32"/>
          <w:highlight w:val="none"/>
        </w:rPr>
      </w:pPr>
      <w:r>
        <w:rPr>
          <w:rFonts w:hint="eastAsia"/>
          <w:b/>
          <w:color w:val="auto"/>
          <w:sz w:val="32"/>
          <w:szCs w:val="32"/>
          <w:highlight w:val="none"/>
        </w:rPr>
        <w:t>日    期：二零二五年十二月</w:t>
      </w:r>
    </w:p>
    <w:p w14:paraId="42781654">
      <w:pPr>
        <w:pStyle w:val="3"/>
        <w:rPr>
          <w:color w:val="auto"/>
          <w:highlight w:val="none"/>
        </w:rPr>
      </w:pPr>
    </w:p>
    <w:p w14:paraId="13FD65D1">
      <w:pPr>
        <w:rPr>
          <w:color w:val="auto"/>
          <w:highlight w:val="none"/>
        </w:rPr>
      </w:pPr>
    </w:p>
    <w:sdt>
      <w:sdtPr>
        <w:rPr>
          <w:rFonts w:ascii="宋体" w:hAnsi="宋体"/>
          <w:color w:val="auto"/>
          <w:highlight w:val="none"/>
        </w:rPr>
        <w:id w:val="147455250"/>
        <w:docPartObj>
          <w:docPartGallery w:val="Table of Contents"/>
          <w:docPartUnique/>
        </w:docPartObj>
      </w:sdtPr>
      <w:sdtEndPr>
        <w:rPr>
          <w:rFonts w:hint="eastAsia" w:ascii="Times New Roman" w:hAnsi="Times New Roman"/>
          <w:color w:val="auto"/>
          <w:highlight w:val="none"/>
        </w:rPr>
      </w:sdtEndPr>
      <w:sdtContent>
        <w:p w14:paraId="7B37B978">
          <w:pPr>
            <w:jc w:val="center"/>
            <w:rPr>
              <w:rFonts w:ascii="宋体" w:hAnsi="宋体"/>
              <w:color w:val="auto"/>
              <w:highlight w:val="none"/>
            </w:rPr>
          </w:pPr>
        </w:p>
        <w:p w14:paraId="23D339CA">
          <w:pPr>
            <w:rPr>
              <w:rFonts w:ascii="宋体" w:hAnsi="宋体"/>
              <w:color w:val="auto"/>
              <w:highlight w:val="none"/>
            </w:rPr>
          </w:pPr>
        </w:p>
        <w:p w14:paraId="795CC455">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76E4FBCB">
          <w:pPr>
            <w:pStyle w:val="12"/>
            <w:tabs>
              <w:tab w:val="right" w:leader="dot" w:pos="8306"/>
            </w:tabs>
            <w:ind w:left="0" w:leftChars="0"/>
            <w:rPr>
              <w:rFonts w:ascii="宋体" w:hAnsi="宋体" w:cs="宋体"/>
              <w:color w:val="auto"/>
              <w:sz w:val="28"/>
              <w:szCs w:val="32"/>
              <w:highlight w:val="none"/>
            </w:rPr>
          </w:pPr>
          <w:r>
            <w:rPr>
              <w:rFonts w:hint="eastAsia" w:ascii="宋体" w:hAnsi="宋体" w:cs="宋体"/>
              <w:color w:val="auto"/>
              <w:sz w:val="28"/>
              <w:szCs w:val="32"/>
              <w:highlight w:val="none"/>
            </w:rPr>
            <w:fldChar w:fldCharType="begin"/>
          </w:r>
          <w:r>
            <w:rPr>
              <w:rFonts w:hint="eastAsia" w:ascii="宋体" w:hAnsi="宋体" w:cs="宋体"/>
              <w:color w:val="auto"/>
              <w:sz w:val="28"/>
              <w:szCs w:val="32"/>
              <w:highlight w:val="none"/>
            </w:rPr>
            <w:instrText xml:space="preserve">TOC \o "1-3" \h \u </w:instrText>
          </w:r>
          <w:r>
            <w:rPr>
              <w:rFonts w:hint="eastAsia" w:ascii="宋体" w:hAnsi="宋体" w:cs="宋体"/>
              <w:color w:val="auto"/>
              <w:sz w:val="28"/>
              <w:szCs w:val="32"/>
              <w:highlight w:val="none"/>
            </w:rPr>
            <w:fldChar w:fldCharType="separate"/>
          </w:r>
          <w:r>
            <w:rPr>
              <w:color w:val="auto"/>
              <w:highlight w:val="none"/>
            </w:rPr>
            <w:fldChar w:fldCharType="begin"/>
          </w:r>
          <w:r>
            <w:rPr>
              <w:color w:val="auto"/>
              <w:highlight w:val="none"/>
            </w:rPr>
            <w:instrText xml:space="preserve"> HYPERLINK \l "_Toc821" </w:instrText>
          </w:r>
          <w:r>
            <w:rPr>
              <w:color w:val="auto"/>
              <w:highlight w:val="none"/>
            </w:rPr>
            <w:fldChar w:fldCharType="separate"/>
          </w:r>
          <w:r>
            <w:rPr>
              <w:rFonts w:hint="eastAsia" w:ascii="宋体" w:hAnsi="宋体" w:cs="宋体"/>
              <w:bCs/>
              <w:color w:val="auto"/>
              <w:sz w:val="28"/>
              <w:szCs w:val="48"/>
              <w:highlight w:val="none"/>
            </w:rPr>
            <w:t>第一章  招标公告</w:t>
          </w:r>
          <w:r>
            <w:rPr>
              <w:rFonts w:hint="eastAsia" w:ascii="宋体" w:hAnsi="宋体" w:cs="宋体"/>
              <w:color w:val="auto"/>
              <w:sz w:val="28"/>
              <w:szCs w:val="32"/>
              <w:highlight w:val="none"/>
            </w:rPr>
            <w:tab/>
          </w:r>
          <w:r>
            <w:rPr>
              <w:rFonts w:hint="eastAsia" w:ascii="宋体" w:hAnsi="宋体" w:cs="宋体"/>
              <w:color w:val="auto"/>
              <w:sz w:val="28"/>
              <w:szCs w:val="32"/>
              <w:highlight w:val="none"/>
            </w:rPr>
            <w:fldChar w:fldCharType="begin"/>
          </w:r>
          <w:r>
            <w:rPr>
              <w:rFonts w:hint="eastAsia" w:ascii="宋体" w:hAnsi="宋体" w:cs="宋体"/>
              <w:color w:val="auto"/>
              <w:sz w:val="28"/>
              <w:szCs w:val="32"/>
              <w:highlight w:val="none"/>
            </w:rPr>
            <w:instrText xml:space="preserve"> PAGEREF _Toc821 \h </w:instrText>
          </w:r>
          <w:r>
            <w:rPr>
              <w:rFonts w:hint="eastAsia" w:ascii="宋体" w:hAnsi="宋体" w:cs="宋体"/>
              <w:color w:val="auto"/>
              <w:sz w:val="28"/>
              <w:szCs w:val="32"/>
              <w:highlight w:val="none"/>
            </w:rPr>
            <w:fldChar w:fldCharType="separate"/>
          </w:r>
          <w:r>
            <w:rPr>
              <w:rFonts w:hint="eastAsia" w:ascii="宋体" w:hAnsi="宋体" w:cs="宋体"/>
              <w:color w:val="auto"/>
              <w:sz w:val="28"/>
              <w:szCs w:val="32"/>
              <w:highlight w:val="none"/>
            </w:rPr>
            <w:t>1</w:t>
          </w:r>
          <w:r>
            <w:rPr>
              <w:rFonts w:hint="eastAsia" w:ascii="宋体" w:hAnsi="宋体" w:cs="宋体"/>
              <w:color w:val="auto"/>
              <w:sz w:val="28"/>
              <w:szCs w:val="32"/>
              <w:highlight w:val="none"/>
            </w:rPr>
            <w:fldChar w:fldCharType="end"/>
          </w:r>
          <w:r>
            <w:rPr>
              <w:rFonts w:hint="eastAsia" w:ascii="宋体" w:hAnsi="宋体" w:cs="宋体"/>
              <w:color w:val="auto"/>
              <w:sz w:val="28"/>
              <w:szCs w:val="32"/>
              <w:highlight w:val="none"/>
            </w:rPr>
            <w:fldChar w:fldCharType="end"/>
          </w:r>
        </w:p>
        <w:p w14:paraId="499C91F5">
          <w:pPr>
            <w:pStyle w:val="19"/>
            <w:tabs>
              <w:tab w:val="right" w:leader="dot" w:pos="8306"/>
            </w:tabs>
            <w:rPr>
              <w:rFonts w:ascii="宋体" w:hAnsi="宋体" w:cs="宋体"/>
              <w:color w:val="auto"/>
              <w:sz w:val="28"/>
              <w:szCs w:val="32"/>
              <w:highlight w:val="none"/>
            </w:rPr>
          </w:pPr>
          <w:r>
            <w:rPr>
              <w:color w:val="auto"/>
              <w:highlight w:val="none"/>
            </w:rPr>
            <w:fldChar w:fldCharType="begin"/>
          </w:r>
          <w:r>
            <w:rPr>
              <w:color w:val="auto"/>
              <w:highlight w:val="none"/>
            </w:rPr>
            <w:instrText xml:space="preserve"> HYPERLINK \l "_Toc28856" </w:instrText>
          </w:r>
          <w:r>
            <w:rPr>
              <w:color w:val="auto"/>
              <w:highlight w:val="none"/>
            </w:rPr>
            <w:fldChar w:fldCharType="separate"/>
          </w:r>
          <w:r>
            <w:rPr>
              <w:rFonts w:hint="eastAsia" w:ascii="宋体" w:hAnsi="宋体" w:cs="宋体"/>
              <w:bCs/>
              <w:color w:val="auto"/>
              <w:sz w:val="28"/>
              <w:szCs w:val="48"/>
              <w:highlight w:val="none"/>
            </w:rPr>
            <w:t>第二章  供应商须知</w:t>
          </w:r>
          <w:r>
            <w:rPr>
              <w:rFonts w:hint="eastAsia" w:ascii="宋体" w:hAnsi="宋体" w:cs="宋体"/>
              <w:color w:val="auto"/>
              <w:sz w:val="28"/>
              <w:szCs w:val="32"/>
              <w:highlight w:val="none"/>
            </w:rPr>
            <w:tab/>
          </w:r>
          <w:r>
            <w:rPr>
              <w:rFonts w:hint="eastAsia" w:ascii="宋体" w:hAnsi="宋体" w:cs="宋体"/>
              <w:color w:val="auto"/>
              <w:sz w:val="28"/>
              <w:szCs w:val="32"/>
              <w:highlight w:val="none"/>
            </w:rPr>
            <w:fldChar w:fldCharType="begin"/>
          </w:r>
          <w:r>
            <w:rPr>
              <w:rFonts w:hint="eastAsia" w:ascii="宋体" w:hAnsi="宋体" w:cs="宋体"/>
              <w:color w:val="auto"/>
              <w:sz w:val="28"/>
              <w:szCs w:val="32"/>
              <w:highlight w:val="none"/>
            </w:rPr>
            <w:instrText xml:space="preserve"> PAGEREF _Toc28856 \h </w:instrText>
          </w:r>
          <w:r>
            <w:rPr>
              <w:rFonts w:hint="eastAsia" w:ascii="宋体" w:hAnsi="宋体" w:cs="宋体"/>
              <w:color w:val="auto"/>
              <w:sz w:val="28"/>
              <w:szCs w:val="32"/>
              <w:highlight w:val="none"/>
            </w:rPr>
            <w:fldChar w:fldCharType="separate"/>
          </w:r>
          <w:r>
            <w:rPr>
              <w:rFonts w:hint="eastAsia" w:ascii="宋体" w:hAnsi="宋体" w:cs="宋体"/>
              <w:color w:val="auto"/>
              <w:sz w:val="28"/>
              <w:szCs w:val="32"/>
              <w:highlight w:val="none"/>
            </w:rPr>
            <w:t>5</w:t>
          </w:r>
          <w:r>
            <w:rPr>
              <w:rFonts w:hint="eastAsia" w:ascii="宋体" w:hAnsi="宋体" w:cs="宋体"/>
              <w:color w:val="auto"/>
              <w:sz w:val="28"/>
              <w:szCs w:val="32"/>
              <w:highlight w:val="none"/>
            </w:rPr>
            <w:fldChar w:fldCharType="end"/>
          </w:r>
          <w:r>
            <w:rPr>
              <w:rFonts w:hint="eastAsia" w:ascii="宋体" w:hAnsi="宋体" w:cs="宋体"/>
              <w:color w:val="auto"/>
              <w:sz w:val="28"/>
              <w:szCs w:val="32"/>
              <w:highlight w:val="none"/>
            </w:rPr>
            <w:fldChar w:fldCharType="end"/>
          </w:r>
        </w:p>
        <w:p w14:paraId="16983D8C">
          <w:pPr>
            <w:pStyle w:val="19"/>
            <w:tabs>
              <w:tab w:val="right" w:leader="dot" w:pos="8306"/>
            </w:tabs>
            <w:rPr>
              <w:rFonts w:ascii="宋体" w:hAnsi="宋体" w:cs="宋体"/>
              <w:color w:val="auto"/>
              <w:sz w:val="28"/>
              <w:szCs w:val="32"/>
              <w:highlight w:val="none"/>
            </w:rPr>
          </w:pPr>
          <w:r>
            <w:rPr>
              <w:color w:val="auto"/>
              <w:highlight w:val="none"/>
            </w:rPr>
            <w:fldChar w:fldCharType="begin"/>
          </w:r>
          <w:r>
            <w:rPr>
              <w:color w:val="auto"/>
              <w:highlight w:val="none"/>
            </w:rPr>
            <w:instrText xml:space="preserve"> HYPERLINK \l "_Toc22923" </w:instrText>
          </w:r>
          <w:r>
            <w:rPr>
              <w:color w:val="auto"/>
              <w:highlight w:val="none"/>
            </w:rPr>
            <w:fldChar w:fldCharType="separate"/>
          </w:r>
          <w:r>
            <w:rPr>
              <w:rFonts w:hint="eastAsia" w:ascii="宋体" w:hAnsi="宋体" w:cs="宋体"/>
              <w:bCs/>
              <w:color w:val="auto"/>
              <w:sz w:val="28"/>
              <w:szCs w:val="48"/>
              <w:highlight w:val="none"/>
            </w:rPr>
            <w:t>第三章  技术参数</w:t>
          </w:r>
          <w:r>
            <w:rPr>
              <w:rFonts w:hint="eastAsia" w:ascii="宋体" w:hAnsi="宋体" w:cs="宋体"/>
              <w:color w:val="auto"/>
              <w:sz w:val="28"/>
              <w:szCs w:val="32"/>
              <w:highlight w:val="none"/>
            </w:rPr>
            <w:tab/>
          </w:r>
          <w:r>
            <w:rPr>
              <w:rFonts w:hint="eastAsia" w:ascii="宋体" w:hAnsi="宋体" w:cs="宋体"/>
              <w:color w:val="auto"/>
              <w:sz w:val="28"/>
              <w:szCs w:val="32"/>
              <w:highlight w:val="none"/>
            </w:rPr>
            <w:fldChar w:fldCharType="begin"/>
          </w:r>
          <w:r>
            <w:rPr>
              <w:rFonts w:hint="eastAsia" w:ascii="宋体" w:hAnsi="宋体" w:cs="宋体"/>
              <w:color w:val="auto"/>
              <w:sz w:val="28"/>
              <w:szCs w:val="32"/>
              <w:highlight w:val="none"/>
            </w:rPr>
            <w:instrText xml:space="preserve"> PAGEREF _Toc22923 \h </w:instrText>
          </w:r>
          <w:r>
            <w:rPr>
              <w:rFonts w:hint="eastAsia" w:ascii="宋体" w:hAnsi="宋体" w:cs="宋体"/>
              <w:color w:val="auto"/>
              <w:sz w:val="28"/>
              <w:szCs w:val="32"/>
              <w:highlight w:val="none"/>
            </w:rPr>
            <w:fldChar w:fldCharType="separate"/>
          </w:r>
          <w:r>
            <w:rPr>
              <w:rFonts w:hint="eastAsia" w:ascii="宋体" w:hAnsi="宋体" w:cs="宋体"/>
              <w:color w:val="auto"/>
              <w:sz w:val="28"/>
              <w:szCs w:val="32"/>
              <w:highlight w:val="none"/>
            </w:rPr>
            <w:t>22</w:t>
          </w:r>
          <w:r>
            <w:rPr>
              <w:rFonts w:hint="eastAsia" w:ascii="宋体" w:hAnsi="宋体" w:cs="宋体"/>
              <w:color w:val="auto"/>
              <w:sz w:val="28"/>
              <w:szCs w:val="32"/>
              <w:highlight w:val="none"/>
            </w:rPr>
            <w:fldChar w:fldCharType="end"/>
          </w:r>
          <w:r>
            <w:rPr>
              <w:rFonts w:hint="eastAsia" w:ascii="宋体" w:hAnsi="宋体" w:cs="宋体"/>
              <w:color w:val="auto"/>
              <w:sz w:val="28"/>
              <w:szCs w:val="32"/>
              <w:highlight w:val="none"/>
            </w:rPr>
            <w:fldChar w:fldCharType="end"/>
          </w:r>
        </w:p>
        <w:p w14:paraId="697DD9A8">
          <w:pPr>
            <w:pStyle w:val="19"/>
            <w:tabs>
              <w:tab w:val="right" w:leader="dot" w:pos="8306"/>
            </w:tabs>
            <w:rPr>
              <w:rFonts w:ascii="宋体" w:hAnsi="宋体" w:cs="宋体"/>
              <w:color w:val="auto"/>
              <w:sz w:val="28"/>
              <w:szCs w:val="32"/>
              <w:highlight w:val="none"/>
            </w:rPr>
          </w:pPr>
          <w:r>
            <w:rPr>
              <w:color w:val="auto"/>
              <w:highlight w:val="none"/>
            </w:rPr>
            <w:fldChar w:fldCharType="begin"/>
          </w:r>
          <w:r>
            <w:rPr>
              <w:color w:val="auto"/>
              <w:highlight w:val="none"/>
            </w:rPr>
            <w:instrText xml:space="preserve"> HYPERLINK \l "_Toc17237" </w:instrText>
          </w:r>
          <w:r>
            <w:rPr>
              <w:color w:val="auto"/>
              <w:highlight w:val="none"/>
            </w:rPr>
            <w:fldChar w:fldCharType="separate"/>
          </w:r>
          <w:r>
            <w:rPr>
              <w:rFonts w:hint="eastAsia" w:ascii="宋体" w:hAnsi="宋体" w:cs="宋体"/>
              <w:bCs/>
              <w:color w:val="auto"/>
              <w:sz w:val="28"/>
              <w:szCs w:val="48"/>
              <w:highlight w:val="none"/>
            </w:rPr>
            <w:t>第四章  评标办法</w:t>
          </w:r>
          <w:r>
            <w:rPr>
              <w:rFonts w:hint="eastAsia" w:ascii="宋体" w:hAnsi="宋体" w:cs="宋体"/>
              <w:color w:val="auto"/>
              <w:sz w:val="28"/>
              <w:szCs w:val="32"/>
              <w:highlight w:val="none"/>
            </w:rPr>
            <w:tab/>
          </w:r>
          <w:r>
            <w:rPr>
              <w:rFonts w:hint="eastAsia" w:ascii="宋体" w:hAnsi="宋体" w:cs="宋体"/>
              <w:color w:val="auto"/>
              <w:sz w:val="28"/>
              <w:szCs w:val="32"/>
              <w:highlight w:val="none"/>
            </w:rPr>
            <w:fldChar w:fldCharType="begin"/>
          </w:r>
          <w:r>
            <w:rPr>
              <w:rFonts w:hint="eastAsia" w:ascii="宋体" w:hAnsi="宋体" w:cs="宋体"/>
              <w:color w:val="auto"/>
              <w:sz w:val="28"/>
              <w:szCs w:val="32"/>
              <w:highlight w:val="none"/>
            </w:rPr>
            <w:instrText xml:space="preserve"> PAGEREF _Toc17237 \h </w:instrText>
          </w:r>
          <w:r>
            <w:rPr>
              <w:rFonts w:hint="eastAsia" w:ascii="宋体" w:hAnsi="宋体" w:cs="宋体"/>
              <w:color w:val="auto"/>
              <w:sz w:val="28"/>
              <w:szCs w:val="32"/>
              <w:highlight w:val="none"/>
            </w:rPr>
            <w:fldChar w:fldCharType="separate"/>
          </w:r>
          <w:r>
            <w:rPr>
              <w:rFonts w:hint="eastAsia" w:ascii="宋体" w:hAnsi="宋体" w:cs="宋体"/>
              <w:color w:val="auto"/>
              <w:sz w:val="28"/>
              <w:szCs w:val="32"/>
              <w:highlight w:val="none"/>
            </w:rPr>
            <w:t>93</w:t>
          </w:r>
          <w:r>
            <w:rPr>
              <w:rFonts w:hint="eastAsia" w:ascii="宋体" w:hAnsi="宋体" w:cs="宋体"/>
              <w:color w:val="auto"/>
              <w:sz w:val="28"/>
              <w:szCs w:val="32"/>
              <w:highlight w:val="none"/>
            </w:rPr>
            <w:fldChar w:fldCharType="end"/>
          </w:r>
          <w:r>
            <w:rPr>
              <w:rFonts w:hint="eastAsia" w:ascii="宋体" w:hAnsi="宋体" w:cs="宋体"/>
              <w:color w:val="auto"/>
              <w:sz w:val="28"/>
              <w:szCs w:val="32"/>
              <w:highlight w:val="none"/>
            </w:rPr>
            <w:fldChar w:fldCharType="end"/>
          </w:r>
        </w:p>
        <w:p w14:paraId="1C13EBE8">
          <w:pPr>
            <w:pStyle w:val="19"/>
            <w:tabs>
              <w:tab w:val="right" w:leader="dot" w:pos="8306"/>
            </w:tabs>
            <w:rPr>
              <w:rFonts w:ascii="宋体" w:hAnsi="宋体" w:cs="宋体"/>
              <w:color w:val="auto"/>
              <w:sz w:val="28"/>
              <w:szCs w:val="32"/>
              <w:highlight w:val="none"/>
            </w:rPr>
          </w:pPr>
          <w:r>
            <w:rPr>
              <w:color w:val="auto"/>
              <w:highlight w:val="none"/>
            </w:rPr>
            <w:fldChar w:fldCharType="begin"/>
          </w:r>
          <w:r>
            <w:rPr>
              <w:color w:val="auto"/>
              <w:highlight w:val="none"/>
            </w:rPr>
            <w:instrText xml:space="preserve"> HYPERLINK \l "_Toc9032" </w:instrText>
          </w:r>
          <w:r>
            <w:rPr>
              <w:color w:val="auto"/>
              <w:highlight w:val="none"/>
            </w:rPr>
            <w:fldChar w:fldCharType="separate"/>
          </w:r>
          <w:r>
            <w:rPr>
              <w:rFonts w:hint="eastAsia" w:ascii="宋体" w:hAnsi="宋体" w:cs="宋体"/>
              <w:bCs/>
              <w:color w:val="auto"/>
              <w:kern w:val="0"/>
              <w:sz w:val="28"/>
              <w:szCs w:val="48"/>
              <w:highlight w:val="none"/>
            </w:rPr>
            <w:t>第五章  合同条款及格式</w:t>
          </w:r>
          <w:r>
            <w:rPr>
              <w:rFonts w:hint="eastAsia" w:ascii="宋体" w:hAnsi="宋体" w:cs="宋体"/>
              <w:color w:val="auto"/>
              <w:sz w:val="28"/>
              <w:szCs w:val="32"/>
              <w:highlight w:val="none"/>
            </w:rPr>
            <w:tab/>
          </w:r>
          <w:r>
            <w:rPr>
              <w:rFonts w:hint="eastAsia" w:ascii="宋体" w:hAnsi="宋体" w:cs="宋体"/>
              <w:color w:val="auto"/>
              <w:sz w:val="28"/>
              <w:szCs w:val="32"/>
              <w:highlight w:val="none"/>
            </w:rPr>
            <w:fldChar w:fldCharType="begin"/>
          </w:r>
          <w:r>
            <w:rPr>
              <w:rFonts w:hint="eastAsia" w:ascii="宋体" w:hAnsi="宋体" w:cs="宋体"/>
              <w:color w:val="auto"/>
              <w:sz w:val="28"/>
              <w:szCs w:val="32"/>
              <w:highlight w:val="none"/>
            </w:rPr>
            <w:instrText xml:space="preserve"> PAGEREF _Toc9032 \h </w:instrText>
          </w:r>
          <w:r>
            <w:rPr>
              <w:rFonts w:hint="eastAsia" w:ascii="宋体" w:hAnsi="宋体" w:cs="宋体"/>
              <w:color w:val="auto"/>
              <w:sz w:val="28"/>
              <w:szCs w:val="32"/>
              <w:highlight w:val="none"/>
            </w:rPr>
            <w:fldChar w:fldCharType="separate"/>
          </w:r>
          <w:r>
            <w:rPr>
              <w:rFonts w:hint="eastAsia" w:ascii="宋体" w:hAnsi="宋体" w:cs="宋体"/>
              <w:color w:val="auto"/>
              <w:sz w:val="28"/>
              <w:szCs w:val="32"/>
              <w:highlight w:val="none"/>
            </w:rPr>
            <w:t>99</w:t>
          </w:r>
          <w:r>
            <w:rPr>
              <w:rFonts w:hint="eastAsia" w:ascii="宋体" w:hAnsi="宋体" w:cs="宋体"/>
              <w:color w:val="auto"/>
              <w:sz w:val="28"/>
              <w:szCs w:val="32"/>
              <w:highlight w:val="none"/>
            </w:rPr>
            <w:fldChar w:fldCharType="end"/>
          </w:r>
          <w:r>
            <w:rPr>
              <w:rFonts w:hint="eastAsia" w:ascii="宋体" w:hAnsi="宋体" w:cs="宋体"/>
              <w:color w:val="auto"/>
              <w:sz w:val="28"/>
              <w:szCs w:val="32"/>
              <w:highlight w:val="none"/>
            </w:rPr>
            <w:fldChar w:fldCharType="end"/>
          </w:r>
        </w:p>
        <w:p w14:paraId="434DF002">
          <w:pPr>
            <w:pStyle w:val="19"/>
            <w:tabs>
              <w:tab w:val="right" w:leader="dot" w:pos="8306"/>
            </w:tabs>
            <w:rPr>
              <w:rFonts w:ascii="宋体" w:hAnsi="宋体" w:cs="宋体"/>
              <w:color w:val="auto"/>
              <w:sz w:val="28"/>
              <w:szCs w:val="32"/>
              <w:highlight w:val="none"/>
            </w:rPr>
          </w:pPr>
          <w:r>
            <w:rPr>
              <w:color w:val="auto"/>
              <w:highlight w:val="none"/>
            </w:rPr>
            <w:fldChar w:fldCharType="begin"/>
          </w:r>
          <w:r>
            <w:rPr>
              <w:color w:val="auto"/>
              <w:highlight w:val="none"/>
            </w:rPr>
            <w:instrText xml:space="preserve"> HYPERLINK \l "_Toc5275" </w:instrText>
          </w:r>
          <w:r>
            <w:rPr>
              <w:color w:val="auto"/>
              <w:highlight w:val="none"/>
            </w:rPr>
            <w:fldChar w:fldCharType="separate"/>
          </w:r>
          <w:r>
            <w:rPr>
              <w:rFonts w:hint="eastAsia" w:ascii="宋体" w:hAnsi="宋体" w:cs="宋体"/>
              <w:bCs/>
              <w:color w:val="auto"/>
              <w:sz w:val="28"/>
              <w:szCs w:val="60"/>
              <w:highlight w:val="none"/>
            </w:rPr>
            <w:t>第六章  投标文件格式</w:t>
          </w:r>
          <w:r>
            <w:rPr>
              <w:rFonts w:hint="eastAsia" w:ascii="宋体" w:hAnsi="宋体" w:cs="宋体"/>
              <w:color w:val="auto"/>
              <w:sz w:val="28"/>
              <w:szCs w:val="32"/>
              <w:highlight w:val="none"/>
            </w:rPr>
            <w:tab/>
          </w:r>
          <w:r>
            <w:rPr>
              <w:rFonts w:hint="eastAsia" w:ascii="宋体" w:hAnsi="宋体" w:cs="宋体"/>
              <w:color w:val="auto"/>
              <w:sz w:val="28"/>
              <w:szCs w:val="32"/>
              <w:highlight w:val="none"/>
            </w:rPr>
            <w:fldChar w:fldCharType="begin"/>
          </w:r>
          <w:r>
            <w:rPr>
              <w:rFonts w:hint="eastAsia" w:ascii="宋体" w:hAnsi="宋体" w:cs="宋体"/>
              <w:color w:val="auto"/>
              <w:sz w:val="28"/>
              <w:szCs w:val="32"/>
              <w:highlight w:val="none"/>
            </w:rPr>
            <w:instrText xml:space="preserve"> PAGEREF _Toc5275 \h </w:instrText>
          </w:r>
          <w:r>
            <w:rPr>
              <w:rFonts w:hint="eastAsia" w:ascii="宋体" w:hAnsi="宋体" w:cs="宋体"/>
              <w:color w:val="auto"/>
              <w:sz w:val="28"/>
              <w:szCs w:val="32"/>
              <w:highlight w:val="none"/>
            </w:rPr>
            <w:fldChar w:fldCharType="separate"/>
          </w:r>
          <w:r>
            <w:rPr>
              <w:rFonts w:hint="eastAsia" w:ascii="宋体" w:hAnsi="宋体" w:cs="宋体"/>
              <w:color w:val="auto"/>
              <w:sz w:val="28"/>
              <w:szCs w:val="32"/>
              <w:highlight w:val="none"/>
            </w:rPr>
            <w:t>106</w:t>
          </w:r>
          <w:r>
            <w:rPr>
              <w:rFonts w:hint="eastAsia" w:ascii="宋体" w:hAnsi="宋体" w:cs="宋体"/>
              <w:color w:val="auto"/>
              <w:sz w:val="28"/>
              <w:szCs w:val="32"/>
              <w:highlight w:val="none"/>
            </w:rPr>
            <w:fldChar w:fldCharType="end"/>
          </w:r>
          <w:r>
            <w:rPr>
              <w:rFonts w:hint="eastAsia" w:ascii="宋体" w:hAnsi="宋体" w:cs="宋体"/>
              <w:color w:val="auto"/>
              <w:sz w:val="28"/>
              <w:szCs w:val="32"/>
              <w:highlight w:val="none"/>
            </w:rPr>
            <w:fldChar w:fldCharType="end"/>
          </w:r>
        </w:p>
        <w:p w14:paraId="1FFD5691">
          <w:pPr>
            <w:pStyle w:val="19"/>
            <w:tabs>
              <w:tab w:val="right" w:leader="dot" w:pos="8306"/>
            </w:tabs>
            <w:rPr>
              <w:rFonts w:ascii="宋体" w:hAnsi="宋体" w:cs="宋体"/>
              <w:color w:val="auto"/>
              <w:sz w:val="28"/>
              <w:szCs w:val="32"/>
              <w:highlight w:val="none"/>
            </w:rPr>
          </w:pPr>
        </w:p>
        <w:p w14:paraId="54EECA59">
          <w:pPr>
            <w:rPr>
              <w:color w:val="auto"/>
              <w:highlight w:val="none"/>
            </w:rPr>
          </w:pPr>
          <w:r>
            <w:rPr>
              <w:rFonts w:hint="eastAsia" w:ascii="宋体" w:hAnsi="宋体" w:cs="宋体"/>
              <w:color w:val="auto"/>
              <w:sz w:val="28"/>
              <w:szCs w:val="32"/>
              <w:highlight w:val="none"/>
            </w:rPr>
            <w:fldChar w:fldCharType="end"/>
          </w:r>
        </w:p>
      </w:sdtContent>
    </w:sdt>
    <w:p w14:paraId="67D591B8">
      <w:pPr>
        <w:shd w:val="clear" w:color="auto" w:fill="FFFFFF"/>
        <w:snapToGrid w:val="0"/>
        <w:spacing w:line="360" w:lineRule="auto"/>
        <w:ind w:right="105" w:rightChars="50"/>
        <w:jc w:val="center"/>
        <w:outlineLvl w:val="2"/>
        <w:rPr>
          <w:rFonts w:ascii="宋体" w:hAnsi="宋体" w:cs="宋体"/>
          <w:b/>
          <w:bCs/>
          <w:color w:val="auto"/>
          <w:sz w:val="36"/>
          <w:szCs w:val="36"/>
          <w:highlight w:val="none"/>
        </w:rPr>
        <w:sectPr>
          <w:footerReference r:id="rId3" w:type="default"/>
          <w:footerReference r:id="rId4" w:type="even"/>
          <w:pgSz w:w="11906" w:h="16838"/>
          <w:pgMar w:top="1440" w:right="1800" w:bottom="1440" w:left="1800" w:header="851" w:footer="992" w:gutter="0"/>
          <w:cols w:space="0" w:num="1"/>
          <w:docGrid w:type="lines" w:linePitch="312" w:charSpace="0"/>
        </w:sectPr>
      </w:pPr>
      <w:bookmarkStart w:id="0" w:name="_Toc821"/>
    </w:p>
    <w:p w14:paraId="07443470">
      <w:pPr>
        <w:shd w:val="clear" w:color="auto" w:fill="FFFFFF"/>
        <w:snapToGrid w:val="0"/>
        <w:spacing w:line="360" w:lineRule="auto"/>
        <w:ind w:right="105" w:rightChars="50"/>
        <w:jc w:val="center"/>
        <w:outlineLvl w:val="2"/>
        <w:rPr>
          <w:rFonts w:ascii="宋体"/>
          <w:color w:val="auto"/>
          <w:sz w:val="36"/>
          <w:szCs w:val="36"/>
          <w:highlight w:val="none"/>
        </w:rPr>
      </w:pPr>
      <w:r>
        <w:rPr>
          <w:rFonts w:hint="eastAsia" w:ascii="宋体" w:hAnsi="宋体" w:cs="宋体"/>
          <w:b/>
          <w:bCs/>
          <w:color w:val="auto"/>
          <w:sz w:val="36"/>
          <w:szCs w:val="36"/>
          <w:highlight w:val="none"/>
        </w:rPr>
        <w:t>第一章   招标公告</w:t>
      </w:r>
      <w:bookmarkEnd w:id="0"/>
    </w:p>
    <w:p w14:paraId="5E9C521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项目概况</w:t>
      </w:r>
    </w:p>
    <w:p w14:paraId="2E0595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渑池县X波段相控阵天气建设工程项目（雷达系统设备采购）的潜在供应商凭CA登录三门峡市公共资源交易中心网（网址：</w:t>
      </w:r>
      <w:r>
        <w:rPr>
          <w:color w:val="auto"/>
          <w:highlight w:val="none"/>
        </w:rPr>
        <w:fldChar w:fldCharType="begin"/>
      </w:r>
      <w:r>
        <w:rPr>
          <w:color w:val="auto"/>
          <w:highlight w:val="none"/>
        </w:rPr>
        <w:instrText xml:space="preserve"> HYPERLINK "http://gzjy.smx.gov.cn/）获取采购文件，并于2022年" </w:instrText>
      </w:r>
      <w:r>
        <w:rPr>
          <w:color w:val="auto"/>
          <w:highlight w:val="none"/>
        </w:rPr>
        <w:fldChar w:fldCharType="separate"/>
      </w:r>
      <w:r>
        <w:rPr>
          <w:rStyle w:val="27"/>
          <w:rFonts w:ascii="宋体" w:hAnsi="宋体"/>
          <w:color w:val="auto"/>
          <w:sz w:val="24"/>
          <w:szCs w:val="24"/>
          <w:highlight w:val="none"/>
        </w:rPr>
        <w:t>htt</w:t>
      </w:r>
      <w:bookmarkStart w:id="198" w:name="_GoBack"/>
      <w:bookmarkEnd w:id="198"/>
      <w:r>
        <w:rPr>
          <w:rStyle w:val="27"/>
          <w:rFonts w:ascii="宋体" w:hAnsi="宋体"/>
          <w:color w:val="auto"/>
          <w:sz w:val="24"/>
          <w:szCs w:val="24"/>
          <w:highlight w:val="none"/>
        </w:rPr>
        <w:t>p://gzjy.smx.gov.cn/</w:t>
      </w:r>
      <w:r>
        <w:rPr>
          <w:rStyle w:val="27"/>
          <w:rFonts w:hint="eastAsia" w:ascii="宋体" w:hAnsi="宋体"/>
          <w:color w:val="auto"/>
          <w:sz w:val="24"/>
          <w:szCs w:val="24"/>
          <w:highlight w:val="none"/>
        </w:rPr>
        <w:t>）获取采购文件，并于2025年</w:t>
      </w:r>
      <w:r>
        <w:rPr>
          <w:rStyle w:val="27"/>
          <w:rFonts w:hint="eastAsia" w:ascii="宋体" w:hAnsi="宋体"/>
          <w:color w:val="auto"/>
          <w:sz w:val="24"/>
          <w:szCs w:val="24"/>
          <w:highlight w:val="none"/>
        </w:rPr>
        <w:fldChar w:fldCharType="end"/>
      </w:r>
      <w:r>
        <w:rPr>
          <w:rFonts w:hint="eastAsia" w:ascii="宋体" w:hAnsi="宋体"/>
          <w:color w:val="auto"/>
          <w:sz w:val="24"/>
          <w:szCs w:val="24"/>
          <w:highlight w:val="none"/>
        </w:rPr>
        <w:t>12月29日8时</w:t>
      </w:r>
      <w:r>
        <w:rPr>
          <w:rFonts w:hint="eastAsia" w:ascii="宋体" w:hAnsi="宋体"/>
          <w:color w:val="auto"/>
          <w:sz w:val="24"/>
          <w:szCs w:val="24"/>
          <w:highlight w:val="none"/>
        </w:rPr>
        <w:t>20分（北京时间）前递交响应文件。</w:t>
      </w:r>
    </w:p>
    <w:p w14:paraId="273B4C68">
      <w:pPr>
        <w:spacing w:line="360" w:lineRule="auto"/>
        <w:ind w:firstLine="480" w:firstLineChars="200"/>
        <w:outlineLvl w:val="0"/>
        <w:rPr>
          <w:rFonts w:ascii="宋体" w:hAnsi="宋体"/>
          <w:color w:val="auto"/>
          <w:sz w:val="24"/>
          <w:szCs w:val="24"/>
          <w:highlight w:val="none"/>
        </w:rPr>
      </w:pPr>
      <w:bookmarkStart w:id="1" w:name="_Toc9842"/>
      <w:r>
        <w:rPr>
          <w:rFonts w:hint="eastAsia" w:ascii="宋体" w:hAnsi="宋体"/>
          <w:color w:val="auto"/>
          <w:sz w:val="24"/>
          <w:szCs w:val="24"/>
          <w:highlight w:val="none"/>
        </w:rPr>
        <w:t>一、项目基本情况</w:t>
      </w:r>
      <w:bookmarkEnd w:id="1"/>
    </w:p>
    <w:p w14:paraId="28EF064D">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1、采购编号：</w:t>
      </w:r>
      <w:r>
        <w:rPr>
          <w:rFonts w:hint="eastAsia" w:ascii="宋体" w:hAnsi="宋体"/>
          <w:color w:val="auto"/>
          <w:sz w:val="24"/>
          <w:szCs w:val="24"/>
          <w:highlight w:val="none"/>
          <w:lang w:eastAsia="zh-CN"/>
        </w:rPr>
        <w:t>渑池公开采购-2025-85</w:t>
      </w: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MCGZ[2025]297-ZC232</w:t>
      </w:r>
    </w:p>
    <w:p w14:paraId="74D18D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2、采购项目名称：渑池县X波段相控阵天气建设工程项目（雷达系统设备采购）</w:t>
      </w:r>
    </w:p>
    <w:p w14:paraId="2632B1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3、采购方式：公开招标</w:t>
      </w:r>
    </w:p>
    <w:p w14:paraId="01CF6F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4、预算金额：8575000.00元</w:t>
      </w:r>
    </w:p>
    <w:p w14:paraId="0DF3C90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最高限价：8575000.00元</w:t>
      </w:r>
    </w:p>
    <w:tbl>
      <w:tblPr>
        <w:tblStyle w:val="24"/>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562"/>
        <w:gridCol w:w="2595"/>
        <w:gridCol w:w="1532"/>
        <w:gridCol w:w="2034"/>
      </w:tblGrid>
      <w:tr w14:paraId="47E5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C74C0A1">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562" w:type="dxa"/>
            <w:vAlign w:val="center"/>
          </w:tcPr>
          <w:p w14:paraId="060EC738">
            <w:pPr>
              <w:spacing w:line="360" w:lineRule="auto"/>
              <w:ind w:firstLine="566" w:firstLineChars="236"/>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595" w:type="dxa"/>
            <w:vAlign w:val="center"/>
          </w:tcPr>
          <w:p w14:paraId="7FFD63F1">
            <w:pPr>
              <w:spacing w:line="360" w:lineRule="auto"/>
              <w:ind w:firstLine="566" w:firstLineChars="236"/>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36F00206">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308A6231">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22FA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5E78291">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562" w:type="dxa"/>
            <w:vAlign w:val="center"/>
          </w:tcPr>
          <w:p w14:paraId="2D88E538">
            <w:pPr>
              <w:spacing w:line="360" w:lineRule="auto"/>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MCGZ[2025]297-ZC232</w:t>
            </w:r>
          </w:p>
        </w:tc>
        <w:tc>
          <w:tcPr>
            <w:tcW w:w="2595" w:type="dxa"/>
            <w:vAlign w:val="center"/>
          </w:tcPr>
          <w:p w14:paraId="77CE6870">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渑池县X波段相控阵天气建设工程项目（雷达系统设备采购）</w:t>
            </w:r>
          </w:p>
        </w:tc>
        <w:tc>
          <w:tcPr>
            <w:tcW w:w="1532" w:type="dxa"/>
            <w:vAlign w:val="center"/>
          </w:tcPr>
          <w:p w14:paraId="44897B63">
            <w:pPr>
              <w:spacing w:line="360" w:lineRule="auto"/>
              <w:jc w:val="center"/>
              <w:rPr>
                <w:rFonts w:asciiTheme="minorEastAsia" w:hAnsiTheme="minorEastAsia" w:cstheme="minorEastAsia"/>
                <w:color w:val="auto"/>
                <w:sz w:val="24"/>
                <w:szCs w:val="24"/>
                <w:highlight w:val="none"/>
              </w:rPr>
            </w:pPr>
            <w:r>
              <w:rPr>
                <w:rFonts w:hint="eastAsia" w:ascii="宋体" w:hAnsi="宋体"/>
                <w:color w:val="auto"/>
                <w:sz w:val="24"/>
                <w:szCs w:val="24"/>
                <w:highlight w:val="none"/>
              </w:rPr>
              <w:t>8575000.00</w:t>
            </w:r>
          </w:p>
        </w:tc>
        <w:tc>
          <w:tcPr>
            <w:tcW w:w="2034" w:type="dxa"/>
            <w:vAlign w:val="center"/>
          </w:tcPr>
          <w:p w14:paraId="694F519D">
            <w:pPr>
              <w:spacing w:line="360" w:lineRule="auto"/>
              <w:jc w:val="center"/>
              <w:rPr>
                <w:rFonts w:asciiTheme="minorEastAsia" w:hAnsiTheme="minorEastAsia" w:cstheme="minorEastAsia"/>
                <w:color w:val="auto"/>
                <w:sz w:val="24"/>
                <w:szCs w:val="24"/>
                <w:highlight w:val="none"/>
              </w:rPr>
            </w:pPr>
            <w:r>
              <w:rPr>
                <w:rFonts w:hint="eastAsia" w:ascii="宋体" w:hAnsi="宋体"/>
                <w:color w:val="auto"/>
                <w:sz w:val="24"/>
                <w:szCs w:val="24"/>
                <w:highlight w:val="none"/>
              </w:rPr>
              <w:t>8575000.00</w:t>
            </w:r>
          </w:p>
        </w:tc>
      </w:tr>
    </w:tbl>
    <w:p w14:paraId="0F6D45DD">
      <w:pPr>
        <w:spacing w:line="360" w:lineRule="auto"/>
        <w:rPr>
          <w:rFonts w:ascii="宋体" w:hAnsi="宋体"/>
          <w:color w:val="auto"/>
          <w:sz w:val="24"/>
          <w:szCs w:val="24"/>
          <w:highlight w:val="none"/>
        </w:rPr>
      </w:pPr>
    </w:p>
    <w:p w14:paraId="6E1DE1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5、采购需求（包括但不限于标的的名称、数量、简要技术需求或服务要求等）</w:t>
      </w:r>
    </w:p>
    <w:p w14:paraId="0B7185F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5.1采购内容：本项目为渑池县X波段相控阵天气建设工程项目（雷达系统设备采购），主要采购内容：X波段双偏振相控阵天气雷达设备及配套软件、相控阵天气雷达数据显示系统等（具体要求详见招标文件）。</w:t>
      </w:r>
    </w:p>
    <w:p w14:paraId="1D2C02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5.2资金来源：财政资金，已落实</w:t>
      </w:r>
    </w:p>
    <w:p w14:paraId="3C5F6F0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5.3交货</w:t>
      </w:r>
      <w:r>
        <w:rPr>
          <w:rFonts w:hint="eastAsia" w:ascii="宋体" w:hAnsi="宋体"/>
          <w:color w:val="auto"/>
          <w:sz w:val="24"/>
          <w:szCs w:val="24"/>
          <w:highlight w:val="none"/>
        </w:rPr>
        <w:t>期限：</w:t>
      </w:r>
      <w:bookmarkStart w:id="2" w:name="OLE_LINK3"/>
      <w:bookmarkStart w:id="3" w:name="OLE_LINK4"/>
      <w:r>
        <w:rPr>
          <w:rFonts w:hint="eastAsia" w:ascii="宋体" w:hAnsi="宋体"/>
          <w:color w:val="auto"/>
          <w:sz w:val="24"/>
          <w:szCs w:val="24"/>
          <w:highlight w:val="none"/>
        </w:rPr>
        <w:t>合同签订之日起1年内采购人对雷达设备进行验货。</w:t>
      </w:r>
      <w:bookmarkEnd w:id="2"/>
      <w:bookmarkEnd w:id="3"/>
      <w:r>
        <w:rPr>
          <w:rFonts w:hint="eastAsia" w:ascii="宋体" w:hAnsi="宋体"/>
          <w:color w:val="auto"/>
          <w:sz w:val="24"/>
          <w:szCs w:val="24"/>
          <w:highlight w:val="none"/>
        </w:rPr>
        <w:t xml:space="preserve"> </w:t>
      </w:r>
    </w:p>
    <w:p w14:paraId="34340DB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5.4质量要求：合格</w:t>
      </w:r>
    </w:p>
    <w:p w14:paraId="4BFF87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5.5质保期：</w:t>
      </w:r>
      <w:bookmarkStart w:id="4" w:name="OLE_LINK6"/>
      <w:bookmarkStart w:id="5" w:name="OLE_LINK5"/>
      <w:r>
        <w:rPr>
          <w:rFonts w:hint="eastAsia" w:ascii="宋体" w:hAnsi="宋体"/>
          <w:color w:val="auto"/>
          <w:sz w:val="24"/>
          <w:szCs w:val="24"/>
          <w:highlight w:val="none"/>
        </w:rPr>
        <w:t>自本项目系统验收合格之日起，雷达设备提供8年原厂质保，其他设备提供3年质保，相关产品有国家规定的质保期从其规定，其规定不足3年的按3年计算。</w:t>
      </w:r>
      <w:bookmarkEnd w:id="4"/>
      <w:bookmarkEnd w:id="5"/>
    </w:p>
    <w:p w14:paraId="250832F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5.6交货地点：采购人指定地点。</w:t>
      </w:r>
    </w:p>
    <w:p w14:paraId="4697C9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6、合同履行期限：</w:t>
      </w:r>
      <w:r>
        <w:rPr>
          <w:rFonts w:hint="eastAsia" w:ascii="宋体" w:hAnsi="宋体"/>
          <w:color w:val="auto"/>
          <w:sz w:val="24"/>
          <w:szCs w:val="24"/>
          <w:highlight w:val="none"/>
        </w:rPr>
        <w:t>签订合同1年内采购人对雷达设备进行验货</w:t>
      </w:r>
    </w:p>
    <w:p w14:paraId="480CC9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7、本项目是否接受联合体投标：否</w:t>
      </w:r>
    </w:p>
    <w:p w14:paraId="2D98B9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8、是否接受进口产品：否</w:t>
      </w:r>
    </w:p>
    <w:p w14:paraId="5714788C">
      <w:pPr>
        <w:spacing w:line="360" w:lineRule="auto"/>
        <w:ind w:firstLine="480" w:firstLineChars="200"/>
        <w:outlineLvl w:val="0"/>
        <w:rPr>
          <w:rFonts w:ascii="宋体" w:hAnsi="宋体"/>
          <w:color w:val="auto"/>
          <w:sz w:val="24"/>
          <w:szCs w:val="24"/>
          <w:highlight w:val="none"/>
        </w:rPr>
      </w:pPr>
      <w:bookmarkStart w:id="6" w:name="_Toc28015"/>
      <w:bookmarkStart w:id="7" w:name="_Toc30639"/>
      <w:r>
        <w:rPr>
          <w:rFonts w:hint="eastAsia" w:ascii="宋体" w:hAnsi="宋体"/>
          <w:color w:val="auto"/>
          <w:sz w:val="24"/>
          <w:szCs w:val="24"/>
          <w:highlight w:val="none"/>
        </w:rPr>
        <w:t>二、申请人资格要求：</w:t>
      </w:r>
      <w:bookmarkEnd w:id="6"/>
      <w:bookmarkEnd w:id="7"/>
    </w:p>
    <w:p w14:paraId="476170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00267A1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5F2724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3、本项目的特定资格要求</w:t>
      </w:r>
    </w:p>
    <w:p w14:paraId="7BBD2D6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（1）供应商须具有有效的营业执照；</w:t>
      </w:r>
    </w:p>
    <w:p w14:paraId="238508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（2）供应商出具企业及法人代表无商业贿赂及无不正当竞争行为的承诺书；</w:t>
      </w:r>
    </w:p>
    <w:p w14:paraId="4192464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（3）提供供应商企业、法定代表人无行贿犯罪记录，在中国裁判文书网查询（提供网页查询截图）或供应商自行承诺；</w:t>
      </w:r>
    </w:p>
    <w:p w14:paraId="239E88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E1C2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6FE17F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（6）本项目不接受联合体投标。</w:t>
      </w:r>
    </w:p>
    <w:p w14:paraId="6CE949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p w14:paraId="4CA62809">
      <w:pPr>
        <w:spacing w:line="360" w:lineRule="auto"/>
        <w:ind w:firstLine="480" w:firstLineChars="200"/>
        <w:outlineLvl w:val="0"/>
        <w:rPr>
          <w:rFonts w:ascii="宋体" w:hAnsi="宋体"/>
          <w:color w:val="auto"/>
          <w:sz w:val="24"/>
          <w:szCs w:val="24"/>
          <w:highlight w:val="none"/>
        </w:rPr>
      </w:pPr>
      <w:bookmarkStart w:id="8" w:name="_Toc15009"/>
      <w:bookmarkStart w:id="9" w:name="_Toc26823"/>
      <w:r>
        <w:rPr>
          <w:rFonts w:hint="eastAsia" w:ascii="宋体" w:hAnsi="宋体"/>
          <w:color w:val="auto"/>
          <w:sz w:val="24"/>
          <w:szCs w:val="24"/>
          <w:highlight w:val="none"/>
        </w:rPr>
        <w:t>三、获取招标文件：</w:t>
      </w:r>
      <w:bookmarkEnd w:id="8"/>
      <w:bookmarkEnd w:id="9"/>
    </w:p>
    <w:p w14:paraId="1D5AC7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1、时间：202</w:t>
      </w:r>
      <w:r>
        <w:rPr>
          <w:rFonts w:hint="eastAsia" w:ascii="宋体" w:hAnsi="宋体"/>
          <w:color w:val="auto"/>
          <w:sz w:val="24"/>
          <w:szCs w:val="24"/>
          <w:highlight w:val="none"/>
        </w:rPr>
        <w:t>5年12月6日8时00分至2025年12月29日</w:t>
      </w:r>
      <w:r>
        <w:rPr>
          <w:rFonts w:hint="eastAsia" w:ascii="宋体" w:hAnsi="宋体"/>
          <w:color w:val="auto"/>
          <w:sz w:val="24"/>
          <w:szCs w:val="24"/>
          <w:highlight w:val="none"/>
        </w:rPr>
        <w:t>8时20分（北京时间，下同）</w:t>
      </w:r>
    </w:p>
    <w:p w14:paraId="3E94DE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2、地点：三门峡市公共资源交易中心网。</w:t>
      </w:r>
    </w:p>
    <w:p w14:paraId="701B50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62E6E3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三门峡市公共资源交易平台操作手册：</w:t>
      </w:r>
    </w:p>
    <w:p w14:paraId="4EB5EF99">
      <w:pPr>
        <w:spacing w:line="360" w:lineRule="auto"/>
        <w:ind w:firstLine="420" w:firstLineChars="200"/>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"http://gzjy.smx.gov.cn/bzzx/008001/20200325/1d4d9bd4-82a2-4284-b2f7-428c4c69ef58.html" </w:instrText>
      </w:r>
      <w:r>
        <w:rPr>
          <w:color w:val="auto"/>
          <w:highlight w:val="none"/>
        </w:rPr>
        <w:fldChar w:fldCharType="separate"/>
      </w:r>
      <w:r>
        <w:rPr>
          <w:rStyle w:val="27"/>
          <w:rFonts w:hint="eastAsia" w:ascii="宋体" w:hAnsi="宋体" w:cs="宋体"/>
          <w:color w:val="auto"/>
          <w:sz w:val="28"/>
          <w:szCs w:val="28"/>
          <w:highlight w:val="none"/>
        </w:rPr>
        <w:t>http://gzjy.smx.gov.cn/bzzx/008001/20200325/1d4d9bd4-82a2-4284-b2f7-428c4c69ef58.html</w:t>
      </w:r>
      <w:r>
        <w:rPr>
          <w:rStyle w:val="27"/>
          <w:rFonts w:hint="eastAsia" w:ascii="宋体" w:hAnsi="宋体" w:cs="宋体"/>
          <w:color w:val="auto"/>
          <w:sz w:val="28"/>
          <w:szCs w:val="28"/>
          <w:highlight w:val="none"/>
        </w:rPr>
        <w:fldChar w:fldCharType="end"/>
      </w:r>
    </w:p>
    <w:p w14:paraId="34B58E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CA证书：http://gzjy.smx.gov.cn/bzzx/008001/20211105/57b16af9-ab87-4395-a723-7758c628a3f8.html</w:t>
      </w:r>
    </w:p>
    <w:p w14:paraId="343A26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根据《关于进一步加强公共资源交易管理持续优化营商环境的通知》（三公管办[2020]2号）文件的要求，采购文件费用不再收取。</w:t>
      </w:r>
    </w:p>
    <w:p w14:paraId="35EB3E66">
      <w:pPr>
        <w:spacing w:line="360" w:lineRule="auto"/>
        <w:ind w:firstLine="480" w:firstLineChars="200"/>
        <w:outlineLvl w:val="0"/>
        <w:rPr>
          <w:rFonts w:ascii="宋体" w:hAnsi="宋体"/>
          <w:color w:val="auto"/>
          <w:sz w:val="24"/>
          <w:szCs w:val="24"/>
          <w:highlight w:val="none"/>
        </w:rPr>
      </w:pPr>
      <w:bookmarkStart w:id="10" w:name="_Toc7813"/>
      <w:bookmarkStart w:id="11" w:name="_Toc1463"/>
      <w:r>
        <w:rPr>
          <w:rFonts w:hint="eastAsia" w:ascii="宋体" w:hAnsi="宋体"/>
          <w:color w:val="auto"/>
          <w:sz w:val="24"/>
          <w:szCs w:val="24"/>
          <w:highlight w:val="none"/>
        </w:rPr>
        <w:t>四、投标截止时间及地点：</w:t>
      </w:r>
      <w:bookmarkEnd w:id="10"/>
      <w:bookmarkEnd w:id="11"/>
      <w:r>
        <w:rPr>
          <w:rFonts w:hint="eastAsia" w:ascii="宋体" w:hAnsi="宋体"/>
          <w:color w:val="auto"/>
          <w:sz w:val="24"/>
          <w:szCs w:val="24"/>
          <w:highlight w:val="none"/>
        </w:rPr>
        <w:t xml:space="preserve"> </w:t>
      </w:r>
    </w:p>
    <w:p w14:paraId="1CC5B0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1、时间：2025年12月29日8时20分（北京时间），逾期上传递交投标文件的，采购人不予受理。</w:t>
      </w:r>
    </w:p>
    <w:p w14:paraId="67181D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2、地点：在三门峡市公共资源交易中心网中上传加密响应文件。</w:t>
      </w:r>
    </w:p>
    <w:p w14:paraId="232D3E4E">
      <w:pPr>
        <w:spacing w:line="360" w:lineRule="auto"/>
        <w:ind w:firstLine="480" w:firstLineChars="200"/>
        <w:outlineLvl w:val="0"/>
        <w:rPr>
          <w:rFonts w:ascii="宋体" w:hAnsi="宋体"/>
          <w:color w:val="auto"/>
          <w:sz w:val="24"/>
          <w:szCs w:val="24"/>
          <w:highlight w:val="none"/>
        </w:rPr>
      </w:pPr>
      <w:bookmarkStart w:id="12" w:name="_Toc31723"/>
      <w:bookmarkStart w:id="13" w:name="_Toc25700"/>
      <w:r>
        <w:rPr>
          <w:rFonts w:hint="eastAsia" w:ascii="宋体" w:hAnsi="宋体"/>
          <w:color w:val="auto"/>
          <w:sz w:val="24"/>
          <w:szCs w:val="24"/>
          <w:highlight w:val="none"/>
        </w:rPr>
        <w:t>五、开标时间及地点：</w:t>
      </w:r>
      <w:bookmarkEnd w:id="12"/>
      <w:bookmarkEnd w:id="13"/>
    </w:p>
    <w:p w14:paraId="19BC05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1、开标时间：2025年12月29日8时20分（北京时间）</w:t>
      </w:r>
    </w:p>
    <w:p w14:paraId="5D1ED30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2、开标地点：渑池县公共资源交易中心</w:t>
      </w:r>
      <w:r>
        <w:rPr>
          <w:rFonts w:hint="eastAsia" w:ascii="宋体" w:hAnsi="宋体"/>
          <w:color w:val="auto"/>
          <w:sz w:val="24"/>
          <w:szCs w:val="24"/>
          <w:highlight w:val="none"/>
          <w:lang w:eastAsia="zh-CN"/>
        </w:rPr>
        <w:t>开标二室</w:t>
      </w:r>
    </w:p>
    <w:p w14:paraId="0292AB4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3、开标方式：本项目为不见面开标项目</w:t>
      </w:r>
    </w:p>
    <w:p w14:paraId="4FC1A6A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注：本项目为不见面开标项目，开标当日供应商不得到开标现场参加开标会议，投标人应当在投标截止时间前，登陆不见面开标大厅选择登陆三门峡市公共资源电子招投标系统进行登陆，网址为：</w:t>
      </w:r>
    </w:p>
    <w:p w14:paraId="5323F3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http://120.194.249.36:10094/BidOpening/bidopeninghallaction/hall/login,在线准时参加开标活动并进行投标文件解密等。每位投标人的解密时间为开标时间起30分钟内完成。因投标人原因未能解密、解密失败或解密超时的将被拒绝。</w:t>
      </w:r>
    </w:p>
    <w:p w14:paraId="2535A66C">
      <w:pPr>
        <w:spacing w:line="360" w:lineRule="auto"/>
        <w:ind w:firstLine="480" w:firstLineChars="200"/>
        <w:outlineLvl w:val="0"/>
        <w:rPr>
          <w:rFonts w:ascii="宋体" w:hAnsi="宋体"/>
          <w:color w:val="auto"/>
          <w:sz w:val="24"/>
          <w:szCs w:val="24"/>
          <w:highlight w:val="none"/>
        </w:rPr>
      </w:pPr>
      <w:bookmarkStart w:id="14" w:name="_Toc17925"/>
      <w:bookmarkStart w:id="15" w:name="_Toc21889"/>
      <w:r>
        <w:rPr>
          <w:rFonts w:hint="eastAsia" w:ascii="宋体" w:hAnsi="宋体"/>
          <w:color w:val="auto"/>
          <w:sz w:val="24"/>
          <w:szCs w:val="24"/>
          <w:highlight w:val="none"/>
        </w:rPr>
        <w:t>六、发布公告的媒介及招标公告期限</w:t>
      </w:r>
      <w:bookmarkEnd w:id="14"/>
      <w:bookmarkEnd w:id="15"/>
    </w:p>
    <w:p w14:paraId="163E4E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本次招标公告在《河南省政府采购网》、《三门峡市公共资源交易中心网》、《中国招标投标公共服务平台》同时发布，招标公告期限为五个工作日。</w:t>
      </w:r>
    </w:p>
    <w:p w14:paraId="6F4C14D5">
      <w:pPr>
        <w:spacing w:line="360" w:lineRule="auto"/>
        <w:ind w:firstLine="480" w:firstLineChars="200"/>
        <w:outlineLvl w:val="0"/>
        <w:rPr>
          <w:rFonts w:ascii="宋体" w:hAnsi="宋体"/>
          <w:color w:val="auto"/>
          <w:sz w:val="24"/>
          <w:szCs w:val="24"/>
          <w:highlight w:val="none"/>
        </w:rPr>
      </w:pPr>
      <w:bookmarkStart w:id="16" w:name="_Toc13291"/>
      <w:bookmarkStart w:id="17" w:name="_Toc26183"/>
      <w:r>
        <w:rPr>
          <w:rFonts w:hint="eastAsia" w:ascii="宋体" w:hAnsi="宋体"/>
          <w:color w:val="auto"/>
          <w:sz w:val="24"/>
          <w:szCs w:val="24"/>
          <w:highlight w:val="none"/>
        </w:rPr>
        <w:t>七、其他补充事宜</w:t>
      </w:r>
      <w:bookmarkEnd w:id="16"/>
      <w:bookmarkEnd w:id="17"/>
    </w:p>
    <w:p w14:paraId="54C822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1CE7CF1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2、根据《河南省财政厅关于优化政府采购营商环境有关问题的通知》（豫财购【2019】4号）第6条的规定，投标保证金不再收取。投标人需提供投标承诺书。</w:t>
      </w:r>
    </w:p>
    <w:p w14:paraId="0401A48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3、投标人递交的投标文件不论中标与否均不予退还；</w:t>
      </w:r>
    </w:p>
    <w:p w14:paraId="4E12188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4、开标所发生的一切费用由供应商自行承担，并承担相应的风险和责任；</w:t>
      </w:r>
    </w:p>
    <w:p w14:paraId="2743B71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6BD35168">
      <w:pPr>
        <w:spacing w:line="360" w:lineRule="auto"/>
        <w:ind w:firstLine="480" w:firstLineChars="200"/>
        <w:outlineLvl w:val="0"/>
        <w:rPr>
          <w:rFonts w:ascii="宋体" w:hAnsi="宋体"/>
          <w:color w:val="auto"/>
          <w:sz w:val="24"/>
          <w:szCs w:val="24"/>
          <w:highlight w:val="none"/>
        </w:rPr>
      </w:pPr>
      <w:bookmarkStart w:id="18" w:name="_Toc22913"/>
      <w:bookmarkStart w:id="19" w:name="_Toc14294"/>
      <w:r>
        <w:rPr>
          <w:rFonts w:hint="eastAsia" w:ascii="宋体" w:hAnsi="宋体"/>
          <w:color w:val="auto"/>
          <w:sz w:val="24"/>
          <w:szCs w:val="24"/>
          <w:highlight w:val="none"/>
        </w:rPr>
        <w:t>八、凡对本次招标提出询问，请按照以下方式联系</w:t>
      </w:r>
      <w:bookmarkEnd w:id="18"/>
      <w:bookmarkEnd w:id="19"/>
    </w:p>
    <w:p w14:paraId="24E6E623">
      <w:pPr>
        <w:spacing w:line="360" w:lineRule="auto"/>
        <w:ind w:firstLine="480" w:firstLineChars="200"/>
        <w:outlineLvl w:val="1"/>
        <w:rPr>
          <w:rFonts w:ascii="宋体" w:hAnsi="宋体"/>
          <w:color w:val="auto"/>
          <w:sz w:val="24"/>
          <w:szCs w:val="24"/>
          <w:highlight w:val="none"/>
        </w:rPr>
      </w:pPr>
      <w:bookmarkStart w:id="20" w:name="_Toc21699"/>
      <w:bookmarkStart w:id="21" w:name="_Toc29003"/>
      <w:r>
        <w:rPr>
          <w:rFonts w:hint="eastAsia" w:ascii="宋体" w:hAnsi="宋体"/>
          <w:color w:val="auto"/>
          <w:sz w:val="24"/>
          <w:szCs w:val="24"/>
          <w:highlight w:val="none"/>
        </w:rPr>
        <w:t>1.采购人信息</w:t>
      </w:r>
      <w:bookmarkEnd w:id="20"/>
      <w:bookmarkEnd w:id="21"/>
    </w:p>
    <w:p w14:paraId="4917A1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名称：渑池县气象局 </w:t>
      </w:r>
    </w:p>
    <w:p w14:paraId="2A8E709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地址：渑池县韶山大道</w:t>
      </w:r>
    </w:p>
    <w:p w14:paraId="358160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联系人：杨先生</w:t>
      </w:r>
    </w:p>
    <w:p w14:paraId="3F55DDC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联系电话：15333986629</w:t>
      </w:r>
    </w:p>
    <w:p w14:paraId="5C29D80F">
      <w:pPr>
        <w:spacing w:line="360" w:lineRule="auto"/>
        <w:ind w:firstLine="480" w:firstLineChars="200"/>
        <w:outlineLvl w:val="1"/>
        <w:rPr>
          <w:rFonts w:ascii="宋体" w:hAnsi="宋体"/>
          <w:color w:val="auto"/>
          <w:sz w:val="24"/>
          <w:szCs w:val="24"/>
          <w:highlight w:val="none"/>
        </w:rPr>
      </w:pPr>
      <w:bookmarkStart w:id="22" w:name="_Toc12633"/>
      <w:bookmarkStart w:id="23" w:name="_Toc19774"/>
      <w:r>
        <w:rPr>
          <w:rFonts w:hint="eastAsia" w:ascii="宋体" w:hAnsi="宋体"/>
          <w:color w:val="auto"/>
          <w:sz w:val="24"/>
          <w:szCs w:val="24"/>
          <w:highlight w:val="none"/>
        </w:rPr>
        <w:t>2.采购代理机构信息</w:t>
      </w:r>
      <w:bookmarkEnd w:id="22"/>
      <w:bookmarkEnd w:id="23"/>
    </w:p>
    <w:p w14:paraId="4C529D34">
      <w:pPr>
        <w:spacing w:line="360" w:lineRule="auto"/>
        <w:ind w:firstLine="484" w:firstLineChars="202"/>
        <w:rPr>
          <w:rFonts w:asciiTheme="minorEastAsia" w:hAnsiTheme="minorEastAsia" w:cstheme="minorEastAsia"/>
          <w:color w:val="auto"/>
          <w:sz w:val="24"/>
          <w:szCs w:val="24"/>
          <w:highlight w:val="none"/>
        </w:rPr>
      </w:pPr>
      <w:r>
        <w:rPr>
          <w:rFonts w:hint="eastAsia" w:ascii="宋体" w:hAnsi="宋体" w:cs="宋体"/>
          <w:color w:val="auto"/>
          <w:kern w:val="0"/>
          <w:sz w:val="24"/>
          <w:szCs w:val="24"/>
          <w:highlight w:val="none"/>
        </w:rPr>
        <w:t>代理机构：</w:t>
      </w:r>
      <w:bookmarkStart w:id="24" w:name="_Toc22691"/>
      <w:bookmarkStart w:id="25" w:name="_Toc2293"/>
      <w:r>
        <w:rPr>
          <w:rFonts w:hint="eastAsia" w:asciiTheme="minorEastAsia" w:hAnsiTheme="minorEastAsia" w:cstheme="minorEastAsia"/>
          <w:color w:val="auto"/>
          <w:sz w:val="24"/>
          <w:szCs w:val="24"/>
          <w:highlight w:val="none"/>
        </w:rPr>
        <w:t>崇璟工程管理咨询有限公司</w:t>
      </w:r>
    </w:p>
    <w:p w14:paraId="1865A0F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地址：河南省郑州市金水区鸿苑路61号院东区</w:t>
      </w:r>
    </w:p>
    <w:p w14:paraId="0DDE069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联系人：张先生</w:t>
      </w:r>
    </w:p>
    <w:p w14:paraId="19AFB24A">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联系电话：18603986110</w:t>
      </w:r>
    </w:p>
    <w:p w14:paraId="045775C9">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3.监督单位信息</w:t>
      </w:r>
      <w:bookmarkEnd w:id="24"/>
      <w:bookmarkEnd w:id="25"/>
    </w:p>
    <w:p w14:paraId="2A4E5CA3">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监督单位：渑池县政府采购办公室</w:t>
      </w:r>
    </w:p>
    <w:p w14:paraId="1B44B109">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联系方式：0398-4818677</w:t>
      </w:r>
    </w:p>
    <w:p w14:paraId="6A6B1291">
      <w:pPr>
        <w:rPr>
          <w:rFonts w:hint="eastAsia" w:ascii="宋体" w:hAnsi="宋体" w:cs="宋体"/>
          <w:b/>
          <w:bCs/>
          <w:color w:val="auto"/>
          <w:sz w:val="36"/>
          <w:szCs w:val="36"/>
          <w:highlight w:val="none"/>
        </w:rPr>
      </w:pPr>
      <w:bookmarkStart w:id="26" w:name="_Toc28856"/>
      <w:r>
        <w:rPr>
          <w:rFonts w:hint="eastAsia" w:ascii="宋体" w:hAnsi="宋体" w:cs="宋体"/>
          <w:b/>
          <w:bCs/>
          <w:color w:val="auto"/>
          <w:sz w:val="36"/>
          <w:szCs w:val="36"/>
          <w:highlight w:val="none"/>
        </w:rPr>
        <w:br w:type="page"/>
      </w:r>
    </w:p>
    <w:p w14:paraId="35485540">
      <w:pPr>
        <w:jc w:val="center"/>
        <w:outlineLvl w:val="0"/>
        <w:rPr>
          <w:rFonts w:ascii="宋体" w:cs="宋体"/>
          <w:b/>
          <w:bCs/>
          <w:color w:val="auto"/>
          <w:sz w:val="36"/>
          <w:szCs w:val="36"/>
          <w:highlight w:val="none"/>
        </w:rPr>
      </w:pPr>
      <w:r>
        <w:rPr>
          <w:rFonts w:hint="eastAsia" w:ascii="宋体" w:hAnsi="宋体" w:cs="宋体"/>
          <w:b/>
          <w:bCs/>
          <w:color w:val="auto"/>
          <w:sz w:val="36"/>
          <w:szCs w:val="36"/>
          <w:highlight w:val="none"/>
        </w:rPr>
        <w:t>第二章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 xml:space="preserve"> 供应商须知</w:t>
      </w:r>
      <w:bookmarkEnd w:id="26"/>
    </w:p>
    <w:p w14:paraId="32FB4DD2">
      <w:pPr>
        <w:shd w:val="clear" w:color="auto" w:fill="FFFFFF"/>
        <w:snapToGrid w:val="0"/>
        <w:spacing w:line="360" w:lineRule="auto"/>
        <w:ind w:right="105" w:rightChars="50"/>
        <w:jc w:val="center"/>
        <w:rPr>
          <w:rFonts w:ascii="宋体"/>
          <w:color w:val="auto"/>
          <w:sz w:val="24"/>
          <w:szCs w:val="24"/>
          <w:highlight w:val="none"/>
        </w:rPr>
      </w:pPr>
      <w:r>
        <w:rPr>
          <w:rFonts w:hint="eastAsia" w:ascii="宋体" w:hAnsi="宋体" w:cs="宋体"/>
          <w:b/>
          <w:bCs/>
          <w:color w:val="auto"/>
          <w:sz w:val="24"/>
          <w:szCs w:val="24"/>
          <w:highlight w:val="none"/>
        </w:rPr>
        <w:t>供应商须知前附表</w:t>
      </w:r>
    </w:p>
    <w:tbl>
      <w:tblPr>
        <w:tblStyle w:val="24"/>
        <w:tblW w:w="9801" w:type="dxa"/>
        <w:jc w:val="center"/>
        <w:tblLayout w:type="fixed"/>
        <w:tblCellMar>
          <w:top w:w="0" w:type="dxa"/>
          <w:left w:w="0" w:type="dxa"/>
          <w:bottom w:w="0" w:type="dxa"/>
          <w:right w:w="0" w:type="dxa"/>
        </w:tblCellMar>
      </w:tblPr>
      <w:tblGrid>
        <w:gridCol w:w="1144"/>
        <w:gridCol w:w="2055"/>
        <w:gridCol w:w="6602"/>
      </w:tblGrid>
      <w:tr w14:paraId="5A19A071">
        <w:tblPrEx>
          <w:tblCellMar>
            <w:top w:w="0" w:type="dxa"/>
            <w:left w:w="0" w:type="dxa"/>
            <w:bottom w:w="0" w:type="dxa"/>
            <w:right w:w="0" w:type="dxa"/>
          </w:tblCellMar>
        </w:tblPrEx>
        <w:trPr>
          <w:trHeight w:val="45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E53565">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条款号</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3E682B">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条款名称</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2EF27E">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编列内容</w:t>
            </w:r>
          </w:p>
        </w:tc>
      </w:tr>
      <w:tr w14:paraId="63BEAA88">
        <w:tblPrEx>
          <w:tblCellMar>
            <w:top w:w="0" w:type="dxa"/>
            <w:left w:w="0" w:type="dxa"/>
            <w:bottom w:w="0" w:type="dxa"/>
            <w:right w:w="0" w:type="dxa"/>
          </w:tblCellMar>
        </w:tblPrEx>
        <w:trPr>
          <w:trHeight w:val="150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2CF2A2">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1.1</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64F3AF">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581AE">
            <w:pPr>
              <w:spacing w:line="360" w:lineRule="auto"/>
              <w:rPr>
                <w:rFonts w:ascii="宋体" w:hAnsi="宋体"/>
                <w:color w:val="auto"/>
                <w:sz w:val="24"/>
                <w:szCs w:val="24"/>
                <w:highlight w:val="none"/>
              </w:rPr>
            </w:pPr>
            <w:r>
              <w:rPr>
                <w:rFonts w:ascii="宋体" w:hAnsi="宋体"/>
                <w:color w:val="auto"/>
                <w:sz w:val="24"/>
                <w:szCs w:val="24"/>
                <w:highlight w:val="none"/>
              </w:rPr>
              <w:t>名称：</w:t>
            </w:r>
            <w:r>
              <w:rPr>
                <w:rFonts w:hint="eastAsia" w:ascii="宋体" w:hAnsi="宋体"/>
                <w:color w:val="auto"/>
                <w:sz w:val="24"/>
                <w:szCs w:val="24"/>
                <w:highlight w:val="none"/>
              </w:rPr>
              <w:t>渑池县气象局</w:t>
            </w:r>
            <w:r>
              <w:rPr>
                <w:rFonts w:ascii="宋体" w:hAnsi="宋体"/>
                <w:color w:val="auto"/>
                <w:sz w:val="24"/>
                <w:szCs w:val="24"/>
                <w:highlight w:val="none"/>
              </w:rPr>
              <w:t xml:space="preserve"> </w:t>
            </w:r>
          </w:p>
          <w:p w14:paraId="71ACA27C">
            <w:pPr>
              <w:spacing w:line="360" w:lineRule="auto"/>
              <w:rPr>
                <w:rFonts w:ascii="宋体" w:hAnsi="宋体"/>
                <w:color w:val="auto"/>
                <w:sz w:val="24"/>
                <w:szCs w:val="24"/>
                <w:highlight w:val="none"/>
              </w:rPr>
            </w:pPr>
            <w:r>
              <w:rPr>
                <w:rFonts w:ascii="宋体" w:hAnsi="宋体"/>
                <w:color w:val="auto"/>
                <w:sz w:val="24"/>
                <w:szCs w:val="24"/>
                <w:highlight w:val="none"/>
              </w:rPr>
              <w:t>地址：渑池县韶山大道</w:t>
            </w:r>
          </w:p>
          <w:p w14:paraId="06E26AAF">
            <w:pPr>
              <w:spacing w:line="360" w:lineRule="auto"/>
              <w:rPr>
                <w:rFonts w:ascii="宋体" w:hAnsi="宋体"/>
                <w:color w:val="auto"/>
                <w:sz w:val="24"/>
                <w:szCs w:val="24"/>
                <w:highlight w:val="none"/>
              </w:rPr>
            </w:pPr>
            <w:r>
              <w:rPr>
                <w:rFonts w:ascii="宋体" w:hAnsi="宋体"/>
                <w:color w:val="auto"/>
                <w:sz w:val="24"/>
                <w:szCs w:val="24"/>
                <w:highlight w:val="none"/>
              </w:rPr>
              <w:t>联系人：杨先生</w:t>
            </w:r>
          </w:p>
          <w:p w14:paraId="372363F6">
            <w:pPr>
              <w:spacing w:line="360" w:lineRule="auto"/>
              <w:rPr>
                <w:rFonts w:ascii="宋体" w:hAnsi="宋体"/>
                <w:color w:val="auto"/>
                <w:sz w:val="24"/>
                <w:szCs w:val="24"/>
                <w:highlight w:val="none"/>
              </w:rPr>
            </w:pPr>
            <w:r>
              <w:rPr>
                <w:rFonts w:ascii="宋体" w:hAnsi="宋体"/>
                <w:color w:val="auto"/>
                <w:sz w:val="24"/>
                <w:szCs w:val="24"/>
                <w:highlight w:val="none"/>
              </w:rPr>
              <w:t>联系电话：15333986629</w:t>
            </w:r>
          </w:p>
        </w:tc>
      </w:tr>
      <w:tr w14:paraId="19D6B986">
        <w:tblPrEx>
          <w:tblCellMar>
            <w:top w:w="0" w:type="dxa"/>
            <w:left w:w="0" w:type="dxa"/>
            <w:bottom w:w="0" w:type="dxa"/>
            <w:right w:w="0" w:type="dxa"/>
          </w:tblCellMar>
        </w:tblPrEx>
        <w:trPr>
          <w:trHeight w:val="150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A11F44">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1.2</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3930D8">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采购代理机构</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13B0B3">
            <w:pPr>
              <w:spacing w:line="360" w:lineRule="auto"/>
              <w:ind w:right="105" w:rightChars="50"/>
              <w:rPr>
                <w:rFonts w:ascii="宋体"/>
                <w:color w:val="auto"/>
                <w:sz w:val="24"/>
                <w:szCs w:val="24"/>
                <w:highlight w:val="none"/>
              </w:rPr>
            </w:pPr>
            <w:r>
              <w:rPr>
                <w:rFonts w:ascii="宋体"/>
                <w:color w:val="auto"/>
                <w:sz w:val="24"/>
                <w:szCs w:val="24"/>
                <w:highlight w:val="none"/>
              </w:rPr>
              <w:t>代理机构：崇璟工程管理咨询有限公司</w:t>
            </w:r>
          </w:p>
          <w:p w14:paraId="5B6EA1E3">
            <w:pPr>
              <w:spacing w:line="360" w:lineRule="auto"/>
              <w:ind w:right="105" w:rightChars="50"/>
              <w:rPr>
                <w:rFonts w:ascii="宋体"/>
                <w:color w:val="auto"/>
                <w:sz w:val="24"/>
                <w:szCs w:val="24"/>
                <w:highlight w:val="none"/>
              </w:rPr>
            </w:pPr>
            <w:r>
              <w:rPr>
                <w:rFonts w:ascii="宋体"/>
                <w:color w:val="auto"/>
                <w:sz w:val="24"/>
                <w:szCs w:val="24"/>
                <w:highlight w:val="none"/>
              </w:rPr>
              <w:t>地址：河南省郑州市金水区鸿苑路61号院东区</w:t>
            </w:r>
          </w:p>
          <w:p w14:paraId="3E4559A8">
            <w:pPr>
              <w:spacing w:line="360" w:lineRule="auto"/>
              <w:ind w:right="105" w:rightChars="50"/>
              <w:rPr>
                <w:rFonts w:ascii="宋体"/>
                <w:color w:val="auto"/>
                <w:sz w:val="24"/>
                <w:szCs w:val="24"/>
                <w:highlight w:val="none"/>
              </w:rPr>
            </w:pPr>
            <w:r>
              <w:rPr>
                <w:rFonts w:ascii="宋体"/>
                <w:color w:val="auto"/>
                <w:sz w:val="24"/>
                <w:szCs w:val="24"/>
                <w:highlight w:val="none"/>
              </w:rPr>
              <w:t>联系人：张先生</w:t>
            </w:r>
          </w:p>
          <w:p w14:paraId="058D53DB">
            <w:pPr>
              <w:spacing w:line="360" w:lineRule="auto"/>
              <w:ind w:right="105" w:rightChars="50"/>
              <w:rPr>
                <w:rFonts w:ascii="宋体"/>
                <w:color w:val="auto"/>
                <w:sz w:val="24"/>
                <w:szCs w:val="24"/>
                <w:highlight w:val="none"/>
              </w:rPr>
            </w:pPr>
            <w:r>
              <w:rPr>
                <w:rFonts w:ascii="宋体"/>
                <w:color w:val="auto"/>
                <w:sz w:val="24"/>
                <w:szCs w:val="24"/>
                <w:highlight w:val="none"/>
              </w:rPr>
              <w:t>联系电话：18603986110</w:t>
            </w:r>
          </w:p>
        </w:tc>
      </w:tr>
      <w:tr w14:paraId="1E85CF78">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980FA9">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1.3</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9DB943">
            <w:pPr>
              <w:jc w:val="center"/>
              <w:rPr>
                <w:color w:val="auto"/>
                <w:sz w:val="24"/>
                <w:szCs w:val="24"/>
                <w:highlight w:val="none"/>
              </w:rPr>
            </w:pPr>
            <w:r>
              <w:rPr>
                <w:rFonts w:hint="eastAsia" w:cs="宋体"/>
                <w:color w:val="auto"/>
                <w:sz w:val="24"/>
                <w:szCs w:val="24"/>
                <w:highlight w:val="none"/>
              </w:rPr>
              <w:t>项目名称</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D90447">
            <w:pPr>
              <w:spacing w:line="360" w:lineRule="auto"/>
              <w:rPr>
                <w:rFonts w:ascii="宋体"/>
                <w:color w:val="auto"/>
                <w:sz w:val="24"/>
                <w:szCs w:val="24"/>
                <w:highlight w:val="none"/>
              </w:rPr>
            </w:pPr>
            <w:r>
              <w:rPr>
                <w:rFonts w:hint="eastAsia" w:ascii="宋体" w:hAnsi="宋体"/>
                <w:color w:val="auto"/>
                <w:sz w:val="24"/>
                <w:szCs w:val="24"/>
                <w:highlight w:val="none"/>
              </w:rPr>
              <w:t>渑池县X波段相控阵天气建设工程项目（雷达系统设备采购）</w:t>
            </w:r>
          </w:p>
        </w:tc>
      </w:tr>
      <w:tr w14:paraId="56A721B1">
        <w:tblPrEx>
          <w:tblCellMar>
            <w:top w:w="0" w:type="dxa"/>
            <w:left w:w="0" w:type="dxa"/>
            <w:bottom w:w="0" w:type="dxa"/>
            <w:right w:w="0" w:type="dxa"/>
          </w:tblCellMar>
        </w:tblPrEx>
        <w:trPr>
          <w:trHeight w:val="53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74E080">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1.4</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D540EE">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资金落实情况</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28A74D">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财政资金，已落实</w:t>
            </w:r>
          </w:p>
        </w:tc>
      </w:tr>
      <w:tr w14:paraId="614D67B3">
        <w:tblPrEx>
          <w:tblCellMar>
            <w:top w:w="0" w:type="dxa"/>
            <w:left w:w="0" w:type="dxa"/>
            <w:bottom w:w="0" w:type="dxa"/>
            <w:right w:w="0" w:type="dxa"/>
          </w:tblCellMar>
        </w:tblPrEx>
        <w:trPr>
          <w:trHeight w:val="52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C472B8">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1.5</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71DA81">
            <w:pPr>
              <w:spacing w:line="480" w:lineRule="auto"/>
              <w:jc w:val="center"/>
              <w:rPr>
                <w:rFonts w:ascii="宋体"/>
                <w:color w:val="auto"/>
                <w:sz w:val="28"/>
                <w:szCs w:val="28"/>
                <w:highlight w:val="none"/>
              </w:rPr>
            </w:pPr>
            <w:r>
              <w:rPr>
                <w:rFonts w:hint="eastAsia" w:ascii="宋体" w:hAnsi="宋体" w:cs="宋体"/>
                <w:color w:val="auto"/>
                <w:sz w:val="24"/>
                <w:szCs w:val="24"/>
                <w:highlight w:val="none"/>
              </w:rPr>
              <w:t>采购内容</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D862A7">
            <w:pPr>
              <w:spacing w:line="360" w:lineRule="auto"/>
              <w:rPr>
                <w:rFonts w:ascii="宋体" w:hAnsi="宋体"/>
                <w:color w:val="auto"/>
                <w:sz w:val="24"/>
                <w:szCs w:val="24"/>
                <w:highlight w:val="none"/>
              </w:rPr>
            </w:pPr>
            <w:r>
              <w:rPr>
                <w:rFonts w:hint="eastAsia" w:ascii="宋体" w:hAnsi="宋体"/>
                <w:color w:val="auto"/>
                <w:sz w:val="24"/>
                <w:szCs w:val="24"/>
                <w:highlight w:val="none"/>
              </w:rPr>
              <w:t>本项目为渑池县X波段相控阵天气建设工程项目（雷达系统设备采购），主要采购内容：X波段双偏振相控阵天气雷达设备及配套软件、相控阵天气雷达数据显示系统等</w:t>
            </w:r>
          </w:p>
        </w:tc>
      </w:tr>
      <w:tr w14:paraId="7E7236F3">
        <w:tblPrEx>
          <w:tblCellMar>
            <w:top w:w="0" w:type="dxa"/>
            <w:left w:w="0" w:type="dxa"/>
            <w:bottom w:w="0" w:type="dxa"/>
            <w:right w:w="0" w:type="dxa"/>
          </w:tblCellMar>
        </w:tblPrEx>
        <w:trPr>
          <w:trHeight w:val="49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01F5B">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6</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0FE463">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交货期限</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B98D66">
            <w:pPr>
              <w:spacing w:line="360" w:lineRule="auto"/>
              <w:ind w:right="105" w:rightChars="50"/>
              <w:rPr>
                <w:rFonts w:ascii="宋体"/>
                <w:color w:val="auto"/>
                <w:sz w:val="24"/>
                <w:szCs w:val="24"/>
                <w:highlight w:val="none"/>
              </w:rPr>
            </w:pPr>
            <w:r>
              <w:rPr>
                <w:rFonts w:hint="eastAsia" w:ascii="宋体"/>
                <w:color w:val="auto"/>
                <w:sz w:val="24"/>
                <w:szCs w:val="24"/>
                <w:highlight w:val="none"/>
              </w:rPr>
              <w:t xml:space="preserve">签订合同90日历天内完成供货、安装及调试完毕 </w:t>
            </w:r>
          </w:p>
        </w:tc>
      </w:tr>
      <w:tr w14:paraId="70550080">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B3119E">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7</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B7D8A7">
            <w:pPr>
              <w:spacing w:line="360" w:lineRule="auto"/>
              <w:ind w:right="105" w:rightChars="50"/>
              <w:jc w:val="center"/>
              <w:rPr>
                <w:rFonts w:ascii="宋体"/>
                <w:color w:val="auto"/>
                <w:sz w:val="24"/>
                <w:szCs w:val="24"/>
                <w:highlight w:val="none"/>
              </w:rPr>
            </w:pPr>
            <w:r>
              <w:rPr>
                <w:rFonts w:hint="eastAsia" w:ascii="宋体"/>
                <w:color w:val="auto"/>
                <w:sz w:val="24"/>
                <w:szCs w:val="24"/>
                <w:highlight w:val="none"/>
              </w:rPr>
              <w:t>质保期</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FF5B0E">
            <w:pPr>
              <w:spacing w:line="360" w:lineRule="auto"/>
              <w:ind w:right="105" w:rightChars="50"/>
              <w:rPr>
                <w:rFonts w:ascii="宋体"/>
                <w:color w:val="auto"/>
                <w:sz w:val="24"/>
                <w:szCs w:val="24"/>
                <w:highlight w:val="none"/>
              </w:rPr>
            </w:pPr>
            <w:r>
              <w:rPr>
                <w:rFonts w:hint="eastAsia" w:ascii="宋体"/>
                <w:color w:val="auto"/>
                <w:sz w:val="24"/>
                <w:szCs w:val="24"/>
                <w:highlight w:val="none"/>
              </w:rPr>
              <w:t>一年</w:t>
            </w:r>
          </w:p>
        </w:tc>
      </w:tr>
      <w:tr w14:paraId="65F7AA10">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01153B">
            <w:pPr>
              <w:spacing w:line="360" w:lineRule="auto"/>
              <w:ind w:right="105" w:rightChars="50"/>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982D1C">
            <w:pPr>
              <w:spacing w:line="360" w:lineRule="auto"/>
              <w:ind w:right="105" w:rightChars="50"/>
              <w:jc w:val="center"/>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07593F">
            <w:pPr>
              <w:spacing w:line="360" w:lineRule="auto"/>
              <w:ind w:right="105" w:rightChars="50"/>
              <w:rPr>
                <w:rFonts w:ascii="宋体"/>
                <w:color w:val="auto"/>
                <w:sz w:val="24"/>
                <w:szCs w:val="24"/>
                <w:highlight w:val="none"/>
              </w:rPr>
            </w:pPr>
            <w:r>
              <w:rPr>
                <w:rFonts w:hint="eastAsia" w:ascii="宋体"/>
                <w:color w:val="auto"/>
                <w:sz w:val="24"/>
                <w:szCs w:val="24"/>
                <w:highlight w:val="none"/>
              </w:rPr>
              <w:t>合格</w:t>
            </w:r>
          </w:p>
        </w:tc>
      </w:tr>
      <w:tr w14:paraId="57B5A49F">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442265">
            <w:pPr>
              <w:spacing w:line="360" w:lineRule="auto"/>
              <w:ind w:right="105" w:rightChars="50"/>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E85CD2">
            <w:pPr>
              <w:spacing w:line="360" w:lineRule="auto"/>
              <w:ind w:right="105" w:rightChars="50"/>
              <w:jc w:val="center"/>
              <w:rPr>
                <w:rFonts w:ascii="宋体" w:hAnsi="宋体" w:cs="宋体"/>
                <w:color w:val="auto"/>
                <w:sz w:val="24"/>
                <w:szCs w:val="24"/>
                <w:highlight w:val="none"/>
              </w:rPr>
            </w:pPr>
            <w:r>
              <w:rPr>
                <w:rFonts w:hint="eastAsia" w:ascii="宋体" w:hAnsi="宋体" w:cs="宋体"/>
                <w:color w:val="auto"/>
                <w:sz w:val="24"/>
                <w:szCs w:val="24"/>
                <w:highlight w:val="none"/>
              </w:rPr>
              <w:t>交货地点</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3DE636">
            <w:pPr>
              <w:spacing w:line="360" w:lineRule="auto"/>
              <w:ind w:right="105" w:rightChars="50"/>
              <w:rPr>
                <w:rFonts w:ascii="宋体"/>
                <w:color w:val="auto"/>
                <w:sz w:val="24"/>
                <w:szCs w:val="24"/>
                <w:highlight w:val="none"/>
              </w:rPr>
            </w:pPr>
            <w:r>
              <w:rPr>
                <w:rFonts w:hint="eastAsia" w:ascii="宋体" w:hAnsi="宋体"/>
                <w:color w:val="auto"/>
                <w:sz w:val="24"/>
                <w:szCs w:val="24"/>
                <w:highlight w:val="none"/>
              </w:rPr>
              <w:t>渑池县气象局</w:t>
            </w:r>
          </w:p>
        </w:tc>
      </w:tr>
      <w:tr w14:paraId="4FCC2854">
        <w:tblPrEx>
          <w:tblCellMar>
            <w:top w:w="0" w:type="dxa"/>
            <w:left w:w="0" w:type="dxa"/>
            <w:bottom w:w="0" w:type="dxa"/>
            <w:right w:w="0" w:type="dxa"/>
          </w:tblCellMar>
        </w:tblPrEx>
        <w:trPr>
          <w:trHeight w:val="56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793D1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2.0</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2A0A61">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供应商的资质</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CEF80">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1、满足《中华人民共和国政府采购法》第二十二条规定</w:t>
            </w:r>
          </w:p>
          <w:p w14:paraId="3DDCC72F">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59D22D11">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3、本项目的特定资格要求</w:t>
            </w:r>
          </w:p>
          <w:p w14:paraId="6F17BA97">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（1）供应商须具有有效的营业执照；</w:t>
            </w:r>
          </w:p>
          <w:p w14:paraId="7C5E35C0">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（2）供应商出具企业及法人代表无商业贿赂及无不正当竞争行为的承诺书；</w:t>
            </w:r>
          </w:p>
          <w:p w14:paraId="4541138A">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（3）提供供应商企业、法定代表人无行贿犯罪记录，在中国裁判文书网查询（提供网页查询截图）或供应商自行承诺；</w:t>
            </w:r>
          </w:p>
          <w:p w14:paraId="6C977AA9">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0A4983F5">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1580A79">
            <w:pPr>
              <w:wordWrap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（6）本项目不接受联合体投标。</w:t>
            </w:r>
          </w:p>
          <w:p w14:paraId="69968DD6">
            <w:pPr>
              <w:pStyle w:val="6"/>
              <w:ind w:left="0" w:leftChars="0" w:firstLine="0" w:firstLineChars="0"/>
              <w:jc w:val="both"/>
              <w:rPr>
                <w:color w:val="auto"/>
                <w:highlight w:val="none"/>
              </w:rPr>
            </w:pPr>
            <w:r>
              <w:rPr>
                <w:rFonts w:hint="eastAsia" w:ascii="宋体" w:hAnsi="宋体" w:eastAsia="宋体" w:cs="宋体"/>
                <w:color w:val="auto"/>
                <w:sz w:val="24"/>
                <w:szCs w:val="28"/>
                <w:highlight w:val="none"/>
              </w:rPr>
              <w:t>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tc>
      </w:tr>
      <w:tr w14:paraId="09402FF2">
        <w:tblPrEx>
          <w:tblCellMar>
            <w:top w:w="0" w:type="dxa"/>
            <w:left w:w="0" w:type="dxa"/>
            <w:bottom w:w="0" w:type="dxa"/>
            <w:right w:w="0" w:type="dxa"/>
          </w:tblCellMar>
        </w:tblPrEx>
        <w:trPr>
          <w:trHeight w:val="454"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33F355">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1</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0AF564">
            <w:pPr>
              <w:spacing w:line="480" w:lineRule="auto"/>
              <w:jc w:val="center"/>
              <w:rPr>
                <w:rFonts w:ascii="宋体"/>
                <w:color w:val="auto"/>
                <w:sz w:val="24"/>
                <w:szCs w:val="24"/>
                <w:highlight w:val="none"/>
              </w:rPr>
            </w:pPr>
            <w:r>
              <w:rPr>
                <w:rFonts w:hint="eastAsia" w:ascii="宋体" w:hAnsi="宋体" w:cs="宋体"/>
                <w:color w:val="auto"/>
                <w:sz w:val="24"/>
                <w:szCs w:val="24"/>
                <w:highlight w:val="none"/>
              </w:rPr>
              <w:t>踏勘现场</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7504A6">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不组织</w:t>
            </w:r>
          </w:p>
        </w:tc>
      </w:tr>
      <w:tr w14:paraId="6E81EEB4">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7C1002">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7F064C">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投标预备会</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218F44">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不召开</w:t>
            </w:r>
          </w:p>
        </w:tc>
      </w:tr>
      <w:tr w14:paraId="03F0A71F">
        <w:tblPrEx>
          <w:tblCellMar>
            <w:top w:w="0" w:type="dxa"/>
            <w:left w:w="0" w:type="dxa"/>
            <w:bottom w:w="0" w:type="dxa"/>
            <w:right w:w="0" w:type="dxa"/>
          </w:tblCellMar>
        </w:tblPrEx>
        <w:trPr>
          <w:trHeight w:val="56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F68C7">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3</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357A9">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投标供应商提出问题的截止时间</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56BF2A">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10</w:t>
            </w:r>
            <w:r>
              <w:rPr>
                <w:rFonts w:hint="eastAsia" w:ascii="宋体" w:hAnsi="宋体" w:cs="宋体"/>
                <w:color w:val="auto"/>
                <w:sz w:val="24"/>
                <w:szCs w:val="24"/>
                <w:highlight w:val="none"/>
              </w:rPr>
              <w:t>日前</w:t>
            </w:r>
            <w:r>
              <w:rPr>
                <w:rFonts w:ascii="宋体"/>
                <w:color w:val="auto"/>
                <w:sz w:val="24"/>
                <w:szCs w:val="24"/>
                <w:highlight w:val="none"/>
              </w:rPr>
              <w:t xml:space="preserve"> </w:t>
            </w:r>
          </w:p>
        </w:tc>
      </w:tr>
      <w:tr w14:paraId="417E1513">
        <w:tblPrEx>
          <w:tblCellMar>
            <w:top w:w="0" w:type="dxa"/>
            <w:left w:w="0" w:type="dxa"/>
            <w:bottom w:w="0" w:type="dxa"/>
            <w:right w:w="0" w:type="dxa"/>
          </w:tblCellMar>
        </w:tblPrEx>
        <w:trPr>
          <w:trHeight w:val="93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8034A">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4</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2FC1B">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采购人书面澄清的时间</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7E89EC">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15</w:t>
            </w:r>
            <w:r>
              <w:rPr>
                <w:rFonts w:hint="eastAsia" w:ascii="宋体" w:hAnsi="宋体" w:cs="宋体"/>
                <w:color w:val="auto"/>
                <w:sz w:val="24"/>
                <w:szCs w:val="24"/>
                <w:highlight w:val="none"/>
              </w:rPr>
              <w:t>日前。</w:t>
            </w:r>
          </w:p>
        </w:tc>
      </w:tr>
      <w:tr w14:paraId="6ABA61D9">
        <w:tblPrEx>
          <w:tblCellMar>
            <w:top w:w="0" w:type="dxa"/>
            <w:left w:w="0" w:type="dxa"/>
            <w:bottom w:w="0" w:type="dxa"/>
            <w:right w:w="0" w:type="dxa"/>
          </w:tblCellMar>
        </w:tblPrEx>
        <w:trPr>
          <w:trHeight w:val="50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FB5AF0">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DC6547">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偏离</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26488F">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允许</w:t>
            </w:r>
          </w:p>
        </w:tc>
      </w:tr>
      <w:tr w14:paraId="416C548D">
        <w:tblPrEx>
          <w:tblCellMar>
            <w:top w:w="0" w:type="dxa"/>
            <w:left w:w="0" w:type="dxa"/>
            <w:bottom w:w="0" w:type="dxa"/>
            <w:right w:w="0" w:type="dxa"/>
          </w:tblCellMar>
        </w:tblPrEx>
        <w:trPr>
          <w:trHeight w:val="52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48C21D">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6</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B84D1">
            <w:pPr>
              <w:spacing w:line="360" w:lineRule="auto"/>
              <w:ind w:right="105" w:rightChars="50"/>
              <w:jc w:val="center"/>
              <w:rPr>
                <w:rFonts w:ascii="宋体" w:hAnsi="宋体" w:cs="宋体"/>
                <w:color w:val="auto"/>
                <w:sz w:val="24"/>
                <w:szCs w:val="24"/>
                <w:highlight w:val="none"/>
              </w:rPr>
            </w:pPr>
            <w:r>
              <w:rPr>
                <w:rFonts w:cs="宋体"/>
                <w:color w:val="auto"/>
                <w:sz w:val="24"/>
                <w:szCs w:val="24"/>
                <w:highlight w:val="none"/>
              </w:rPr>
              <w:t>投标文件的签章</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32F4D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42E75DF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1、投标人在生成电子化投标文件后，应对电子化投标文件进行签章，未对电子化文件进行签章的视为无效投标。</w:t>
            </w:r>
          </w:p>
          <w:p w14:paraId="410D39E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2、招标文件中要求法定代表人或授权委托人盖章的，投标人在进行电子化投标文件签章时，以签盖法定代表人签章为准。</w:t>
            </w:r>
          </w:p>
          <w:p w14:paraId="33724275">
            <w:pP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3、电子化投标文件工具请在三门峡市公共资源交易中心网首页“帮助中心”下载</w:t>
            </w:r>
          </w:p>
        </w:tc>
      </w:tr>
      <w:tr w14:paraId="689E7C09">
        <w:tblPrEx>
          <w:tblCellMar>
            <w:top w:w="0" w:type="dxa"/>
            <w:left w:w="0" w:type="dxa"/>
            <w:bottom w:w="0" w:type="dxa"/>
            <w:right w:w="0" w:type="dxa"/>
          </w:tblCellMar>
        </w:tblPrEx>
        <w:trPr>
          <w:trHeight w:val="40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F47B16">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7</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230158">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投标截止时间</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7344F">
            <w:pPr>
              <w:spacing w:line="480" w:lineRule="auto"/>
              <w:rPr>
                <w:rFonts w:ascii="宋体"/>
                <w:color w:val="auto"/>
                <w:sz w:val="28"/>
                <w:szCs w:val="28"/>
                <w:highlight w:val="none"/>
              </w:rPr>
            </w:pPr>
            <w:r>
              <w:rPr>
                <w:rFonts w:hint="eastAsia" w:ascii="宋体" w:hAnsi="宋体" w:cs="宋体"/>
                <w:color w:val="auto"/>
                <w:sz w:val="24"/>
                <w:szCs w:val="24"/>
                <w:highlight w:val="none"/>
              </w:rPr>
              <w:t>同开标时间</w:t>
            </w:r>
          </w:p>
        </w:tc>
      </w:tr>
      <w:tr w14:paraId="265BFFB4">
        <w:tblPrEx>
          <w:tblCellMar>
            <w:top w:w="0" w:type="dxa"/>
            <w:left w:w="0" w:type="dxa"/>
            <w:bottom w:w="0" w:type="dxa"/>
            <w:right w:w="0" w:type="dxa"/>
          </w:tblCellMar>
        </w:tblPrEx>
        <w:trPr>
          <w:trHeight w:val="56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094E19">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8</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05CCFB">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投标有效期</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957FFD">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216A9C9A">
        <w:tblPrEx>
          <w:tblCellMar>
            <w:top w:w="0" w:type="dxa"/>
            <w:left w:w="0" w:type="dxa"/>
            <w:bottom w:w="0" w:type="dxa"/>
            <w:right w:w="0" w:type="dxa"/>
          </w:tblCellMar>
        </w:tblPrEx>
        <w:trPr>
          <w:trHeight w:val="871" w:hRule="atLeast"/>
          <w:jc w:val="center"/>
        </w:trPr>
        <w:tc>
          <w:tcPr>
            <w:tcW w:w="11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6D5A5C">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9</w:t>
            </w:r>
          </w:p>
        </w:tc>
        <w:tc>
          <w:tcPr>
            <w:tcW w:w="20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303737">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开标时间和地点</w:t>
            </w:r>
          </w:p>
        </w:tc>
        <w:tc>
          <w:tcPr>
            <w:tcW w:w="66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310DF">
            <w:pPr>
              <w:spacing w:line="360" w:lineRule="auto"/>
              <w:ind w:right="105" w:rightChars="50"/>
              <w:rPr>
                <w:rFonts w:ascii="宋体" w:hAnsi="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olor w:val="auto"/>
                <w:sz w:val="24"/>
                <w:szCs w:val="24"/>
                <w:highlight w:val="none"/>
              </w:rPr>
              <w:t>2025年12月29日8时20分（北京时间）</w:t>
            </w:r>
          </w:p>
          <w:p w14:paraId="426B1753">
            <w:pPr>
              <w:spacing w:line="360" w:lineRule="auto"/>
              <w:ind w:right="105" w:rightChars="50"/>
              <w:rPr>
                <w:rFonts w:ascii="宋体"/>
                <w:color w:val="auto"/>
                <w:sz w:val="24"/>
                <w:szCs w:val="24"/>
                <w:highlight w:val="none"/>
              </w:rPr>
            </w:pPr>
            <w:r>
              <w:rPr>
                <w:rFonts w:hint="eastAsia" w:ascii="宋体" w:hAnsi="宋体"/>
                <w:color w:val="auto"/>
                <w:sz w:val="24"/>
                <w:szCs w:val="24"/>
                <w:highlight w:val="none"/>
              </w:rPr>
              <w:t>地点：渑池县公共资源交易中心</w:t>
            </w:r>
            <w:r>
              <w:rPr>
                <w:rFonts w:hint="eastAsia" w:ascii="宋体" w:hAnsi="宋体"/>
                <w:color w:val="auto"/>
                <w:sz w:val="24"/>
                <w:szCs w:val="24"/>
                <w:highlight w:val="none"/>
                <w:lang w:eastAsia="zh-CN"/>
              </w:rPr>
              <w:t>开标二室</w:t>
            </w:r>
            <w:r>
              <w:rPr>
                <w:rFonts w:hint="eastAsia" w:ascii="宋体" w:hAnsi="宋体"/>
                <w:color w:val="auto"/>
                <w:sz w:val="24"/>
                <w:szCs w:val="24"/>
                <w:highlight w:val="none"/>
              </w:rPr>
              <w:t>。</w:t>
            </w:r>
          </w:p>
        </w:tc>
      </w:tr>
      <w:tr w14:paraId="5C2D73C0">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06846F">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3.0</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134A8D">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评标委员会的</w:t>
            </w:r>
          </w:p>
          <w:p w14:paraId="421FCDD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组建</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28FABC">
            <w:pP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评标委员会构成：5人，采购人代表1人，评审专家4人；</w:t>
            </w:r>
          </w:p>
          <w:p w14:paraId="1427F6A2">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评标专家确定方式：通过河南省政府采购网随机抽取。</w:t>
            </w:r>
          </w:p>
        </w:tc>
      </w:tr>
      <w:tr w14:paraId="2E572054">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BE70DA">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1</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FC4ECF">
            <w:pPr>
              <w:jc w:val="center"/>
              <w:rPr>
                <w:rFonts w:ascii="宋体"/>
                <w:color w:val="auto"/>
                <w:sz w:val="24"/>
                <w:szCs w:val="24"/>
                <w:highlight w:val="none"/>
              </w:rPr>
            </w:pPr>
            <w:r>
              <w:rPr>
                <w:rFonts w:hint="eastAsia" w:ascii="宋体" w:hAnsi="宋体" w:cs="宋体"/>
                <w:color w:val="auto"/>
                <w:sz w:val="24"/>
                <w:szCs w:val="24"/>
                <w:highlight w:val="none"/>
              </w:rPr>
              <w:t>是否授权评标委员会确定中标供应商</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683F75">
            <w:pPr>
              <w:spacing w:line="360" w:lineRule="auto"/>
              <w:ind w:right="105" w:rightChars="50"/>
              <w:rPr>
                <w:rFonts w:ascii="宋体"/>
                <w:color w:val="auto"/>
                <w:sz w:val="24"/>
                <w:szCs w:val="24"/>
                <w:highlight w:val="none"/>
              </w:rPr>
            </w:pPr>
            <w:r>
              <w:rPr>
                <w:rFonts w:hint="eastAsia" w:ascii="宋体" w:hAnsi="宋体" w:cs="_5b8b_4f53"/>
                <w:color w:val="auto"/>
                <w:sz w:val="24"/>
                <w:szCs w:val="24"/>
                <w:highlight w:val="none"/>
              </w:rPr>
              <w:t>否，评标委员会原则上推荐3名中标候选人并排序；</w:t>
            </w:r>
          </w:p>
        </w:tc>
      </w:tr>
      <w:tr w14:paraId="5F1ABB42">
        <w:tblPrEx>
          <w:tblCellMar>
            <w:top w:w="0" w:type="dxa"/>
            <w:left w:w="0" w:type="dxa"/>
            <w:bottom w:w="0" w:type="dxa"/>
            <w:right w:w="0" w:type="dxa"/>
          </w:tblCellMar>
        </w:tblPrEx>
        <w:trPr>
          <w:trHeight w:val="33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01287">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2</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53A0FB">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付款方式</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539227">
            <w:pPr>
              <w:spacing w:line="360" w:lineRule="auto"/>
              <w:ind w:right="105" w:rightChars="50"/>
              <w:rPr>
                <w:rFonts w:ascii="宋体"/>
                <w:color w:val="auto"/>
                <w:sz w:val="24"/>
                <w:szCs w:val="24"/>
                <w:highlight w:val="none"/>
              </w:rPr>
            </w:pPr>
            <w:r>
              <w:rPr>
                <w:rFonts w:hint="eastAsia" w:ascii="宋体"/>
                <w:color w:val="auto"/>
                <w:sz w:val="24"/>
                <w:szCs w:val="24"/>
                <w:highlight w:val="none"/>
              </w:rPr>
              <w:t>双方自行协商</w:t>
            </w:r>
          </w:p>
        </w:tc>
      </w:tr>
      <w:tr w14:paraId="75C430A3">
        <w:tblPrEx>
          <w:tblCellMar>
            <w:top w:w="0" w:type="dxa"/>
            <w:left w:w="0" w:type="dxa"/>
            <w:bottom w:w="0" w:type="dxa"/>
            <w:right w:w="0" w:type="dxa"/>
          </w:tblCellMar>
        </w:tblPrEx>
        <w:trPr>
          <w:trHeight w:val="54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8EABB2">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3</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D818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履约保证金</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3F559E">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本项目不收取履约保证金</w:t>
            </w:r>
          </w:p>
        </w:tc>
      </w:tr>
      <w:tr w14:paraId="49E981DE">
        <w:tblPrEx>
          <w:tblCellMar>
            <w:top w:w="0" w:type="dxa"/>
            <w:left w:w="0" w:type="dxa"/>
            <w:bottom w:w="0" w:type="dxa"/>
            <w:right w:w="0" w:type="dxa"/>
          </w:tblCellMar>
        </w:tblPrEx>
        <w:trPr>
          <w:trHeight w:val="55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8ADDCC">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4</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6B8E70">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代理费</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44226D">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本项目采购代理服务费按照《河南省招标代理服务收费指导意见（豫招协【2023】002号）》进行计取。由中标人支付。</w:t>
            </w:r>
          </w:p>
        </w:tc>
      </w:tr>
      <w:tr w14:paraId="36D49ADE">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280C6C">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3.5</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715EDC">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采购预算价</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50C64E">
            <w:pPr>
              <w:spacing w:line="360" w:lineRule="auto"/>
              <w:rPr>
                <w:rFonts w:ascii="宋体" w:cs="_5b8b_4f53"/>
                <w:color w:val="auto"/>
                <w:sz w:val="24"/>
                <w:szCs w:val="24"/>
                <w:highlight w:val="none"/>
              </w:rPr>
            </w:pPr>
            <w:r>
              <w:rPr>
                <w:rFonts w:hint="eastAsia" w:ascii="宋体" w:hAnsi="宋体" w:cs="宋体"/>
                <w:color w:val="auto"/>
                <w:sz w:val="24"/>
                <w:szCs w:val="24"/>
                <w:highlight w:val="none"/>
              </w:rPr>
              <w:t>本项目采购预算金额：捌佰伍拾柒万伍仟元整（</w:t>
            </w:r>
            <w:r>
              <w:rPr>
                <w:rFonts w:ascii="宋体" w:hAnsi="宋体" w:cs="宋体"/>
                <w:color w:val="auto"/>
                <w:sz w:val="24"/>
                <w:szCs w:val="24"/>
                <w:highlight w:val="none"/>
              </w:rPr>
              <w:t>¥</w:t>
            </w:r>
            <w:r>
              <w:rPr>
                <w:rFonts w:hint="eastAsia" w:ascii="宋体" w:hAnsi="宋体" w:cs="宋体"/>
                <w:color w:val="auto"/>
                <w:sz w:val="24"/>
                <w:szCs w:val="24"/>
                <w:highlight w:val="none"/>
              </w:rPr>
              <w:t>8575000.00元）。凡投标供应商投标报价超出“采购预算价”的，该投标供应商的投标文件应作无效标处理。</w:t>
            </w:r>
          </w:p>
        </w:tc>
      </w:tr>
      <w:tr w14:paraId="01C94349">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4617AF">
            <w:pPr>
              <w:spacing w:line="360" w:lineRule="auto"/>
              <w:ind w:right="105" w:rightChars="50"/>
              <w:jc w:val="center"/>
              <w:rPr>
                <w:rFonts w:ascii="宋体" w:hAnsi="宋体" w:cs="宋体"/>
                <w:color w:val="auto"/>
                <w:sz w:val="24"/>
                <w:szCs w:val="24"/>
                <w:highlight w:val="none"/>
              </w:rPr>
            </w:pPr>
            <w:r>
              <w:rPr>
                <w:rFonts w:hint="eastAsia" w:ascii="宋体" w:hAnsi="宋体" w:cs="宋体"/>
                <w:color w:val="auto"/>
                <w:sz w:val="24"/>
                <w:szCs w:val="24"/>
                <w:highlight w:val="none"/>
              </w:rPr>
              <w:t>3.6</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0750AB">
            <w:pPr>
              <w:spacing w:line="360" w:lineRule="auto"/>
              <w:ind w:right="105" w:rightChars="50"/>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E7D85">
            <w:pPr>
              <w:wordWrap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1、资格评（预）审部分：资格评（预）审以投标文件为准，其上传资料真实性由投标人自行承担。同时，投标人应在开标前自行完善主体库信息。</w:t>
            </w:r>
          </w:p>
          <w:p w14:paraId="2D124982">
            <w:pPr>
              <w:wordWrap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2、评标打分部分：评标打分部分按照100分制原则进行，涉及到资格审查、企业荣誉、人员业绩、企业业绩等计分部分时，以投标单位自行上传到投标文件中的各类相应内容为准。</w:t>
            </w:r>
          </w:p>
          <w:p w14:paraId="319AD32C">
            <w:pP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1BA41BC0">
            <w:pP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4、供应商在中标后可以持政府采购合同向融资机构申请贷款，供应商可在河南省政府采购网“河南省政府采购合同融资平台”获取融资渠道和方式。</w:t>
            </w:r>
          </w:p>
        </w:tc>
      </w:tr>
      <w:tr w14:paraId="49BED463">
        <w:tblPrEx>
          <w:tblCellMar>
            <w:top w:w="0" w:type="dxa"/>
            <w:left w:w="0" w:type="dxa"/>
            <w:bottom w:w="0" w:type="dxa"/>
            <w:right w:w="0" w:type="dxa"/>
          </w:tblCellMar>
        </w:tblPrEx>
        <w:trPr>
          <w:trHeight w:val="35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26F348">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3.7</w:t>
            </w:r>
          </w:p>
        </w:tc>
        <w:tc>
          <w:tcPr>
            <w:tcW w:w="20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4FC7A1">
            <w:pPr>
              <w:spacing w:line="360" w:lineRule="auto"/>
              <w:ind w:right="105" w:rightChars="50" w:firstLine="240" w:firstLineChars="100"/>
              <w:rPr>
                <w:rFonts w:ascii="宋体"/>
                <w:color w:val="auto"/>
                <w:sz w:val="24"/>
                <w:szCs w:val="24"/>
                <w:highlight w:val="none"/>
              </w:rPr>
            </w:pPr>
            <w:r>
              <w:rPr>
                <w:rFonts w:hint="eastAsia" w:ascii="宋体" w:hAnsi="宋体" w:cs="宋体"/>
                <w:color w:val="auto"/>
                <w:sz w:val="24"/>
                <w:szCs w:val="24"/>
                <w:highlight w:val="none"/>
              </w:rPr>
              <w:t>电子化交易</w:t>
            </w:r>
          </w:p>
          <w:p w14:paraId="05AA5E5B">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注意事项</w:t>
            </w:r>
          </w:p>
        </w:tc>
        <w:tc>
          <w:tcPr>
            <w:tcW w:w="66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F28E11">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本项目为电子化、无纸化交易项目，投标文件是投标人、供应商（以下简称“投标人”）通过</w:t>
            </w:r>
            <w:r>
              <w:rPr>
                <w:rFonts w:hint="eastAsia" w:ascii="宋体" w:hAnsi="宋体"/>
                <w:b/>
                <w:color w:val="auto"/>
                <w:sz w:val="24"/>
                <w:szCs w:val="24"/>
                <w:highlight w:val="none"/>
              </w:rPr>
              <w:t>中心投标文件制作系统制作，并经过电子签章和加密后生成的电子版投标文件。投标人投标时，将不再接</w:t>
            </w:r>
            <w:r>
              <w:rPr>
                <w:rFonts w:hint="eastAsia" w:ascii="宋体" w:hAnsi="宋体" w:cs="宋体"/>
                <w:b/>
                <w:color w:val="auto"/>
                <w:sz w:val="24"/>
                <w:szCs w:val="24"/>
                <w:highlight w:val="none"/>
              </w:rPr>
              <w:t>受任何纸质文件资料。</w:t>
            </w:r>
          </w:p>
          <w:p w14:paraId="3B41072E">
            <w:pPr>
              <w:spacing w:line="360" w:lineRule="auto"/>
              <w:ind w:firstLine="600" w:firstLineChars="249"/>
              <w:rPr>
                <w:rFonts w:ascii="宋体" w:hAnsi="宋体"/>
                <w:b/>
                <w:color w:val="auto"/>
                <w:sz w:val="24"/>
                <w:szCs w:val="24"/>
                <w:highlight w:val="none"/>
              </w:rPr>
            </w:pPr>
            <w:r>
              <w:rPr>
                <w:rFonts w:hint="eastAsia" w:ascii="宋体" w:hAnsi="宋体"/>
                <w:b/>
                <w:color w:val="auto"/>
                <w:sz w:val="24"/>
                <w:szCs w:val="24"/>
                <w:highlight w:val="none"/>
              </w:rPr>
              <w:t>电子化投标文件工具请在三门峡市公共资源交易中心网首页“帮助中心”下载。</w:t>
            </w:r>
          </w:p>
          <w:p w14:paraId="48BD43DB">
            <w:pPr>
              <w:spacing w:line="360" w:lineRule="auto"/>
              <w:ind w:firstLine="573"/>
              <w:rPr>
                <w:rFonts w:ascii="宋体" w:hAnsi="宋体"/>
                <w:color w:val="auto"/>
                <w:sz w:val="24"/>
                <w:szCs w:val="24"/>
                <w:highlight w:val="none"/>
              </w:rPr>
            </w:pPr>
            <w:r>
              <w:rPr>
                <w:rFonts w:hint="eastAsia" w:ascii="宋体" w:hAnsi="宋体" w:cs="宋体"/>
                <w:b/>
                <w:color w:val="auto"/>
                <w:sz w:val="24"/>
                <w:szCs w:val="24"/>
                <w:highlight w:val="none"/>
              </w:rPr>
              <w:t>温馨提示：本项目为电子化、无纸化交易项目，开标时不接受任何纸质资料，为保证您能投标成功，请需仔细阅读以下条款。</w:t>
            </w:r>
          </w:p>
          <w:p w14:paraId="1FE101BA">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160BF5E5">
            <w:pPr>
              <w:spacing w:line="360" w:lineRule="auto"/>
              <w:rPr>
                <w:rFonts w:ascii="宋体" w:hAnsi="宋体"/>
                <w:color w:val="auto"/>
                <w:sz w:val="24"/>
                <w:szCs w:val="24"/>
                <w:highlight w:val="none"/>
              </w:rPr>
            </w:pPr>
            <w:r>
              <w:rPr>
                <w:rFonts w:hint="eastAsia" w:ascii="宋体" w:hAnsi="宋体"/>
                <w:color w:val="auto"/>
                <w:sz w:val="24"/>
                <w:szCs w:val="24"/>
                <w:highlight w:val="none"/>
              </w:rPr>
              <w:t>（一）电子化投标文件的签章</w:t>
            </w:r>
          </w:p>
          <w:p w14:paraId="63E503F1">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1、投标人在生成电子化投标文件后，应对电子化投标文件进行签章，未进行签章的视为无效投标。</w:t>
            </w:r>
          </w:p>
          <w:p w14:paraId="63D525C4">
            <w:pPr>
              <w:spacing w:line="360" w:lineRule="auto"/>
              <w:rPr>
                <w:rFonts w:ascii="宋体" w:hAnsi="宋体"/>
                <w:color w:val="auto"/>
                <w:sz w:val="24"/>
                <w:szCs w:val="24"/>
                <w:highlight w:val="none"/>
              </w:rPr>
            </w:pPr>
            <w:r>
              <w:rPr>
                <w:rFonts w:hint="eastAsia" w:ascii="宋体" w:hAnsi="宋体"/>
                <w:color w:val="auto"/>
                <w:sz w:val="24"/>
                <w:szCs w:val="24"/>
                <w:highlight w:val="none"/>
              </w:rPr>
              <w:t>2、投标文件中要求</w:t>
            </w:r>
            <w:r>
              <w:rPr>
                <w:rFonts w:hint="eastAsia" w:ascii="宋体" w:hAnsi="宋体"/>
                <w:b/>
                <w:color w:val="auto"/>
                <w:sz w:val="24"/>
                <w:szCs w:val="24"/>
                <w:highlight w:val="none"/>
              </w:rPr>
              <w:t>法定代表人或授权委托人盖章的，</w:t>
            </w:r>
            <w:r>
              <w:rPr>
                <w:rFonts w:hint="eastAsia" w:ascii="宋体" w:hAnsi="宋体"/>
                <w:color w:val="auto"/>
                <w:sz w:val="24"/>
                <w:szCs w:val="24"/>
                <w:highlight w:val="none"/>
              </w:rPr>
              <w:t>投标人在进行</w:t>
            </w:r>
            <w:r>
              <w:rPr>
                <w:rFonts w:hint="eastAsia" w:ascii="宋体" w:hAnsi="宋体"/>
                <w:b/>
                <w:color w:val="auto"/>
                <w:sz w:val="24"/>
                <w:szCs w:val="24"/>
                <w:highlight w:val="none"/>
              </w:rPr>
              <w:t>电子化投标文件签章时，以签盖法定代表人签章为准。</w:t>
            </w:r>
            <w:r>
              <w:rPr>
                <w:rFonts w:hint="eastAsia" w:ascii="宋体" w:hAnsi="宋体"/>
                <w:color w:val="auto"/>
                <w:sz w:val="24"/>
                <w:szCs w:val="24"/>
                <w:highlight w:val="none"/>
              </w:rPr>
              <w:t>电子化投标文件具体制作教材请投标人通过CA证书登录三门峡市公共资源电子化交易系统在右上角“交易智库”中查看。</w:t>
            </w:r>
            <w:r>
              <w:rPr>
                <w:rFonts w:hint="eastAsia" w:ascii="宋体" w:hAnsi="宋体" w:cs="宋体"/>
                <w:color w:val="auto"/>
                <w:sz w:val="24"/>
                <w:szCs w:val="24"/>
                <w:highlight w:val="none"/>
              </w:rPr>
              <w:t>电子化投标文件工具请在三门峡市公共资源交易中心网首页“帮助中心”下载。</w:t>
            </w:r>
          </w:p>
          <w:p w14:paraId="0316BBA8">
            <w:pPr>
              <w:spacing w:line="360" w:lineRule="auto"/>
              <w:rPr>
                <w:rFonts w:ascii="宋体" w:hAnsi="宋体"/>
                <w:b/>
                <w:color w:val="auto"/>
                <w:sz w:val="24"/>
                <w:szCs w:val="24"/>
                <w:highlight w:val="none"/>
              </w:rPr>
            </w:pPr>
            <w:r>
              <w:rPr>
                <w:rFonts w:hint="eastAsia" w:ascii="宋体" w:hAnsi="宋体"/>
                <w:color w:val="auto"/>
                <w:sz w:val="24"/>
                <w:szCs w:val="24"/>
                <w:highlight w:val="none"/>
              </w:rPr>
              <w:t>（二）电子化投标文件的格式及上传投标</w:t>
            </w:r>
          </w:p>
          <w:p w14:paraId="1A29BB47">
            <w:pP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4E0262D1">
            <w:pPr>
              <w:spacing w:line="360" w:lineRule="auto"/>
              <w:rPr>
                <w:rFonts w:ascii="宋体" w:hAnsi="宋体"/>
                <w:color w:val="auto"/>
                <w:sz w:val="24"/>
                <w:szCs w:val="24"/>
                <w:highlight w:val="none"/>
              </w:rPr>
            </w:pPr>
            <w:r>
              <w:rPr>
                <w:rFonts w:hint="eastAsia" w:ascii="宋体" w:hAnsi="宋体"/>
                <w:color w:val="auto"/>
                <w:sz w:val="24"/>
                <w:szCs w:val="24"/>
                <w:highlight w:val="none"/>
              </w:rPr>
              <w:t>注：投标人投报多个标段的，需要每个标段单独制作电子投标文件。</w:t>
            </w:r>
          </w:p>
          <w:p w14:paraId="4C95DC78">
            <w:pP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2C37BAB1">
            <w:pPr>
              <w:spacing w:line="360" w:lineRule="auto"/>
              <w:rPr>
                <w:rFonts w:ascii="宋体" w:hAnsi="宋体" w:cs="宋体"/>
                <w:color w:val="auto"/>
                <w:sz w:val="24"/>
                <w:szCs w:val="24"/>
                <w:highlight w:val="none"/>
              </w:rPr>
            </w:pPr>
            <w:r>
              <w:rPr>
                <w:rFonts w:hint="eastAsia" w:ascii="宋体" w:hAnsi="宋体"/>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cs="宋体"/>
                <w:color w:val="auto"/>
                <w:sz w:val="24"/>
                <w:szCs w:val="24"/>
                <w:highlight w:val="none"/>
              </w:rPr>
              <w:t>技术联系电话：0398-3117871</w:t>
            </w:r>
          </w:p>
          <w:p w14:paraId="7101DCA2">
            <w:pPr>
              <w:spacing w:line="360" w:lineRule="auto"/>
              <w:rPr>
                <w:rFonts w:ascii="宋体" w:hAnsi="宋体"/>
                <w:color w:val="auto"/>
                <w:sz w:val="24"/>
                <w:szCs w:val="24"/>
                <w:highlight w:val="none"/>
              </w:rPr>
            </w:pPr>
            <w:r>
              <w:rPr>
                <w:rFonts w:hint="eastAsia" w:ascii="宋体" w:hAnsi="宋体"/>
                <w:color w:val="auto"/>
                <w:sz w:val="24"/>
                <w:szCs w:val="24"/>
                <w:highlight w:val="none"/>
              </w:rPr>
              <w:t>（三）电子化项目开标、解密、唱标、评标</w:t>
            </w:r>
          </w:p>
          <w:p w14:paraId="6F7A25DD">
            <w:pP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1、本项目为不见面开标项目。开标当日，投标人无需到开标现场参加开标会议，投标人应当在投标截止时间前，登录不见面开标大厅选择登录三门峡市公共资源电子招投标系统进行登录（网址为http://120.194.249.36:10094/BidOpening/bidopeninghallaction/hall/login）,在线准时参加开标活动并进行投标文件解密等。</w:t>
            </w:r>
          </w:p>
          <w:p w14:paraId="3C0B8898">
            <w:pP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21840C0F">
            <w:pPr>
              <w:spacing w:line="360" w:lineRule="auto"/>
              <w:rPr>
                <w:rFonts w:ascii="宋体" w:hAnsi="宋体"/>
                <w:color w:val="auto"/>
                <w:sz w:val="24"/>
                <w:szCs w:val="24"/>
                <w:highlight w:val="none"/>
              </w:rPr>
            </w:pPr>
            <w:r>
              <w:rPr>
                <w:rFonts w:hint="eastAsia" w:ascii="宋体" w:hAnsi="宋体"/>
                <w:color w:val="auto"/>
                <w:sz w:val="24"/>
                <w:szCs w:val="24"/>
                <w:highlight w:val="none"/>
              </w:rPr>
              <w:t>如投标人携带CA证书至现场参加开标的，首先应按照中介服务机构指引，使用投标人CA证书对其电子化投标文件进行解密。</w:t>
            </w:r>
          </w:p>
          <w:p w14:paraId="61CF50F2">
            <w:pPr>
              <w:spacing w:line="360" w:lineRule="auto"/>
              <w:rPr>
                <w:rFonts w:ascii="宋体" w:hAnsi="宋体"/>
                <w:b/>
                <w:color w:val="auto"/>
                <w:sz w:val="24"/>
                <w:szCs w:val="24"/>
                <w:highlight w:val="none"/>
              </w:rPr>
            </w:pPr>
            <w:r>
              <w:rPr>
                <w:rFonts w:hint="eastAsia" w:ascii="宋体" w:hAnsi="宋体"/>
                <w:color w:val="auto"/>
                <w:sz w:val="24"/>
                <w:szCs w:val="24"/>
                <w:highlight w:val="none"/>
              </w:rPr>
              <w:t>3、电子化投标文件异常情况的处理</w:t>
            </w:r>
          </w:p>
          <w:p w14:paraId="69614847">
            <w:pPr>
              <w:spacing w:line="360" w:lineRule="auto"/>
              <w:rPr>
                <w:rFonts w:ascii="宋体" w:hAnsi="宋体"/>
                <w:color w:val="auto"/>
                <w:sz w:val="24"/>
                <w:szCs w:val="24"/>
                <w:highlight w:val="none"/>
              </w:rPr>
            </w:pPr>
            <w:r>
              <w:rPr>
                <w:rFonts w:hint="eastAsia" w:ascii="宋体" w:hAnsi="宋体"/>
                <w:color w:val="auto"/>
                <w:sz w:val="24"/>
                <w:szCs w:val="24"/>
                <w:highlight w:val="none"/>
              </w:rPr>
              <w:t>如出现投标人的电子投标文件无法解密等异常情况，投标人应及时致电中介服务机构说明。投标文件异常，按以下步骤进行处理：</w:t>
            </w:r>
          </w:p>
          <w:p w14:paraId="541EA901">
            <w:pPr>
              <w:spacing w:line="360" w:lineRule="auto"/>
              <w:rPr>
                <w:rFonts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374663B4">
            <w:pPr>
              <w:spacing w:line="360" w:lineRule="auto"/>
              <w:rPr>
                <w:rFonts w:ascii="宋体" w:hAnsi="宋体"/>
                <w:color w:val="auto"/>
                <w:sz w:val="24"/>
                <w:szCs w:val="24"/>
                <w:highlight w:val="none"/>
              </w:rPr>
            </w:pPr>
            <w:r>
              <w:rPr>
                <w:rFonts w:hint="eastAsia" w:ascii="宋体" w:hAnsi="宋体"/>
                <w:color w:val="auto"/>
                <w:sz w:val="24"/>
                <w:szCs w:val="24"/>
                <w:highlight w:val="none"/>
              </w:rPr>
              <w:t>（2）经技术人员排查后，是投标人文件自身问题导致投标文件无法解密的，该投标文件将不予接收、解密和唱标。开标会议继续进行。</w:t>
            </w:r>
          </w:p>
          <w:p w14:paraId="226BD027">
            <w:pPr>
              <w:spacing w:line="360" w:lineRule="auto"/>
              <w:rPr>
                <w:rFonts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D1D20E4">
            <w:pPr>
              <w:spacing w:line="360" w:lineRule="auto"/>
              <w:rPr>
                <w:rFonts w:ascii="宋体" w:hAnsi="宋体"/>
                <w:color w:val="auto"/>
                <w:sz w:val="24"/>
                <w:szCs w:val="24"/>
                <w:highlight w:val="none"/>
              </w:rPr>
            </w:pPr>
            <w:r>
              <w:rPr>
                <w:rFonts w:hint="eastAsia" w:ascii="宋体" w:hAnsi="宋体"/>
                <w:color w:val="auto"/>
                <w:sz w:val="24"/>
                <w:szCs w:val="24"/>
                <w:highlight w:val="none"/>
              </w:rPr>
              <w:t>4、待所有投标人投标文件解密完成后，由中介服务机构操作，对所有已解密投标文件进行唱标。</w:t>
            </w:r>
          </w:p>
          <w:p w14:paraId="01839191">
            <w:pPr>
              <w:spacing w:line="360" w:lineRule="auto"/>
              <w:rPr>
                <w:rFonts w:ascii="宋体" w:hAnsi="宋体"/>
                <w:b/>
                <w:color w:val="auto"/>
                <w:sz w:val="24"/>
                <w:szCs w:val="24"/>
                <w:highlight w:val="none"/>
              </w:rPr>
            </w:pPr>
            <w:r>
              <w:rPr>
                <w:rFonts w:hint="eastAsia" w:ascii="宋体" w:hAnsi="宋体"/>
                <w:b/>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2F7406C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olor w:val="auto"/>
                <w:sz w:val="24"/>
                <w:szCs w:val="24"/>
                <w:highlight w:val="none"/>
              </w:rPr>
              <w:t>投标</w:t>
            </w:r>
            <w:r>
              <w:rPr>
                <w:rFonts w:hint="eastAsia" w:ascii="宋体" w:hAnsi="宋体" w:cs="宋体"/>
                <w:color w:val="auto"/>
                <w:sz w:val="24"/>
                <w:szCs w:val="24"/>
                <w:highlight w:val="none"/>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szCs w:val="24"/>
                <w:highlight w:val="none"/>
              </w:rPr>
              <w:t>投标</w:t>
            </w:r>
            <w:r>
              <w:rPr>
                <w:rFonts w:hint="eastAsia" w:ascii="宋体" w:hAnsi="宋体" w:cs="宋体"/>
                <w:color w:val="auto"/>
                <w:sz w:val="24"/>
                <w:szCs w:val="24"/>
                <w:highlight w:val="none"/>
              </w:rPr>
              <w:t>人的质疑并做好书面记录。</w:t>
            </w:r>
            <w:r>
              <w:rPr>
                <w:rFonts w:hint="eastAsia" w:ascii="宋体" w:hAnsi="宋体"/>
                <w:color w:val="auto"/>
                <w:sz w:val="24"/>
                <w:szCs w:val="24"/>
                <w:highlight w:val="none"/>
              </w:rPr>
              <w:t>投标</w:t>
            </w:r>
            <w:r>
              <w:rPr>
                <w:rFonts w:hint="eastAsia" w:ascii="宋体" w:hAnsi="宋体" w:cs="宋体"/>
                <w:color w:val="auto"/>
                <w:sz w:val="24"/>
                <w:szCs w:val="24"/>
                <w:highlight w:val="none"/>
              </w:rPr>
              <w:t>人未在规定时间内提出质疑的，视为认可唱标内容。</w:t>
            </w:r>
          </w:p>
          <w:p w14:paraId="11349C05">
            <w:pPr>
              <w:spacing w:line="360" w:lineRule="auto"/>
              <w:rPr>
                <w:rFonts w:ascii="宋体" w:hAnsi="宋体"/>
                <w:color w:val="auto"/>
                <w:sz w:val="24"/>
                <w:szCs w:val="24"/>
                <w:highlight w:val="none"/>
              </w:rPr>
            </w:pPr>
            <w:r>
              <w:rPr>
                <w:rFonts w:hint="eastAsia" w:ascii="宋体" w:hAnsi="宋体"/>
                <w:color w:val="auto"/>
                <w:sz w:val="24"/>
                <w:szCs w:val="24"/>
                <w:highlight w:val="none"/>
              </w:rPr>
              <w:t>6、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A5232BD">
            <w:pPr>
              <w:spacing w:line="360" w:lineRule="auto"/>
              <w:rPr>
                <w:rFonts w:ascii="宋体" w:hAnsi="宋体"/>
                <w:color w:val="auto"/>
                <w:sz w:val="24"/>
                <w:szCs w:val="24"/>
                <w:highlight w:val="none"/>
              </w:rPr>
            </w:pPr>
            <w:r>
              <w:rPr>
                <w:rFonts w:hint="eastAsia" w:ascii="宋体" w:hAnsi="宋体"/>
                <w:color w:val="auto"/>
                <w:sz w:val="24"/>
                <w:szCs w:val="24"/>
                <w:highlight w:val="none"/>
              </w:rPr>
              <w:t>7、如评标委员会对需要回复的投标人连续三次致电未接通的，视为投标人放弃回复，评标委员会将自行对需要回复的内容进行认定。</w:t>
            </w:r>
          </w:p>
          <w:p w14:paraId="2E71405C">
            <w:pPr>
              <w:snapToGrid w:val="0"/>
              <w:spacing w:line="276" w:lineRule="auto"/>
              <w:rPr>
                <w:rFonts w:ascii="宋体"/>
                <w:b/>
                <w:bCs/>
                <w:color w:val="auto"/>
                <w:sz w:val="24"/>
                <w:szCs w:val="24"/>
                <w:highlight w:val="none"/>
              </w:rPr>
            </w:pPr>
            <w:r>
              <w:rPr>
                <w:rFonts w:hint="eastAsia" w:ascii="宋体" w:hAnsi="宋体" w:cs="宋体"/>
                <w:b/>
                <w:color w:val="auto"/>
                <w:sz w:val="24"/>
                <w:szCs w:val="24"/>
                <w:highlight w:val="none"/>
              </w:rPr>
              <w:t>提示：本项目为电子化、无纸化交易项目，开标时不再接受任何纸质资料，为保证您能投标成功，请需仔细阅读以上条款。</w:t>
            </w:r>
          </w:p>
        </w:tc>
      </w:tr>
    </w:tbl>
    <w:p w14:paraId="38E6BCAF">
      <w:pPr>
        <w:shd w:val="clear" w:color="auto" w:fill="FFFFFF"/>
        <w:snapToGrid w:val="0"/>
        <w:spacing w:line="360" w:lineRule="auto"/>
        <w:ind w:right="105" w:rightChars="50" w:firstLine="3975" w:firstLineChars="1100"/>
        <w:rPr>
          <w:rFonts w:ascii="宋体" w:hAnsi="宋体" w:cs="宋体"/>
          <w:b/>
          <w:bCs/>
          <w:color w:val="auto"/>
          <w:sz w:val="36"/>
          <w:szCs w:val="36"/>
          <w:highlight w:val="none"/>
        </w:rPr>
      </w:pPr>
    </w:p>
    <w:p w14:paraId="06E15826">
      <w:pPr>
        <w:rPr>
          <w:rFonts w:ascii="宋体" w:hAnsi="宋体" w:cs="宋体"/>
          <w:b/>
          <w:bCs/>
          <w:color w:val="auto"/>
          <w:sz w:val="36"/>
          <w:szCs w:val="36"/>
          <w:highlight w:val="none"/>
        </w:rPr>
      </w:pPr>
      <w:bookmarkStart w:id="27" w:name="_Toc30264"/>
      <w:bookmarkStart w:id="28" w:name="_Toc2461"/>
      <w:r>
        <w:rPr>
          <w:rFonts w:hint="eastAsia" w:ascii="宋体" w:hAnsi="宋体" w:cs="宋体"/>
          <w:b/>
          <w:bCs/>
          <w:color w:val="auto"/>
          <w:sz w:val="36"/>
          <w:szCs w:val="36"/>
          <w:highlight w:val="none"/>
        </w:rPr>
        <w:br w:type="page"/>
      </w:r>
    </w:p>
    <w:p w14:paraId="0DFF63BA">
      <w:pPr>
        <w:shd w:val="clear" w:color="auto" w:fill="FFFFFF"/>
        <w:snapToGrid w:val="0"/>
        <w:spacing w:line="360" w:lineRule="auto"/>
        <w:ind w:right="105" w:rightChars="50" w:firstLine="3975" w:firstLineChars="1100"/>
        <w:outlineLvl w:val="0"/>
        <w:rPr>
          <w:rFonts w:ascii="宋体"/>
          <w:b/>
          <w:bCs/>
          <w:color w:val="auto"/>
          <w:sz w:val="36"/>
          <w:szCs w:val="36"/>
          <w:highlight w:val="none"/>
        </w:rPr>
      </w:pPr>
      <w:r>
        <w:rPr>
          <w:rFonts w:hint="eastAsia" w:ascii="宋体" w:hAnsi="宋体" w:cs="宋体"/>
          <w:b/>
          <w:bCs/>
          <w:color w:val="auto"/>
          <w:sz w:val="36"/>
          <w:szCs w:val="36"/>
          <w:highlight w:val="none"/>
        </w:rPr>
        <w:t>一、总则</w:t>
      </w:r>
      <w:bookmarkEnd w:id="27"/>
      <w:bookmarkEnd w:id="28"/>
    </w:p>
    <w:p w14:paraId="19A199B5">
      <w:pPr>
        <w:shd w:val="clear" w:color="auto" w:fill="FFFFFF"/>
        <w:snapToGrid w:val="0"/>
        <w:spacing w:line="360" w:lineRule="auto"/>
        <w:ind w:right="105" w:rightChars="50" w:firstLine="482" w:firstLineChars="200"/>
        <w:outlineLvl w:val="1"/>
        <w:rPr>
          <w:rFonts w:ascii="宋体"/>
          <w:color w:val="auto"/>
          <w:sz w:val="24"/>
          <w:szCs w:val="24"/>
          <w:highlight w:val="none"/>
        </w:rPr>
      </w:pPr>
      <w:bookmarkStart w:id="29" w:name="_Toc20777"/>
      <w:bookmarkStart w:id="30" w:name="_Toc14997"/>
      <w:r>
        <w:rPr>
          <w:rFonts w:ascii="宋体" w:hAnsi="宋体" w:cs="宋体"/>
          <w:b/>
          <w:bCs/>
          <w:color w:val="auto"/>
          <w:sz w:val="24"/>
          <w:szCs w:val="24"/>
          <w:highlight w:val="none"/>
        </w:rPr>
        <w:t>1</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项目概况</w:t>
      </w:r>
      <w:bookmarkEnd w:id="29"/>
      <w:bookmarkEnd w:id="30"/>
    </w:p>
    <w:p w14:paraId="6792850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1.1采购内容：本项目为渑池县X波段相控阵天气建设工程项目（雷达系统设备采购），主要采购内容：X波段双偏振相控阵天气雷达设备及配套软件、相控阵天气雷达数据显示系统等。</w:t>
      </w:r>
    </w:p>
    <w:p w14:paraId="7B053F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1.2交货期限：合同签订之日起1年内采购人对雷达设备进行验货。</w:t>
      </w:r>
      <w:r>
        <w:rPr>
          <w:rFonts w:hint="eastAsia" w:ascii="宋体" w:hAnsi="宋体"/>
          <w:color w:val="auto"/>
          <w:sz w:val="24"/>
          <w:szCs w:val="24"/>
          <w:highlight w:val="none"/>
        </w:rPr>
        <w:t xml:space="preserve">   </w:t>
      </w:r>
    </w:p>
    <w:p w14:paraId="135FC8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1.3质保期：自本项目系统验收合格之日起，雷达设备提供8年原厂质保，其他设备提供3年质保，相关产品有国家规定的质保期从其规定，其规定不足3年的按3年计算。</w:t>
      </w:r>
    </w:p>
    <w:p w14:paraId="5C90AA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1.4质量要求：合格</w:t>
      </w:r>
    </w:p>
    <w:p w14:paraId="34F1116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1.5交货地点：采购人指定地点。</w:t>
      </w:r>
    </w:p>
    <w:p w14:paraId="1F368D98">
      <w:pPr>
        <w:shd w:val="clear" w:color="auto" w:fill="FFFFFF"/>
        <w:snapToGrid w:val="0"/>
        <w:spacing w:line="360" w:lineRule="auto"/>
        <w:ind w:right="105" w:rightChars="50" w:firstLine="482" w:firstLineChars="200"/>
        <w:outlineLvl w:val="1"/>
        <w:rPr>
          <w:rFonts w:ascii="宋体"/>
          <w:color w:val="auto"/>
          <w:sz w:val="24"/>
          <w:szCs w:val="24"/>
          <w:highlight w:val="none"/>
        </w:rPr>
      </w:pPr>
      <w:bookmarkStart w:id="31" w:name="_Toc16397"/>
      <w:bookmarkStart w:id="32" w:name="_Toc12324"/>
      <w:r>
        <w:rPr>
          <w:rFonts w:ascii="宋体" w:hAnsi="宋体" w:cs="宋体"/>
          <w:b/>
          <w:bCs/>
          <w:color w:val="auto"/>
          <w:sz w:val="24"/>
          <w:szCs w:val="24"/>
          <w:highlight w:val="none"/>
        </w:rPr>
        <w:t>2</w:t>
      </w:r>
      <w:r>
        <w:rPr>
          <w:rFonts w:hint="eastAsia" w:ascii="宋体" w:hAnsi="宋体" w:cs="宋体"/>
          <w:b/>
          <w:bCs/>
          <w:color w:val="auto"/>
          <w:sz w:val="24"/>
          <w:szCs w:val="24"/>
          <w:highlight w:val="none"/>
        </w:rPr>
        <w:t>、投标费用</w:t>
      </w:r>
      <w:bookmarkEnd w:id="31"/>
      <w:bookmarkEnd w:id="32"/>
    </w:p>
    <w:p w14:paraId="0AE2B186">
      <w:pPr>
        <w:shd w:val="clear" w:color="auto" w:fill="FFFFFF"/>
        <w:snapToGrid w:val="0"/>
        <w:spacing w:line="360" w:lineRule="auto"/>
        <w:ind w:right="105" w:rightChars="50" w:firstLine="482" w:firstLineChars="200"/>
        <w:rPr>
          <w:rFonts w:ascii="宋体"/>
          <w:color w:val="auto"/>
          <w:sz w:val="24"/>
          <w:szCs w:val="24"/>
          <w:highlight w:val="none"/>
        </w:rPr>
      </w:pPr>
      <w:r>
        <w:rPr>
          <w:rFonts w:ascii="宋体" w:hAnsi="宋体" w:cs="宋体"/>
          <w:b/>
          <w:bCs/>
          <w:color w:val="auto"/>
          <w:sz w:val="24"/>
          <w:szCs w:val="24"/>
          <w:highlight w:val="none"/>
        </w:rPr>
        <w:t>2.1</w:t>
      </w:r>
      <w:r>
        <w:rPr>
          <w:rFonts w:hint="eastAsia" w:ascii="宋体" w:hAnsi="宋体" w:cs="宋体"/>
          <w:color w:val="auto"/>
          <w:sz w:val="24"/>
          <w:szCs w:val="24"/>
          <w:highlight w:val="none"/>
        </w:rPr>
        <w:t>投标供应商承担其投标文件编制与递交所涉及的一切费用。在任何情况下采购人和招标代理机构对上述费用均不承担任何责任。</w:t>
      </w:r>
    </w:p>
    <w:p w14:paraId="35C12916">
      <w:pPr>
        <w:shd w:val="clear" w:color="auto" w:fill="FFFFFF"/>
        <w:snapToGrid w:val="0"/>
        <w:spacing w:line="360" w:lineRule="auto"/>
        <w:ind w:right="105" w:rightChars="50" w:firstLine="482" w:firstLineChars="200"/>
        <w:outlineLvl w:val="1"/>
        <w:rPr>
          <w:rFonts w:ascii="宋体"/>
          <w:color w:val="auto"/>
          <w:sz w:val="24"/>
          <w:szCs w:val="24"/>
          <w:highlight w:val="none"/>
        </w:rPr>
      </w:pPr>
      <w:bookmarkStart w:id="33" w:name="_Toc962"/>
      <w:bookmarkStart w:id="34" w:name="_Toc24234"/>
      <w:r>
        <w:rPr>
          <w:rFonts w:ascii="宋体" w:hAnsi="宋体" w:cs="宋体"/>
          <w:b/>
          <w:bCs/>
          <w:color w:val="auto"/>
          <w:sz w:val="24"/>
          <w:szCs w:val="24"/>
          <w:highlight w:val="none"/>
        </w:rPr>
        <w:t>3</w:t>
      </w:r>
      <w:r>
        <w:rPr>
          <w:rFonts w:hint="eastAsia" w:ascii="宋体" w:hAnsi="宋体" w:cs="宋体"/>
          <w:b/>
          <w:bCs/>
          <w:color w:val="auto"/>
          <w:sz w:val="24"/>
          <w:szCs w:val="24"/>
          <w:highlight w:val="none"/>
        </w:rPr>
        <w:t>、定义及解释</w:t>
      </w:r>
      <w:bookmarkEnd w:id="33"/>
      <w:bookmarkEnd w:id="34"/>
    </w:p>
    <w:p w14:paraId="4E520ECD">
      <w:pPr>
        <w:spacing w:line="360" w:lineRule="auto"/>
        <w:ind w:right="105" w:rightChars="50" w:firstLine="482" w:firstLineChars="200"/>
        <w:rPr>
          <w:rFonts w:ascii="宋体" w:hAnsi="宋体" w:cs="宋体"/>
          <w:color w:val="auto"/>
          <w:sz w:val="24"/>
          <w:szCs w:val="24"/>
          <w:highlight w:val="none"/>
        </w:rPr>
      </w:pPr>
      <w:r>
        <w:rPr>
          <w:rFonts w:ascii="宋体" w:hAnsi="宋体" w:cs="宋体"/>
          <w:b/>
          <w:bCs/>
          <w:color w:val="auto"/>
          <w:sz w:val="24"/>
          <w:szCs w:val="24"/>
          <w:highlight w:val="none"/>
        </w:rPr>
        <w:t>3.1</w:t>
      </w:r>
      <w:r>
        <w:rPr>
          <w:rFonts w:hint="eastAsia" w:ascii="宋体" w:hAnsi="宋体" w:cs="宋体"/>
          <w:color w:val="auto"/>
          <w:sz w:val="24"/>
          <w:szCs w:val="24"/>
          <w:highlight w:val="none"/>
        </w:rPr>
        <w:t>货物：系指投标供应商按招标文件规定而提供的设备、工具、备品备件、手册及其他有关技术资料和材料。</w:t>
      </w:r>
    </w:p>
    <w:p w14:paraId="3D0EB832">
      <w:pPr>
        <w:spacing w:line="360" w:lineRule="auto"/>
        <w:ind w:right="105" w:rightChars="50" w:firstLine="482" w:firstLineChars="200"/>
        <w:rPr>
          <w:rFonts w:ascii="宋体" w:hAnsi="宋体" w:cs="宋体"/>
          <w:color w:val="auto"/>
          <w:sz w:val="24"/>
          <w:szCs w:val="24"/>
          <w:highlight w:val="none"/>
        </w:rPr>
      </w:pPr>
      <w:r>
        <w:rPr>
          <w:rFonts w:ascii="宋体" w:hAnsi="宋体" w:cs="宋体"/>
          <w:b/>
          <w:bCs/>
          <w:color w:val="auto"/>
          <w:sz w:val="24"/>
          <w:szCs w:val="24"/>
          <w:highlight w:val="none"/>
        </w:rPr>
        <w:t>3.2</w:t>
      </w:r>
      <w:r>
        <w:rPr>
          <w:rFonts w:hint="eastAsia" w:ascii="宋体" w:hAnsi="宋体" w:cs="宋体"/>
          <w:color w:val="auto"/>
          <w:sz w:val="24"/>
          <w:szCs w:val="24"/>
          <w:highlight w:val="none"/>
        </w:rPr>
        <w:t>服务：系指投标供应商提供的安装、调试、验收、培训、质保期服务、与货物有关的运输和保险及其他伴随服务。</w:t>
      </w:r>
    </w:p>
    <w:p w14:paraId="78BD3B50">
      <w:pPr>
        <w:spacing w:line="360" w:lineRule="auto"/>
        <w:ind w:right="105" w:rightChars="50" w:firstLine="482" w:firstLineChars="200"/>
        <w:rPr>
          <w:rFonts w:ascii="宋体" w:hAnsi="宋体" w:cs="宋体"/>
          <w:b/>
          <w:bCs/>
          <w:color w:val="auto"/>
          <w:sz w:val="24"/>
          <w:szCs w:val="24"/>
          <w:highlight w:val="none"/>
        </w:rPr>
      </w:pPr>
      <w:r>
        <w:rPr>
          <w:rFonts w:ascii="宋体" w:hAnsi="宋体" w:cs="宋体"/>
          <w:b/>
          <w:bCs/>
          <w:color w:val="auto"/>
          <w:sz w:val="24"/>
          <w:szCs w:val="24"/>
          <w:highlight w:val="none"/>
        </w:rPr>
        <w:t>3.3</w:t>
      </w:r>
      <w:r>
        <w:rPr>
          <w:rFonts w:hint="eastAsia" w:ascii="宋体" w:hAnsi="宋体" w:cs="宋体"/>
          <w:color w:val="auto"/>
          <w:sz w:val="24"/>
          <w:szCs w:val="24"/>
          <w:highlight w:val="none"/>
        </w:rPr>
        <w:t>采购人：</w:t>
      </w:r>
      <w:r>
        <w:rPr>
          <w:rFonts w:hint="eastAsia" w:ascii="宋体" w:hAnsi="宋体"/>
          <w:color w:val="auto"/>
          <w:sz w:val="24"/>
          <w:szCs w:val="24"/>
          <w:highlight w:val="none"/>
        </w:rPr>
        <w:t>渑池县气象局</w:t>
      </w:r>
    </w:p>
    <w:p w14:paraId="0E997483">
      <w:pPr>
        <w:spacing w:line="360" w:lineRule="auto"/>
        <w:ind w:right="105" w:rightChars="50" w:firstLine="482" w:firstLineChars="200"/>
        <w:rPr>
          <w:rFonts w:ascii="宋体"/>
          <w:color w:val="auto"/>
          <w:sz w:val="24"/>
          <w:szCs w:val="24"/>
          <w:highlight w:val="none"/>
        </w:rPr>
      </w:pPr>
      <w:r>
        <w:rPr>
          <w:rFonts w:ascii="宋体" w:hAnsi="宋体" w:cs="宋体"/>
          <w:b/>
          <w:bCs/>
          <w:color w:val="auto"/>
          <w:sz w:val="24"/>
          <w:szCs w:val="24"/>
          <w:highlight w:val="none"/>
        </w:rPr>
        <w:t>3.4</w:t>
      </w:r>
      <w:r>
        <w:rPr>
          <w:rFonts w:hint="eastAsia" w:ascii="宋体" w:hAnsi="宋体" w:cs="宋体"/>
          <w:color w:val="auto"/>
          <w:sz w:val="24"/>
          <w:szCs w:val="24"/>
          <w:highlight w:val="none"/>
        </w:rPr>
        <w:t>投标供应商：是指响应招标、参加投标竞争的法人或者其他组织。</w:t>
      </w:r>
    </w:p>
    <w:p w14:paraId="3017703A">
      <w:pPr>
        <w:spacing w:line="360" w:lineRule="auto"/>
        <w:ind w:right="105" w:rightChars="50" w:firstLine="482" w:firstLineChars="200"/>
        <w:rPr>
          <w:rFonts w:ascii="宋体" w:hAnsi="宋体" w:cs="宋体"/>
          <w:color w:val="auto"/>
          <w:sz w:val="24"/>
          <w:szCs w:val="24"/>
          <w:highlight w:val="none"/>
        </w:rPr>
      </w:pPr>
      <w:r>
        <w:rPr>
          <w:rFonts w:ascii="宋体" w:hAnsi="宋体" w:cs="宋体"/>
          <w:b/>
          <w:bCs/>
          <w:color w:val="auto"/>
          <w:sz w:val="24"/>
          <w:szCs w:val="24"/>
          <w:highlight w:val="none"/>
        </w:rPr>
        <w:t>3.5</w:t>
      </w:r>
      <w:r>
        <w:rPr>
          <w:rFonts w:hint="eastAsia" w:ascii="宋体" w:hAnsi="宋体" w:cs="宋体"/>
          <w:color w:val="auto"/>
          <w:sz w:val="24"/>
          <w:szCs w:val="24"/>
          <w:highlight w:val="none"/>
        </w:rPr>
        <w:t>采购代理机构：崇璟工程管理咨询有限公司</w:t>
      </w:r>
    </w:p>
    <w:p w14:paraId="0E39221D">
      <w:pPr>
        <w:spacing w:line="360" w:lineRule="auto"/>
        <w:ind w:right="105" w:rightChars="50" w:firstLine="482" w:firstLineChars="200"/>
        <w:rPr>
          <w:rFonts w:ascii="宋体"/>
          <w:b/>
          <w:bCs/>
          <w:color w:val="auto"/>
          <w:sz w:val="24"/>
          <w:szCs w:val="24"/>
          <w:highlight w:val="none"/>
        </w:rPr>
      </w:pPr>
      <w:r>
        <w:rPr>
          <w:rFonts w:ascii="宋体" w:hAnsi="宋体" w:cs="宋体"/>
          <w:b/>
          <w:bCs/>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40DE5920">
      <w:pPr>
        <w:spacing w:line="360" w:lineRule="auto"/>
        <w:ind w:right="105" w:rightChars="50" w:firstLine="482" w:firstLineChars="200"/>
        <w:rPr>
          <w:rFonts w:ascii="宋体"/>
          <w:color w:val="auto"/>
          <w:sz w:val="24"/>
          <w:szCs w:val="24"/>
          <w:highlight w:val="none"/>
        </w:rPr>
      </w:pPr>
      <w:r>
        <w:rPr>
          <w:rFonts w:ascii="宋体" w:hAnsi="宋体" w:cs="宋体"/>
          <w:b/>
          <w:bCs/>
          <w:color w:val="auto"/>
          <w:sz w:val="24"/>
          <w:szCs w:val="24"/>
          <w:highlight w:val="none"/>
        </w:rPr>
        <w:t>3.7</w:t>
      </w:r>
      <w:r>
        <w:rPr>
          <w:rFonts w:hint="eastAsia" w:ascii="宋体" w:hAnsi="宋体" w:cs="宋体"/>
          <w:color w:val="auto"/>
          <w:sz w:val="24"/>
          <w:szCs w:val="24"/>
          <w:highlight w:val="none"/>
        </w:rPr>
        <w:t>日期、天数、时间：无特别说明时是指公历日及北京时间。</w:t>
      </w:r>
    </w:p>
    <w:p w14:paraId="2D0DE902">
      <w:pPr>
        <w:spacing w:line="360" w:lineRule="auto"/>
        <w:ind w:right="105" w:rightChars="50" w:firstLine="482" w:firstLineChars="200"/>
        <w:rPr>
          <w:rFonts w:ascii="宋体"/>
          <w:b/>
          <w:bCs/>
          <w:color w:val="auto"/>
          <w:sz w:val="24"/>
          <w:szCs w:val="24"/>
          <w:highlight w:val="none"/>
        </w:rPr>
      </w:pPr>
      <w:r>
        <w:rPr>
          <w:rFonts w:ascii="宋体" w:hAnsi="宋体" w:cs="宋体"/>
          <w:b/>
          <w:bCs/>
          <w:color w:val="auto"/>
          <w:sz w:val="24"/>
          <w:szCs w:val="24"/>
          <w:highlight w:val="none"/>
        </w:rPr>
        <w:t>3.8</w:t>
      </w:r>
      <w:r>
        <w:rPr>
          <w:rFonts w:hint="eastAsia" w:ascii="宋体" w:hAnsi="宋体" w:cs="宋体"/>
          <w:color w:val="auto"/>
          <w:sz w:val="24"/>
          <w:szCs w:val="24"/>
          <w:highlight w:val="none"/>
        </w:rPr>
        <w:t>招标文件中所规定的“书面形式”，是指任何手写的、打印或印刷的通讯，不包括传真发送。</w:t>
      </w:r>
    </w:p>
    <w:p w14:paraId="09B0B70A">
      <w:pPr>
        <w:shd w:val="clear" w:color="auto" w:fill="FFFFFF"/>
        <w:snapToGrid w:val="0"/>
        <w:spacing w:line="360" w:lineRule="auto"/>
        <w:ind w:right="105" w:rightChars="50" w:firstLine="482" w:firstLineChars="200"/>
        <w:outlineLvl w:val="1"/>
        <w:rPr>
          <w:rFonts w:ascii="宋体" w:hAnsi="宋体" w:cs="宋体"/>
          <w:b/>
          <w:bCs/>
          <w:color w:val="auto"/>
          <w:sz w:val="24"/>
          <w:szCs w:val="24"/>
          <w:highlight w:val="none"/>
        </w:rPr>
      </w:pPr>
      <w:bookmarkStart w:id="35" w:name="_Toc16807"/>
      <w:bookmarkStart w:id="36" w:name="_Toc17147"/>
      <w:r>
        <w:rPr>
          <w:rFonts w:hint="eastAsia" w:ascii="宋体" w:hAnsi="宋体" w:cs="宋体"/>
          <w:b/>
          <w:bCs/>
          <w:color w:val="auto"/>
          <w:sz w:val="24"/>
          <w:szCs w:val="24"/>
          <w:highlight w:val="none"/>
        </w:rPr>
        <w:t>4、合格的投标供应商</w:t>
      </w:r>
      <w:bookmarkEnd w:id="35"/>
      <w:bookmarkEnd w:id="36"/>
    </w:p>
    <w:p w14:paraId="5B6AAEC8">
      <w:pPr>
        <w:pStyle w:val="31"/>
        <w:spacing w:line="360" w:lineRule="auto"/>
        <w:ind w:firstLine="480" w:firstLineChars="200"/>
        <w:rPr>
          <w:rFonts w:hAnsi="宋体" w:eastAsia="宋体" w:cs="宋体"/>
          <w:color w:val="auto"/>
          <w:szCs w:val="24"/>
          <w:highlight w:val="none"/>
        </w:rPr>
      </w:pPr>
      <w:r>
        <w:rPr>
          <w:rFonts w:hint="eastAsia" w:hAnsi="宋体" w:eastAsia="宋体" w:cs="宋体"/>
          <w:color w:val="auto"/>
          <w:szCs w:val="24"/>
          <w:highlight w:val="none"/>
        </w:rPr>
        <w:t>详见第二章供应商须知前附表的规定</w:t>
      </w:r>
    </w:p>
    <w:p w14:paraId="26C018AF">
      <w:pPr>
        <w:shd w:val="clear" w:color="auto" w:fill="FFFFFF"/>
        <w:snapToGrid w:val="0"/>
        <w:spacing w:line="360" w:lineRule="auto"/>
        <w:ind w:right="105" w:rightChars="50" w:firstLine="482" w:firstLineChars="200"/>
        <w:outlineLvl w:val="1"/>
        <w:rPr>
          <w:rFonts w:ascii="宋体"/>
          <w:b/>
          <w:bCs/>
          <w:color w:val="auto"/>
          <w:sz w:val="24"/>
          <w:szCs w:val="24"/>
          <w:highlight w:val="none"/>
        </w:rPr>
      </w:pPr>
      <w:bookmarkStart w:id="37" w:name="_Toc4672"/>
      <w:bookmarkStart w:id="38" w:name="_Toc6684"/>
      <w:r>
        <w:rPr>
          <w:rFonts w:ascii="宋体" w:hAnsi="宋体" w:cs="宋体"/>
          <w:b/>
          <w:bCs/>
          <w:color w:val="auto"/>
          <w:sz w:val="24"/>
          <w:szCs w:val="24"/>
          <w:highlight w:val="none"/>
        </w:rPr>
        <w:t>5</w:t>
      </w:r>
      <w:r>
        <w:rPr>
          <w:rFonts w:hint="eastAsia" w:ascii="宋体" w:hAnsi="宋体" w:cs="宋体"/>
          <w:b/>
          <w:bCs/>
          <w:color w:val="auto"/>
          <w:sz w:val="24"/>
          <w:szCs w:val="24"/>
          <w:highlight w:val="none"/>
        </w:rPr>
        <w:t>、保证</w:t>
      </w:r>
      <w:bookmarkEnd w:id="37"/>
      <w:bookmarkEnd w:id="38"/>
    </w:p>
    <w:p w14:paraId="327FA5E0">
      <w:pPr>
        <w:shd w:val="clear" w:color="auto" w:fill="FFFFFF"/>
        <w:snapToGrid w:val="0"/>
        <w:spacing w:line="360" w:lineRule="auto"/>
        <w:ind w:right="105" w:rightChars="50" w:firstLine="482" w:firstLineChars="200"/>
        <w:rPr>
          <w:rFonts w:ascii="宋体"/>
          <w:color w:val="auto"/>
          <w:sz w:val="24"/>
          <w:szCs w:val="24"/>
          <w:highlight w:val="none"/>
        </w:rPr>
      </w:pPr>
      <w:r>
        <w:rPr>
          <w:rFonts w:ascii="宋体" w:hAnsi="宋体" w:cs="宋体"/>
          <w:b/>
          <w:bCs/>
          <w:color w:val="auto"/>
          <w:sz w:val="24"/>
          <w:szCs w:val="24"/>
          <w:highlight w:val="none"/>
        </w:rPr>
        <w:t>5.1</w:t>
      </w:r>
      <w:r>
        <w:rPr>
          <w:rFonts w:hint="eastAsia" w:ascii="宋体" w:hAnsi="宋体" w:cs="宋体"/>
          <w:color w:val="auto"/>
          <w:sz w:val="24"/>
          <w:szCs w:val="24"/>
          <w:highlight w:val="none"/>
        </w:rPr>
        <w:t>投标供应商应保证在投标文件中所提交的资料和数据是真实的。</w:t>
      </w:r>
    </w:p>
    <w:p w14:paraId="660B53F8">
      <w:pPr>
        <w:shd w:val="clear" w:color="auto" w:fill="FFFFFF"/>
        <w:snapToGrid w:val="0"/>
        <w:spacing w:line="360" w:lineRule="auto"/>
        <w:ind w:right="105" w:rightChars="50" w:firstLine="3975" w:firstLineChars="1100"/>
        <w:outlineLvl w:val="0"/>
        <w:rPr>
          <w:rFonts w:ascii="宋体" w:hAnsi="宋体" w:cs="宋体"/>
          <w:b/>
          <w:bCs/>
          <w:color w:val="auto"/>
          <w:sz w:val="36"/>
          <w:szCs w:val="36"/>
          <w:highlight w:val="none"/>
        </w:rPr>
      </w:pPr>
      <w:bookmarkStart w:id="39" w:name="_Toc4778"/>
      <w:bookmarkStart w:id="40" w:name="_Toc3088"/>
      <w:r>
        <w:rPr>
          <w:rFonts w:hint="eastAsia" w:ascii="宋体" w:hAnsi="宋体" w:cs="宋体"/>
          <w:b/>
          <w:bCs/>
          <w:color w:val="auto"/>
          <w:sz w:val="36"/>
          <w:szCs w:val="36"/>
          <w:highlight w:val="none"/>
        </w:rPr>
        <w:t>二、招标文件</w:t>
      </w:r>
      <w:bookmarkEnd w:id="39"/>
      <w:bookmarkEnd w:id="40"/>
    </w:p>
    <w:p w14:paraId="5BA149E0">
      <w:pPr>
        <w:shd w:val="clear" w:color="auto" w:fill="FFFFFF"/>
        <w:snapToGrid w:val="0"/>
        <w:spacing w:line="360" w:lineRule="auto"/>
        <w:ind w:right="105" w:rightChars="50" w:firstLine="482" w:firstLineChars="200"/>
        <w:outlineLvl w:val="1"/>
        <w:rPr>
          <w:rFonts w:ascii="宋体"/>
          <w:color w:val="auto"/>
          <w:sz w:val="44"/>
          <w:szCs w:val="44"/>
          <w:highlight w:val="none"/>
        </w:rPr>
      </w:pPr>
      <w:bookmarkStart w:id="41" w:name="_Toc20651"/>
      <w:bookmarkStart w:id="42" w:name="_Toc31864"/>
      <w:r>
        <w:rPr>
          <w:rFonts w:ascii="宋体" w:hAnsi="宋体" w:cs="宋体"/>
          <w:b/>
          <w:bCs/>
          <w:color w:val="auto"/>
          <w:sz w:val="24"/>
          <w:szCs w:val="24"/>
          <w:highlight w:val="none"/>
        </w:rPr>
        <w:t>6</w:t>
      </w:r>
      <w:r>
        <w:rPr>
          <w:rFonts w:hint="eastAsia" w:ascii="宋体" w:hAnsi="宋体" w:cs="宋体"/>
          <w:b/>
          <w:bCs/>
          <w:color w:val="auto"/>
          <w:sz w:val="24"/>
          <w:szCs w:val="24"/>
          <w:highlight w:val="none"/>
        </w:rPr>
        <w:t>、招标文件的组成</w:t>
      </w:r>
      <w:bookmarkEnd w:id="41"/>
      <w:bookmarkEnd w:id="42"/>
    </w:p>
    <w:p w14:paraId="559C0F15">
      <w:pPr>
        <w:shd w:val="clear" w:color="auto" w:fill="FFFFFF"/>
        <w:snapToGrid w:val="0"/>
        <w:spacing w:line="360" w:lineRule="auto"/>
        <w:ind w:right="105" w:rightChars="50" w:firstLine="482" w:firstLineChars="200"/>
        <w:rPr>
          <w:rFonts w:ascii="宋体"/>
          <w:color w:val="auto"/>
          <w:sz w:val="44"/>
          <w:szCs w:val="44"/>
          <w:highlight w:val="none"/>
        </w:rPr>
      </w:pPr>
      <w:r>
        <w:rPr>
          <w:rFonts w:ascii="宋体" w:hAnsi="宋体" w:cs="宋体"/>
          <w:b/>
          <w:bCs/>
          <w:color w:val="auto"/>
          <w:sz w:val="24"/>
          <w:szCs w:val="24"/>
          <w:highlight w:val="none"/>
        </w:rPr>
        <w:t>6.1</w:t>
      </w:r>
      <w:r>
        <w:rPr>
          <w:rFonts w:hint="eastAsia" w:ascii="宋体" w:hAnsi="宋体" w:cs="宋体"/>
          <w:color w:val="auto"/>
          <w:sz w:val="24"/>
          <w:szCs w:val="24"/>
          <w:highlight w:val="none"/>
        </w:rPr>
        <w:t>招标文件包括下列内容及按投标供应商须知第</w:t>
      </w:r>
      <w:r>
        <w:rPr>
          <w:rFonts w:ascii="宋体" w:hAnsi="宋体" w:cs="宋体"/>
          <w:color w:val="auto"/>
          <w:sz w:val="24"/>
          <w:szCs w:val="24"/>
          <w:highlight w:val="none"/>
        </w:rPr>
        <w:t>7</w:t>
      </w:r>
      <w:r>
        <w:rPr>
          <w:rFonts w:hint="eastAsia" w:ascii="宋体" w:hAnsi="宋体" w:cs="宋体"/>
          <w:color w:val="auto"/>
          <w:sz w:val="24"/>
          <w:szCs w:val="24"/>
          <w:highlight w:val="none"/>
        </w:rPr>
        <w:t>条款内容发出的答疑文件和第</w:t>
      </w:r>
      <w:r>
        <w:rPr>
          <w:rFonts w:ascii="宋体" w:hAnsi="宋体" w:cs="宋体"/>
          <w:color w:val="auto"/>
          <w:sz w:val="24"/>
          <w:szCs w:val="24"/>
          <w:highlight w:val="none"/>
        </w:rPr>
        <w:t>8</w:t>
      </w:r>
      <w:r>
        <w:rPr>
          <w:rFonts w:hint="eastAsia" w:ascii="宋体" w:hAnsi="宋体" w:cs="宋体"/>
          <w:color w:val="auto"/>
          <w:sz w:val="24"/>
          <w:szCs w:val="24"/>
          <w:highlight w:val="none"/>
        </w:rPr>
        <w:t>条款内容发出的补充文件。</w:t>
      </w:r>
    </w:p>
    <w:p w14:paraId="5EFB8A5E">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招标公告</w:t>
      </w:r>
    </w:p>
    <w:p w14:paraId="72F82E02">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第二章</w:t>
      </w:r>
      <w:r>
        <w:rPr>
          <w:rFonts w:hint="eastAsia" w:ascii="宋体"/>
          <w:color w:val="auto"/>
          <w:sz w:val="24"/>
          <w:szCs w:val="24"/>
          <w:highlight w:val="none"/>
        </w:rPr>
        <w:t xml:space="preserve"> </w:t>
      </w:r>
      <w:r>
        <w:rPr>
          <w:rFonts w:hint="eastAsia" w:ascii="宋体" w:hAnsi="宋体" w:cs="宋体"/>
          <w:color w:val="auto"/>
          <w:sz w:val="24"/>
          <w:szCs w:val="24"/>
          <w:highlight w:val="none"/>
        </w:rPr>
        <w:t>供应商须知</w:t>
      </w:r>
    </w:p>
    <w:p w14:paraId="3609F837">
      <w:pPr>
        <w:shd w:val="clear" w:color="auto" w:fill="FFFFFF"/>
        <w:snapToGrid w:val="0"/>
        <w:spacing w:line="360" w:lineRule="auto"/>
        <w:ind w:right="105" w:rightChars="5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采购内容及要求</w:t>
      </w:r>
    </w:p>
    <w:p w14:paraId="378428A1">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评标办法</w:t>
      </w:r>
    </w:p>
    <w:p w14:paraId="64176960">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第五章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合同条款及格式</w:t>
      </w:r>
    </w:p>
    <w:p w14:paraId="71326D40">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第六章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p>
    <w:p w14:paraId="3696273D">
      <w:pPr>
        <w:shd w:val="clear" w:color="auto" w:fill="FFFFFF"/>
        <w:snapToGrid w:val="0"/>
        <w:spacing w:line="360" w:lineRule="auto"/>
        <w:ind w:right="105" w:rightChars="50" w:firstLine="482" w:firstLineChars="200"/>
        <w:rPr>
          <w:rFonts w:ascii="宋体"/>
          <w:color w:val="auto"/>
          <w:sz w:val="24"/>
          <w:szCs w:val="24"/>
          <w:highlight w:val="none"/>
        </w:rPr>
      </w:pPr>
      <w:r>
        <w:rPr>
          <w:rFonts w:ascii="宋体" w:hAnsi="宋体" w:cs="宋体"/>
          <w:b/>
          <w:bCs/>
          <w:color w:val="auto"/>
          <w:sz w:val="24"/>
          <w:szCs w:val="24"/>
          <w:highlight w:val="none"/>
        </w:rPr>
        <w:t>6.2</w:t>
      </w:r>
      <w:r>
        <w:rPr>
          <w:rFonts w:hint="eastAsia" w:ascii="宋体" w:hAnsi="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396C13B8">
      <w:pPr>
        <w:shd w:val="clear" w:color="auto" w:fill="FFFFFF"/>
        <w:snapToGrid w:val="0"/>
        <w:spacing w:line="360" w:lineRule="auto"/>
        <w:ind w:right="105" w:rightChars="50" w:firstLine="482" w:firstLineChars="200"/>
        <w:outlineLvl w:val="1"/>
        <w:rPr>
          <w:rFonts w:ascii="宋体"/>
          <w:color w:val="auto"/>
          <w:sz w:val="24"/>
          <w:szCs w:val="24"/>
          <w:highlight w:val="none"/>
        </w:rPr>
      </w:pPr>
      <w:bookmarkStart w:id="43" w:name="_Toc5031"/>
      <w:bookmarkStart w:id="44" w:name="_Toc22361"/>
      <w:r>
        <w:rPr>
          <w:rFonts w:ascii="宋体" w:hAnsi="宋体" w:cs="宋体"/>
          <w:b/>
          <w:bCs/>
          <w:color w:val="auto"/>
          <w:sz w:val="24"/>
          <w:szCs w:val="24"/>
          <w:highlight w:val="none"/>
        </w:rPr>
        <w:t>7</w:t>
      </w:r>
      <w:r>
        <w:rPr>
          <w:rFonts w:hint="eastAsia" w:ascii="宋体" w:hAnsi="宋体" w:cs="宋体"/>
          <w:b/>
          <w:bCs/>
          <w:color w:val="auto"/>
          <w:sz w:val="24"/>
          <w:szCs w:val="24"/>
          <w:highlight w:val="none"/>
        </w:rPr>
        <w:t>、招标文件的澄清</w:t>
      </w:r>
      <w:bookmarkEnd w:id="43"/>
      <w:bookmarkEnd w:id="44"/>
    </w:p>
    <w:p w14:paraId="023D5B68">
      <w:pPr>
        <w:wordWrap w:val="0"/>
        <w:autoSpaceDE w:val="0"/>
        <w:autoSpaceDN w:val="0"/>
        <w:adjustRightInd w:val="0"/>
        <w:spacing w:line="360" w:lineRule="auto"/>
        <w:ind w:firstLine="480" w:firstLineChars="200"/>
        <w:jc w:val="left"/>
        <w:rPr>
          <w:rStyle w:val="33"/>
          <w:rFonts w:ascii="宋体" w:hAnsi="宋体"/>
          <w:color w:val="auto"/>
          <w:kern w:val="0"/>
          <w:sz w:val="24"/>
          <w:szCs w:val="24"/>
          <w:highlight w:val="none"/>
        </w:rPr>
      </w:pPr>
      <w:r>
        <w:rPr>
          <w:rStyle w:val="33"/>
          <w:rFonts w:hint="eastAsia" w:ascii="宋体" w:hAnsi="宋体"/>
          <w:color w:val="auto"/>
          <w:kern w:val="0"/>
          <w:sz w:val="24"/>
          <w:szCs w:val="24"/>
          <w:highlight w:val="none"/>
        </w:rPr>
        <w:t>7.1</w:t>
      </w:r>
      <w:r>
        <w:rPr>
          <w:rStyle w:val="33"/>
          <w:rFonts w:ascii="宋体" w:hAnsi="宋体"/>
          <w:color w:val="auto"/>
          <w:kern w:val="0"/>
          <w:sz w:val="24"/>
          <w:szCs w:val="24"/>
          <w:highlight w:val="none"/>
        </w:rPr>
        <w:t>投标人应仔细阅读和检查招标文件的全部内容。如发现缺页或附件不全，应及时向</w:t>
      </w:r>
      <w:r>
        <w:rPr>
          <w:rStyle w:val="33"/>
          <w:rFonts w:hint="eastAsia" w:ascii="宋体" w:hAnsi="宋体"/>
          <w:color w:val="auto"/>
          <w:kern w:val="0"/>
          <w:sz w:val="24"/>
          <w:szCs w:val="24"/>
          <w:highlight w:val="none"/>
        </w:rPr>
        <w:t>采购</w:t>
      </w:r>
      <w:r>
        <w:rPr>
          <w:rStyle w:val="33"/>
          <w:rFonts w:ascii="宋体" w:hAnsi="宋体"/>
          <w:color w:val="auto"/>
          <w:kern w:val="0"/>
          <w:sz w:val="24"/>
          <w:szCs w:val="24"/>
          <w:highlight w:val="none"/>
        </w:rPr>
        <w:t>人提出，以便补齐。如有疑问，应在投标截止时间1</w:t>
      </w:r>
      <w:r>
        <w:rPr>
          <w:rStyle w:val="33"/>
          <w:rFonts w:hint="eastAsia" w:ascii="宋体" w:hAnsi="宋体"/>
          <w:color w:val="auto"/>
          <w:kern w:val="0"/>
          <w:sz w:val="24"/>
          <w:szCs w:val="24"/>
          <w:highlight w:val="none"/>
        </w:rPr>
        <w:t>0日</w:t>
      </w:r>
      <w:r>
        <w:rPr>
          <w:rStyle w:val="33"/>
          <w:rFonts w:ascii="宋体" w:hAnsi="宋体"/>
          <w:color w:val="auto"/>
          <w:kern w:val="0"/>
          <w:sz w:val="24"/>
          <w:szCs w:val="24"/>
          <w:highlight w:val="none"/>
        </w:rPr>
        <w:t>前登录三门峡市公共资源交易中心网（</w:t>
      </w:r>
      <w:r>
        <w:rPr>
          <w:rStyle w:val="33"/>
          <w:rFonts w:hint="eastAsia" w:ascii="宋体" w:hAnsi="宋体"/>
          <w:color w:val="auto"/>
          <w:kern w:val="0"/>
          <w:sz w:val="24"/>
          <w:szCs w:val="24"/>
          <w:highlight w:val="none"/>
        </w:rPr>
        <w:t>http://gzjy.smx.gov.cn</w:t>
      </w:r>
      <w:r>
        <w:rPr>
          <w:rStyle w:val="33"/>
          <w:rFonts w:ascii="宋体" w:hAnsi="宋体"/>
          <w:color w:val="auto"/>
          <w:kern w:val="0"/>
          <w:sz w:val="24"/>
          <w:szCs w:val="24"/>
          <w:highlight w:val="none"/>
        </w:rPr>
        <w:t>），在网上向</w:t>
      </w:r>
      <w:r>
        <w:rPr>
          <w:rStyle w:val="33"/>
          <w:rFonts w:hint="eastAsia" w:ascii="宋体" w:hAnsi="宋体"/>
          <w:color w:val="auto"/>
          <w:kern w:val="0"/>
          <w:sz w:val="24"/>
          <w:szCs w:val="24"/>
          <w:highlight w:val="none"/>
        </w:rPr>
        <w:t>采购</w:t>
      </w:r>
      <w:r>
        <w:rPr>
          <w:rStyle w:val="33"/>
          <w:rFonts w:ascii="宋体" w:hAnsi="宋体"/>
          <w:color w:val="auto"/>
          <w:kern w:val="0"/>
          <w:sz w:val="24"/>
          <w:szCs w:val="24"/>
          <w:highlight w:val="none"/>
        </w:rPr>
        <w:t>人提出澄清要求，要求</w:t>
      </w:r>
      <w:r>
        <w:rPr>
          <w:rStyle w:val="33"/>
          <w:rFonts w:hint="eastAsia" w:ascii="宋体" w:hAnsi="宋体"/>
          <w:color w:val="auto"/>
          <w:kern w:val="0"/>
          <w:sz w:val="24"/>
          <w:szCs w:val="24"/>
          <w:highlight w:val="none"/>
        </w:rPr>
        <w:t>采购</w:t>
      </w:r>
      <w:r>
        <w:rPr>
          <w:rStyle w:val="33"/>
          <w:rFonts w:ascii="宋体" w:hAnsi="宋体"/>
          <w:color w:val="auto"/>
          <w:kern w:val="0"/>
          <w:sz w:val="24"/>
          <w:szCs w:val="24"/>
          <w:highlight w:val="none"/>
        </w:rPr>
        <w:t>人对招标文件予以澄清。</w:t>
      </w:r>
    </w:p>
    <w:p w14:paraId="06E844EE">
      <w:pPr>
        <w:wordWrap w:val="0"/>
        <w:autoSpaceDE w:val="0"/>
        <w:autoSpaceDN w:val="0"/>
        <w:adjustRightInd w:val="0"/>
        <w:spacing w:line="360" w:lineRule="auto"/>
        <w:ind w:firstLine="616" w:firstLineChars="257"/>
        <w:jc w:val="left"/>
        <w:rPr>
          <w:rStyle w:val="33"/>
          <w:rFonts w:ascii="宋体" w:hAnsi="宋体"/>
          <w:color w:val="auto"/>
          <w:kern w:val="0"/>
          <w:sz w:val="24"/>
          <w:szCs w:val="24"/>
          <w:highlight w:val="none"/>
        </w:rPr>
      </w:pPr>
      <w:r>
        <w:rPr>
          <w:rStyle w:val="33"/>
          <w:rFonts w:hint="eastAsia" w:ascii="宋体" w:hAnsi="宋体"/>
          <w:color w:val="auto"/>
          <w:kern w:val="0"/>
          <w:sz w:val="24"/>
          <w:szCs w:val="24"/>
          <w:highlight w:val="none"/>
        </w:rPr>
        <w:t>7.2 采购人的</w:t>
      </w:r>
      <w:r>
        <w:rPr>
          <w:rStyle w:val="33"/>
          <w:rFonts w:ascii="宋体" w:hAnsi="宋体"/>
          <w:color w:val="auto"/>
          <w:kern w:val="0"/>
          <w:sz w:val="24"/>
          <w:szCs w:val="24"/>
          <w:highlight w:val="none"/>
        </w:rPr>
        <w:t>澄清将在投标截止时间1</w:t>
      </w:r>
      <w:r>
        <w:rPr>
          <w:rStyle w:val="33"/>
          <w:rFonts w:hint="eastAsia" w:ascii="宋体" w:hAnsi="宋体"/>
          <w:color w:val="auto"/>
          <w:kern w:val="0"/>
          <w:sz w:val="24"/>
          <w:szCs w:val="24"/>
          <w:highlight w:val="none"/>
        </w:rPr>
        <w:t>5日</w:t>
      </w:r>
      <w:r>
        <w:rPr>
          <w:rStyle w:val="33"/>
          <w:rFonts w:ascii="宋体" w:hAnsi="宋体"/>
          <w:color w:val="auto"/>
          <w:kern w:val="0"/>
          <w:sz w:val="24"/>
          <w:szCs w:val="24"/>
          <w:highlight w:val="none"/>
        </w:rPr>
        <w:t>前</w:t>
      </w:r>
      <w:r>
        <w:rPr>
          <w:rStyle w:val="33"/>
          <w:rFonts w:hint="eastAsia" w:ascii="宋体" w:hAnsi="宋体"/>
          <w:color w:val="auto"/>
          <w:kern w:val="0"/>
          <w:sz w:val="24"/>
          <w:szCs w:val="24"/>
          <w:highlight w:val="none"/>
        </w:rPr>
        <w:t>，</w:t>
      </w:r>
      <w:r>
        <w:rPr>
          <w:rStyle w:val="33"/>
          <w:rFonts w:ascii="宋体" w:hAnsi="宋体"/>
          <w:color w:val="auto"/>
          <w:kern w:val="0"/>
          <w:sz w:val="24"/>
          <w:szCs w:val="24"/>
          <w:highlight w:val="none"/>
        </w:rPr>
        <w:t>在三门峡市公共资源交易中心网（</w:t>
      </w:r>
      <w:r>
        <w:rPr>
          <w:rStyle w:val="33"/>
          <w:rFonts w:hint="eastAsia" w:ascii="宋体" w:hAnsi="宋体"/>
          <w:color w:val="auto"/>
          <w:kern w:val="0"/>
          <w:sz w:val="24"/>
          <w:szCs w:val="24"/>
          <w:highlight w:val="none"/>
        </w:rPr>
        <w:t>http://gzjy.smx.gov.cn</w:t>
      </w:r>
      <w:r>
        <w:rPr>
          <w:rStyle w:val="33"/>
          <w:rFonts w:ascii="宋体" w:hAnsi="宋体"/>
          <w:color w:val="auto"/>
          <w:kern w:val="0"/>
          <w:sz w:val="24"/>
          <w:szCs w:val="24"/>
          <w:highlight w:val="none"/>
        </w:rPr>
        <w:t>）以网上形式通知所有</w:t>
      </w:r>
      <w:r>
        <w:rPr>
          <w:rStyle w:val="33"/>
          <w:rFonts w:hint="eastAsia" w:ascii="宋体" w:hAnsi="宋体"/>
          <w:color w:val="auto"/>
          <w:kern w:val="0"/>
          <w:sz w:val="24"/>
          <w:szCs w:val="24"/>
          <w:highlight w:val="none"/>
        </w:rPr>
        <w:t>下载</w:t>
      </w:r>
      <w:r>
        <w:rPr>
          <w:rStyle w:val="33"/>
          <w:rFonts w:ascii="宋体" w:hAnsi="宋体"/>
          <w:color w:val="auto"/>
          <w:kern w:val="0"/>
          <w:sz w:val="24"/>
          <w:szCs w:val="24"/>
          <w:highlight w:val="none"/>
        </w:rPr>
        <w:t>招标文件的投标人，但不指明澄清问题的来源。</w:t>
      </w:r>
    </w:p>
    <w:p w14:paraId="17A90F05">
      <w:pPr>
        <w:wordWrap w:val="0"/>
        <w:autoSpaceDE w:val="0"/>
        <w:autoSpaceDN w:val="0"/>
        <w:adjustRightInd w:val="0"/>
        <w:spacing w:line="360" w:lineRule="auto"/>
        <w:ind w:firstLine="616" w:firstLineChars="257"/>
        <w:jc w:val="left"/>
        <w:rPr>
          <w:rFonts w:ascii="宋体"/>
          <w:color w:val="auto"/>
          <w:sz w:val="24"/>
          <w:szCs w:val="24"/>
          <w:highlight w:val="none"/>
        </w:rPr>
      </w:pPr>
      <w:r>
        <w:rPr>
          <w:rStyle w:val="33"/>
          <w:rFonts w:hint="eastAsia" w:ascii="宋体" w:hAnsi="宋体"/>
          <w:color w:val="auto"/>
          <w:kern w:val="0"/>
          <w:sz w:val="24"/>
          <w:szCs w:val="24"/>
          <w:highlight w:val="none"/>
        </w:rPr>
        <w:t>7.3</w:t>
      </w:r>
      <w:r>
        <w:rPr>
          <w:rStyle w:val="33"/>
          <w:rFonts w:ascii="宋体" w:hAnsi="宋体"/>
          <w:color w:val="auto"/>
          <w:kern w:val="0"/>
          <w:sz w:val="24"/>
          <w:szCs w:val="24"/>
          <w:highlight w:val="none"/>
        </w:rPr>
        <w:t>投标人应注意及时浏览网上发布的澄清和修改通知并下载，因投标人原因未及时获知澄清、修改内容而导致的任何后果，概由投标人自己承担。</w:t>
      </w:r>
    </w:p>
    <w:p w14:paraId="4BB1F1E5">
      <w:pPr>
        <w:shd w:val="clear" w:color="auto" w:fill="FFFFFF"/>
        <w:snapToGrid w:val="0"/>
        <w:spacing w:line="360" w:lineRule="auto"/>
        <w:ind w:right="105" w:rightChars="50" w:firstLine="482" w:firstLineChars="200"/>
        <w:outlineLvl w:val="1"/>
        <w:rPr>
          <w:rFonts w:ascii="宋体"/>
          <w:color w:val="auto"/>
          <w:sz w:val="24"/>
          <w:szCs w:val="24"/>
          <w:highlight w:val="none"/>
        </w:rPr>
      </w:pPr>
      <w:bookmarkStart w:id="45" w:name="_Toc6699"/>
      <w:bookmarkStart w:id="46" w:name="_Toc20240"/>
      <w:r>
        <w:rPr>
          <w:rFonts w:ascii="宋体" w:hAnsi="宋体" w:cs="宋体"/>
          <w:b/>
          <w:bCs/>
          <w:color w:val="auto"/>
          <w:sz w:val="24"/>
          <w:szCs w:val="24"/>
          <w:highlight w:val="none"/>
        </w:rPr>
        <w:t>8</w:t>
      </w:r>
      <w:r>
        <w:rPr>
          <w:rFonts w:hint="eastAsia" w:ascii="宋体" w:hAnsi="宋体" w:cs="宋体"/>
          <w:b/>
          <w:bCs/>
          <w:color w:val="auto"/>
          <w:sz w:val="24"/>
          <w:szCs w:val="24"/>
          <w:highlight w:val="none"/>
        </w:rPr>
        <w:t>、招标文件的修正</w:t>
      </w:r>
      <w:bookmarkEnd w:id="45"/>
      <w:bookmarkEnd w:id="46"/>
    </w:p>
    <w:p w14:paraId="0499CCE7">
      <w:pPr>
        <w:autoSpaceDE w:val="0"/>
        <w:autoSpaceDN w:val="0"/>
        <w:adjustRightInd w:val="0"/>
        <w:spacing w:line="360" w:lineRule="auto"/>
        <w:ind w:firstLine="480" w:firstLineChars="200"/>
        <w:jc w:val="left"/>
        <w:rPr>
          <w:rStyle w:val="33"/>
          <w:rFonts w:ascii="宋体" w:hAnsi="宋体"/>
          <w:color w:val="auto"/>
          <w:kern w:val="0"/>
          <w:sz w:val="24"/>
          <w:szCs w:val="24"/>
          <w:highlight w:val="none"/>
        </w:rPr>
      </w:pPr>
      <w:r>
        <w:rPr>
          <w:rStyle w:val="33"/>
          <w:rFonts w:hint="eastAsia" w:ascii="宋体" w:hAnsi="宋体"/>
          <w:color w:val="auto"/>
          <w:kern w:val="0"/>
          <w:sz w:val="24"/>
          <w:szCs w:val="24"/>
          <w:highlight w:val="none"/>
        </w:rPr>
        <w:t>8.1</w:t>
      </w:r>
      <w:r>
        <w:rPr>
          <w:rStyle w:val="33"/>
          <w:rFonts w:ascii="宋体" w:hAnsi="宋体"/>
          <w:color w:val="auto"/>
          <w:kern w:val="0"/>
          <w:sz w:val="24"/>
          <w:szCs w:val="24"/>
          <w:highlight w:val="none"/>
        </w:rPr>
        <w:t>在投标截止时间1</w:t>
      </w:r>
      <w:r>
        <w:rPr>
          <w:rStyle w:val="33"/>
          <w:rFonts w:hint="eastAsia" w:ascii="宋体" w:hAnsi="宋体"/>
          <w:color w:val="auto"/>
          <w:kern w:val="0"/>
          <w:sz w:val="24"/>
          <w:szCs w:val="24"/>
          <w:highlight w:val="none"/>
        </w:rPr>
        <w:t>5日</w:t>
      </w:r>
      <w:r>
        <w:rPr>
          <w:rStyle w:val="33"/>
          <w:rFonts w:ascii="宋体" w:hAnsi="宋体"/>
          <w:color w:val="auto"/>
          <w:kern w:val="0"/>
          <w:sz w:val="24"/>
          <w:szCs w:val="24"/>
          <w:highlight w:val="none"/>
        </w:rPr>
        <w:t>前，</w:t>
      </w:r>
      <w:r>
        <w:rPr>
          <w:rStyle w:val="33"/>
          <w:rFonts w:hint="eastAsia" w:ascii="宋体" w:hAnsi="宋体"/>
          <w:color w:val="auto"/>
          <w:kern w:val="0"/>
          <w:sz w:val="24"/>
          <w:szCs w:val="24"/>
          <w:highlight w:val="none"/>
        </w:rPr>
        <w:t>采购</w:t>
      </w:r>
      <w:r>
        <w:rPr>
          <w:rStyle w:val="33"/>
          <w:rFonts w:ascii="宋体" w:hAnsi="宋体"/>
          <w:color w:val="auto"/>
          <w:kern w:val="0"/>
          <w:sz w:val="24"/>
          <w:szCs w:val="24"/>
          <w:highlight w:val="none"/>
        </w:rPr>
        <w:t>人可以</w:t>
      </w:r>
      <w:r>
        <w:rPr>
          <w:rStyle w:val="33"/>
          <w:rFonts w:hint="eastAsia" w:ascii="宋体" w:hAnsi="宋体"/>
          <w:color w:val="auto"/>
          <w:kern w:val="0"/>
          <w:sz w:val="24"/>
          <w:szCs w:val="24"/>
          <w:highlight w:val="none"/>
        </w:rPr>
        <w:t>在</w:t>
      </w:r>
      <w:r>
        <w:rPr>
          <w:rStyle w:val="33"/>
          <w:rFonts w:ascii="宋体" w:hAnsi="宋体"/>
          <w:color w:val="auto"/>
          <w:kern w:val="0"/>
          <w:sz w:val="24"/>
          <w:szCs w:val="24"/>
          <w:highlight w:val="none"/>
        </w:rPr>
        <w:t>三门峡市公共资源交易中心网以网上答疑形式修改招标文件，并通知所有已</w:t>
      </w:r>
      <w:r>
        <w:rPr>
          <w:rStyle w:val="33"/>
          <w:rFonts w:hint="eastAsia" w:ascii="宋体" w:hAnsi="宋体"/>
          <w:color w:val="auto"/>
          <w:kern w:val="0"/>
          <w:sz w:val="24"/>
          <w:szCs w:val="24"/>
          <w:highlight w:val="none"/>
        </w:rPr>
        <w:t>下载</w:t>
      </w:r>
      <w:r>
        <w:rPr>
          <w:rStyle w:val="33"/>
          <w:rFonts w:ascii="宋体" w:hAnsi="宋体"/>
          <w:color w:val="auto"/>
          <w:kern w:val="0"/>
          <w:sz w:val="24"/>
          <w:szCs w:val="24"/>
          <w:highlight w:val="none"/>
        </w:rPr>
        <w:t>招标文件的投标人。如果修改招标文件的时间距投标截止时间不足1</w:t>
      </w:r>
      <w:r>
        <w:rPr>
          <w:rStyle w:val="33"/>
          <w:rFonts w:hint="eastAsia" w:ascii="宋体" w:hAnsi="宋体"/>
          <w:color w:val="auto"/>
          <w:kern w:val="0"/>
          <w:sz w:val="24"/>
          <w:szCs w:val="24"/>
          <w:highlight w:val="none"/>
        </w:rPr>
        <w:t>5</w:t>
      </w:r>
      <w:r>
        <w:rPr>
          <w:rStyle w:val="33"/>
          <w:rFonts w:ascii="宋体" w:hAnsi="宋体"/>
          <w:color w:val="auto"/>
          <w:kern w:val="0"/>
          <w:sz w:val="24"/>
          <w:szCs w:val="24"/>
          <w:highlight w:val="none"/>
        </w:rPr>
        <w:t>天，相应延长投标截止时间。</w:t>
      </w:r>
    </w:p>
    <w:p w14:paraId="1B566887">
      <w:pPr>
        <w:autoSpaceDE w:val="0"/>
        <w:autoSpaceDN w:val="0"/>
        <w:adjustRightInd w:val="0"/>
        <w:spacing w:line="360" w:lineRule="auto"/>
        <w:ind w:firstLine="480" w:firstLineChars="200"/>
        <w:jc w:val="left"/>
        <w:rPr>
          <w:rStyle w:val="33"/>
          <w:rFonts w:ascii="宋体" w:hAnsi="宋体"/>
          <w:color w:val="auto"/>
          <w:kern w:val="0"/>
          <w:sz w:val="24"/>
          <w:szCs w:val="24"/>
          <w:highlight w:val="none"/>
        </w:rPr>
      </w:pPr>
      <w:r>
        <w:rPr>
          <w:rStyle w:val="33"/>
          <w:rFonts w:hint="eastAsia" w:ascii="宋体" w:hAnsi="宋体"/>
          <w:color w:val="auto"/>
          <w:kern w:val="0"/>
          <w:sz w:val="24"/>
          <w:szCs w:val="24"/>
          <w:highlight w:val="none"/>
        </w:rPr>
        <w:t>8.2</w:t>
      </w:r>
      <w:r>
        <w:rPr>
          <w:rStyle w:val="33"/>
          <w:rFonts w:ascii="宋体" w:hAnsi="宋体"/>
          <w:color w:val="auto"/>
          <w:kern w:val="0"/>
          <w:sz w:val="24"/>
          <w:szCs w:val="24"/>
          <w:highlight w:val="none"/>
        </w:rPr>
        <w:t>招标文件的澄清、修改、补充等内容均以</w:t>
      </w:r>
      <w:r>
        <w:rPr>
          <w:rStyle w:val="33"/>
          <w:rFonts w:hint="eastAsia" w:ascii="宋体" w:hAnsi="宋体"/>
          <w:color w:val="auto"/>
          <w:kern w:val="0"/>
          <w:sz w:val="24"/>
          <w:szCs w:val="24"/>
          <w:highlight w:val="none"/>
        </w:rPr>
        <w:t>采购人</w:t>
      </w:r>
      <w:r>
        <w:rPr>
          <w:rStyle w:val="33"/>
          <w:rFonts w:ascii="宋体" w:hAnsi="宋体"/>
          <w:color w:val="auto"/>
          <w:kern w:val="0"/>
          <w:sz w:val="24"/>
          <w:szCs w:val="24"/>
          <w:highlight w:val="none"/>
        </w:rPr>
        <w:t>答疑形式明确的内容为准。当招标文件的澄清、修改、补充等在同一内容的表述上不一致时，以最后发出的答疑为准。</w:t>
      </w:r>
    </w:p>
    <w:p w14:paraId="5CF4B5C5">
      <w:pPr>
        <w:shd w:val="clear" w:color="auto" w:fill="FFFFFF"/>
        <w:snapToGrid w:val="0"/>
        <w:spacing w:line="360" w:lineRule="auto"/>
        <w:ind w:right="105" w:rightChars="50"/>
        <w:jc w:val="center"/>
        <w:outlineLvl w:val="0"/>
        <w:rPr>
          <w:rFonts w:ascii="宋体" w:hAnsi="宋体" w:cs="宋体"/>
          <w:b/>
          <w:bCs/>
          <w:color w:val="auto"/>
          <w:sz w:val="36"/>
          <w:szCs w:val="36"/>
          <w:highlight w:val="none"/>
        </w:rPr>
      </w:pPr>
      <w:bookmarkStart w:id="47" w:name="_Toc16980"/>
      <w:bookmarkStart w:id="48" w:name="_Toc11110"/>
      <w:r>
        <w:rPr>
          <w:rFonts w:hint="eastAsia" w:ascii="宋体" w:hAnsi="宋体" w:cs="宋体"/>
          <w:b/>
          <w:bCs/>
          <w:color w:val="auto"/>
          <w:sz w:val="36"/>
          <w:szCs w:val="36"/>
          <w:highlight w:val="none"/>
        </w:rPr>
        <w:t>三、投标文件的编制</w:t>
      </w:r>
      <w:bookmarkEnd w:id="47"/>
      <w:bookmarkEnd w:id="48"/>
    </w:p>
    <w:p w14:paraId="32EE1F48">
      <w:pPr>
        <w:shd w:val="clear" w:color="auto" w:fill="FFFFFF"/>
        <w:snapToGrid w:val="0"/>
        <w:spacing w:line="360" w:lineRule="auto"/>
        <w:ind w:right="105" w:rightChars="50" w:firstLine="472" w:firstLineChars="196"/>
        <w:outlineLvl w:val="1"/>
        <w:rPr>
          <w:rFonts w:ascii="宋体"/>
          <w:color w:val="auto"/>
          <w:sz w:val="24"/>
          <w:szCs w:val="24"/>
          <w:highlight w:val="none"/>
        </w:rPr>
      </w:pPr>
      <w:bookmarkStart w:id="49" w:name="_Toc22641"/>
      <w:bookmarkStart w:id="50" w:name="_Toc30309"/>
      <w:r>
        <w:rPr>
          <w:rFonts w:ascii="宋体" w:hAnsi="宋体" w:cs="宋体"/>
          <w:b/>
          <w:bCs/>
          <w:color w:val="auto"/>
          <w:sz w:val="24"/>
          <w:szCs w:val="24"/>
          <w:highlight w:val="none"/>
        </w:rPr>
        <w:t>9</w:t>
      </w:r>
      <w:r>
        <w:rPr>
          <w:rFonts w:hint="eastAsia" w:ascii="宋体" w:hAnsi="宋体" w:cs="宋体"/>
          <w:b/>
          <w:bCs/>
          <w:color w:val="auto"/>
          <w:sz w:val="24"/>
          <w:szCs w:val="24"/>
          <w:highlight w:val="none"/>
        </w:rPr>
        <w:t>、特别说明</w:t>
      </w:r>
      <w:bookmarkEnd w:id="49"/>
      <w:bookmarkEnd w:id="50"/>
    </w:p>
    <w:p w14:paraId="7432E964">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9.1</w:t>
      </w:r>
      <w:r>
        <w:rPr>
          <w:rFonts w:hint="eastAsia" w:ascii="宋体" w:hAnsi="宋体" w:cs="宋体"/>
          <w:color w:val="auto"/>
          <w:sz w:val="24"/>
          <w:szCs w:val="24"/>
          <w:highlight w:val="none"/>
        </w:rPr>
        <w:t>投标语言</w:t>
      </w:r>
    </w:p>
    <w:p w14:paraId="6030922B">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42646ABD">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9.2</w:t>
      </w:r>
      <w:r>
        <w:rPr>
          <w:rFonts w:hint="eastAsia" w:ascii="宋体" w:hAnsi="宋体" w:cs="宋体"/>
          <w:color w:val="auto"/>
          <w:sz w:val="24"/>
          <w:szCs w:val="24"/>
          <w:highlight w:val="none"/>
        </w:rPr>
        <w:t>计量</w:t>
      </w:r>
    </w:p>
    <w:p w14:paraId="215FBCD0">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70DB3D78">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9.3</w:t>
      </w:r>
      <w:r>
        <w:rPr>
          <w:rFonts w:hint="eastAsia" w:ascii="宋体" w:hAnsi="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5D2107E">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9.4</w:t>
      </w:r>
      <w:r>
        <w:rPr>
          <w:rFonts w:hint="eastAsia" w:ascii="宋体" w:hAnsi="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6CF7AD5">
      <w:pPr>
        <w:shd w:val="clear" w:color="auto" w:fill="FFFFFF"/>
        <w:snapToGrid w:val="0"/>
        <w:spacing w:line="360" w:lineRule="auto"/>
        <w:ind w:right="105" w:rightChars="50" w:firstLine="472" w:firstLineChars="196"/>
        <w:rPr>
          <w:rFonts w:ascii="宋体"/>
          <w:b/>
          <w:bCs/>
          <w:color w:val="auto"/>
          <w:sz w:val="24"/>
          <w:szCs w:val="24"/>
          <w:highlight w:val="none"/>
        </w:rPr>
      </w:pPr>
      <w:r>
        <w:rPr>
          <w:rFonts w:ascii="宋体" w:hAnsi="宋体" w:cs="宋体"/>
          <w:b/>
          <w:bCs/>
          <w:color w:val="auto"/>
          <w:sz w:val="24"/>
          <w:szCs w:val="24"/>
          <w:highlight w:val="none"/>
        </w:rPr>
        <w:t>9.5</w:t>
      </w:r>
      <w:r>
        <w:rPr>
          <w:rFonts w:hint="eastAsia" w:ascii="宋体" w:hAnsi="宋体" w:cs="宋体"/>
          <w:b/>
          <w:bCs/>
          <w:color w:val="auto"/>
          <w:sz w:val="24"/>
          <w:szCs w:val="24"/>
          <w:highlight w:val="none"/>
        </w:rPr>
        <w:t>温馨提示：本项目为电子化、无纸化交易项目，开标时不接受任何纸质资料，为保证您能投标成功，请需仔细阅读投标供应商须知前附表。</w:t>
      </w:r>
    </w:p>
    <w:p w14:paraId="60A7F4AD">
      <w:pPr>
        <w:shd w:val="clear" w:color="auto" w:fill="FFFFFF"/>
        <w:snapToGrid w:val="0"/>
        <w:spacing w:line="360" w:lineRule="auto"/>
        <w:ind w:right="105" w:rightChars="50" w:firstLine="472" w:firstLineChars="196"/>
        <w:outlineLvl w:val="1"/>
        <w:rPr>
          <w:rFonts w:ascii="宋体" w:hAnsi="宋体" w:cs="宋体"/>
          <w:b/>
          <w:bCs/>
          <w:color w:val="auto"/>
          <w:sz w:val="24"/>
          <w:szCs w:val="24"/>
          <w:highlight w:val="none"/>
        </w:rPr>
      </w:pPr>
      <w:bookmarkStart w:id="51" w:name="_Toc4691"/>
      <w:bookmarkStart w:id="52" w:name="_Toc2306"/>
      <w:r>
        <w:rPr>
          <w:rFonts w:ascii="宋体" w:hAnsi="宋体" w:cs="宋体"/>
          <w:b/>
          <w:bCs/>
          <w:color w:val="auto"/>
          <w:sz w:val="24"/>
          <w:szCs w:val="24"/>
          <w:highlight w:val="none"/>
        </w:rPr>
        <w:t>10</w:t>
      </w:r>
      <w:r>
        <w:rPr>
          <w:rFonts w:hint="eastAsia" w:ascii="宋体" w:hAnsi="宋体" w:cs="宋体"/>
          <w:b/>
          <w:bCs/>
          <w:color w:val="auto"/>
          <w:sz w:val="24"/>
          <w:szCs w:val="24"/>
          <w:highlight w:val="none"/>
        </w:rPr>
        <w:t>、投标货物和服务的报价</w:t>
      </w:r>
      <w:bookmarkEnd w:id="51"/>
      <w:bookmarkEnd w:id="52"/>
    </w:p>
    <w:p w14:paraId="26626CA3">
      <w:pPr>
        <w:autoSpaceDE w:val="0"/>
        <w:autoSpaceDN w:val="0"/>
        <w:adjustRightInd w:val="0"/>
        <w:spacing w:line="360" w:lineRule="auto"/>
        <w:ind w:firstLine="480" w:firstLineChars="200"/>
        <w:jc w:val="left"/>
        <w:outlineLvl w:val="2"/>
        <w:rPr>
          <w:rFonts w:ascii="宋体" w:hAnsi="宋体" w:cs="宋体"/>
          <w:color w:val="auto"/>
          <w:kern w:val="0"/>
          <w:sz w:val="24"/>
          <w:szCs w:val="24"/>
          <w:highlight w:val="none"/>
        </w:rPr>
      </w:pPr>
      <w:bookmarkStart w:id="53" w:name="_Toc12543"/>
      <w:bookmarkStart w:id="54" w:name="_Toc644"/>
      <w:r>
        <w:rPr>
          <w:rFonts w:ascii="宋体" w:hAnsi="宋体" w:cs="宋体"/>
          <w:color w:val="auto"/>
          <w:kern w:val="0"/>
          <w:sz w:val="24"/>
          <w:szCs w:val="24"/>
          <w:highlight w:val="none"/>
        </w:rPr>
        <w:t xml:space="preserve">10.1 </w:t>
      </w:r>
      <w:r>
        <w:rPr>
          <w:rFonts w:hint="eastAsia" w:ascii="宋体" w:hAnsi="宋体" w:cs="宋体"/>
          <w:color w:val="auto"/>
          <w:kern w:val="0"/>
          <w:sz w:val="24"/>
          <w:szCs w:val="24"/>
          <w:highlight w:val="none"/>
        </w:rPr>
        <w:t>投标报价中应包含以下内容。</w:t>
      </w:r>
      <w:bookmarkEnd w:id="53"/>
      <w:bookmarkEnd w:id="54"/>
    </w:p>
    <w:p w14:paraId="28EE7040">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10.1.1 </w:t>
      </w:r>
      <w:r>
        <w:rPr>
          <w:rFonts w:hint="eastAsia" w:ascii="宋体" w:hAnsi="宋体" w:cs="宋体"/>
          <w:color w:val="auto"/>
          <w:kern w:val="0"/>
          <w:sz w:val="24"/>
          <w:szCs w:val="24"/>
          <w:highlight w:val="none"/>
        </w:rPr>
        <w:t>投标供应商的投标报价应包含验收合格正式交付使用前所发生的一切费用，且投标供应商只能提出一个不变价格，采购人不接受任何选择报价。</w:t>
      </w:r>
    </w:p>
    <w:p w14:paraId="5E550238">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10.1.2 </w:t>
      </w:r>
      <w:r>
        <w:rPr>
          <w:rFonts w:hint="eastAsia" w:ascii="宋体" w:hAnsi="宋体" w:cs="宋体"/>
          <w:color w:val="auto"/>
          <w:kern w:val="0"/>
          <w:sz w:val="24"/>
          <w:szCs w:val="24"/>
          <w:highlight w:val="none"/>
        </w:rPr>
        <w:t>该项目类别及取费标准按照国家相关规定执行。</w:t>
      </w:r>
    </w:p>
    <w:p w14:paraId="7E42F64E">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10.1.3 </w:t>
      </w:r>
      <w:r>
        <w:rPr>
          <w:rFonts w:hint="eastAsia" w:ascii="宋体" w:hAnsi="宋体" w:cs="宋体"/>
          <w:color w:val="auto"/>
          <w:kern w:val="0"/>
          <w:sz w:val="24"/>
          <w:szCs w:val="24"/>
          <w:highlight w:val="none"/>
        </w:rPr>
        <w:t>电子化投标文件的投标报价，应是完成本文件所列招标范围的全部内容。</w:t>
      </w:r>
    </w:p>
    <w:p w14:paraId="69F017FA">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10.1.4 </w:t>
      </w:r>
      <w:r>
        <w:rPr>
          <w:rFonts w:hint="eastAsia" w:ascii="宋体" w:hAnsi="宋体" w:cs="宋体"/>
          <w:color w:val="auto"/>
          <w:kern w:val="0"/>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3AD4C596">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10.1.5 </w:t>
      </w:r>
      <w:r>
        <w:rPr>
          <w:rFonts w:hint="eastAsia" w:ascii="宋体" w:hAnsi="宋体" w:cs="宋体"/>
          <w:color w:val="auto"/>
          <w:kern w:val="0"/>
          <w:sz w:val="24"/>
          <w:szCs w:val="24"/>
          <w:highlight w:val="none"/>
        </w:rPr>
        <w:t>全部报价均应以人民币为计量币种，并以人民币进行结算。</w:t>
      </w:r>
    </w:p>
    <w:p w14:paraId="0FACD753">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10.1.6 </w:t>
      </w:r>
      <w:r>
        <w:rPr>
          <w:rFonts w:hint="eastAsia" w:ascii="宋体" w:hAnsi="宋体" w:cs="宋体"/>
          <w:color w:val="auto"/>
          <w:kern w:val="0"/>
          <w:sz w:val="24"/>
          <w:szCs w:val="24"/>
          <w:highlight w:val="none"/>
        </w:rPr>
        <w:t>采购人对投标供应商提供的货物有权利到生产厂家进行考察和交货前验货，投标供应商应提供便利条件。</w:t>
      </w:r>
    </w:p>
    <w:p w14:paraId="74CD37BB">
      <w:pPr>
        <w:shd w:val="clear" w:color="auto" w:fill="FFFFFF"/>
        <w:snapToGrid w:val="0"/>
        <w:spacing w:line="360" w:lineRule="auto"/>
        <w:ind w:right="105" w:rightChars="50" w:firstLine="472" w:firstLineChars="196"/>
        <w:outlineLvl w:val="1"/>
        <w:rPr>
          <w:rFonts w:ascii="宋体" w:hAnsi="宋体" w:cs="宋体"/>
          <w:b/>
          <w:bCs/>
          <w:color w:val="auto"/>
          <w:sz w:val="24"/>
          <w:szCs w:val="24"/>
          <w:highlight w:val="none"/>
        </w:rPr>
      </w:pPr>
      <w:bookmarkStart w:id="55" w:name="_Toc519"/>
      <w:bookmarkStart w:id="56" w:name="_Toc2186"/>
      <w:r>
        <w:rPr>
          <w:rFonts w:ascii="宋体" w:hAnsi="宋体" w:cs="宋体"/>
          <w:b/>
          <w:bCs/>
          <w:color w:val="auto"/>
          <w:sz w:val="24"/>
          <w:szCs w:val="24"/>
          <w:highlight w:val="none"/>
        </w:rPr>
        <w:t>1</w:t>
      </w:r>
      <w:r>
        <w:rPr>
          <w:rFonts w:hint="eastAsia" w:ascii="宋体" w:hAnsi="宋体" w:cs="宋体"/>
          <w:b/>
          <w:bCs/>
          <w:color w:val="auto"/>
          <w:sz w:val="24"/>
          <w:szCs w:val="24"/>
          <w:highlight w:val="none"/>
        </w:rPr>
        <w:t>1、投标保证金</w:t>
      </w:r>
      <w:bookmarkEnd w:id="55"/>
      <w:bookmarkEnd w:id="56"/>
    </w:p>
    <w:p w14:paraId="7FE0040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根据《河南省财政厅关于优化政府采购营商环境有关问题的通知》（豫财购【2019】4号）第6条的规定，投标保证金不再收取，需提供投标承诺函。</w:t>
      </w:r>
    </w:p>
    <w:p w14:paraId="5008887E">
      <w:pPr>
        <w:shd w:val="clear" w:color="auto" w:fill="FFFFFF"/>
        <w:snapToGrid w:val="0"/>
        <w:spacing w:line="360" w:lineRule="auto"/>
        <w:ind w:right="105" w:rightChars="50" w:firstLine="472" w:firstLineChars="196"/>
        <w:outlineLvl w:val="1"/>
        <w:rPr>
          <w:rFonts w:ascii="宋体"/>
          <w:color w:val="auto"/>
          <w:sz w:val="24"/>
          <w:szCs w:val="24"/>
          <w:highlight w:val="none"/>
        </w:rPr>
      </w:pPr>
      <w:bookmarkStart w:id="57" w:name="_Toc14967"/>
      <w:bookmarkStart w:id="58" w:name="_Toc8779"/>
      <w:r>
        <w:rPr>
          <w:rFonts w:ascii="宋体" w:hAnsi="宋体" w:cs="宋体"/>
          <w:b/>
          <w:bCs/>
          <w:color w:val="auto"/>
          <w:sz w:val="24"/>
          <w:szCs w:val="24"/>
          <w:highlight w:val="none"/>
        </w:rPr>
        <w:t>1</w:t>
      </w:r>
      <w:r>
        <w:rPr>
          <w:rFonts w:hint="eastAsia" w:ascii="宋体" w:hAnsi="宋体" w:cs="宋体"/>
          <w:b/>
          <w:bCs/>
          <w:color w:val="auto"/>
          <w:sz w:val="24"/>
          <w:szCs w:val="24"/>
          <w:highlight w:val="none"/>
        </w:rPr>
        <w:t>2、投标有效期</w:t>
      </w:r>
      <w:bookmarkEnd w:id="57"/>
      <w:bookmarkEnd w:id="58"/>
    </w:p>
    <w:p w14:paraId="726929E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1</w:t>
      </w:r>
      <w:r>
        <w:rPr>
          <w:rFonts w:hint="eastAsia" w:ascii="宋体" w:hAnsi="宋体" w:cs="_5b8b_4f53"/>
          <w:b/>
          <w:bCs/>
          <w:color w:val="auto"/>
          <w:sz w:val="24"/>
          <w:szCs w:val="24"/>
          <w:highlight w:val="none"/>
        </w:rPr>
        <w:t>2</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投标文件从开标之时起开始生效，投标有效期</w:t>
      </w: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r>
        <w:rPr>
          <w:rFonts w:hint="eastAsia" w:ascii="宋体" w:hAnsi="宋体" w:cs="_5b8b_4f53"/>
          <w:color w:val="auto"/>
          <w:sz w:val="24"/>
          <w:szCs w:val="24"/>
          <w:highlight w:val="none"/>
        </w:rPr>
        <w:t>。</w:t>
      </w:r>
    </w:p>
    <w:p w14:paraId="477984D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12</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在特殊情况下，采购人可征求投标供应商同意延长投标有效期，这种要求和答复均应以网上形式提交。同意延长投标有效期的投标供应商不需要也不允许修改其电子化投标文件。</w:t>
      </w:r>
    </w:p>
    <w:p w14:paraId="1BEA2B1D">
      <w:pPr>
        <w:shd w:val="clear" w:color="auto" w:fill="FFFFFF"/>
        <w:snapToGrid w:val="0"/>
        <w:spacing w:line="360" w:lineRule="auto"/>
        <w:ind w:right="105" w:rightChars="50" w:firstLine="482" w:firstLineChars="200"/>
        <w:outlineLvl w:val="1"/>
        <w:rPr>
          <w:rFonts w:ascii="宋体" w:hAnsi="宋体" w:cs="宋体"/>
          <w:b/>
          <w:bCs/>
          <w:color w:val="auto"/>
          <w:sz w:val="24"/>
          <w:szCs w:val="24"/>
          <w:highlight w:val="none"/>
        </w:rPr>
      </w:pPr>
      <w:bookmarkStart w:id="59" w:name="_Toc1859"/>
      <w:bookmarkStart w:id="60" w:name="_Toc13948"/>
      <w:r>
        <w:rPr>
          <w:rFonts w:hint="eastAsia" w:ascii="宋体" w:hAnsi="宋体" w:cs="_5b8b_4f53"/>
          <w:b/>
          <w:bCs/>
          <w:color w:val="auto"/>
          <w:sz w:val="24"/>
          <w:szCs w:val="24"/>
          <w:highlight w:val="none"/>
        </w:rPr>
        <w:t>13</w:t>
      </w:r>
      <w:r>
        <w:rPr>
          <w:rFonts w:hint="eastAsia" w:ascii="宋体" w:hAnsi="宋体" w:cs="宋体"/>
          <w:b/>
          <w:bCs/>
          <w:color w:val="auto"/>
          <w:sz w:val="24"/>
          <w:szCs w:val="24"/>
          <w:highlight w:val="none"/>
        </w:rPr>
        <w:t>、电子化投标文件的组成</w:t>
      </w:r>
      <w:bookmarkEnd w:id="59"/>
      <w:bookmarkEnd w:id="60"/>
    </w:p>
    <w:p w14:paraId="0184A672">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一、法定代表人身份证明书</w:t>
      </w:r>
    </w:p>
    <w:p w14:paraId="58F20BA6">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二、投标文件签署授权委托书</w:t>
      </w:r>
    </w:p>
    <w:p w14:paraId="58B5CDE6">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三、投标函</w:t>
      </w:r>
    </w:p>
    <w:p w14:paraId="51A8D9C1">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四、报价明细表</w:t>
      </w:r>
    </w:p>
    <w:p w14:paraId="55B69BDA">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五、资格审查资料</w:t>
      </w:r>
    </w:p>
    <w:p w14:paraId="5985D2C2">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六、投标承诺函</w:t>
      </w:r>
    </w:p>
    <w:p w14:paraId="7DF35123">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七、技术标</w:t>
      </w:r>
    </w:p>
    <w:p w14:paraId="7A7CA4CC">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八、综合标</w:t>
      </w:r>
    </w:p>
    <w:p w14:paraId="1ACB1455">
      <w:pPr>
        <w:shd w:val="clear" w:color="auto" w:fill="FFFFFF"/>
        <w:snapToGrid w:val="0"/>
        <w:spacing w:line="360" w:lineRule="auto"/>
        <w:ind w:right="105" w:rightChars="50" w:firstLine="480" w:firstLineChars="200"/>
        <w:rPr>
          <w:color w:val="auto"/>
          <w:highlight w:val="none"/>
        </w:rPr>
      </w:pPr>
      <w:r>
        <w:rPr>
          <w:rFonts w:hint="eastAsia" w:ascii="宋体" w:hAnsi="宋体" w:cs="_5b8b_4f53"/>
          <w:color w:val="auto"/>
          <w:sz w:val="24"/>
          <w:szCs w:val="24"/>
          <w:highlight w:val="none"/>
        </w:rPr>
        <w:t>九、其他材料</w:t>
      </w:r>
    </w:p>
    <w:p w14:paraId="7BD7BBD8">
      <w:pPr>
        <w:autoSpaceDE w:val="0"/>
        <w:autoSpaceDN w:val="0"/>
        <w:adjustRightInd w:val="0"/>
        <w:spacing w:line="360" w:lineRule="auto"/>
        <w:ind w:firstLine="482" w:firstLineChars="200"/>
        <w:jc w:val="left"/>
        <w:outlineLvl w:val="1"/>
        <w:rPr>
          <w:rFonts w:ascii="宋体" w:hAnsi="宋体" w:cs="宋体"/>
          <w:b/>
          <w:bCs/>
          <w:color w:val="auto"/>
          <w:sz w:val="24"/>
          <w:szCs w:val="24"/>
          <w:highlight w:val="none"/>
        </w:rPr>
      </w:pPr>
      <w:bookmarkStart w:id="61" w:name="_Toc24729"/>
      <w:bookmarkStart w:id="62" w:name="_Toc6816"/>
      <w:r>
        <w:rPr>
          <w:rFonts w:ascii="宋体" w:hAnsi="宋体" w:cs="宋体"/>
          <w:b/>
          <w:bCs/>
          <w:color w:val="auto"/>
          <w:sz w:val="24"/>
          <w:szCs w:val="24"/>
          <w:highlight w:val="none"/>
        </w:rPr>
        <w:t>14</w:t>
      </w:r>
      <w:r>
        <w:rPr>
          <w:rFonts w:hint="eastAsia" w:ascii="宋体" w:hAnsi="宋体" w:cs="宋体"/>
          <w:b/>
          <w:bCs/>
          <w:color w:val="auto"/>
          <w:sz w:val="24"/>
          <w:szCs w:val="24"/>
          <w:highlight w:val="none"/>
        </w:rPr>
        <w:t>、电子化投标文件的格式</w:t>
      </w:r>
      <w:bookmarkEnd w:id="61"/>
      <w:bookmarkEnd w:id="62"/>
    </w:p>
    <w:p w14:paraId="1E4E4BCD">
      <w:pPr>
        <w:wordWrap w:val="0"/>
        <w:spacing w:line="360" w:lineRule="auto"/>
        <w:ind w:firstLine="480" w:firstLineChars="200"/>
        <w:rPr>
          <w:rFonts w:ascii="宋体" w:hAnsi="宋体" w:cs="_5b8b_4f53"/>
          <w:color w:val="auto"/>
          <w:sz w:val="24"/>
          <w:szCs w:val="24"/>
          <w:highlight w:val="none"/>
        </w:rPr>
      </w:pPr>
      <w:r>
        <w:rPr>
          <w:rFonts w:ascii="宋体" w:hAnsi="宋体" w:cs="_5b8b_4f53"/>
          <w:color w:val="auto"/>
          <w:sz w:val="24"/>
          <w:szCs w:val="24"/>
          <w:highlight w:val="none"/>
        </w:rPr>
        <w:t>14.1</w:t>
      </w:r>
      <w:r>
        <w:rPr>
          <w:rFonts w:hint="eastAsia" w:ascii="宋体" w:hAnsi="宋体" w:cs="_5b8b_4f53"/>
          <w:color w:val="auto"/>
          <w:sz w:val="24"/>
          <w:szCs w:val="24"/>
          <w:highlight w:val="none"/>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3CBEB48A">
      <w:pPr>
        <w:spacing w:line="360" w:lineRule="auto"/>
        <w:ind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注：投标人投报多个标段的，需要每个标段单独制作电子投标文件。</w:t>
      </w:r>
    </w:p>
    <w:p w14:paraId="7B20ED64">
      <w:pPr>
        <w:autoSpaceDE w:val="0"/>
        <w:autoSpaceDN w:val="0"/>
        <w:adjustRightInd w:val="0"/>
        <w:spacing w:line="360" w:lineRule="auto"/>
        <w:ind w:firstLine="480" w:firstLineChars="200"/>
        <w:jc w:val="left"/>
        <w:outlineLvl w:val="1"/>
        <w:rPr>
          <w:rFonts w:ascii="宋体" w:hAnsi="宋体" w:cs="宋体"/>
          <w:color w:val="auto"/>
          <w:kern w:val="0"/>
          <w:sz w:val="24"/>
          <w:szCs w:val="24"/>
          <w:highlight w:val="none"/>
        </w:rPr>
      </w:pPr>
      <w:bookmarkStart w:id="63" w:name="_Toc19721"/>
      <w:bookmarkStart w:id="64" w:name="_Toc7944"/>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、电子化投标文件的签章</w:t>
      </w:r>
      <w:bookmarkEnd w:id="63"/>
      <w:bookmarkEnd w:id="64"/>
    </w:p>
    <w:p w14:paraId="39401EAC">
      <w:pPr>
        <w:wordWrap w:val="0"/>
        <w:spacing w:line="360" w:lineRule="auto"/>
        <w:ind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15.1投标人在生成电子化投标文件后，应对电子化投标文件进行签章，未进行签章的视为无效投标。</w:t>
      </w:r>
    </w:p>
    <w:p w14:paraId="6BE5845F">
      <w:pPr>
        <w:wordWrap w:val="0"/>
        <w:spacing w:line="360" w:lineRule="auto"/>
        <w:ind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14:paraId="5F14332F">
      <w:pPr>
        <w:shd w:val="clear" w:color="auto" w:fill="FFFFFF"/>
        <w:snapToGrid w:val="0"/>
        <w:spacing w:line="360" w:lineRule="auto"/>
        <w:ind w:right="105" w:rightChars="50"/>
        <w:jc w:val="center"/>
        <w:outlineLvl w:val="0"/>
        <w:rPr>
          <w:rFonts w:ascii="宋体" w:hAnsi="宋体" w:cs="宋体"/>
          <w:b/>
          <w:bCs/>
          <w:color w:val="auto"/>
          <w:sz w:val="36"/>
          <w:szCs w:val="36"/>
          <w:highlight w:val="none"/>
        </w:rPr>
      </w:pPr>
      <w:bookmarkStart w:id="65" w:name="_Toc6869"/>
      <w:bookmarkStart w:id="66" w:name="_Toc8954"/>
      <w:r>
        <w:rPr>
          <w:rFonts w:hint="eastAsia" w:ascii="宋体" w:hAnsi="宋体" w:cs="宋体"/>
          <w:b/>
          <w:bCs/>
          <w:color w:val="auto"/>
          <w:sz w:val="36"/>
          <w:szCs w:val="36"/>
          <w:highlight w:val="none"/>
        </w:rPr>
        <w:t>四、投标文件的上传</w:t>
      </w:r>
      <w:bookmarkEnd w:id="65"/>
      <w:bookmarkEnd w:id="66"/>
    </w:p>
    <w:p w14:paraId="24FC89E3">
      <w:pPr>
        <w:shd w:val="clear" w:color="auto" w:fill="FFFFFF"/>
        <w:snapToGrid w:val="0"/>
        <w:spacing w:line="360" w:lineRule="auto"/>
        <w:ind w:right="105" w:rightChars="50" w:firstLine="482" w:firstLineChars="200"/>
        <w:outlineLvl w:val="1"/>
        <w:rPr>
          <w:rFonts w:ascii="宋体" w:hAnsi="宋体" w:cs="宋体"/>
          <w:b/>
          <w:bCs/>
          <w:color w:val="auto"/>
          <w:sz w:val="24"/>
          <w:szCs w:val="24"/>
          <w:highlight w:val="none"/>
        </w:rPr>
      </w:pPr>
      <w:bookmarkStart w:id="67" w:name="_Toc32471"/>
      <w:bookmarkStart w:id="68" w:name="_Toc31892"/>
      <w:r>
        <w:rPr>
          <w:rFonts w:hint="eastAsia" w:ascii="宋体" w:hAnsi="宋体" w:cs="_5b8b_4f53"/>
          <w:b/>
          <w:bCs/>
          <w:color w:val="auto"/>
          <w:sz w:val="24"/>
          <w:szCs w:val="24"/>
          <w:highlight w:val="none"/>
        </w:rPr>
        <w:t>16</w:t>
      </w:r>
      <w:r>
        <w:rPr>
          <w:rFonts w:hint="eastAsia" w:ascii="宋体" w:hAnsi="宋体" w:cs="宋体"/>
          <w:b/>
          <w:bCs/>
          <w:color w:val="auto"/>
          <w:sz w:val="24"/>
          <w:szCs w:val="24"/>
          <w:highlight w:val="none"/>
        </w:rPr>
        <w:t>、投标文件上传</w:t>
      </w:r>
      <w:bookmarkEnd w:id="67"/>
      <w:bookmarkEnd w:id="68"/>
    </w:p>
    <w:p w14:paraId="07428DF4">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16.1电子化投标文件应在投标截止时间前成功上传至三门峡市公共资源电子化交易系统。至投标截止时间止，仍未上传成功的电子化投标文件将不予接收。</w:t>
      </w:r>
    </w:p>
    <w:p w14:paraId="1F4C7DDE">
      <w:pPr>
        <w:spacing w:line="360" w:lineRule="auto"/>
        <w:ind w:right="105" w:rightChars="5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4857847">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69" w:name="_Toc13492"/>
      <w:bookmarkStart w:id="70" w:name="_Toc5762"/>
      <w:r>
        <w:rPr>
          <w:rFonts w:hint="eastAsia" w:ascii="宋体" w:hAnsi="宋体" w:cs="_5b8b_4f53"/>
          <w:b/>
          <w:bCs/>
          <w:color w:val="auto"/>
          <w:sz w:val="24"/>
          <w:szCs w:val="24"/>
          <w:highlight w:val="none"/>
        </w:rPr>
        <w:t>17</w:t>
      </w:r>
      <w:r>
        <w:rPr>
          <w:rFonts w:ascii="宋体" w:hAnsi="宋体" w:cs="_5b8b_4f53"/>
          <w:b/>
          <w:bCs/>
          <w:color w:val="auto"/>
          <w:sz w:val="24"/>
          <w:szCs w:val="24"/>
          <w:highlight w:val="none"/>
        </w:rPr>
        <w:t>.</w:t>
      </w:r>
      <w:r>
        <w:rPr>
          <w:rFonts w:hint="eastAsia" w:ascii="宋体" w:hAnsi="宋体" w:cs="宋体"/>
          <w:b/>
          <w:bCs/>
          <w:color w:val="auto"/>
          <w:sz w:val="24"/>
          <w:szCs w:val="24"/>
          <w:highlight w:val="none"/>
        </w:rPr>
        <w:t>投标截止时间</w:t>
      </w:r>
      <w:bookmarkEnd w:id="69"/>
      <w:bookmarkEnd w:id="70"/>
    </w:p>
    <w:p w14:paraId="1F641256">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17.1</w:t>
      </w:r>
      <w:r>
        <w:rPr>
          <w:rFonts w:hint="eastAsia" w:ascii="宋体" w:hAnsi="宋体" w:cs="_5b8b_4f53"/>
          <w:color w:val="auto"/>
          <w:sz w:val="24"/>
          <w:szCs w:val="24"/>
          <w:highlight w:val="none"/>
        </w:rPr>
        <w:t>投标文件的截止时间见本须知前附表规定。</w:t>
      </w:r>
    </w:p>
    <w:p w14:paraId="5D203F36">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17.2</w:t>
      </w:r>
      <w:r>
        <w:rPr>
          <w:rFonts w:hint="eastAsia" w:ascii="宋体" w:hAnsi="宋体" w:cs="_5b8b_4f53"/>
          <w:color w:val="auto"/>
          <w:sz w:val="24"/>
          <w:szCs w:val="24"/>
          <w:highlight w:val="none"/>
        </w:rPr>
        <w:t>到投标截止时间止，采购人收到的投标文件少于</w:t>
      </w:r>
      <w:r>
        <w:rPr>
          <w:rFonts w:ascii="宋体" w:hAnsi="宋体" w:cs="_5b8b_4f53"/>
          <w:color w:val="auto"/>
          <w:sz w:val="24"/>
          <w:szCs w:val="24"/>
          <w:highlight w:val="none"/>
        </w:rPr>
        <w:t>3</w:t>
      </w:r>
      <w:r>
        <w:rPr>
          <w:rFonts w:hint="eastAsia" w:ascii="宋体" w:hAnsi="宋体" w:cs="_5b8b_4f53"/>
          <w:color w:val="auto"/>
          <w:sz w:val="24"/>
          <w:szCs w:val="24"/>
          <w:highlight w:val="none"/>
        </w:rPr>
        <w:t>个的，采购人将依法重新组织招标。</w:t>
      </w:r>
    </w:p>
    <w:p w14:paraId="3925EFE1">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ascii="宋体" w:hAnsi="宋体" w:cs="宋体"/>
          <w:color w:val="auto"/>
          <w:kern w:val="0"/>
          <w:sz w:val="24"/>
          <w:szCs w:val="24"/>
          <w:highlight w:val="none"/>
        </w:rPr>
        <w:t>17.</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电子化投标文件的补充、修改与撤回</w:t>
      </w:r>
    </w:p>
    <w:p w14:paraId="7F706ED7">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ascii="宋体" w:hAnsi="宋体" w:cs="宋体"/>
          <w:color w:val="auto"/>
          <w:kern w:val="0"/>
          <w:sz w:val="24"/>
          <w:szCs w:val="24"/>
          <w:highlight w:val="none"/>
        </w:rPr>
        <w:t>17.</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rPr>
        <w:t>在投标截止时间之后，投标供应商不得补充、修改电子化投标文件。</w:t>
      </w:r>
    </w:p>
    <w:p w14:paraId="175921B9">
      <w:pPr>
        <w:shd w:val="clear" w:color="auto" w:fill="FFFFFF"/>
        <w:snapToGrid w:val="0"/>
        <w:spacing w:line="360" w:lineRule="auto"/>
        <w:ind w:right="105" w:rightChars="50" w:firstLine="3975" w:firstLineChars="1100"/>
        <w:outlineLvl w:val="0"/>
        <w:rPr>
          <w:rFonts w:ascii="宋体" w:hAnsi="宋体" w:cs="宋体"/>
          <w:b/>
          <w:bCs/>
          <w:color w:val="auto"/>
          <w:sz w:val="36"/>
          <w:szCs w:val="36"/>
          <w:highlight w:val="none"/>
        </w:rPr>
      </w:pPr>
      <w:bookmarkStart w:id="71" w:name="_Toc30719"/>
      <w:bookmarkStart w:id="72" w:name="_Toc26266"/>
      <w:r>
        <w:rPr>
          <w:rFonts w:hint="eastAsia" w:ascii="宋体" w:hAnsi="宋体" w:cs="宋体"/>
          <w:b/>
          <w:bCs/>
          <w:color w:val="auto"/>
          <w:sz w:val="36"/>
          <w:szCs w:val="36"/>
          <w:highlight w:val="none"/>
        </w:rPr>
        <w:t>五、开标</w:t>
      </w:r>
      <w:bookmarkEnd w:id="71"/>
      <w:bookmarkEnd w:id="72"/>
    </w:p>
    <w:p w14:paraId="516F742C">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3" w:name="_Toc31687"/>
      <w:bookmarkStart w:id="74" w:name="_Toc19065"/>
      <w:r>
        <w:rPr>
          <w:rFonts w:hint="eastAsia" w:ascii="宋体" w:hAnsi="宋体" w:cs="_5b8b_4f53"/>
          <w:b/>
          <w:bCs/>
          <w:color w:val="auto"/>
          <w:sz w:val="24"/>
          <w:szCs w:val="24"/>
          <w:highlight w:val="none"/>
        </w:rPr>
        <w:t>18、</w:t>
      </w:r>
      <w:r>
        <w:rPr>
          <w:rFonts w:hint="eastAsia" w:ascii="宋体" w:hAnsi="宋体" w:cs="宋体"/>
          <w:b/>
          <w:bCs/>
          <w:color w:val="auto"/>
          <w:sz w:val="24"/>
          <w:szCs w:val="24"/>
          <w:highlight w:val="none"/>
        </w:rPr>
        <w:t>开标</w:t>
      </w:r>
      <w:bookmarkEnd w:id="73"/>
      <w:bookmarkEnd w:id="74"/>
    </w:p>
    <w:p w14:paraId="3BC89E24">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18.1</w:t>
      </w:r>
      <w:r>
        <w:rPr>
          <w:rFonts w:hint="eastAsia" w:ascii="宋体" w:hAnsi="宋体" w:cs="宋体"/>
          <w:color w:val="auto"/>
          <w:sz w:val="24"/>
          <w:szCs w:val="24"/>
          <w:highlight w:val="none"/>
        </w:rPr>
        <w:t>采购人按本须知前附表所规定的时间和地点公开开标，开标会议由招标代理机构主持，在有关部门监督下进行。</w:t>
      </w:r>
    </w:p>
    <w:p w14:paraId="1A67A2F9">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18.2</w:t>
      </w:r>
      <w:r>
        <w:rPr>
          <w:rFonts w:hint="eastAsia" w:ascii="宋体" w:hAnsi="宋体" w:cs="宋体"/>
          <w:b/>
          <w:bCs/>
          <w:color w:val="auto"/>
          <w:sz w:val="24"/>
          <w:szCs w:val="24"/>
          <w:highlight w:val="none"/>
        </w:rPr>
        <w:t>开标程序：</w:t>
      </w:r>
    </w:p>
    <w:p w14:paraId="14E3E069">
      <w:pPr>
        <w:shd w:val="clear" w:color="auto" w:fill="FFFFFF"/>
        <w:snapToGrid w:val="0"/>
        <w:spacing w:line="360" w:lineRule="auto"/>
        <w:ind w:right="105" w:rightChars="50" w:firstLine="482" w:firstLineChars="200"/>
        <w:rPr>
          <w:rFonts w:ascii="宋体" w:hAnsi="宋体" w:cs="宋体"/>
          <w:color w:val="auto"/>
          <w:sz w:val="24"/>
          <w:szCs w:val="24"/>
          <w:highlight w:val="none"/>
        </w:rPr>
      </w:pPr>
      <w:r>
        <w:rPr>
          <w:rFonts w:hint="eastAsia" w:ascii="宋体" w:hAnsi="宋体" w:cs="_5b8b_4f53"/>
          <w:b/>
          <w:color w:val="auto"/>
          <w:sz w:val="24"/>
          <w:szCs w:val="24"/>
          <w:highlight w:val="none"/>
        </w:rPr>
        <w:t>18.2.1</w:t>
      </w:r>
      <w:r>
        <w:rPr>
          <w:rFonts w:hint="eastAsia" w:ascii="宋体" w:hAnsi="宋体" w:cs="宋体"/>
          <w:color w:val="auto"/>
          <w:sz w:val="24"/>
          <w:szCs w:val="24"/>
          <w:highlight w:val="none"/>
        </w:rPr>
        <w:t>开标由招标代理机构主持；</w:t>
      </w:r>
    </w:p>
    <w:p w14:paraId="0524C73B">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宋体"/>
          <w:b/>
          <w:color w:val="auto"/>
          <w:sz w:val="24"/>
          <w:szCs w:val="24"/>
          <w:highlight w:val="none"/>
        </w:rPr>
        <w:t>18.2.2</w:t>
      </w:r>
      <w:r>
        <w:rPr>
          <w:rFonts w:hint="eastAsia" w:ascii="宋体" w:hAnsi="宋体" w:cs="宋体"/>
          <w:color w:val="auto"/>
          <w:sz w:val="24"/>
          <w:szCs w:val="24"/>
          <w:highlight w:val="none"/>
        </w:rPr>
        <w:t>介绍本项目的情况；</w:t>
      </w:r>
    </w:p>
    <w:p w14:paraId="6EFBE6E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18.2.3</w:t>
      </w:r>
      <w:r>
        <w:rPr>
          <w:rFonts w:hint="eastAsia" w:ascii="宋体" w:hAnsi="宋体" w:cs="宋体"/>
          <w:color w:val="auto"/>
          <w:sz w:val="24"/>
          <w:szCs w:val="24"/>
          <w:highlight w:val="none"/>
        </w:rPr>
        <w:t>宣布开标会议纪律；</w:t>
      </w:r>
    </w:p>
    <w:p w14:paraId="50D69FF5">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18.2.4</w:t>
      </w:r>
      <w:r>
        <w:rPr>
          <w:rFonts w:hint="eastAsia" w:ascii="宋体" w:hAnsi="宋体" w:cs="宋体"/>
          <w:color w:val="auto"/>
          <w:sz w:val="24"/>
          <w:szCs w:val="24"/>
          <w:highlight w:val="none"/>
        </w:rPr>
        <w:t>介绍参会的采购人、监督人；</w:t>
      </w:r>
    </w:p>
    <w:p w14:paraId="54C36B12">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18.2.5</w:t>
      </w:r>
      <w:r>
        <w:rPr>
          <w:rFonts w:hint="eastAsia" w:ascii="宋体" w:hAnsi="宋体" w:cs="宋体"/>
          <w:color w:val="auto"/>
          <w:sz w:val="24"/>
          <w:szCs w:val="24"/>
          <w:highlight w:val="none"/>
        </w:rPr>
        <w:t>开标时，电子招标投标交易平台自动提取所有投标文件，按时在线解密。解密全部完成后，向所有投标供应商公布投标供应商名称、投标价格和招标文件规定的其他内容。</w:t>
      </w:r>
    </w:p>
    <w:p w14:paraId="67EF6F0C">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w:t>
      </w:r>
      <w:r>
        <w:rPr>
          <w:rFonts w:ascii="宋体" w:hAnsi="宋体" w:cs="_5b8b_4f53"/>
          <w:b/>
          <w:color w:val="auto"/>
          <w:sz w:val="24"/>
          <w:szCs w:val="24"/>
          <w:highlight w:val="none"/>
        </w:rPr>
        <w:t>.</w:t>
      </w:r>
      <w:r>
        <w:rPr>
          <w:rFonts w:hint="eastAsia" w:ascii="宋体" w:hAnsi="宋体" w:cs="_5b8b_4f53"/>
          <w:b/>
          <w:color w:val="auto"/>
          <w:sz w:val="24"/>
          <w:szCs w:val="24"/>
          <w:highlight w:val="none"/>
        </w:rPr>
        <w:t>3</w:t>
      </w:r>
      <w:r>
        <w:rPr>
          <w:rFonts w:hint="eastAsia" w:ascii="宋体" w:hAnsi="宋体" w:cs="宋体"/>
          <w:color w:val="auto"/>
          <w:sz w:val="24"/>
          <w:szCs w:val="24"/>
          <w:highlight w:val="none"/>
        </w:rPr>
        <w:t>投标文件的有效性</w:t>
      </w:r>
    </w:p>
    <w:p w14:paraId="67841392">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18.3</w:t>
      </w:r>
      <w:r>
        <w:rPr>
          <w:rFonts w:ascii="宋体" w:hAnsi="宋体" w:cs="_5b8b_4f53"/>
          <w:b/>
          <w:color w:val="auto"/>
          <w:sz w:val="24"/>
          <w:szCs w:val="24"/>
          <w:highlight w:val="none"/>
        </w:rPr>
        <w:t>.1</w:t>
      </w:r>
      <w:r>
        <w:rPr>
          <w:rFonts w:hint="eastAsia" w:ascii="宋体" w:hAnsi="宋体" w:cs="宋体"/>
          <w:color w:val="auto"/>
          <w:sz w:val="24"/>
          <w:szCs w:val="24"/>
          <w:highlight w:val="none"/>
        </w:rPr>
        <w:t>投标文件有下列情形之一的为无效电子化投标文件，采购人不予受理：</w:t>
      </w:r>
      <w:r>
        <w:rPr>
          <w:rFonts w:hint="eastAsia" w:ascii="宋体" w:hAnsi="宋体" w:cs="_5b8b_4f53"/>
          <w:color w:val="auto"/>
          <w:sz w:val="24"/>
          <w:szCs w:val="24"/>
          <w:highlight w:val="none"/>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50EFBDAD">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w:t>
      </w:r>
      <w:r>
        <w:rPr>
          <w:rFonts w:ascii="宋体" w:hAnsi="宋体" w:cs="_5b8b_4f53"/>
          <w:b/>
          <w:color w:val="auto"/>
          <w:sz w:val="24"/>
          <w:szCs w:val="24"/>
          <w:highlight w:val="none"/>
        </w:rPr>
        <w:t>.</w:t>
      </w:r>
      <w:r>
        <w:rPr>
          <w:rFonts w:hint="eastAsia" w:ascii="宋体" w:hAnsi="宋体" w:cs="_5b8b_4f53"/>
          <w:b/>
          <w:color w:val="auto"/>
          <w:sz w:val="24"/>
          <w:szCs w:val="24"/>
          <w:highlight w:val="none"/>
        </w:rPr>
        <w:t>3.</w:t>
      </w:r>
      <w:r>
        <w:rPr>
          <w:rFonts w:ascii="宋体" w:hAnsi="宋体" w:cs="_5b8b_4f53"/>
          <w:b/>
          <w:color w:val="auto"/>
          <w:sz w:val="24"/>
          <w:szCs w:val="24"/>
          <w:highlight w:val="none"/>
        </w:rPr>
        <w:t>2</w:t>
      </w:r>
      <w:r>
        <w:rPr>
          <w:rFonts w:hint="eastAsia" w:ascii="宋体" w:hAnsi="宋体" w:cs="_5b8b_4f53"/>
          <w:color w:val="auto"/>
          <w:sz w:val="24"/>
          <w:szCs w:val="24"/>
          <w:highlight w:val="none"/>
        </w:rPr>
        <w:t>若投标文件解</w:t>
      </w:r>
      <w:r>
        <w:rPr>
          <w:rFonts w:hint="eastAsia" w:ascii="宋体" w:hAnsi="宋体" w:cs="宋体"/>
          <w:color w:val="auto"/>
          <w:sz w:val="24"/>
          <w:szCs w:val="24"/>
          <w:highlight w:val="none"/>
        </w:rPr>
        <w:t>密后，有效电子投标文件不足三家的，本项目应予废标。</w:t>
      </w:r>
    </w:p>
    <w:p w14:paraId="184C766F">
      <w:pPr>
        <w:shd w:val="clear" w:color="auto" w:fill="FFFFFF"/>
        <w:snapToGrid w:val="0"/>
        <w:spacing w:line="360" w:lineRule="auto"/>
        <w:ind w:right="105" w:rightChars="50" w:firstLine="3975" w:firstLineChars="1100"/>
        <w:outlineLvl w:val="0"/>
        <w:rPr>
          <w:rFonts w:ascii="宋体" w:hAnsi="宋体" w:cs="宋体"/>
          <w:b/>
          <w:bCs/>
          <w:color w:val="auto"/>
          <w:sz w:val="36"/>
          <w:szCs w:val="36"/>
          <w:highlight w:val="none"/>
        </w:rPr>
      </w:pPr>
      <w:bookmarkStart w:id="75" w:name="_Toc5471"/>
      <w:bookmarkStart w:id="76" w:name="_Toc5649"/>
      <w:r>
        <w:rPr>
          <w:rFonts w:hint="eastAsia" w:ascii="宋体" w:hAnsi="宋体" w:cs="宋体"/>
          <w:b/>
          <w:bCs/>
          <w:color w:val="auto"/>
          <w:sz w:val="36"/>
          <w:szCs w:val="36"/>
          <w:highlight w:val="none"/>
        </w:rPr>
        <w:t>六、评标与定标</w:t>
      </w:r>
      <w:bookmarkEnd w:id="75"/>
      <w:bookmarkEnd w:id="76"/>
    </w:p>
    <w:p w14:paraId="486838F8">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7" w:name="_Toc12956"/>
      <w:bookmarkStart w:id="78" w:name="_Toc28665"/>
      <w:r>
        <w:rPr>
          <w:rFonts w:hint="eastAsia" w:ascii="宋体" w:hAnsi="宋体" w:cs="_5b8b_4f53"/>
          <w:b/>
          <w:bCs/>
          <w:color w:val="auto"/>
          <w:sz w:val="24"/>
          <w:szCs w:val="24"/>
          <w:highlight w:val="none"/>
        </w:rPr>
        <w:t>19、</w:t>
      </w:r>
      <w:r>
        <w:rPr>
          <w:rFonts w:hint="eastAsia" w:ascii="宋体" w:hAnsi="宋体" w:cs="宋体"/>
          <w:b/>
          <w:bCs/>
          <w:color w:val="auto"/>
          <w:sz w:val="24"/>
          <w:szCs w:val="24"/>
          <w:highlight w:val="none"/>
        </w:rPr>
        <w:t>评标委员会</w:t>
      </w:r>
      <w:bookmarkEnd w:id="77"/>
      <w:bookmarkEnd w:id="78"/>
    </w:p>
    <w:p w14:paraId="615E683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评标委员会由采购人依法组建，负责评标活动。</w:t>
      </w:r>
    </w:p>
    <w:p w14:paraId="7DD11C48">
      <w:pPr>
        <w:shd w:val="clear" w:color="auto" w:fill="FFFFFF"/>
        <w:snapToGrid w:val="0"/>
        <w:spacing w:line="360" w:lineRule="auto"/>
        <w:ind w:right="105" w:rightChars="50" w:firstLine="482" w:firstLineChars="200"/>
        <w:rPr>
          <w:rFonts w:ascii="宋体" w:hAnsi="宋体" w:cs="宋体"/>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.2</w:t>
      </w:r>
      <w:r>
        <w:rPr>
          <w:rFonts w:hint="eastAsia" w:ascii="宋体" w:hAnsi="宋体" w:cs="宋体"/>
          <w:color w:val="auto"/>
          <w:sz w:val="24"/>
          <w:szCs w:val="24"/>
          <w:highlight w:val="none"/>
        </w:rPr>
        <w:t>评标委员会构成：5人，采购人代表1人，评审专家4人；评标专家确定方式：通过相关专家库随机抽取。</w:t>
      </w:r>
    </w:p>
    <w:p w14:paraId="5A370498">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19.3参加评标的专家通过相关专家库随机抽取随机选定。与投标供应商有利害关系的人不得进入评标委员会。</w:t>
      </w:r>
    </w:p>
    <w:p w14:paraId="0BB8209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.4</w:t>
      </w:r>
      <w:r>
        <w:rPr>
          <w:rFonts w:hint="eastAsia" w:ascii="宋体" w:hAnsi="宋体" w:cs="_5b8b_4f53"/>
          <w:color w:val="auto"/>
          <w:sz w:val="24"/>
          <w:szCs w:val="24"/>
          <w:highlight w:val="none"/>
        </w:rPr>
        <w:t>开标结束后，开始评标。评标工作在相关部门监督下，采用保密方式进行。</w:t>
      </w:r>
    </w:p>
    <w:p w14:paraId="31C75E35">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9" w:name="_Toc26491"/>
      <w:bookmarkStart w:id="80" w:name="_Toc28723"/>
      <w:r>
        <w:rPr>
          <w:rFonts w:hint="eastAsia" w:ascii="宋体" w:hAnsi="宋体" w:cs="_5b8b_4f53"/>
          <w:b/>
          <w:bCs/>
          <w:color w:val="auto"/>
          <w:sz w:val="24"/>
          <w:szCs w:val="24"/>
          <w:highlight w:val="none"/>
        </w:rPr>
        <w:t>20、</w:t>
      </w:r>
      <w:r>
        <w:rPr>
          <w:rFonts w:hint="eastAsia" w:ascii="宋体" w:hAnsi="宋体" w:cs="宋体"/>
          <w:b/>
          <w:bCs/>
          <w:color w:val="auto"/>
          <w:sz w:val="24"/>
          <w:szCs w:val="24"/>
          <w:highlight w:val="none"/>
        </w:rPr>
        <w:t>评标过程的保密</w:t>
      </w:r>
      <w:bookmarkEnd w:id="79"/>
      <w:bookmarkEnd w:id="80"/>
    </w:p>
    <w:p w14:paraId="4875DBD0">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6C7E9C1E">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503817C5">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12F4B790">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1" w:name="_Toc12985"/>
      <w:bookmarkStart w:id="82" w:name="_Toc2615"/>
      <w:r>
        <w:rPr>
          <w:rFonts w:hint="eastAsia" w:ascii="宋体" w:hAnsi="宋体" w:cs="_5b8b_4f53"/>
          <w:b/>
          <w:bCs/>
          <w:color w:val="auto"/>
          <w:sz w:val="24"/>
          <w:szCs w:val="24"/>
          <w:highlight w:val="none"/>
        </w:rPr>
        <w:t>21、</w:t>
      </w:r>
      <w:r>
        <w:rPr>
          <w:rFonts w:hint="eastAsia" w:ascii="宋体" w:hAnsi="宋体" w:cs="宋体"/>
          <w:b/>
          <w:bCs/>
          <w:color w:val="auto"/>
          <w:sz w:val="24"/>
          <w:szCs w:val="24"/>
          <w:highlight w:val="none"/>
        </w:rPr>
        <w:t>评标纪律</w:t>
      </w:r>
      <w:bookmarkEnd w:id="81"/>
      <w:bookmarkEnd w:id="82"/>
    </w:p>
    <w:p w14:paraId="5132BE5E">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21</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22BDF8B0">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1</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除投标须知第</w:t>
      </w:r>
      <w:r>
        <w:rPr>
          <w:rFonts w:ascii="宋体" w:hAnsi="宋体" w:cs="_5b8b_4f53"/>
          <w:color w:val="auto"/>
          <w:sz w:val="24"/>
          <w:szCs w:val="24"/>
          <w:highlight w:val="none"/>
        </w:rPr>
        <w:t>28</w:t>
      </w:r>
      <w:r>
        <w:rPr>
          <w:rFonts w:hint="eastAsia" w:ascii="宋体" w:hAnsi="宋体" w:cs="宋体"/>
          <w:color w:val="auto"/>
          <w:sz w:val="24"/>
          <w:szCs w:val="24"/>
          <w:highlight w:val="none"/>
        </w:rPr>
        <w:t>条款的规定以外，开标以后至授予中标通知书前，任何投标供应商均不得就与其投标文件有关的问题主动与采购人和招标代理机构发生联系。</w:t>
      </w:r>
    </w:p>
    <w:p w14:paraId="6CFA37ED">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1</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如果投标供应商试图对评标委员会的评标施加影响，则将导致该投标供应商的投标文件被拒绝。</w:t>
      </w:r>
    </w:p>
    <w:p w14:paraId="56405D95">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3" w:name="_Toc24198"/>
      <w:bookmarkStart w:id="84" w:name="_Toc9374"/>
      <w:r>
        <w:rPr>
          <w:rFonts w:hint="eastAsia" w:ascii="宋体" w:hAnsi="宋体" w:cs="_5b8b_4f53"/>
          <w:b/>
          <w:bCs/>
          <w:color w:val="auto"/>
          <w:sz w:val="24"/>
          <w:szCs w:val="24"/>
          <w:highlight w:val="none"/>
        </w:rPr>
        <w:t>22</w:t>
      </w:r>
      <w:r>
        <w:rPr>
          <w:rFonts w:hint="eastAsia" w:ascii="宋体" w:hAnsi="宋体" w:cs="宋体"/>
          <w:b/>
          <w:bCs/>
          <w:color w:val="auto"/>
          <w:sz w:val="24"/>
          <w:szCs w:val="24"/>
          <w:highlight w:val="none"/>
        </w:rPr>
        <w:t>、投标文件的澄清</w:t>
      </w:r>
      <w:bookmarkEnd w:id="83"/>
      <w:bookmarkEnd w:id="84"/>
    </w:p>
    <w:p w14:paraId="7E52F8E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color w:val="auto"/>
          <w:sz w:val="24"/>
          <w:szCs w:val="24"/>
          <w:highlight w:val="none"/>
        </w:rPr>
        <w:t>2</w:t>
      </w:r>
      <w:r>
        <w:rPr>
          <w:rFonts w:hint="eastAsia" w:ascii="宋体" w:hAnsi="宋体" w:cs="_5b8b_4f53"/>
          <w:b/>
          <w:color w:val="auto"/>
          <w:sz w:val="24"/>
          <w:szCs w:val="24"/>
          <w:highlight w:val="none"/>
        </w:rPr>
        <w:t>2</w:t>
      </w:r>
      <w:r>
        <w:rPr>
          <w:rFonts w:ascii="宋体" w:hAnsi="宋体" w:cs="_5b8b_4f53"/>
          <w:b/>
          <w:color w:val="auto"/>
          <w:sz w:val="24"/>
          <w:szCs w:val="24"/>
          <w:highlight w:val="none"/>
        </w:rPr>
        <w:t>.1</w:t>
      </w:r>
      <w:r>
        <w:rPr>
          <w:rFonts w:hint="eastAsia" w:ascii="宋体" w:hAnsi="宋体" w:cs="_5b8b_4f53"/>
          <w:color w:val="auto"/>
          <w:sz w:val="24"/>
          <w:szCs w:val="24"/>
          <w:highlight w:val="none"/>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50241667">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5" w:name="_Toc22850"/>
      <w:bookmarkStart w:id="86" w:name="_Toc27255"/>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3、</w:t>
      </w:r>
      <w:r>
        <w:rPr>
          <w:rFonts w:hint="eastAsia" w:ascii="宋体" w:hAnsi="宋体" w:cs="宋体"/>
          <w:b/>
          <w:bCs/>
          <w:color w:val="auto"/>
          <w:sz w:val="24"/>
          <w:szCs w:val="24"/>
          <w:highlight w:val="none"/>
        </w:rPr>
        <w:t>投标文件的初步评审</w:t>
      </w:r>
      <w:bookmarkEnd w:id="85"/>
      <w:bookmarkEnd w:id="86"/>
    </w:p>
    <w:p w14:paraId="137C4EC1">
      <w:pPr>
        <w:shd w:val="clear" w:color="auto" w:fill="FFFFFF"/>
        <w:snapToGrid w:val="0"/>
        <w:spacing w:line="360" w:lineRule="auto"/>
        <w:ind w:right="105" w:rightChars="50" w:firstLine="480" w:firstLineChars="200"/>
        <w:rPr>
          <w:color w:val="auto"/>
          <w:highlight w:val="none"/>
        </w:rPr>
      </w:pPr>
      <w:r>
        <w:rPr>
          <w:rFonts w:hint="eastAsia" w:ascii="宋体" w:hAnsi="宋体" w:cs="_5b8b_4f53"/>
          <w:color w:val="auto"/>
          <w:sz w:val="24"/>
          <w:szCs w:val="24"/>
          <w:highlight w:val="none"/>
        </w:rPr>
        <w:t>23</w:t>
      </w:r>
      <w:r>
        <w:rPr>
          <w:rFonts w:ascii="宋体" w:hAnsi="宋体" w:cs="_5b8b_4f53"/>
          <w:color w:val="auto"/>
          <w:sz w:val="24"/>
          <w:szCs w:val="24"/>
          <w:highlight w:val="none"/>
        </w:rPr>
        <w:t>.1</w:t>
      </w:r>
      <w:r>
        <w:rPr>
          <w:rFonts w:hint="eastAsia" w:ascii="宋体" w:hAnsi="宋体" w:cs="宋体"/>
          <w:color w:val="auto"/>
          <w:sz w:val="24"/>
          <w:szCs w:val="24"/>
          <w:highlight w:val="none"/>
        </w:rPr>
        <w:t>投标文件资格审查：详见第二章供应商须知前附表规定</w:t>
      </w:r>
    </w:p>
    <w:p w14:paraId="22E5F3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2</w:t>
      </w:r>
      <w:r>
        <w:rPr>
          <w:rFonts w:hint="eastAsia" w:ascii="宋体" w:hAnsi="宋体"/>
          <w:color w:val="auto"/>
          <w:sz w:val="24"/>
          <w:szCs w:val="24"/>
          <w:highlight w:val="none"/>
        </w:rPr>
        <w:t>评标</w:t>
      </w:r>
      <w:r>
        <w:rPr>
          <w:rFonts w:hint="eastAsia" w:ascii="宋体" w:hAnsi="宋体" w:cs="_5b8b_4f53"/>
          <w:color w:val="auto"/>
          <w:sz w:val="24"/>
          <w:szCs w:val="24"/>
          <w:highlight w:val="none"/>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6AC396C2">
      <w:pPr>
        <w:shd w:val="clear" w:color="auto" w:fill="FFFFFF"/>
        <w:snapToGrid w:val="0"/>
        <w:spacing w:line="360" w:lineRule="auto"/>
        <w:ind w:right="105" w:rightChars="50"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3</w:t>
      </w:r>
      <w:r>
        <w:rPr>
          <w:rFonts w:hint="eastAsia" w:ascii="宋体" w:hAnsi="宋体"/>
          <w:color w:val="auto"/>
          <w:sz w:val="24"/>
          <w:szCs w:val="24"/>
          <w:highlight w:val="none"/>
        </w:rPr>
        <w:t>如果投标文件实质上不响应招标文件的各项要求，评标委员会将予以拒绝，并且不允许投标供应商通过修改或撤销其不符合要求的差异或保留，使之成为具有响应性的投标。</w:t>
      </w:r>
    </w:p>
    <w:p w14:paraId="6C7B842A">
      <w:pPr>
        <w:shd w:val="clear" w:color="auto" w:fill="FFFFFF"/>
        <w:snapToGrid w:val="0"/>
        <w:spacing w:line="360" w:lineRule="auto"/>
        <w:ind w:right="105" w:rightChars="50"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4</w:t>
      </w:r>
      <w:r>
        <w:rPr>
          <w:rFonts w:hint="eastAsia" w:ascii="宋体" w:hAnsi="宋体"/>
          <w:color w:val="auto"/>
          <w:sz w:val="24"/>
          <w:szCs w:val="24"/>
          <w:highlight w:val="none"/>
        </w:rPr>
        <w:t>投标文件有下列情形之一的，由评标委员会初审后按无效标处理：</w:t>
      </w:r>
    </w:p>
    <w:p w14:paraId="598A2A7B">
      <w:pPr>
        <w:spacing w:line="360" w:lineRule="auto"/>
        <w:ind w:right="105" w:rightChars="50" w:firstLine="480" w:firstLineChars="200"/>
        <w:rPr>
          <w:rFonts w:ascii="宋体" w:hAnsi="宋体" w:cs="_5b8b_4f53"/>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）投标人在</w:t>
      </w:r>
      <w:r>
        <w:rPr>
          <w:rFonts w:hint="eastAsia" w:ascii="宋体" w:hAnsi="宋体" w:cs="_5b8b_4f53"/>
          <w:color w:val="auto"/>
          <w:sz w:val="24"/>
          <w:szCs w:val="24"/>
          <w:highlight w:val="none"/>
        </w:rPr>
        <w:t>生成电子化投标文件后，应对电子化投标文件进行签章，未进行签章的视为无效投标。</w:t>
      </w:r>
    </w:p>
    <w:p w14:paraId="248C87D4">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w:t>
      </w:r>
      <w:r>
        <w:rPr>
          <w:rFonts w:ascii="宋体" w:hAnsi="宋体" w:cs="_5b8b_4f53"/>
          <w:color w:val="auto"/>
          <w:sz w:val="24"/>
          <w:szCs w:val="24"/>
          <w:highlight w:val="none"/>
        </w:rPr>
        <w:t>2</w:t>
      </w:r>
      <w:r>
        <w:rPr>
          <w:rFonts w:hint="eastAsia" w:ascii="宋体" w:hAnsi="宋体" w:cs="_5b8b_4f53"/>
          <w:color w:val="auto"/>
          <w:sz w:val="24"/>
          <w:szCs w:val="24"/>
          <w:highlight w:val="none"/>
        </w:rPr>
        <w:t>）投标供应商资格条件不符合国家有关规定和招标文件要求的；</w:t>
      </w:r>
    </w:p>
    <w:p w14:paraId="3E438D02">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w:t>
      </w:r>
      <w:r>
        <w:rPr>
          <w:rFonts w:ascii="宋体" w:hAnsi="宋体" w:cs="_5b8b_4f53"/>
          <w:color w:val="auto"/>
          <w:sz w:val="24"/>
          <w:szCs w:val="24"/>
          <w:highlight w:val="none"/>
        </w:rPr>
        <w:t>3</w:t>
      </w:r>
      <w:r>
        <w:rPr>
          <w:rFonts w:hint="eastAsia" w:ascii="宋体" w:hAnsi="宋体" w:cs="_5b8b_4f53"/>
          <w:color w:val="auto"/>
          <w:sz w:val="24"/>
          <w:szCs w:val="24"/>
          <w:highlight w:val="none"/>
        </w:rPr>
        <w:t>）</w:t>
      </w:r>
      <w:r>
        <w:rPr>
          <w:rFonts w:hint="eastAsia" w:ascii="宋体" w:hAnsi="宋体" w:cs="宋体"/>
          <w:color w:val="auto"/>
          <w:kern w:val="0"/>
          <w:sz w:val="24"/>
          <w:szCs w:val="24"/>
          <w:highlight w:val="none"/>
        </w:rPr>
        <w:t>电子化投标文件附有采购人不能接受的条件的；</w:t>
      </w:r>
    </w:p>
    <w:p w14:paraId="40855A05">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（4）投标报价超过招标文件规定的预算金额的；</w:t>
      </w:r>
    </w:p>
    <w:p w14:paraId="56DB58EB">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（5）以他人的名义投标、串通投标、以行贿手段谋取中标或者以其他弄虚作假方式投标的；</w:t>
      </w:r>
    </w:p>
    <w:p w14:paraId="37EF06D0">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（6）采取不正当手段谋取中标的。</w:t>
      </w:r>
    </w:p>
    <w:p w14:paraId="67E5326D">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7" w:name="_Toc19665"/>
      <w:bookmarkStart w:id="88" w:name="_Toc7225"/>
      <w:r>
        <w:rPr>
          <w:rFonts w:hint="eastAsia" w:ascii="宋体" w:hAnsi="宋体" w:cs="_5b8b_4f53"/>
          <w:b/>
          <w:bCs/>
          <w:color w:val="auto"/>
          <w:sz w:val="24"/>
          <w:szCs w:val="24"/>
          <w:highlight w:val="none"/>
        </w:rPr>
        <w:t>24</w:t>
      </w:r>
      <w:r>
        <w:rPr>
          <w:rFonts w:hint="eastAsia" w:ascii="宋体" w:hAnsi="宋体" w:cs="宋体"/>
          <w:b/>
          <w:bCs/>
          <w:color w:val="auto"/>
          <w:sz w:val="24"/>
          <w:szCs w:val="24"/>
          <w:highlight w:val="none"/>
        </w:rPr>
        <w:t>、投标文件计算错误的修正</w:t>
      </w:r>
      <w:bookmarkEnd w:id="87"/>
      <w:bookmarkEnd w:id="88"/>
    </w:p>
    <w:p w14:paraId="5ECC69C5">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24</w:t>
      </w:r>
      <w:r>
        <w:rPr>
          <w:rFonts w:ascii="宋体" w:hAnsi="宋体" w:cs="_5b8b_4f53"/>
          <w:color w:val="auto"/>
          <w:sz w:val="24"/>
          <w:szCs w:val="24"/>
          <w:highlight w:val="none"/>
        </w:rPr>
        <w:t>.1</w:t>
      </w:r>
      <w:r>
        <w:rPr>
          <w:rFonts w:hint="eastAsia" w:ascii="宋体" w:hAnsi="宋体" w:cs="_5b8b_4f53"/>
          <w:color w:val="auto"/>
          <w:sz w:val="24"/>
          <w:szCs w:val="24"/>
          <w:highlight w:val="none"/>
        </w:rPr>
        <w:t>评标委员会将对确定为实质上响应招标文件要求的投标文件进行校核，看其是否有计算或表达上的错误，修正错误的原则如下：</w:t>
      </w:r>
    </w:p>
    <w:p w14:paraId="6302932A">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24</w:t>
      </w:r>
      <w:r>
        <w:rPr>
          <w:rFonts w:ascii="宋体" w:hAnsi="宋体" w:cs="_5b8b_4f53"/>
          <w:color w:val="auto"/>
          <w:sz w:val="24"/>
          <w:szCs w:val="24"/>
          <w:highlight w:val="none"/>
        </w:rPr>
        <w:t>.1.1</w:t>
      </w:r>
      <w:r>
        <w:rPr>
          <w:rFonts w:hint="eastAsia" w:ascii="宋体" w:hAnsi="宋体" w:cs="_5b8b_4f53"/>
          <w:color w:val="auto"/>
          <w:sz w:val="24"/>
          <w:szCs w:val="24"/>
          <w:highlight w:val="none"/>
        </w:rPr>
        <w:t>投标文件中的大写金额和小写金额不一致的，以大写金额为准；</w:t>
      </w:r>
    </w:p>
    <w:p w14:paraId="74D4A1F9">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24</w:t>
      </w:r>
      <w:r>
        <w:rPr>
          <w:rFonts w:ascii="宋体" w:hAnsi="宋体" w:cs="_5b8b_4f53"/>
          <w:color w:val="auto"/>
          <w:sz w:val="24"/>
          <w:szCs w:val="24"/>
          <w:highlight w:val="none"/>
        </w:rPr>
        <w:t>.1.2</w:t>
      </w:r>
      <w:r>
        <w:rPr>
          <w:rFonts w:hint="eastAsia" w:ascii="宋体" w:hAnsi="宋体" w:cs="_5b8b_4f53"/>
          <w:color w:val="auto"/>
          <w:sz w:val="24"/>
          <w:szCs w:val="24"/>
          <w:highlight w:val="none"/>
        </w:rPr>
        <w:t>对不同文字文本投标文件的解释发生异议的，以中文文本为准。</w:t>
      </w:r>
    </w:p>
    <w:p w14:paraId="1C56C6FE">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24</w:t>
      </w:r>
      <w:r>
        <w:rPr>
          <w:rFonts w:ascii="宋体" w:hAnsi="宋体" w:cs="_5b8b_4f53"/>
          <w:color w:val="auto"/>
          <w:sz w:val="24"/>
          <w:szCs w:val="24"/>
          <w:highlight w:val="none"/>
        </w:rPr>
        <w:t>.2</w:t>
      </w:r>
      <w:r>
        <w:rPr>
          <w:rFonts w:hint="eastAsia" w:ascii="宋体" w:hAnsi="宋体" w:cs="_5b8b_4f53"/>
          <w:color w:val="auto"/>
          <w:sz w:val="24"/>
          <w:szCs w:val="24"/>
          <w:highlight w:val="none"/>
        </w:rPr>
        <w:t>按上述修正错误的原则及方法调整或修正投标文件的投标报价，投标供应商同意后，调整后的投标报价对投标供应商起约束作用。</w:t>
      </w:r>
    </w:p>
    <w:p w14:paraId="481CC9BA">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9" w:name="_Toc30114"/>
      <w:bookmarkStart w:id="90" w:name="_Toc27745"/>
      <w:r>
        <w:rPr>
          <w:rFonts w:hint="eastAsia" w:ascii="宋体" w:hAnsi="宋体" w:cs="_5b8b_4f53"/>
          <w:b/>
          <w:bCs/>
          <w:color w:val="auto"/>
          <w:sz w:val="24"/>
          <w:szCs w:val="24"/>
          <w:highlight w:val="none"/>
        </w:rPr>
        <w:t>25、</w:t>
      </w:r>
      <w:r>
        <w:rPr>
          <w:rFonts w:hint="eastAsia" w:ascii="宋体" w:hAnsi="宋体" w:cs="宋体"/>
          <w:b/>
          <w:bCs/>
          <w:color w:val="auto"/>
          <w:sz w:val="24"/>
          <w:szCs w:val="24"/>
          <w:highlight w:val="none"/>
        </w:rPr>
        <w:t>投标文件的评审、比较和否决</w:t>
      </w:r>
      <w:bookmarkEnd w:id="89"/>
      <w:bookmarkEnd w:id="90"/>
    </w:p>
    <w:p w14:paraId="1373BB0A">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ascii="宋体" w:hAnsi="宋体" w:cs="_5b8b_4f53"/>
          <w:color w:val="auto"/>
          <w:sz w:val="24"/>
          <w:szCs w:val="24"/>
          <w:highlight w:val="none"/>
        </w:rPr>
        <w:t>2</w:t>
      </w:r>
      <w:r>
        <w:rPr>
          <w:rFonts w:hint="eastAsia" w:ascii="宋体" w:hAnsi="宋体" w:cs="_5b8b_4f53"/>
          <w:color w:val="auto"/>
          <w:sz w:val="24"/>
          <w:szCs w:val="24"/>
          <w:highlight w:val="none"/>
        </w:rPr>
        <w:t>5.</w:t>
      </w:r>
      <w:r>
        <w:rPr>
          <w:rFonts w:ascii="宋体" w:hAnsi="宋体" w:cs="_5b8b_4f53"/>
          <w:color w:val="auto"/>
          <w:sz w:val="24"/>
          <w:szCs w:val="24"/>
          <w:highlight w:val="none"/>
        </w:rPr>
        <w:t>1</w:t>
      </w:r>
      <w:r>
        <w:rPr>
          <w:rFonts w:hint="eastAsia" w:ascii="宋体" w:hAnsi="宋体" w:cs="_5b8b_4f53"/>
          <w:color w:val="auto"/>
          <w:sz w:val="24"/>
          <w:szCs w:val="24"/>
          <w:highlight w:val="none"/>
        </w:rPr>
        <w:t>评标委员会将按照招标文件的规定，仅对在实质上响应招标文件要求的上传投标文件进行评估和比较。</w:t>
      </w:r>
    </w:p>
    <w:p w14:paraId="59DB39A3">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25</w:t>
      </w:r>
      <w:r>
        <w:rPr>
          <w:rFonts w:ascii="宋体" w:hAnsi="宋体" w:cs="_5b8b_4f53"/>
          <w:color w:val="auto"/>
          <w:sz w:val="24"/>
          <w:szCs w:val="24"/>
          <w:highlight w:val="none"/>
        </w:rPr>
        <w:t>.2</w:t>
      </w:r>
      <w:r>
        <w:rPr>
          <w:rFonts w:hint="eastAsia" w:ascii="宋体" w:hAnsi="宋体" w:cs="_5b8b_4f53"/>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4A3EF53C">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25</w:t>
      </w:r>
      <w:r>
        <w:rPr>
          <w:rFonts w:ascii="宋体" w:hAnsi="宋体" w:cs="_5b8b_4f53"/>
          <w:color w:val="auto"/>
          <w:sz w:val="24"/>
          <w:szCs w:val="24"/>
          <w:highlight w:val="none"/>
        </w:rPr>
        <w:t>.3</w:t>
      </w:r>
      <w:r>
        <w:rPr>
          <w:rFonts w:hint="eastAsia" w:ascii="宋体" w:hAnsi="宋体" w:cs="_5b8b_4f53"/>
          <w:color w:val="auto"/>
          <w:sz w:val="24"/>
          <w:szCs w:val="24"/>
          <w:highlight w:val="none"/>
        </w:rPr>
        <w:t>在评审过程中，评标委员会可以要求投标供应商就投标文件中含义不明确的内容进行说明并提供相关材料。</w:t>
      </w:r>
    </w:p>
    <w:p w14:paraId="6C52E286">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25</w:t>
      </w:r>
      <w:r>
        <w:rPr>
          <w:rFonts w:ascii="宋体" w:hAnsi="宋体" w:cs="_5b8b_4f53"/>
          <w:color w:val="auto"/>
          <w:sz w:val="24"/>
          <w:szCs w:val="24"/>
          <w:highlight w:val="none"/>
        </w:rPr>
        <w:t>.4</w:t>
      </w:r>
      <w:r>
        <w:rPr>
          <w:rFonts w:hint="eastAsia" w:ascii="宋体" w:hAnsi="宋体" w:cs="_5b8b_4f53"/>
          <w:color w:val="auto"/>
          <w:sz w:val="24"/>
          <w:szCs w:val="24"/>
          <w:highlight w:val="none"/>
        </w:rPr>
        <w:t>评标时，投标报价是评标的重要依据，但不是唯一依据，采购人不承诺将合同授予报价最低或最高的投标供应商。投标</w:t>
      </w:r>
      <w:r>
        <w:rPr>
          <w:color w:val="auto"/>
          <w:sz w:val="24"/>
          <w:szCs w:val="24"/>
          <w:highlight w:val="none"/>
          <w:shd w:val="clear" w:color="050000" w:fill="auto"/>
        </w:rPr>
        <w:t>报价明显低于其他报价，使得其报价可能低于其个别成本的，有可能影响</w:t>
      </w:r>
      <w:r>
        <w:rPr>
          <w:rFonts w:hint="eastAsia"/>
          <w:color w:val="auto"/>
          <w:sz w:val="24"/>
          <w:szCs w:val="24"/>
          <w:highlight w:val="none"/>
          <w:shd w:val="clear" w:color="050000" w:fill="auto"/>
        </w:rPr>
        <w:t>货物</w:t>
      </w:r>
      <w:r>
        <w:rPr>
          <w:color w:val="auto"/>
          <w:sz w:val="24"/>
          <w:szCs w:val="24"/>
          <w:highlight w:val="none"/>
          <w:shd w:val="clear" w:color="050000" w:fill="auto"/>
        </w:rPr>
        <w:t>质量或不能诚信履约的，</w:t>
      </w:r>
      <w:r>
        <w:rPr>
          <w:rFonts w:hint="eastAsia"/>
          <w:color w:val="auto"/>
          <w:sz w:val="24"/>
          <w:szCs w:val="24"/>
          <w:highlight w:val="none"/>
          <w:shd w:val="clear" w:color="050000" w:fill="auto"/>
        </w:rPr>
        <w:t>评标委员会</w:t>
      </w:r>
      <w:r>
        <w:rPr>
          <w:color w:val="auto"/>
          <w:sz w:val="24"/>
          <w:szCs w:val="24"/>
          <w:highlight w:val="none"/>
          <w:shd w:val="clear" w:color="050000" w:fill="auto"/>
        </w:rPr>
        <w:t>可要求</w:t>
      </w:r>
      <w:r>
        <w:rPr>
          <w:rFonts w:hint="eastAsia"/>
          <w:color w:val="auto"/>
          <w:sz w:val="24"/>
          <w:szCs w:val="24"/>
          <w:highlight w:val="none"/>
          <w:shd w:val="clear" w:color="050000" w:fill="auto"/>
        </w:rPr>
        <w:t>供应商</w:t>
      </w:r>
      <w:r>
        <w:rPr>
          <w:color w:val="auto"/>
          <w:sz w:val="24"/>
          <w:szCs w:val="24"/>
          <w:highlight w:val="none"/>
          <w:shd w:val="clear" w:color="050000" w:fill="auto"/>
        </w:rPr>
        <w:t>做出说明并提供相关证明材料。不能合理说明或不能提供相关证明材料的，其</w:t>
      </w:r>
      <w:r>
        <w:rPr>
          <w:rFonts w:hint="eastAsia"/>
          <w:color w:val="auto"/>
          <w:sz w:val="24"/>
          <w:szCs w:val="24"/>
          <w:highlight w:val="none"/>
          <w:shd w:val="clear" w:color="050000" w:fill="auto"/>
        </w:rPr>
        <w:t>投标</w:t>
      </w:r>
      <w:r>
        <w:rPr>
          <w:color w:val="auto"/>
          <w:sz w:val="24"/>
          <w:szCs w:val="24"/>
          <w:highlight w:val="none"/>
          <w:shd w:val="clear" w:color="050000" w:fill="auto"/>
        </w:rPr>
        <w:t>应文件有可能被拒绝</w:t>
      </w:r>
      <w:r>
        <w:rPr>
          <w:rFonts w:hint="eastAsia"/>
          <w:color w:val="auto"/>
          <w:sz w:val="24"/>
          <w:szCs w:val="24"/>
          <w:highlight w:val="none"/>
          <w:shd w:val="clear" w:color="050000" w:fill="auto"/>
        </w:rPr>
        <w:t>。</w:t>
      </w:r>
    </w:p>
    <w:p w14:paraId="42C925D1">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ascii="宋体" w:hAnsi="宋体" w:cs="_5b8b_4f53"/>
          <w:color w:val="auto"/>
          <w:sz w:val="24"/>
          <w:szCs w:val="24"/>
          <w:highlight w:val="none"/>
        </w:rPr>
        <w:t>2</w:t>
      </w:r>
      <w:r>
        <w:rPr>
          <w:rFonts w:hint="eastAsia" w:ascii="宋体" w:hAnsi="宋体" w:cs="_5b8b_4f53"/>
          <w:color w:val="auto"/>
          <w:sz w:val="24"/>
          <w:szCs w:val="24"/>
          <w:highlight w:val="none"/>
        </w:rPr>
        <w:t>5</w:t>
      </w:r>
      <w:r>
        <w:rPr>
          <w:rFonts w:ascii="宋体" w:hAnsi="宋体" w:cs="_5b8b_4f53"/>
          <w:color w:val="auto"/>
          <w:sz w:val="24"/>
          <w:szCs w:val="24"/>
          <w:highlight w:val="none"/>
        </w:rPr>
        <w:t>.5</w:t>
      </w:r>
      <w:r>
        <w:rPr>
          <w:rFonts w:hint="eastAsia" w:ascii="宋体" w:hAnsi="宋体" w:cs="_5b8b_4f53"/>
          <w:color w:val="auto"/>
          <w:sz w:val="24"/>
          <w:szCs w:val="24"/>
          <w:highlight w:val="none"/>
        </w:rPr>
        <w:t>评标委员会依据本须知规定的评标标准和方法，对投标文件进行评审和比较，向采购人提出书面评标报告，并推荐合格的中标候选人。</w:t>
      </w:r>
    </w:p>
    <w:p w14:paraId="39BC9593">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_5b8b_4f53"/>
          <w:color w:val="auto"/>
          <w:sz w:val="24"/>
          <w:szCs w:val="24"/>
          <w:highlight w:val="none"/>
        </w:rPr>
        <w:t>25.6</w:t>
      </w:r>
      <w:r>
        <w:rPr>
          <w:rFonts w:hint="eastAsia" w:ascii="宋体" w:hAnsi="宋体" w:cs="宋体"/>
          <w:color w:val="auto"/>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14:paraId="12C2E94B">
      <w:pPr>
        <w:shd w:val="clear" w:color="auto" w:fill="FFFFFF"/>
        <w:snapToGrid w:val="0"/>
        <w:spacing w:line="360" w:lineRule="auto"/>
        <w:ind w:right="105" w:rightChars="50" w:firstLine="602" w:firstLineChars="200"/>
        <w:jc w:val="center"/>
        <w:outlineLvl w:val="0"/>
        <w:rPr>
          <w:rFonts w:ascii="宋体" w:hAnsi="宋体" w:cs="_5b8b_4f53"/>
          <w:b/>
          <w:bCs/>
          <w:color w:val="auto"/>
          <w:sz w:val="30"/>
          <w:szCs w:val="30"/>
          <w:highlight w:val="none"/>
        </w:rPr>
      </w:pPr>
      <w:bookmarkStart w:id="91" w:name="_Toc3847"/>
      <w:bookmarkStart w:id="92" w:name="_Toc21227"/>
      <w:r>
        <w:rPr>
          <w:rFonts w:hint="eastAsia" w:ascii="宋体" w:hAnsi="宋体" w:cs="_5b8b_4f53"/>
          <w:b/>
          <w:bCs/>
          <w:color w:val="auto"/>
          <w:sz w:val="30"/>
          <w:szCs w:val="30"/>
          <w:highlight w:val="none"/>
        </w:rPr>
        <w:t>七、授予合同</w:t>
      </w:r>
      <w:bookmarkEnd w:id="91"/>
      <w:bookmarkEnd w:id="92"/>
    </w:p>
    <w:p w14:paraId="5A7CA142">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3" w:name="_Toc15599"/>
      <w:bookmarkStart w:id="94" w:name="_Toc29644"/>
      <w:r>
        <w:rPr>
          <w:rFonts w:hint="eastAsia" w:ascii="宋体" w:hAnsi="宋体" w:cs="_5b8b_4f53"/>
          <w:b/>
          <w:bCs/>
          <w:color w:val="auto"/>
          <w:sz w:val="24"/>
          <w:szCs w:val="24"/>
          <w:highlight w:val="none"/>
        </w:rPr>
        <w:t>26、</w:t>
      </w:r>
      <w:r>
        <w:rPr>
          <w:rFonts w:hint="eastAsia" w:ascii="宋体" w:hAnsi="宋体" w:cs="宋体"/>
          <w:b/>
          <w:bCs/>
          <w:color w:val="auto"/>
          <w:sz w:val="24"/>
          <w:szCs w:val="24"/>
          <w:highlight w:val="none"/>
        </w:rPr>
        <w:t>授予合同标准</w:t>
      </w:r>
      <w:bookmarkEnd w:id="93"/>
      <w:bookmarkEnd w:id="94"/>
    </w:p>
    <w:p w14:paraId="7A4357F6">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26.</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本招标项目的合同将授予按本评标办法确定的中标供应商。</w:t>
      </w:r>
    </w:p>
    <w:p w14:paraId="0492634B">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26</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7EF7EF83">
      <w:pPr>
        <w:autoSpaceDE w:val="0"/>
        <w:autoSpaceDN w:val="0"/>
        <w:adjustRightInd w:val="0"/>
        <w:spacing w:line="360" w:lineRule="auto"/>
        <w:ind w:firstLine="480" w:firstLineChars="200"/>
        <w:jc w:val="left"/>
        <w:outlineLvl w:val="1"/>
        <w:rPr>
          <w:rFonts w:ascii="宋体" w:hAnsi="宋体" w:cs="宋体"/>
          <w:color w:val="auto"/>
          <w:kern w:val="0"/>
          <w:sz w:val="24"/>
          <w:szCs w:val="24"/>
          <w:highlight w:val="none"/>
        </w:rPr>
      </w:pPr>
      <w:bookmarkStart w:id="95" w:name="_Toc17444"/>
      <w:bookmarkStart w:id="96" w:name="_Toc26397"/>
      <w:r>
        <w:rPr>
          <w:rFonts w:ascii="宋体" w:hAnsi="宋体" w:cs="宋体"/>
          <w:color w:val="auto"/>
          <w:kern w:val="0"/>
          <w:sz w:val="24"/>
          <w:szCs w:val="24"/>
          <w:highlight w:val="none"/>
        </w:rPr>
        <w:t>27</w:t>
      </w:r>
      <w:r>
        <w:rPr>
          <w:rFonts w:hint="eastAsia" w:ascii="宋体" w:hAnsi="宋体" w:cs="宋体"/>
          <w:color w:val="auto"/>
          <w:kern w:val="0"/>
          <w:sz w:val="24"/>
          <w:szCs w:val="24"/>
          <w:highlight w:val="none"/>
        </w:rPr>
        <w:t>、授予合同时变更数量的权利</w:t>
      </w:r>
      <w:bookmarkEnd w:id="95"/>
      <w:bookmarkEnd w:id="96"/>
    </w:p>
    <w:p w14:paraId="08AC686F">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27.1</w:t>
      </w:r>
      <w:r>
        <w:rPr>
          <w:rFonts w:hint="eastAsia" w:ascii="宋体" w:hAnsi="宋体" w:cs="宋体"/>
          <w:color w:val="auto"/>
          <w:kern w:val="0"/>
          <w:sz w:val="24"/>
          <w:szCs w:val="24"/>
          <w:highlight w:val="none"/>
        </w:rPr>
        <w:t>采购人在授予合同时，保留对货物数量予以适当增减的权利。供应商不得在此情况下对投标文件作出修改，如价格、供货期、售后服务等。</w:t>
      </w:r>
    </w:p>
    <w:p w14:paraId="592F16E8">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7" w:name="_Toc20731"/>
      <w:bookmarkStart w:id="98" w:name="_Toc15915"/>
      <w:r>
        <w:rPr>
          <w:rFonts w:hint="eastAsia" w:ascii="宋体" w:hAnsi="宋体" w:cs="_5b8b_4f53"/>
          <w:b/>
          <w:bCs/>
          <w:color w:val="auto"/>
          <w:sz w:val="24"/>
          <w:szCs w:val="24"/>
          <w:highlight w:val="none"/>
        </w:rPr>
        <w:t>28、</w:t>
      </w:r>
      <w:r>
        <w:rPr>
          <w:rFonts w:hint="eastAsia" w:ascii="宋体" w:hAnsi="宋体" w:cs="宋体"/>
          <w:b/>
          <w:bCs/>
          <w:color w:val="auto"/>
          <w:sz w:val="24"/>
          <w:szCs w:val="24"/>
          <w:highlight w:val="none"/>
        </w:rPr>
        <w:t>采购人拒绝投标的权力</w:t>
      </w:r>
      <w:bookmarkEnd w:id="97"/>
      <w:bookmarkEnd w:id="98"/>
    </w:p>
    <w:p w14:paraId="7E8E9F0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28</w:t>
      </w:r>
      <w:r>
        <w:rPr>
          <w:rFonts w:ascii="宋体" w:hAnsi="宋体" w:cs="_5b8b_4f53"/>
          <w:b/>
          <w:color w:val="auto"/>
          <w:sz w:val="24"/>
          <w:szCs w:val="24"/>
          <w:highlight w:val="none"/>
        </w:rPr>
        <w:t>.1</w:t>
      </w:r>
      <w:r>
        <w:rPr>
          <w:rFonts w:hint="eastAsia" w:ascii="宋体" w:hAnsi="宋体" w:cs="_5b8b_4f53"/>
          <w:color w:val="auto"/>
          <w:sz w:val="24"/>
          <w:szCs w:val="24"/>
          <w:highlight w:val="none"/>
        </w:rPr>
        <w:t>采购人不承诺将合同授予报价最低的或最高的中标候选人。</w:t>
      </w:r>
    </w:p>
    <w:p w14:paraId="40783DE4">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9" w:name="_Toc14052"/>
      <w:bookmarkStart w:id="100" w:name="_Toc6610"/>
      <w:r>
        <w:rPr>
          <w:rFonts w:hint="eastAsia" w:ascii="宋体" w:hAnsi="宋体" w:cs="_5b8b_4f53"/>
          <w:b/>
          <w:bCs/>
          <w:color w:val="auto"/>
          <w:sz w:val="24"/>
          <w:szCs w:val="24"/>
          <w:highlight w:val="none"/>
        </w:rPr>
        <w:t>29、中标通知</w:t>
      </w:r>
      <w:bookmarkEnd w:id="99"/>
      <w:bookmarkEnd w:id="100"/>
    </w:p>
    <w:p w14:paraId="5FEB2606">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中标供应商确定后，在发布本项目招标公告的媒介上发布中标公示。</w:t>
      </w:r>
    </w:p>
    <w:p w14:paraId="5B1E97FC">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中标通知书是合同的组成部分。</w:t>
      </w:r>
    </w:p>
    <w:p w14:paraId="3FB9764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对未中标的投标供应商，不做任何未中标原因的解释。所有投标文件不予退还。</w:t>
      </w:r>
    </w:p>
    <w:p w14:paraId="48FBC342">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101" w:name="_Toc3536"/>
      <w:bookmarkStart w:id="102" w:name="_Toc32664"/>
      <w:r>
        <w:rPr>
          <w:rFonts w:hint="eastAsia" w:ascii="宋体" w:hAnsi="宋体" w:cs="_5b8b_4f53"/>
          <w:b/>
          <w:bCs/>
          <w:color w:val="auto"/>
          <w:sz w:val="24"/>
          <w:szCs w:val="24"/>
          <w:highlight w:val="none"/>
        </w:rPr>
        <w:t>30、</w:t>
      </w:r>
      <w:r>
        <w:rPr>
          <w:rFonts w:hint="eastAsia" w:ascii="宋体" w:hAnsi="宋体" w:cs="宋体"/>
          <w:b/>
          <w:bCs/>
          <w:color w:val="auto"/>
          <w:sz w:val="24"/>
          <w:szCs w:val="24"/>
          <w:highlight w:val="none"/>
        </w:rPr>
        <w:t>合同协议书的签署</w:t>
      </w:r>
      <w:bookmarkEnd w:id="101"/>
      <w:bookmarkEnd w:id="102"/>
    </w:p>
    <w:p w14:paraId="7D7E94A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30</w:t>
      </w:r>
      <w:r>
        <w:rPr>
          <w:rFonts w:ascii="宋体" w:hAnsi="宋体" w:cs="_5b8b_4f53"/>
          <w:b/>
          <w:color w:val="auto"/>
          <w:sz w:val="24"/>
          <w:szCs w:val="24"/>
          <w:highlight w:val="none"/>
        </w:rPr>
        <w:t>.1</w:t>
      </w:r>
      <w:r>
        <w:rPr>
          <w:rFonts w:hint="eastAsia" w:ascii="宋体" w:hAnsi="宋体" w:cs="宋体"/>
          <w:color w:val="auto"/>
          <w:sz w:val="24"/>
          <w:szCs w:val="24"/>
          <w:highlight w:val="none"/>
        </w:rPr>
        <w:t>采购人与中标供应商将于中标通知书发出之日起</w:t>
      </w:r>
      <w:r>
        <w:rPr>
          <w:rFonts w:hint="eastAsia" w:ascii="宋体" w:hAnsi="宋体" w:cs="_5b8b_4f53"/>
          <w:color w:val="auto"/>
          <w:sz w:val="24"/>
          <w:szCs w:val="24"/>
          <w:highlight w:val="none"/>
        </w:rPr>
        <w:t>2</w:t>
      </w:r>
      <w:r>
        <w:rPr>
          <w:rFonts w:hint="eastAsia" w:ascii="宋体" w:hAnsi="宋体" w:cs="宋体"/>
          <w:color w:val="auto"/>
          <w:sz w:val="24"/>
          <w:szCs w:val="24"/>
          <w:highlight w:val="none"/>
        </w:rPr>
        <w:t>日内，按照招标文件及中标供应商的投标文件订立书面承包合同，采购人和中标供应商不得再行订立背离合同实质性内容的其他协议。</w:t>
      </w:r>
    </w:p>
    <w:p w14:paraId="7C1A27D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30</w:t>
      </w:r>
      <w:r>
        <w:rPr>
          <w:rFonts w:ascii="宋体" w:hAnsi="宋体" w:cs="_5b8b_4f53"/>
          <w:b/>
          <w:color w:val="auto"/>
          <w:sz w:val="24"/>
          <w:szCs w:val="24"/>
          <w:highlight w:val="none"/>
        </w:rPr>
        <w:t>.2</w:t>
      </w:r>
      <w:r>
        <w:rPr>
          <w:rFonts w:hint="eastAsia" w:ascii="宋体" w:hAnsi="宋体" w:cs="宋体"/>
          <w:color w:val="auto"/>
          <w:sz w:val="24"/>
          <w:szCs w:val="24"/>
          <w:highlight w:val="none"/>
        </w:rPr>
        <w:t>中标供应商如不按本投标须知的规定与采购人订立合同，则采购人将废除授标，给采购人造成损失的，应当予以赔偿，同时依法承担相应法律责任。</w:t>
      </w:r>
    </w:p>
    <w:p w14:paraId="1277DE31">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103" w:name="_Toc21895"/>
      <w:bookmarkStart w:id="104" w:name="_Toc8775"/>
      <w:r>
        <w:rPr>
          <w:rFonts w:hint="eastAsia" w:ascii="宋体" w:hAnsi="宋体" w:cs="_5b8b_4f53"/>
          <w:b/>
          <w:bCs/>
          <w:color w:val="auto"/>
          <w:sz w:val="24"/>
          <w:szCs w:val="24"/>
          <w:highlight w:val="none"/>
        </w:rPr>
        <w:t>31、</w:t>
      </w:r>
      <w:r>
        <w:rPr>
          <w:rFonts w:hint="eastAsia" w:ascii="宋体" w:hAnsi="宋体" w:cs="宋体"/>
          <w:b/>
          <w:bCs/>
          <w:color w:val="auto"/>
          <w:sz w:val="24"/>
          <w:szCs w:val="24"/>
          <w:highlight w:val="none"/>
        </w:rPr>
        <w:t>履约保证金</w:t>
      </w:r>
      <w:bookmarkEnd w:id="103"/>
      <w:bookmarkEnd w:id="104"/>
    </w:p>
    <w:p w14:paraId="1B93CB5B">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31</w:t>
      </w:r>
      <w:r>
        <w:rPr>
          <w:rFonts w:ascii="宋体" w:hAnsi="宋体" w:cs="_5b8b_4f53"/>
          <w:b/>
          <w:bCs/>
          <w:color w:val="auto"/>
          <w:sz w:val="24"/>
          <w:szCs w:val="24"/>
          <w:highlight w:val="none"/>
        </w:rPr>
        <w:t>.1</w:t>
      </w:r>
      <w:r>
        <w:rPr>
          <w:rFonts w:ascii="宋体" w:hAnsi="宋体" w:cs="_5b8b_4f53"/>
          <w:color w:val="auto"/>
          <w:sz w:val="24"/>
          <w:szCs w:val="24"/>
          <w:highlight w:val="none"/>
        </w:rPr>
        <w:t xml:space="preserve"> </w:t>
      </w:r>
      <w:r>
        <w:rPr>
          <w:rFonts w:hint="eastAsia" w:ascii="宋体" w:hAnsi="宋体" w:cs="宋体"/>
          <w:color w:val="auto"/>
          <w:sz w:val="24"/>
          <w:highlight w:val="none"/>
        </w:rPr>
        <w:t>本项目不收取履约保证金。</w:t>
      </w:r>
    </w:p>
    <w:p w14:paraId="0FED1576">
      <w:pPr>
        <w:shd w:val="clear" w:color="auto" w:fill="FFFFFF"/>
        <w:snapToGrid w:val="0"/>
        <w:spacing w:line="360" w:lineRule="auto"/>
        <w:ind w:right="105" w:rightChars="50" w:firstLine="602" w:firstLineChars="200"/>
        <w:jc w:val="center"/>
        <w:outlineLvl w:val="0"/>
        <w:rPr>
          <w:rFonts w:ascii="宋体" w:hAnsi="宋体" w:cs="_5b8b_4f53"/>
          <w:b/>
          <w:bCs/>
          <w:color w:val="auto"/>
          <w:sz w:val="30"/>
          <w:szCs w:val="30"/>
          <w:highlight w:val="none"/>
        </w:rPr>
      </w:pPr>
      <w:bookmarkStart w:id="105" w:name="_Toc17314"/>
      <w:bookmarkStart w:id="106" w:name="_Toc9632"/>
      <w:r>
        <w:rPr>
          <w:rFonts w:hint="eastAsia" w:ascii="宋体" w:hAnsi="宋体" w:cs="_5b8b_4f53"/>
          <w:b/>
          <w:bCs/>
          <w:color w:val="auto"/>
          <w:sz w:val="30"/>
          <w:szCs w:val="30"/>
          <w:highlight w:val="none"/>
        </w:rPr>
        <w:t>八、其他</w:t>
      </w:r>
      <w:bookmarkEnd w:id="105"/>
      <w:bookmarkEnd w:id="106"/>
    </w:p>
    <w:p w14:paraId="155D1A93">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3</w:t>
      </w:r>
      <w:r>
        <w:rPr>
          <w:rFonts w:hint="eastAsia" w:ascii="宋体" w:hAnsi="宋体" w:cs="_5b8b_4f53"/>
          <w:b/>
          <w:bCs/>
          <w:color w:val="auto"/>
          <w:sz w:val="24"/>
          <w:szCs w:val="24"/>
          <w:highlight w:val="none"/>
        </w:rPr>
        <w:t>2、</w:t>
      </w:r>
      <w:r>
        <w:rPr>
          <w:rFonts w:hint="eastAsia" w:ascii="宋体" w:hAnsi="宋体" w:cs="_5b8b_4f53"/>
          <w:color w:val="auto"/>
          <w:sz w:val="24"/>
          <w:szCs w:val="24"/>
          <w:highlight w:val="none"/>
        </w:rPr>
        <w:t>未尽事宜按国家有关规定执行。</w:t>
      </w:r>
    </w:p>
    <w:p w14:paraId="2FD1308D">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3</w:t>
      </w:r>
      <w:r>
        <w:rPr>
          <w:rFonts w:hint="eastAsia" w:ascii="宋体" w:hAnsi="宋体" w:cs="_5b8b_4f53"/>
          <w:b/>
          <w:bCs/>
          <w:color w:val="auto"/>
          <w:sz w:val="24"/>
          <w:szCs w:val="24"/>
          <w:highlight w:val="none"/>
        </w:rPr>
        <w:t>3、</w:t>
      </w:r>
      <w:r>
        <w:rPr>
          <w:rFonts w:hint="eastAsia" w:ascii="宋体" w:hAnsi="宋体" w:cs="_5b8b_4f53"/>
          <w:color w:val="auto"/>
          <w:sz w:val="24"/>
          <w:szCs w:val="24"/>
          <w:highlight w:val="none"/>
        </w:rPr>
        <w:t>本招标文件最终解释权归采购人。</w:t>
      </w:r>
    </w:p>
    <w:p w14:paraId="07405F14">
      <w:pPr>
        <w:rPr>
          <w:rFonts w:ascii="宋体" w:hAnsi="宋体" w:cs="宋体"/>
          <w:b/>
          <w:bCs/>
          <w:color w:val="auto"/>
          <w:sz w:val="36"/>
          <w:szCs w:val="36"/>
          <w:highlight w:val="none"/>
        </w:rPr>
      </w:pPr>
    </w:p>
    <w:p w14:paraId="4B8C2B2D">
      <w:pPr>
        <w:rPr>
          <w:rFonts w:ascii="宋体" w:hAnsi="宋体" w:cs="宋体"/>
          <w:b/>
          <w:bCs/>
          <w:color w:val="auto"/>
          <w:sz w:val="36"/>
          <w:szCs w:val="36"/>
          <w:highlight w:val="none"/>
        </w:rPr>
        <w:sectPr>
          <w:footerReference r:id="rId5" w:type="default"/>
          <w:pgSz w:w="11906" w:h="16838"/>
          <w:pgMar w:top="1440" w:right="1800" w:bottom="1440" w:left="1800" w:header="851" w:footer="992" w:gutter="0"/>
          <w:pgNumType w:start="1"/>
          <w:cols w:space="0" w:num="1"/>
          <w:docGrid w:type="lines" w:linePitch="312" w:charSpace="0"/>
        </w:sectPr>
      </w:pPr>
      <w:r>
        <w:rPr>
          <w:rFonts w:hint="eastAsia" w:ascii="宋体" w:hAnsi="宋体" w:cs="宋体"/>
          <w:b/>
          <w:bCs/>
          <w:color w:val="auto"/>
          <w:sz w:val="36"/>
          <w:szCs w:val="36"/>
          <w:highlight w:val="none"/>
        </w:rPr>
        <w:br w:type="page"/>
      </w:r>
    </w:p>
    <w:p w14:paraId="3C91B278">
      <w:pPr>
        <w:shd w:val="clear" w:color="auto" w:fill="FFFFFF"/>
        <w:snapToGrid w:val="0"/>
        <w:spacing w:line="360" w:lineRule="auto"/>
        <w:ind w:right="105" w:rightChars="50"/>
        <w:jc w:val="center"/>
        <w:outlineLvl w:val="0"/>
        <w:rPr>
          <w:color w:val="auto"/>
          <w:highlight w:val="none"/>
        </w:rPr>
      </w:pPr>
      <w:bookmarkStart w:id="107" w:name="_Toc22923"/>
      <w:r>
        <w:rPr>
          <w:rFonts w:hint="eastAsia" w:ascii="宋体" w:hAnsi="宋体" w:cs="宋体"/>
          <w:b/>
          <w:bCs/>
          <w:color w:val="auto"/>
          <w:sz w:val="36"/>
          <w:szCs w:val="36"/>
          <w:highlight w:val="none"/>
        </w:rPr>
        <w:t>第三章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技术参数</w:t>
      </w:r>
      <w:bookmarkEnd w:id="107"/>
    </w:p>
    <w:p w14:paraId="6C8EDB5A">
      <w:pPr>
        <w:spacing w:line="276" w:lineRule="auto"/>
        <w:rPr>
          <w:b/>
          <w:bCs/>
          <w:color w:val="auto"/>
          <w:sz w:val="24"/>
          <w:szCs w:val="24"/>
          <w:highlight w:val="none"/>
          <w:shd w:val="clear" w:color="auto" w:fill="FFFFFF"/>
        </w:rPr>
      </w:pPr>
      <w:r>
        <w:rPr>
          <w:rFonts w:hint="eastAsia"/>
          <w:b/>
          <w:bCs/>
          <w:color w:val="auto"/>
          <w:sz w:val="24"/>
          <w:szCs w:val="24"/>
          <w:highlight w:val="none"/>
          <w:shd w:val="clear" w:color="auto" w:fill="FFFFFF"/>
        </w:rPr>
        <w:t>一、商务要求</w:t>
      </w:r>
    </w:p>
    <w:p w14:paraId="3F820F1F">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rPr>
        <w:t>交付（实施）时间（期限）：合同签订之日起1年内采购人对雷达设备进行验货。</w:t>
      </w:r>
    </w:p>
    <w:p w14:paraId="7B8AE2D0">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rPr>
        <w:t>2、交付（实施）地点（范围）：采购人指定地点。</w:t>
      </w:r>
    </w:p>
    <w:p w14:paraId="1A2C3B81">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rPr>
        <w:t>3、包装和运输</w:t>
      </w:r>
    </w:p>
    <w:p w14:paraId="2DF373BE">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2020〕123号）的规定。</w:t>
      </w:r>
    </w:p>
    <w:p w14:paraId="6FAC1C7B">
      <w:pPr>
        <w:widowControl/>
        <w:numPr>
          <w:ilvl w:val="0"/>
          <w:numId w:val="1"/>
        </w:numPr>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质保期及售后服务（除投标人自行编制的售后服务外，投标文件中还须对以下内容做出响应）</w:t>
      </w:r>
    </w:p>
    <w:p w14:paraId="38CDA06E">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4.1免费质保期内，非人为原因造成的设备故障，投标人须免费维修或更换设备或部件，直至恢复设备正常性能，此间发生的一切费用由中标人自行承担。</w:t>
      </w:r>
    </w:p>
    <w:p w14:paraId="43907EA4">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4.2、质保期内对不符合投标文件的投标产品详细配置、参数及性能或不能修复的货物负责免费更换。</w:t>
      </w:r>
    </w:p>
    <w:p w14:paraId="19573BE3">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4.3、提供所投产品投标人或制造商售后服务机构情况。</w:t>
      </w:r>
    </w:p>
    <w:p w14:paraId="42A132EE">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4.4、质保期内免费上门保修服务，7 天×24 小时全年无休，质保期自系统验收合格之日起计算。不接受该质保期的响应将不被接受。</w:t>
      </w:r>
    </w:p>
    <w:p w14:paraId="3D2BA888">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4.5、质保期内（以本项目系统验收合格之日算起）应当为采购人提供以下技术支持和服务： </w:t>
      </w:r>
    </w:p>
    <w:p w14:paraId="4EED3B9A">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（1）电话咨询。投标人或制造商应当为采购人提供技术援助电话，解答采购人在使用中遇到的问题，及时为采购人提出解决问题的建议和办法。</w:t>
      </w:r>
    </w:p>
    <w:p w14:paraId="7E1466BF">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现场响应。甲方遇到使用及技术问题，电话咨询不能解决的，汛期期间乙方售后应在24小时内到达现场进行处理，非汛期期间应在48小时内到达现场进行处理，确保设备系统正常工作；现场无法解决的，应在10天内提供备用产品，使采购人能够正常使用。</w:t>
      </w:r>
    </w:p>
    <w:p w14:paraId="6FB6AB7D">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（3）投标人应当定期对所供设备运行情况进行检测，消除故障隐患，以保证设备的正常运行。</w:t>
      </w:r>
    </w:p>
    <w:p w14:paraId="4DDDCF39">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（4）技术升级。在质保期内，如果制造商的产品技术升级，中标人应及时通知采购人，如采购人有相应要求，中标人和制造商应对采购人购买的产品进行优惠价格的有偿升级服务。</w:t>
      </w:r>
    </w:p>
    <w:p w14:paraId="51639E70">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4.6、质保期后应当为采购人提供以下技术支持和服务：</w:t>
      </w:r>
    </w:p>
    <w:p w14:paraId="75C21BA1">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（1）应同样提供免费电话咨询服务，并应承诺优惠价格有偿提供产品上门维护服务。</w:t>
      </w:r>
    </w:p>
    <w:p w14:paraId="32AAF3BD">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（2）应以优惠价格继续提供售后服务。</w:t>
      </w:r>
    </w:p>
    <w:p w14:paraId="63556410">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rPr>
        <w:t>5、保险</w:t>
      </w:r>
    </w:p>
    <w:p w14:paraId="5DECA1D0">
      <w:pPr>
        <w:widowControl/>
        <w:spacing w:line="500" w:lineRule="exact"/>
        <w:ind w:firstLine="480" w:firstLineChars="200"/>
        <w:jc w:val="left"/>
        <w:rPr>
          <w:color w:val="auto"/>
          <w:highlight w:val="none"/>
        </w:rPr>
      </w:pPr>
      <w:r>
        <w:rPr>
          <w:rFonts w:hint="eastAsia" w:ascii="宋体" w:hAnsi="宋体" w:cs="宋体"/>
          <w:color w:val="auto"/>
          <w:kern w:val="0"/>
          <w:sz w:val="24"/>
          <w:szCs w:val="24"/>
          <w:highlight w:val="none"/>
        </w:rPr>
        <w:t>中标人在项目实施过程中直至验收之前所发生的货物保险和人员保险均由中标人承担。</w:t>
      </w:r>
    </w:p>
    <w:p w14:paraId="5A0886E5">
      <w:pPr>
        <w:widowControl/>
        <w:spacing w:line="500" w:lineRule="exact"/>
        <w:jc w:val="left"/>
        <w:rPr>
          <w:b/>
          <w:bCs/>
          <w:color w:val="auto"/>
          <w:sz w:val="24"/>
          <w:szCs w:val="24"/>
          <w:highlight w:val="none"/>
        </w:rPr>
      </w:pPr>
      <w:r>
        <w:rPr>
          <w:rFonts w:hint="eastAsia" w:ascii="宋体" w:hAnsi="宋体" w:cs="宋体"/>
          <w:b/>
          <w:bCs/>
          <w:color w:val="auto"/>
          <w:kern w:val="0"/>
          <w:sz w:val="24"/>
          <w:szCs w:val="24"/>
          <w:highlight w:val="none"/>
        </w:rPr>
        <w:t>二、采购清单</w:t>
      </w:r>
    </w:p>
    <w:p w14:paraId="142BF355">
      <w:pPr>
        <w:keepNext/>
        <w:keepLines/>
        <w:spacing w:line="360" w:lineRule="auto"/>
        <w:jc w:val="left"/>
        <w:outlineLvl w:val="2"/>
        <w:rPr>
          <w:b/>
          <w:bCs/>
          <w:color w:val="auto"/>
          <w:sz w:val="24"/>
          <w:szCs w:val="24"/>
          <w:highlight w:val="none"/>
        </w:rPr>
      </w:pPr>
      <w:r>
        <w:rPr>
          <w:rFonts w:hint="eastAsia"/>
          <w:b/>
          <w:bCs/>
          <w:color w:val="auto"/>
          <w:sz w:val="24"/>
          <w:szCs w:val="24"/>
          <w:highlight w:val="none"/>
          <w:lang w:val="en-US" w:eastAsia="zh-CN"/>
        </w:rPr>
        <w:t>2</w:t>
      </w:r>
      <w:r>
        <w:rPr>
          <w:b/>
          <w:bCs/>
          <w:color w:val="auto"/>
          <w:sz w:val="24"/>
          <w:szCs w:val="24"/>
          <w:highlight w:val="none"/>
        </w:rPr>
        <w:t xml:space="preserve">.1 </w:t>
      </w:r>
      <w:r>
        <w:rPr>
          <w:rFonts w:hint="eastAsia"/>
          <w:b/>
          <w:bCs/>
          <w:color w:val="auto"/>
          <w:sz w:val="24"/>
          <w:szCs w:val="24"/>
          <w:highlight w:val="none"/>
        </w:rPr>
        <w:t>采购清单</w:t>
      </w:r>
    </w:p>
    <w:p w14:paraId="7522CC2F">
      <w:pPr>
        <w:keepNext/>
        <w:keepLines/>
        <w:spacing w:line="360" w:lineRule="auto"/>
        <w:jc w:val="left"/>
        <w:outlineLvl w:val="2"/>
        <w:rPr>
          <w:b/>
          <w:bCs/>
          <w:color w:val="auto"/>
          <w:sz w:val="24"/>
          <w:szCs w:val="24"/>
          <w:highlight w:val="none"/>
        </w:rPr>
      </w:pPr>
      <w:r>
        <w:rPr>
          <w:rFonts w:hint="eastAsia"/>
          <w:b/>
          <w:bCs/>
          <w:color w:val="auto"/>
          <w:sz w:val="24"/>
          <w:szCs w:val="24"/>
          <w:highlight w:val="none"/>
        </w:rPr>
        <w:t>（1）采购清单</w:t>
      </w:r>
    </w:p>
    <w:tbl>
      <w:tblPr>
        <w:tblStyle w:val="2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288"/>
        <w:gridCol w:w="981"/>
        <w:gridCol w:w="758"/>
        <w:gridCol w:w="3692"/>
      </w:tblGrid>
      <w:tr w14:paraId="4000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428" w:type="pct"/>
            <w:vAlign w:val="center"/>
          </w:tcPr>
          <w:p w14:paraId="53000BC7">
            <w:pPr>
              <w:widowControl/>
              <w:spacing w:line="360" w:lineRule="auto"/>
              <w:rPr>
                <w:b/>
                <w:bCs/>
                <w:color w:val="auto"/>
                <w:kern w:val="0"/>
                <w:sz w:val="24"/>
                <w:szCs w:val="24"/>
                <w:highlight w:val="none"/>
              </w:rPr>
            </w:pPr>
            <w:r>
              <w:rPr>
                <w:rFonts w:hint="eastAsia"/>
                <w:b/>
                <w:bCs/>
                <w:color w:val="auto"/>
                <w:kern w:val="0"/>
                <w:sz w:val="24"/>
                <w:szCs w:val="24"/>
                <w:highlight w:val="none"/>
              </w:rPr>
              <w:t>序号</w:t>
            </w:r>
          </w:p>
        </w:tc>
        <w:tc>
          <w:tcPr>
            <w:tcW w:w="1355" w:type="pct"/>
            <w:vAlign w:val="center"/>
          </w:tcPr>
          <w:p w14:paraId="43D0AFED">
            <w:pPr>
              <w:widowControl/>
              <w:spacing w:line="360" w:lineRule="auto"/>
              <w:jc w:val="center"/>
              <w:rPr>
                <w:b/>
                <w:bCs/>
                <w:color w:val="auto"/>
                <w:kern w:val="0"/>
                <w:sz w:val="24"/>
                <w:szCs w:val="24"/>
                <w:highlight w:val="none"/>
              </w:rPr>
            </w:pPr>
            <w:r>
              <w:rPr>
                <w:rFonts w:hint="eastAsia"/>
                <w:b/>
                <w:bCs/>
                <w:color w:val="auto"/>
                <w:kern w:val="0"/>
                <w:sz w:val="24"/>
                <w:szCs w:val="24"/>
                <w:highlight w:val="none"/>
              </w:rPr>
              <w:t>项目</w:t>
            </w:r>
          </w:p>
        </w:tc>
        <w:tc>
          <w:tcPr>
            <w:tcW w:w="581" w:type="pct"/>
            <w:vAlign w:val="center"/>
          </w:tcPr>
          <w:p w14:paraId="37FA00BF">
            <w:pPr>
              <w:widowControl/>
              <w:spacing w:line="360" w:lineRule="auto"/>
              <w:rPr>
                <w:b/>
                <w:bCs/>
                <w:color w:val="auto"/>
                <w:kern w:val="0"/>
                <w:sz w:val="24"/>
                <w:szCs w:val="24"/>
                <w:highlight w:val="none"/>
              </w:rPr>
            </w:pPr>
            <w:r>
              <w:rPr>
                <w:rFonts w:hint="eastAsia"/>
                <w:b/>
                <w:bCs/>
                <w:color w:val="auto"/>
                <w:kern w:val="0"/>
                <w:sz w:val="24"/>
                <w:szCs w:val="24"/>
                <w:highlight w:val="none"/>
              </w:rPr>
              <w:t>单位</w:t>
            </w:r>
          </w:p>
        </w:tc>
        <w:tc>
          <w:tcPr>
            <w:tcW w:w="449" w:type="pct"/>
            <w:vAlign w:val="center"/>
          </w:tcPr>
          <w:p w14:paraId="0CFB7D93">
            <w:pPr>
              <w:widowControl/>
              <w:spacing w:line="360" w:lineRule="auto"/>
              <w:rPr>
                <w:b/>
                <w:bCs/>
                <w:color w:val="auto"/>
                <w:kern w:val="0"/>
                <w:sz w:val="24"/>
                <w:szCs w:val="24"/>
                <w:highlight w:val="none"/>
              </w:rPr>
            </w:pPr>
            <w:r>
              <w:rPr>
                <w:rFonts w:hint="eastAsia"/>
                <w:b/>
                <w:bCs/>
                <w:color w:val="auto"/>
                <w:kern w:val="0"/>
                <w:sz w:val="24"/>
                <w:szCs w:val="24"/>
                <w:highlight w:val="none"/>
              </w:rPr>
              <w:t>数量</w:t>
            </w:r>
          </w:p>
        </w:tc>
        <w:tc>
          <w:tcPr>
            <w:tcW w:w="2187" w:type="pct"/>
            <w:vAlign w:val="center"/>
          </w:tcPr>
          <w:p w14:paraId="270D303E">
            <w:pPr>
              <w:widowControl/>
              <w:spacing w:line="360" w:lineRule="auto"/>
              <w:jc w:val="center"/>
              <w:rPr>
                <w:b/>
                <w:bCs/>
                <w:color w:val="auto"/>
                <w:kern w:val="0"/>
                <w:sz w:val="24"/>
                <w:szCs w:val="24"/>
                <w:highlight w:val="none"/>
              </w:rPr>
            </w:pPr>
            <w:r>
              <w:rPr>
                <w:rFonts w:hint="eastAsia"/>
                <w:b/>
                <w:bCs/>
                <w:color w:val="auto"/>
                <w:kern w:val="0"/>
                <w:sz w:val="24"/>
                <w:szCs w:val="24"/>
                <w:highlight w:val="none"/>
              </w:rPr>
              <w:t>备注</w:t>
            </w:r>
          </w:p>
        </w:tc>
      </w:tr>
      <w:tr w14:paraId="064E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8" w:type="pct"/>
            <w:vAlign w:val="center"/>
          </w:tcPr>
          <w:p w14:paraId="6FE4157E">
            <w:pPr>
              <w:widowControl/>
              <w:spacing w:line="360" w:lineRule="auto"/>
              <w:jc w:val="center"/>
              <w:rPr>
                <w:color w:val="auto"/>
                <w:kern w:val="0"/>
                <w:sz w:val="24"/>
                <w:szCs w:val="24"/>
                <w:highlight w:val="none"/>
              </w:rPr>
            </w:pPr>
            <w:r>
              <w:rPr>
                <w:rFonts w:hint="eastAsia"/>
                <w:color w:val="auto"/>
                <w:kern w:val="0"/>
                <w:sz w:val="24"/>
                <w:szCs w:val="24"/>
                <w:highlight w:val="none"/>
              </w:rPr>
              <w:t>1</w:t>
            </w:r>
          </w:p>
        </w:tc>
        <w:tc>
          <w:tcPr>
            <w:tcW w:w="1355" w:type="pct"/>
            <w:vAlign w:val="center"/>
          </w:tcPr>
          <w:p w14:paraId="1C196874">
            <w:pPr>
              <w:widowControl/>
              <w:spacing w:line="360" w:lineRule="auto"/>
              <w:rPr>
                <w:color w:val="auto"/>
                <w:kern w:val="0"/>
                <w:sz w:val="24"/>
                <w:szCs w:val="24"/>
                <w:highlight w:val="none"/>
              </w:rPr>
            </w:pPr>
            <w:r>
              <w:rPr>
                <w:rFonts w:hint="eastAsia"/>
                <w:color w:val="auto"/>
                <w:kern w:val="0"/>
                <w:sz w:val="24"/>
                <w:szCs w:val="24"/>
                <w:highlight w:val="none"/>
              </w:rPr>
              <w:t>X波段相控阵天气雷达系统</w:t>
            </w:r>
          </w:p>
        </w:tc>
        <w:tc>
          <w:tcPr>
            <w:tcW w:w="581" w:type="pct"/>
            <w:vAlign w:val="center"/>
          </w:tcPr>
          <w:p w14:paraId="15C8F05A">
            <w:pPr>
              <w:widowControl/>
              <w:spacing w:line="360" w:lineRule="auto"/>
              <w:jc w:val="center"/>
              <w:rPr>
                <w:color w:val="auto"/>
                <w:kern w:val="0"/>
                <w:sz w:val="24"/>
                <w:szCs w:val="24"/>
                <w:highlight w:val="none"/>
              </w:rPr>
            </w:pPr>
            <w:r>
              <w:rPr>
                <w:rFonts w:hint="eastAsia"/>
                <w:color w:val="auto"/>
                <w:kern w:val="0"/>
                <w:sz w:val="24"/>
                <w:szCs w:val="24"/>
                <w:highlight w:val="none"/>
              </w:rPr>
              <w:t>套</w:t>
            </w:r>
          </w:p>
        </w:tc>
        <w:tc>
          <w:tcPr>
            <w:tcW w:w="449" w:type="pct"/>
            <w:vAlign w:val="center"/>
          </w:tcPr>
          <w:p w14:paraId="58B967BD">
            <w:pPr>
              <w:widowControl/>
              <w:spacing w:line="360" w:lineRule="auto"/>
              <w:jc w:val="center"/>
              <w:rPr>
                <w:color w:val="auto"/>
                <w:kern w:val="0"/>
                <w:sz w:val="24"/>
                <w:szCs w:val="24"/>
                <w:highlight w:val="none"/>
              </w:rPr>
            </w:pPr>
            <w:r>
              <w:rPr>
                <w:color w:val="auto"/>
                <w:kern w:val="0"/>
                <w:sz w:val="24"/>
                <w:szCs w:val="24"/>
                <w:highlight w:val="none"/>
              </w:rPr>
              <w:t>1</w:t>
            </w:r>
          </w:p>
        </w:tc>
        <w:tc>
          <w:tcPr>
            <w:tcW w:w="2187" w:type="pct"/>
            <w:vAlign w:val="center"/>
          </w:tcPr>
          <w:p w14:paraId="5BCD9C98">
            <w:pPr>
              <w:widowControl/>
              <w:spacing w:line="276" w:lineRule="auto"/>
              <w:rPr>
                <w:color w:val="auto"/>
                <w:kern w:val="0"/>
                <w:sz w:val="24"/>
                <w:szCs w:val="24"/>
                <w:highlight w:val="none"/>
              </w:rPr>
            </w:pPr>
            <w:r>
              <w:rPr>
                <w:rFonts w:hint="eastAsia"/>
                <w:color w:val="auto"/>
                <w:kern w:val="0"/>
                <w:sz w:val="24"/>
                <w:szCs w:val="24"/>
                <w:highlight w:val="none"/>
              </w:rPr>
              <w:t>1、含雷达配截球形天线罩及天线罩空调</w:t>
            </w:r>
          </w:p>
          <w:p w14:paraId="79FD5260">
            <w:pPr>
              <w:widowControl/>
              <w:spacing w:line="276" w:lineRule="auto"/>
              <w:rPr>
                <w:color w:val="auto"/>
                <w:kern w:val="0"/>
                <w:sz w:val="24"/>
                <w:szCs w:val="24"/>
                <w:highlight w:val="none"/>
              </w:rPr>
            </w:pPr>
            <w:r>
              <w:rPr>
                <w:rFonts w:hint="eastAsia"/>
                <w:color w:val="auto"/>
                <w:kern w:val="0"/>
                <w:sz w:val="24"/>
                <w:szCs w:val="24"/>
                <w:highlight w:val="none"/>
              </w:rPr>
              <w:t>2、含雷达设备配套软件：</w:t>
            </w:r>
            <w:r>
              <w:rPr>
                <w:color w:val="auto"/>
                <w:kern w:val="0"/>
                <w:sz w:val="24"/>
                <w:szCs w:val="24"/>
                <w:highlight w:val="none"/>
              </w:rPr>
              <w:br w:type="textWrapping"/>
            </w:r>
            <w:r>
              <w:rPr>
                <w:color w:val="auto"/>
                <w:kern w:val="0"/>
                <w:sz w:val="24"/>
                <w:szCs w:val="24"/>
                <w:highlight w:val="none"/>
              </w:rPr>
              <w:t>1</w:t>
            </w:r>
            <w:r>
              <w:rPr>
                <w:rFonts w:hint="eastAsia"/>
                <w:color w:val="auto"/>
                <w:kern w:val="0"/>
                <w:sz w:val="24"/>
                <w:szCs w:val="24"/>
                <w:highlight w:val="none"/>
              </w:rPr>
              <w:t>）雷达控制软件；</w:t>
            </w:r>
            <w:r>
              <w:rPr>
                <w:color w:val="auto"/>
                <w:kern w:val="0"/>
                <w:sz w:val="24"/>
                <w:szCs w:val="24"/>
                <w:highlight w:val="none"/>
              </w:rPr>
              <w:br w:type="textWrapping"/>
            </w:r>
            <w:r>
              <w:rPr>
                <w:color w:val="auto"/>
                <w:kern w:val="0"/>
                <w:sz w:val="24"/>
                <w:szCs w:val="24"/>
                <w:highlight w:val="none"/>
              </w:rPr>
              <w:t>2</w:t>
            </w:r>
            <w:r>
              <w:rPr>
                <w:rFonts w:hint="eastAsia"/>
                <w:color w:val="auto"/>
                <w:kern w:val="0"/>
                <w:sz w:val="24"/>
                <w:szCs w:val="24"/>
                <w:highlight w:val="none"/>
              </w:rPr>
              <w:t>）雷达气象产品生成软件；</w:t>
            </w:r>
            <w:r>
              <w:rPr>
                <w:color w:val="auto"/>
                <w:kern w:val="0"/>
                <w:sz w:val="24"/>
                <w:szCs w:val="24"/>
                <w:highlight w:val="none"/>
              </w:rPr>
              <w:br w:type="textWrapping"/>
            </w:r>
            <w:r>
              <w:rPr>
                <w:color w:val="auto"/>
                <w:kern w:val="0"/>
                <w:sz w:val="24"/>
                <w:szCs w:val="24"/>
                <w:highlight w:val="none"/>
              </w:rPr>
              <w:t>3</w:t>
            </w:r>
            <w:r>
              <w:rPr>
                <w:rFonts w:hint="eastAsia"/>
                <w:color w:val="auto"/>
                <w:kern w:val="0"/>
                <w:sz w:val="24"/>
                <w:szCs w:val="24"/>
                <w:highlight w:val="none"/>
              </w:rPr>
              <w:t>）雷达气象产品显示软件。</w:t>
            </w:r>
          </w:p>
        </w:tc>
      </w:tr>
      <w:tr w14:paraId="0EC4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8" w:type="pct"/>
            <w:vAlign w:val="center"/>
          </w:tcPr>
          <w:p w14:paraId="7E527EF6">
            <w:pPr>
              <w:widowControl/>
              <w:spacing w:line="360" w:lineRule="auto"/>
              <w:jc w:val="center"/>
              <w:rPr>
                <w:color w:val="auto"/>
                <w:kern w:val="0"/>
                <w:sz w:val="24"/>
                <w:szCs w:val="24"/>
                <w:highlight w:val="none"/>
              </w:rPr>
            </w:pPr>
            <w:bookmarkStart w:id="108" w:name="_Hlk214482105"/>
            <w:r>
              <w:rPr>
                <w:rFonts w:hint="eastAsia"/>
                <w:color w:val="auto"/>
                <w:kern w:val="0"/>
                <w:sz w:val="24"/>
                <w:szCs w:val="24"/>
                <w:highlight w:val="none"/>
              </w:rPr>
              <w:t>2</w:t>
            </w:r>
          </w:p>
        </w:tc>
        <w:tc>
          <w:tcPr>
            <w:tcW w:w="1355" w:type="pct"/>
            <w:vAlign w:val="center"/>
          </w:tcPr>
          <w:p w14:paraId="3DDD9329">
            <w:pPr>
              <w:widowControl/>
              <w:spacing w:line="360" w:lineRule="auto"/>
              <w:rPr>
                <w:color w:val="auto"/>
                <w:kern w:val="0"/>
                <w:sz w:val="24"/>
                <w:szCs w:val="24"/>
                <w:highlight w:val="none"/>
              </w:rPr>
            </w:pPr>
            <w:r>
              <w:rPr>
                <w:rFonts w:hint="eastAsia"/>
                <w:color w:val="auto"/>
                <w:kern w:val="0"/>
                <w:sz w:val="24"/>
                <w:szCs w:val="24"/>
                <w:highlight w:val="none"/>
              </w:rPr>
              <w:t>雷达运算存储设备</w:t>
            </w:r>
          </w:p>
        </w:tc>
        <w:tc>
          <w:tcPr>
            <w:tcW w:w="581" w:type="pct"/>
            <w:vAlign w:val="center"/>
          </w:tcPr>
          <w:p w14:paraId="78636608">
            <w:pPr>
              <w:widowControl/>
              <w:spacing w:line="360" w:lineRule="auto"/>
              <w:jc w:val="center"/>
              <w:rPr>
                <w:color w:val="auto"/>
                <w:kern w:val="0"/>
                <w:sz w:val="24"/>
                <w:szCs w:val="24"/>
                <w:highlight w:val="none"/>
              </w:rPr>
            </w:pPr>
            <w:r>
              <w:rPr>
                <w:rFonts w:hint="eastAsia"/>
                <w:color w:val="auto"/>
                <w:kern w:val="0"/>
                <w:sz w:val="24"/>
                <w:szCs w:val="24"/>
                <w:highlight w:val="none"/>
              </w:rPr>
              <w:t>台</w:t>
            </w:r>
          </w:p>
        </w:tc>
        <w:tc>
          <w:tcPr>
            <w:tcW w:w="449" w:type="pct"/>
            <w:vAlign w:val="center"/>
          </w:tcPr>
          <w:p w14:paraId="184E2E74">
            <w:pPr>
              <w:widowControl/>
              <w:spacing w:line="360" w:lineRule="auto"/>
              <w:jc w:val="center"/>
              <w:rPr>
                <w:color w:val="auto"/>
                <w:kern w:val="0"/>
                <w:sz w:val="24"/>
                <w:szCs w:val="24"/>
                <w:highlight w:val="none"/>
              </w:rPr>
            </w:pPr>
            <w:r>
              <w:rPr>
                <w:rFonts w:hint="eastAsia"/>
                <w:color w:val="auto"/>
                <w:kern w:val="0"/>
                <w:sz w:val="24"/>
                <w:szCs w:val="24"/>
                <w:highlight w:val="none"/>
              </w:rPr>
              <w:t>1</w:t>
            </w:r>
          </w:p>
        </w:tc>
        <w:tc>
          <w:tcPr>
            <w:tcW w:w="2187" w:type="pct"/>
            <w:vAlign w:val="center"/>
          </w:tcPr>
          <w:p w14:paraId="0A58E133">
            <w:pPr>
              <w:widowControl/>
              <w:spacing w:line="276" w:lineRule="auto"/>
              <w:rPr>
                <w:color w:val="auto"/>
                <w:kern w:val="0"/>
                <w:sz w:val="24"/>
                <w:szCs w:val="24"/>
                <w:highlight w:val="none"/>
              </w:rPr>
            </w:pPr>
          </w:p>
        </w:tc>
      </w:tr>
      <w:tr w14:paraId="28B1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28" w:type="pct"/>
            <w:vAlign w:val="center"/>
          </w:tcPr>
          <w:p w14:paraId="13F93271">
            <w:pPr>
              <w:widowControl/>
              <w:spacing w:line="360" w:lineRule="auto"/>
              <w:jc w:val="center"/>
              <w:rPr>
                <w:color w:val="auto"/>
                <w:kern w:val="0"/>
                <w:sz w:val="24"/>
                <w:szCs w:val="24"/>
                <w:highlight w:val="none"/>
              </w:rPr>
            </w:pPr>
            <w:r>
              <w:rPr>
                <w:rFonts w:hint="eastAsia"/>
                <w:color w:val="auto"/>
                <w:kern w:val="0"/>
                <w:sz w:val="24"/>
                <w:szCs w:val="24"/>
                <w:highlight w:val="none"/>
              </w:rPr>
              <w:t>3</w:t>
            </w:r>
          </w:p>
        </w:tc>
        <w:tc>
          <w:tcPr>
            <w:tcW w:w="1355" w:type="pct"/>
            <w:vAlign w:val="center"/>
          </w:tcPr>
          <w:p w14:paraId="5A10E015">
            <w:pPr>
              <w:widowControl/>
              <w:spacing w:line="360" w:lineRule="auto"/>
              <w:rPr>
                <w:color w:val="auto"/>
                <w:kern w:val="0"/>
                <w:sz w:val="24"/>
                <w:szCs w:val="24"/>
                <w:highlight w:val="none"/>
              </w:rPr>
            </w:pPr>
            <w:r>
              <w:rPr>
                <w:rFonts w:hint="eastAsia"/>
                <w:color w:val="auto"/>
                <w:kern w:val="0"/>
                <w:sz w:val="24"/>
                <w:szCs w:val="24"/>
                <w:highlight w:val="none"/>
              </w:rPr>
              <w:t>气象产品显示工作站</w:t>
            </w:r>
          </w:p>
        </w:tc>
        <w:tc>
          <w:tcPr>
            <w:tcW w:w="581" w:type="pct"/>
            <w:vAlign w:val="center"/>
          </w:tcPr>
          <w:p w14:paraId="547166F6">
            <w:pPr>
              <w:widowControl/>
              <w:spacing w:line="360" w:lineRule="auto"/>
              <w:jc w:val="center"/>
              <w:rPr>
                <w:color w:val="auto"/>
                <w:kern w:val="0"/>
                <w:sz w:val="24"/>
                <w:szCs w:val="24"/>
                <w:highlight w:val="none"/>
              </w:rPr>
            </w:pPr>
            <w:r>
              <w:rPr>
                <w:rFonts w:hint="eastAsia"/>
                <w:color w:val="auto"/>
                <w:kern w:val="0"/>
                <w:sz w:val="24"/>
                <w:szCs w:val="24"/>
                <w:highlight w:val="none"/>
              </w:rPr>
              <w:t>台</w:t>
            </w:r>
          </w:p>
        </w:tc>
        <w:tc>
          <w:tcPr>
            <w:tcW w:w="449" w:type="pct"/>
            <w:vAlign w:val="center"/>
          </w:tcPr>
          <w:p w14:paraId="1D87C356">
            <w:pPr>
              <w:widowControl/>
              <w:spacing w:line="360" w:lineRule="auto"/>
              <w:jc w:val="center"/>
              <w:rPr>
                <w:color w:val="auto"/>
                <w:kern w:val="0"/>
                <w:sz w:val="24"/>
                <w:szCs w:val="24"/>
                <w:highlight w:val="none"/>
              </w:rPr>
            </w:pPr>
            <w:r>
              <w:rPr>
                <w:rFonts w:hint="eastAsia"/>
                <w:color w:val="auto"/>
                <w:kern w:val="0"/>
                <w:sz w:val="24"/>
                <w:szCs w:val="24"/>
                <w:highlight w:val="none"/>
              </w:rPr>
              <w:t>2</w:t>
            </w:r>
          </w:p>
        </w:tc>
        <w:tc>
          <w:tcPr>
            <w:tcW w:w="2187" w:type="pct"/>
            <w:vAlign w:val="center"/>
          </w:tcPr>
          <w:p w14:paraId="7C5D7728">
            <w:pPr>
              <w:widowControl/>
              <w:spacing w:line="276" w:lineRule="auto"/>
              <w:rPr>
                <w:color w:val="auto"/>
                <w:kern w:val="0"/>
                <w:sz w:val="24"/>
                <w:szCs w:val="24"/>
                <w:highlight w:val="none"/>
              </w:rPr>
            </w:pPr>
            <w:r>
              <w:rPr>
                <w:rFonts w:hint="eastAsia"/>
                <w:color w:val="auto"/>
                <w:kern w:val="0"/>
                <w:sz w:val="24"/>
                <w:szCs w:val="24"/>
                <w:highlight w:val="none"/>
              </w:rPr>
              <w:t>单机雷达气象产品和组网融合气象产品显示各1台，支持国产化操作系统，支持手机APP发布</w:t>
            </w:r>
          </w:p>
        </w:tc>
      </w:tr>
      <w:tr w14:paraId="675D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28" w:type="pct"/>
            <w:vAlign w:val="center"/>
          </w:tcPr>
          <w:p w14:paraId="3020A891">
            <w:pPr>
              <w:widowControl/>
              <w:spacing w:line="360" w:lineRule="auto"/>
              <w:jc w:val="center"/>
              <w:rPr>
                <w:color w:val="auto"/>
                <w:kern w:val="0"/>
                <w:sz w:val="24"/>
                <w:szCs w:val="24"/>
                <w:highlight w:val="none"/>
              </w:rPr>
            </w:pPr>
            <w:r>
              <w:rPr>
                <w:rFonts w:hint="eastAsia"/>
                <w:color w:val="auto"/>
                <w:kern w:val="0"/>
                <w:sz w:val="24"/>
                <w:szCs w:val="24"/>
                <w:highlight w:val="none"/>
              </w:rPr>
              <w:t>4</w:t>
            </w:r>
          </w:p>
        </w:tc>
        <w:tc>
          <w:tcPr>
            <w:tcW w:w="1355" w:type="pct"/>
            <w:vAlign w:val="center"/>
          </w:tcPr>
          <w:p w14:paraId="6FEF99BD">
            <w:pPr>
              <w:widowControl/>
              <w:spacing w:line="360" w:lineRule="auto"/>
              <w:rPr>
                <w:color w:val="auto"/>
                <w:kern w:val="0"/>
                <w:sz w:val="24"/>
                <w:szCs w:val="24"/>
                <w:highlight w:val="none"/>
              </w:rPr>
            </w:pPr>
            <w:r>
              <w:rPr>
                <w:rFonts w:hint="eastAsia"/>
                <w:color w:val="auto"/>
                <w:kern w:val="0"/>
                <w:sz w:val="24"/>
                <w:szCs w:val="24"/>
                <w:highlight w:val="none"/>
              </w:rPr>
              <w:t>雷达设备和雷达网系统安装调试</w:t>
            </w:r>
          </w:p>
        </w:tc>
        <w:tc>
          <w:tcPr>
            <w:tcW w:w="581" w:type="pct"/>
            <w:vAlign w:val="center"/>
          </w:tcPr>
          <w:p w14:paraId="55E9EA69">
            <w:pPr>
              <w:widowControl/>
              <w:spacing w:line="360" w:lineRule="auto"/>
              <w:jc w:val="center"/>
              <w:rPr>
                <w:color w:val="auto"/>
                <w:kern w:val="0"/>
                <w:sz w:val="24"/>
                <w:szCs w:val="24"/>
                <w:highlight w:val="none"/>
              </w:rPr>
            </w:pPr>
            <w:r>
              <w:rPr>
                <w:rFonts w:hint="eastAsia"/>
                <w:color w:val="auto"/>
                <w:kern w:val="0"/>
                <w:sz w:val="24"/>
                <w:szCs w:val="24"/>
                <w:highlight w:val="none"/>
              </w:rPr>
              <w:t>项</w:t>
            </w:r>
          </w:p>
        </w:tc>
        <w:tc>
          <w:tcPr>
            <w:tcW w:w="449" w:type="pct"/>
            <w:vAlign w:val="center"/>
          </w:tcPr>
          <w:p w14:paraId="09D296A3">
            <w:pPr>
              <w:widowControl/>
              <w:spacing w:line="360" w:lineRule="auto"/>
              <w:jc w:val="center"/>
              <w:rPr>
                <w:color w:val="auto"/>
                <w:kern w:val="0"/>
                <w:sz w:val="24"/>
                <w:szCs w:val="24"/>
                <w:highlight w:val="none"/>
              </w:rPr>
            </w:pPr>
            <w:r>
              <w:rPr>
                <w:rFonts w:hint="eastAsia"/>
                <w:color w:val="auto"/>
                <w:kern w:val="0"/>
                <w:sz w:val="24"/>
                <w:szCs w:val="24"/>
                <w:highlight w:val="none"/>
              </w:rPr>
              <w:t>1</w:t>
            </w:r>
          </w:p>
        </w:tc>
        <w:tc>
          <w:tcPr>
            <w:tcW w:w="2187" w:type="pct"/>
            <w:vAlign w:val="center"/>
          </w:tcPr>
          <w:p w14:paraId="6EE9B28B">
            <w:pPr>
              <w:widowControl/>
              <w:spacing w:line="276" w:lineRule="auto"/>
              <w:rPr>
                <w:color w:val="auto"/>
                <w:kern w:val="0"/>
                <w:sz w:val="24"/>
                <w:szCs w:val="24"/>
                <w:highlight w:val="none"/>
              </w:rPr>
            </w:pPr>
            <w:r>
              <w:rPr>
                <w:rFonts w:hint="eastAsia"/>
                <w:color w:val="auto"/>
                <w:kern w:val="0"/>
                <w:sz w:val="24"/>
                <w:szCs w:val="24"/>
                <w:highlight w:val="none"/>
              </w:rPr>
              <w:t>1）雷达设备安装调试服务</w:t>
            </w:r>
          </w:p>
          <w:p w14:paraId="16737BB4">
            <w:pPr>
              <w:widowControl/>
              <w:spacing w:line="276" w:lineRule="auto"/>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雷达网系统安装调试服务</w:t>
            </w:r>
          </w:p>
        </w:tc>
      </w:tr>
      <w:bookmarkEnd w:id="108"/>
    </w:tbl>
    <w:p w14:paraId="069C82AA">
      <w:pPr>
        <w:tabs>
          <w:tab w:val="left" w:pos="2340"/>
        </w:tabs>
        <w:spacing w:line="360" w:lineRule="auto"/>
        <w:rPr>
          <w:b/>
          <w:color w:val="auto"/>
          <w:kern w:val="0"/>
          <w:sz w:val="24"/>
          <w:szCs w:val="24"/>
          <w:highlight w:val="none"/>
        </w:rPr>
      </w:pPr>
      <w:r>
        <w:rPr>
          <w:rFonts w:hint="eastAsia"/>
          <w:b/>
          <w:color w:val="auto"/>
          <w:kern w:val="0"/>
          <w:sz w:val="24"/>
          <w:szCs w:val="24"/>
          <w:highlight w:val="none"/>
        </w:rPr>
        <w:t>（2）设备组成：</w:t>
      </w:r>
    </w:p>
    <w:p w14:paraId="3D4D6EE0">
      <w:pPr>
        <w:widowControl/>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一套完整的X 波段相控阵天气雷达系统包括：雷达设备、天线罩及天线罩空调、天线、伺服、数字收发单元、数字波束控制与合成单元、信号处理单元、配套软件和附属设备</w:t>
      </w:r>
      <w:r>
        <w:rPr>
          <w:rFonts w:hint="eastAsia"/>
          <w:color w:val="auto"/>
          <w:kern w:val="0"/>
          <w:sz w:val="24"/>
          <w:szCs w:val="24"/>
          <w:highlight w:val="none"/>
        </w:rPr>
        <w:t>等。</w:t>
      </w:r>
    </w:p>
    <w:p w14:paraId="5EA36D47">
      <w:pPr>
        <w:keepNext/>
        <w:keepLines/>
        <w:spacing w:line="360" w:lineRule="auto"/>
        <w:jc w:val="left"/>
        <w:outlineLvl w:val="2"/>
        <w:rPr>
          <w:b/>
          <w:bCs/>
          <w:color w:val="auto"/>
          <w:sz w:val="24"/>
          <w:szCs w:val="24"/>
          <w:highlight w:val="none"/>
        </w:rPr>
      </w:pPr>
      <w:r>
        <w:rPr>
          <w:rFonts w:hint="eastAsia"/>
          <w:b/>
          <w:bCs/>
          <w:color w:val="auto"/>
          <w:sz w:val="24"/>
          <w:szCs w:val="24"/>
          <w:highlight w:val="none"/>
          <w:lang w:val="en-US" w:eastAsia="zh-CN"/>
        </w:rPr>
        <w:t>2</w:t>
      </w:r>
      <w:r>
        <w:rPr>
          <w:b/>
          <w:bCs/>
          <w:color w:val="auto"/>
          <w:sz w:val="24"/>
          <w:szCs w:val="24"/>
          <w:highlight w:val="none"/>
        </w:rPr>
        <w:t xml:space="preserve">.2 </w:t>
      </w:r>
      <w:r>
        <w:rPr>
          <w:rFonts w:hint="eastAsia"/>
          <w:b/>
          <w:bCs/>
          <w:color w:val="auto"/>
          <w:sz w:val="24"/>
          <w:szCs w:val="24"/>
          <w:highlight w:val="none"/>
        </w:rPr>
        <w:t>技术指标要求</w:t>
      </w:r>
    </w:p>
    <w:p w14:paraId="3EA417D5">
      <w:pPr>
        <w:tabs>
          <w:tab w:val="left" w:pos="2340"/>
        </w:tabs>
        <w:spacing w:line="360" w:lineRule="auto"/>
        <w:ind w:firstLine="482"/>
        <w:rPr>
          <w:b/>
          <w:color w:val="auto"/>
          <w:sz w:val="24"/>
          <w:szCs w:val="24"/>
          <w:highlight w:val="none"/>
        </w:rPr>
      </w:pPr>
      <w:r>
        <w:rPr>
          <w:rFonts w:hint="eastAsia"/>
          <w:b/>
          <w:color w:val="auto"/>
          <w:sz w:val="24"/>
          <w:szCs w:val="24"/>
          <w:highlight w:val="none"/>
          <w:lang w:val="en-US" w:eastAsia="zh-CN"/>
        </w:rPr>
        <w:t>2</w:t>
      </w:r>
      <w:r>
        <w:rPr>
          <w:b/>
          <w:color w:val="auto"/>
          <w:sz w:val="24"/>
          <w:szCs w:val="24"/>
          <w:highlight w:val="none"/>
        </w:rPr>
        <w:t>.2.1</w:t>
      </w:r>
      <w:r>
        <w:rPr>
          <w:rFonts w:hint="eastAsia"/>
          <w:b/>
          <w:color w:val="auto"/>
          <w:sz w:val="24"/>
          <w:szCs w:val="24"/>
          <w:highlight w:val="none"/>
        </w:rPr>
        <w:t xml:space="preserve"> X波段相控阵天气雷达系统技术指标要求</w:t>
      </w:r>
    </w:p>
    <w:p w14:paraId="38331474">
      <w:pPr>
        <w:tabs>
          <w:tab w:val="left" w:pos="2340"/>
        </w:tabs>
        <w:spacing w:line="360" w:lineRule="auto"/>
        <w:ind w:firstLine="482"/>
        <w:rPr>
          <w:b/>
          <w:color w:val="auto"/>
          <w:sz w:val="24"/>
          <w:szCs w:val="24"/>
          <w:highlight w:val="none"/>
        </w:rPr>
      </w:pPr>
      <w:r>
        <w:rPr>
          <w:rFonts w:hint="eastAsia"/>
          <w:b/>
          <w:color w:val="auto"/>
          <w:sz w:val="24"/>
          <w:szCs w:val="24"/>
          <w:highlight w:val="none"/>
        </w:rPr>
        <w:t>总体技术指标</w:t>
      </w:r>
    </w:p>
    <w:p w14:paraId="1AA48A53">
      <w:pPr>
        <w:tabs>
          <w:tab w:val="left" w:pos="2340"/>
        </w:tabs>
        <w:spacing w:line="360" w:lineRule="auto"/>
        <w:ind w:firstLine="480"/>
        <w:rPr>
          <w:bCs/>
          <w:color w:val="auto"/>
          <w:sz w:val="24"/>
          <w:szCs w:val="24"/>
          <w:highlight w:val="none"/>
        </w:rPr>
      </w:pPr>
      <w:r>
        <w:rPr>
          <w:rFonts w:hint="eastAsia"/>
          <w:bCs/>
          <w:color w:val="auto"/>
          <w:sz w:val="24"/>
          <w:szCs w:val="24"/>
          <w:highlight w:val="none"/>
        </w:rPr>
        <w:t>总体技术指标包括：探测空间范围、气象要素测量范围、测量准确度等，具体指标见表</w:t>
      </w:r>
      <w:r>
        <w:rPr>
          <w:bCs/>
          <w:color w:val="auto"/>
          <w:sz w:val="24"/>
          <w:szCs w:val="24"/>
          <w:highlight w:val="none"/>
        </w:rPr>
        <w:t>1</w:t>
      </w:r>
      <w:r>
        <w:rPr>
          <w:rFonts w:hint="eastAsia"/>
          <w:bCs/>
          <w:color w:val="auto"/>
          <w:sz w:val="24"/>
          <w:szCs w:val="24"/>
          <w:highlight w:val="none"/>
        </w:rPr>
        <w:t>。</w:t>
      </w:r>
    </w:p>
    <w:p w14:paraId="355B4002">
      <w:pPr>
        <w:widowControl/>
        <w:kinsoku w:val="0"/>
        <w:autoSpaceDE w:val="0"/>
        <w:autoSpaceDN w:val="0"/>
        <w:adjustRightInd w:val="0"/>
        <w:snapToGrid w:val="0"/>
        <w:spacing w:line="360" w:lineRule="auto"/>
        <w:ind w:firstLine="458"/>
        <w:jc w:val="center"/>
        <w:textAlignment w:val="baseline"/>
        <w:rPr>
          <w:b/>
          <w:bCs/>
          <w:color w:val="auto"/>
          <w:sz w:val="24"/>
          <w:szCs w:val="24"/>
          <w:highlight w:val="none"/>
        </w:rPr>
      </w:pPr>
      <w:r>
        <w:rPr>
          <w:rFonts w:hint="eastAsia"/>
          <w:b/>
          <w:bCs/>
          <w:color w:val="auto"/>
          <w:spacing w:val="-6"/>
          <w:sz w:val="24"/>
          <w:szCs w:val="24"/>
          <w:highlight w:val="none"/>
        </w:rPr>
        <w:t>表</w:t>
      </w:r>
      <w:r>
        <w:rPr>
          <w:b/>
          <w:bCs/>
          <w:color w:val="auto"/>
          <w:spacing w:val="-6"/>
          <w:sz w:val="24"/>
          <w:szCs w:val="24"/>
          <w:highlight w:val="none"/>
        </w:rPr>
        <w:t xml:space="preserve">1 </w:t>
      </w:r>
      <w:r>
        <w:rPr>
          <w:rFonts w:hint="eastAsia"/>
          <w:b/>
          <w:bCs/>
          <w:color w:val="auto"/>
          <w:spacing w:val="-6"/>
          <w:sz w:val="24"/>
          <w:szCs w:val="24"/>
          <w:highlight w:val="none"/>
        </w:rPr>
        <w:t>总体技术指标表</w:t>
      </w:r>
    </w:p>
    <w:tbl>
      <w:tblPr>
        <w:tblStyle w:val="48"/>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6"/>
        <w:gridCol w:w="1788"/>
        <w:gridCol w:w="5350"/>
      </w:tblGrid>
      <w:tr w14:paraId="27B2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786" w:type="pct"/>
            <w:gridSpan w:val="2"/>
            <w:tcBorders>
              <w:bottom w:val="nil"/>
            </w:tcBorders>
            <w:vAlign w:val="center"/>
          </w:tcPr>
          <w:p w14:paraId="08B36CDD">
            <w:pPr>
              <w:widowControl/>
              <w:kinsoku w:val="0"/>
              <w:autoSpaceDE w:val="0"/>
              <w:autoSpaceDN w:val="0"/>
              <w:adjustRightInd w:val="0"/>
              <w:snapToGrid w:val="0"/>
              <w:spacing w:line="360" w:lineRule="auto"/>
              <w:jc w:val="center"/>
              <w:textAlignment w:val="baseline"/>
              <w:rPr>
                <w:b/>
                <w:bCs/>
                <w:color w:val="auto"/>
                <w:kern w:val="0"/>
                <w:sz w:val="24"/>
                <w:szCs w:val="24"/>
                <w:highlight w:val="none"/>
              </w:rPr>
            </w:pPr>
            <w:r>
              <w:rPr>
                <w:rFonts w:hint="eastAsia"/>
                <w:b/>
                <w:bCs/>
                <w:color w:val="auto"/>
                <w:kern w:val="0"/>
                <w:sz w:val="24"/>
                <w:szCs w:val="24"/>
                <w:highlight w:val="none"/>
              </w:rPr>
              <w:t>项目</w:t>
            </w:r>
          </w:p>
        </w:tc>
        <w:tc>
          <w:tcPr>
            <w:tcW w:w="3213" w:type="pct"/>
            <w:vAlign w:val="center"/>
          </w:tcPr>
          <w:p w14:paraId="66640F7B">
            <w:pPr>
              <w:widowControl/>
              <w:kinsoku w:val="0"/>
              <w:autoSpaceDE w:val="0"/>
              <w:autoSpaceDN w:val="0"/>
              <w:adjustRightInd w:val="0"/>
              <w:snapToGrid w:val="0"/>
              <w:spacing w:line="360" w:lineRule="auto"/>
              <w:jc w:val="center"/>
              <w:textAlignment w:val="baseline"/>
              <w:rPr>
                <w:b/>
                <w:bCs/>
                <w:color w:val="auto"/>
                <w:kern w:val="0"/>
                <w:sz w:val="24"/>
                <w:szCs w:val="24"/>
                <w:highlight w:val="none"/>
              </w:rPr>
            </w:pPr>
            <w:r>
              <w:rPr>
                <w:rFonts w:hint="eastAsia"/>
                <w:b/>
                <w:bCs/>
                <w:color w:val="auto"/>
                <w:kern w:val="0"/>
                <w:sz w:val="24"/>
                <w:szCs w:val="24"/>
                <w:highlight w:val="none"/>
              </w:rPr>
              <w:t>性能指标</w:t>
            </w:r>
          </w:p>
        </w:tc>
      </w:tr>
      <w:tr w14:paraId="73E05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786" w:type="pct"/>
            <w:gridSpan w:val="2"/>
            <w:vAlign w:val="center"/>
          </w:tcPr>
          <w:p w14:paraId="145CD57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雷达体制</w:t>
            </w:r>
          </w:p>
        </w:tc>
        <w:tc>
          <w:tcPr>
            <w:tcW w:w="3213" w:type="pct"/>
            <w:vAlign w:val="center"/>
          </w:tcPr>
          <w:p w14:paraId="48760D1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双线偏振一维全固态数字平面相控阵体制</w:t>
            </w:r>
          </w:p>
        </w:tc>
      </w:tr>
      <w:tr w14:paraId="7B4F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00D1E96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收发模式</w:t>
            </w:r>
          </w:p>
        </w:tc>
        <w:tc>
          <w:tcPr>
            <w:tcW w:w="3213" w:type="pct"/>
            <w:vAlign w:val="center"/>
          </w:tcPr>
          <w:p w14:paraId="0FF313E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双发双收、单发双收、宽发窄收、窄发窄收</w:t>
            </w:r>
          </w:p>
        </w:tc>
      </w:tr>
      <w:tr w14:paraId="10FF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42FE0EC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工作频率</w:t>
            </w:r>
          </w:p>
        </w:tc>
        <w:tc>
          <w:tcPr>
            <w:tcW w:w="3213" w:type="pct"/>
            <w:vAlign w:val="center"/>
          </w:tcPr>
          <w:p w14:paraId="278AC04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eastAsiaTheme="minorEastAsia"/>
                <w:color w:val="auto"/>
                <w:kern w:val="0"/>
                <w:sz w:val="24"/>
                <w:szCs w:val="24"/>
                <w:highlight w:val="none"/>
              </w:rPr>
              <w:t>9.3</w:t>
            </w:r>
            <w:r>
              <w:rPr>
                <w:rFonts w:hint="eastAsia" w:eastAsiaTheme="minorEastAsia"/>
                <w:color w:val="auto"/>
                <w:kern w:val="0"/>
                <w:sz w:val="24"/>
                <w:szCs w:val="24"/>
                <w:highlight w:val="none"/>
              </w:rPr>
              <w:t>～</w:t>
            </w:r>
            <w:r>
              <w:rPr>
                <w:rFonts w:eastAsiaTheme="minorEastAsia"/>
                <w:color w:val="auto"/>
                <w:kern w:val="0"/>
                <w:sz w:val="24"/>
                <w:szCs w:val="24"/>
                <w:highlight w:val="none"/>
              </w:rPr>
              <w:t>9.5</w:t>
            </w:r>
            <w:r>
              <w:rPr>
                <w:color w:val="auto"/>
                <w:kern w:val="0"/>
                <w:sz w:val="24"/>
                <w:szCs w:val="24"/>
                <w:highlight w:val="none"/>
              </w:rPr>
              <w:t>GHz</w:t>
            </w:r>
            <w:r>
              <w:rPr>
                <w:rFonts w:hint="eastAsia"/>
                <w:color w:val="auto"/>
                <w:kern w:val="0"/>
                <w:sz w:val="24"/>
                <w:szCs w:val="24"/>
                <w:highlight w:val="none"/>
              </w:rPr>
              <w:t>，点频工作</w:t>
            </w:r>
          </w:p>
        </w:tc>
      </w:tr>
      <w:tr w14:paraId="2D4D1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3BAA20B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整机寿命</w:t>
            </w:r>
          </w:p>
        </w:tc>
        <w:tc>
          <w:tcPr>
            <w:tcW w:w="3213" w:type="pct"/>
            <w:vAlign w:val="center"/>
          </w:tcPr>
          <w:p w14:paraId="08B5460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15</w:t>
            </w:r>
            <w:r>
              <w:rPr>
                <w:rFonts w:hint="eastAsia"/>
                <w:color w:val="auto"/>
                <w:kern w:val="0"/>
                <w:sz w:val="24"/>
                <w:szCs w:val="24"/>
                <w:highlight w:val="none"/>
              </w:rPr>
              <w:t>年</w:t>
            </w:r>
          </w:p>
        </w:tc>
      </w:tr>
      <w:tr w14:paraId="479AC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1786" w:type="pct"/>
            <w:gridSpan w:val="2"/>
            <w:vAlign w:val="center"/>
          </w:tcPr>
          <w:p w14:paraId="0288292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探测距离范围</w:t>
            </w:r>
          </w:p>
        </w:tc>
        <w:tc>
          <w:tcPr>
            <w:tcW w:w="3213" w:type="pct"/>
            <w:vAlign w:val="center"/>
          </w:tcPr>
          <w:p w14:paraId="3C9EA97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强度：警戒≥</w:t>
            </w:r>
            <w:r>
              <w:rPr>
                <w:color w:val="auto"/>
                <w:kern w:val="0"/>
                <w:sz w:val="24"/>
                <w:szCs w:val="24"/>
                <w:highlight w:val="none"/>
              </w:rPr>
              <w:t>120km</w:t>
            </w:r>
          </w:p>
          <w:p w14:paraId="2DD8D35D">
            <w:pPr>
              <w:widowControl/>
              <w:kinsoku w:val="0"/>
              <w:autoSpaceDE w:val="0"/>
              <w:autoSpaceDN w:val="0"/>
              <w:adjustRightInd w:val="0"/>
              <w:snapToGrid w:val="0"/>
              <w:spacing w:line="360" w:lineRule="auto"/>
              <w:ind w:left="105" w:leftChars="50" w:firstLine="720" w:firstLineChars="300"/>
              <w:textAlignment w:val="baseline"/>
              <w:rPr>
                <w:color w:val="auto"/>
                <w:kern w:val="0"/>
                <w:sz w:val="24"/>
                <w:szCs w:val="24"/>
                <w:highlight w:val="none"/>
              </w:rPr>
            </w:pPr>
            <w:r>
              <w:rPr>
                <w:rFonts w:hint="eastAsia"/>
                <w:color w:val="auto"/>
                <w:kern w:val="0"/>
                <w:sz w:val="24"/>
                <w:szCs w:val="24"/>
                <w:highlight w:val="none"/>
              </w:rPr>
              <w:t>定量≥</w:t>
            </w:r>
            <w:r>
              <w:rPr>
                <w:color w:val="auto"/>
                <w:kern w:val="0"/>
                <w:sz w:val="24"/>
                <w:szCs w:val="24"/>
                <w:highlight w:val="none"/>
              </w:rPr>
              <w:t>60km</w:t>
            </w:r>
          </w:p>
          <w:p w14:paraId="7231750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速度：≥</w:t>
            </w:r>
            <w:r>
              <w:rPr>
                <w:color w:val="auto"/>
                <w:kern w:val="0"/>
                <w:sz w:val="24"/>
                <w:szCs w:val="24"/>
                <w:highlight w:val="none"/>
              </w:rPr>
              <w:t>60km</w:t>
            </w:r>
          </w:p>
          <w:p w14:paraId="6E64142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谱宽：≥</w:t>
            </w:r>
            <w:r>
              <w:rPr>
                <w:color w:val="auto"/>
                <w:kern w:val="0"/>
                <w:sz w:val="24"/>
                <w:szCs w:val="24"/>
                <w:highlight w:val="none"/>
              </w:rPr>
              <w:t>60km</w:t>
            </w:r>
          </w:p>
          <w:p w14:paraId="1066822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偏振参数：≥</w:t>
            </w:r>
            <w:r>
              <w:rPr>
                <w:color w:val="auto"/>
                <w:kern w:val="0"/>
                <w:sz w:val="24"/>
                <w:szCs w:val="24"/>
                <w:highlight w:val="none"/>
              </w:rPr>
              <w:t>60km</w:t>
            </w:r>
          </w:p>
        </w:tc>
      </w:tr>
      <w:tr w14:paraId="68FE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185C8DD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近距离盲区范围</w:t>
            </w:r>
          </w:p>
        </w:tc>
        <w:tc>
          <w:tcPr>
            <w:tcW w:w="3213" w:type="pct"/>
            <w:vAlign w:val="center"/>
          </w:tcPr>
          <w:p w14:paraId="31BADEB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300</w:t>
            </w:r>
            <w:r>
              <w:rPr>
                <w:rFonts w:hint="eastAsia"/>
                <w:color w:val="auto"/>
                <w:kern w:val="0"/>
                <w:sz w:val="24"/>
                <w:szCs w:val="24"/>
                <w:highlight w:val="none"/>
              </w:rPr>
              <w:t>米</w:t>
            </w:r>
          </w:p>
        </w:tc>
      </w:tr>
      <w:tr w14:paraId="43CD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786" w:type="pct"/>
            <w:gridSpan w:val="2"/>
            <w:vMerge w:val="restart"/>
            <w:vAlign w:val="center"/>
          </w:tcPr>
          <w:p w14:paraId="0563BF46">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可探测的最小反射率因子</w:t>
            </w:r>
          </w:p>
        </w:tc>
        <w:tc>
          <w:tcPr>
            <w:tcW w:w="3213" w:type="pct"/>
            <w:vAlign w:val="center"/>
          </w:tcPr>
          <w:p w14:paraId="5EAD922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8dBZ</w:t>
            </w:r>
            <w:r>
              <w:rPr>
                <w:rFonts w:hint="eastAsia"/>
                <w:color w:val="auto"/>
                <w:kern w:val="0"/>
                <w:sz w:val="24"/>
                <w:szCs w:val="24"/>
                <w:highlight w:val="none"/>
              </w:rPr>
              <w:t>（</w:t>
            </w:r>
            <w:r>
              <w:rPr>
                <w:color w:val="auto"/>
                <w:kern w:val="0"/>
                <w:sz w:val="24"/>
                <w:szCs w:val="24"/>
                <w:highlight w:val="none"/>
              </w:rPr>
              <w:t>3</w:t>
            </w:r>
            <w:r>
              <w:rPr>
                <w:rFonts w:hint="eastAsia"/>
                <w:color w:val="auto"/>
                <w:kern w:val="0"/>
                <w:sz w:val="24"/>
                <w:szCs w:val="24"/>
                <w:highlight w:val="none"/>
              </w:rPr>
              <w:t>千米处、脉宽</w:t>
            </w:r>
            <w:r>
              <w:rPr>
                <w:color w:val="auto"/>
                <w:kern w:val="0"/>
                <w:sz w:val="24"/>
                <w:szCs w:val="24"/>
                <w:highlight w:val="none"/>
              </w:rPr>
              <w:t>0.5μs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、法向、单极化）</w:t>
            </w:r>
          </w:p>
        </w:tc>
      </w:tr>
      <w:tr w14:paraId="5B19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786" w:type="pct"/>
            <w:gridSpan w:val="2"/>
            <w:vMerge w:val="continue"/>
            <w:vAlign w:val="center"/>
          </w:tcPr>
          <w:p w14:paraId="4C14728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477B2A7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5dBZ</w:t>
            </w:r>
            <w:r>
              <w:rPr>
                <w:rFonts w:hint="eastAsia"/>
                <w:color w:val="auto"/>
                <w:kern w:val="0"/>
                <w:sz w:val="24"/>
                <w:szCs w:val="24"/>
                <w:highlight w:val="none"/>
              </w:rPr>
              <w:t>（</w:t>
            </w:r>
            <w:r>
              <w:rPr>
                <w:color w:val="auto"/>
                <w:kern w:val="0"/>
                <w:sz w:val="24"/>
                <w:szCs w:val="24"/>
                <w:highlight w:val="none"/>
              </w:rPr>
              <w:t>12</w:t>
            </w:r>
            <w:r>
              <w:rPr>
                <w:rFonts w:hint="eastAsia"/>
                <w:color w:val="auto"/>
                <w:kern w:val="0"/>
                <w:sz w:val="24"/>
                <w:szCs w:val="24"/>
                <w:highlight w:val="none"/>
              </w:rPr>
              <w:t>千米处、脉宽</w:t>
            </w:r>
            <w:r>
              <w:rPr>
                <w:color w:val="auto"/>
                <w:kern w:val="0"/>
                <w:sz w:val="24"/>
                <w:szCs w:val="24"/>
                <w:highlight w:val="none"/>
              </w:rPr>
              <w:t>20μs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、法向、单极化）</w:t>
            </w:r>
          </w:p>
        </w:tc>
      </w:tr>
      <w:tr w14:paraId="0C69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86" w:type="pct"/>
            <w:gridSpan w:val="2"/>
            <w:vMerge w:val="continue"/>
            <w:vAlign w:val="center"/>
          </w:tcPr>
          <w:p w14:paraId="6B2C3FE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1B9DB65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11dBZ</w:t>
            </w:r>
            <w:r>
              <w:rPr>
                <w:rFonts w:hint="eastAsia"/>
                <w:color w:val="auto"/>
                <w:kern w:val="0"/>
                <w:sz w:val="24"/>
                <w:szCs w:val="24"/>
                <w:highlight w:val="none"/>
              </w:rPr>
              <w:t>（</w:t>
            </w:r>
            <w:r>
              <w:rPr>
                <w:color w:val="auto"/>
                <w:kern w:val="0"/>
                <w:sz w:val="24"/>
                <w:szCs w:val="24"/>
                <w:highlight w:val="none"/>
              </w:rPr>
              <w:t>50</w:t>
            </w:r>
            <w:r>
              <w:rPr>
                <w:rFonts w:hint="eastAsia"/>
                <w:color w:val="auto"/>
                <w:kern w:val="0"/>
                <w:sz w:val="24"/>
                <w:szCs w:val="24"/>
                <w:highlight w:val="none"/>
              </w:rPr>
              <w:t>千米处、脉宽</w:t>
            </w:r>
            <w:r>
              <w:rPr>
                <w:color w:val="auto"/>
                <w:kern w:val="0"/>
                <w:sz w:val="24"/>
                <w:szCs w:val="24"/>
                <w:highlight w:val="none"/>
              </w:rPr>
              <w:t>100μs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、法向、单极化）</w:t>
            </w:r>
          </w:p>
        </w:tc>
      </w:tr>
      <w:tr w14:paraId="1FF5C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786" w:type="pct"/>
            <w:gridSpan w:val="2"/>
            <w:vMerge w:val="continue"/>
            <w:vAlign w:val="center"/>
          </w:tcPr>
          <w:p w14:paraId="4155A3B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0D76C1C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16dBZ</w:t>
            </w:r>
            <w:r>
              <w:rPr>
                <w:rFonts w:hint="eastAsia"/>
                <w:color w:val="auto"/>
                <w:kern w:val="0"/>
                <w:sz w:val="24"/>
                <w:szCs w:val="24"/>
                <w:highlight w:val="none"/>
              </w:rPr>
              <w:t>（</w:t>
            </w:r>
            <w:r>
              <w:rPr>
                <w:color w:val="auto"/>
                <w:kern w:val="0"/>
                <w:sz w:val="24"/>
                <w:szCs w:val="24"/>
                <w:highlight w:val="none"/>
              </w:rPr>
              <w:t>3</w:t>
            </w:r>
            <w:r>
              <w:rPr>
                <w:rFonts w:hint="eastAsia"/>
                <w:color w:val="auto"/>
                <w:kern w:val="0"/>
                <w:sz w:val="24"/>
                <w:szCs w:val="24"/>
                <w:highlight w:val="none"/>
              </w:rPr>
              <w:t>千米处、脉宽</w:t>
            </w:r>
            <w:r>
              <w:rPr>
                <w:color w:val="auto"/>
                <w:kern w:val="0"/>
                <w:sz w:val="24"/>
                <w:szCs w:val="24"/>
                <w:highlight w:val="none"/>
              </w:rPr>
              <w:t>0.5μs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、发射</w:t>
            </w:r>
            <w:r>
              <w:rPr>
                <w:color w:val="auto"/>
                <w:kern w:val="0"/>
                <w:sz w:val="24"/>
                <w:szCs w:val="24"/>
                <w:highlight w:val="none"/>
              </w:rPr>
              <w:t>4</w:t>
            </w:r>
            <w:r>
              <w:rPr>
                <w:rFonts w:hint="eastAsia"/>
                <w:color w:val="auto"/>
                <w:kern w:val="0"/>
                <w:sz w:val="24"/>
                <w:szCs w:val="24"/>
                <w:highlight w:val="none"/>
              </w:rPr>
              <w:t>倍波束展宽、单极化）</w:t>
            </w:r>
          </w:p>
        </w:tc>
      </w:tr>
      <w:tr w14:paraId="77FD8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786" w:type="pct"/>
            <w:gridSpan w:val="2"/>
            <w:vMerge w:val="continue"/>
            <w:vAlign w:val="center"/>
          </w:tcPr>
          <w:p w14:paraId="33F68C5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1472178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13dBZ</w:t>
            </w:r>
            <w:r>
              <w:rPr>
                <w:rFonts w:hint="eastAsia"/>
                <w:color w:val="auto"/>
                <w:kern w:val="0"/>
                <w:sz w:val="24"/>
                <w:szCs w:val="24"/>
                <w:highlight w:val="none"/>
              </w:rPr>
              <w:t>（</w:t>
            </w:r>
            <w:r>
              <w:rPr>
                <w:color w:val="auto"/>
                <w:kern w:val="0"/>
                <w:sz w:val="24"/>
                <w:szCs w:val="24"/>
                <w:highlight w:val="none"/>
              </w:rPr>
              <w:t>12</w:t>
            </w:r>
            <w:r>
              <w:rPr>
                <w:rFonts w:hint="eastAsia"/>
                <w:color w:val="auto"/>
                <w:kern w:val="0"/>
                <w:sz w:val="24"/>
                <w:szCs w:val="24"/>
                <w:highlight w:val="none"/>
              </w:rPr>
              <w:t>千米处、脉宽</w:t>
            </w:r>
            <w:r>
              <w:rPr>
                <w:color w:val="auto"/>
                <w:kern w:val="0"/>
                <w:sz w:val="24"/>
                <w:szCs w:val="24"/>
                <w:highlight w:val="none"/>
              </w:rPr>
              <w:t>20μs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、发射</w:t>
            </w:r>
            <w:r>
              <w:rPr>
                <w:color w:val="auto"/>
                <w:kern w:val="0"/>
                <w:sz w:val="24"/>
                <w:szCs w:val="24"/>
                <w:highlight w:val="none"/>
              </w:rPr>
              <w:t>4</w:t>
            </w:r>
            <w:r>
              <w:rPr>
                <w:rFonts w:hint="eastAsia"/>
                <w:color w:val="auto"/>
                <w:kern w:val="0"/>
                <w:sz w:val="24"/>
                <w:szCs w:val="24"/>
                <w:highlight w:val="none"/>
              </w:rPr>
              <w:t>倍波束展宽、单极化）</w:t>
            </w:r>
          </w:p>
        </w:tc>
      </w:tr>
      <w:tr w14:paraId="4E4C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786" w:type="pct"/>
            <w:gridSpan w:val="2"/>
            <w:vMerge w:val="continue"/>
            <w:vAlign w:val="center"/>
          </w:tcPr>
          <w:p w14:paraId="54ED126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25E7F26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19dBZ</w:t>
            </w:r>
            <w:r>
              <w:rPr>
                <w:rFonts w:hint="eastAsia"/>
                <w:color w:val="auto"/>
                <w:kern w:val="0"/>
                <w:sz w:val="24"/>
                <w:szCs w:val="24"/>
                <w:highlight w:val="none"/>
              </w:rPr>
              <w:t>（</w:t>
            </w:r>
            <w:r>
              <w:rPr>
                <w:color w:val="auto"/>
                <w:kern w:val="0"/>
                <w:sz w:val="24"/>
                <w:szCs w:val="24"/>
                <w:highlight w:val="none"/>
              </w:rPr>
              <w:t>50</w:t>
            </w:r>
            <w:r>
              <w:rPr>
                <w:rFonts w:hint="eastAsia"/>
                <w:color w:val="auto"/>
                <w:kern w:val="0"/>
                <w:sz w:val="24"/>
                <w:szCs w:val="24"/>
                <w:highlight w:val="none"/>
              </w:rPr>
              <w:t>千米处、脉宽</w:t>
            </w:r>
            <w:r>
              <w:rPr>
                <w:color w:val="auto"/>
                <w:kern w:val="0"/>
                <w:sz w:val="24"/>
                <w:szCs w:val="24"/>
                <w:highlight w:val="none"/>
              </w:rPr>
              <w:t>100μs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、发射</w:t>
            </w:r>
            <w:r>
              <w:rPr>
                <w:color w:val="auto"/>
                <w:kern w:val="0"/>
                <w:sz w:val="24"/>
                <w:szCs w:val="24"/>
                <w:highlight w:val="none"/>
              </w:rPr>
              <w:t>4</w:t>
            </w:r>
            <w:r>
              <w:rPr>
                <w:rFonts w:hint="eastAsia"/>
                <w:color w:val="auto"/>
                <w:kern w:val="0"/>
                <w:sz w:val="24"/>
                <w:szCs w:val="24"/>
                <w:highlight w:val="none"/>
              </w:rPr>
              <w:t>倍波束展宽、单极化）</w:t>
            </w:r>
          </w:p>
        </w:tc>
      </w:tr>
      <w:tr w14:paraId="57354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6" w:type="pct"/>
            <w:gridSpan w:val="2"/>
            <w:vMerge w:val="continue"/>
            <w:vAlign w:val="center"/>
          </w:tcPr>
          <w:p w14:paraId="5A7B383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4428403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19dBZ</w:t>
            </w:r>
            <w:r>
              <w:rPr>
                <w:rFonts w:hint="eastAsia"/>
                <w:color w:val="auto"/>
                <w:kern w:val="0"/>
                <w:sz w:val="24"/>
                <w:szCs w:val="24"/>
                <w:highlight w:val="none"/>
              </w:rPr>
              <w:t>（</w:t>
            </w:r>
            <w:r>
              <w:rPr>
                <w:color w:val="auto"/>
                <w:kern w:val="0"/>
                <w:sz w:val="24"/>
                <w:szCs w:val="24"/>
                <w:highlight w:val="none"/>
              </w:rPr>
              <w:t>3</w:t>
            </w:r>
            <w:r>
              <w:rPr>
                <w:rFonts w:hint="eastAsia"/>
                <w:color w:val="auto"/>
                <w:kern w:val="0"/>
                <w:sz w:val="24"/>
                <w:szCs w:val="24"/>
                <w:highlight w:val="none"/>
              </w:rPr>
              <w:t>千米处、脉宽</w:t>
            </w:r>
            <w:r>
              <w:rPr>
                <w:color w:val="auto"/>
                <w:kern w:val="0"/>
                <w:sz w:val="24"/>
                <w:szCs w:val="24"/>
                <w:highlight w:val="none"/>
              </w:rPr>
              <w:t>0.5μs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、发射</w:t>
            </w:r>
            <w:r>
              <w:rPr>
                <w:color w:val="auto"/>
                <w:kern w:val="0"/>
                <w:sz w:val="24"/>
                <w:szCs w:val="24"/>
                <w:highlight w:val="none"/>
              </w:rPr>
              <w:t>8</w:t>
            </w:r>
            <w:r>
              <w:rPr>
                <w:rFonts w:hint="eastAsia"/>
                <w:color w:val="auto"/>
                <w:kern w:val="0"/>
                <w:sz w:val="24"/>
                <w:szCs w:val="24"/>
                <w:highlight w:val="none"/>
              </w:rPr>
              <w:t>倍波束展宽、单极化）</w:t>
            </w:r>
          </w:p>
        </w:tc>
      </w:tr>
      <w:tr w14:paraId="2C9ED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786" w:type="pct"/>
            <w:gridSpan w:val="2"/>
            <w:vMerge w:val="continue"/>
            <w:vAlign w:val="center"/>
          </w:tcPr>
          <w:p w14:paraId="3327BA3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161E89F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16dBZ</w:t>
            </w:r>
            <w:r>
              <w:rPr>
                <w:rFonts w:hint="eastAsia"/>
                <w:color w:val="auto"/>
                <w:kern w:val="0"/>
                <w:sz w:val="24"/>
                <w:szCs w:val="24"/>
                <w:highlight w:val="none"/>
              </w:rPr>
              <w:t>（</w:t>
            </w:r>
            <w:r>
              <w:rPr>
                <w:color w:val="auto"/>
                <w:kern w:val="0"/>
                <w:sz w:val="24"/>
                <w:szCs w:val="24"/>
                <w:highlight w:val="none"/>
              </w:rPr>
              <w:t>12</w:t>
            </w:r>
            <w:r>
              <w:rPr>
                <w:rFonts w:hint="eastAsia"/>
                <w:color w:val="auto"/>
                <w:kern w:val="0"/>
                <w:sz w:val="24"/>
                <w:szCs w:val="24"/>
                <w:highlight w:val="none"/>
              </w:rPr>
              <w:t>千米处、脉宽</w:t>
            </w:r>
            <w:r>
              <w:rPr>
                <w:color w:val="auto"/>
                <w:kern w:val="0"/>
                <w:sz w:val="24"/>
                <w:szCs w:val="24"/>
                <w:highlight w:val="none"/>
              </w:rPr>
              <w:t>20μs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、发射</w:t>
            </w:r>
            <w:r>
              <w:rPr>
                <w:color w:val="auto"/>
                <w:kern w:val="0"/>
                <w:sz w:val="24"/>
                <w:szCs w:val="24"/>
                <w:highlight w:val="none"/>
              </w:rPr>
              <w:t>8</w:t>
            </w:r>
            <w:r>
              <w:rPr>
                <w:rFonts w:hint="eastAsia"/>
                <w:color w:val="auto"/>
                <w:kern w:val="0"/>
                <w:sz w:val="24"/>
                <w:szCs w:val="24"/>
                <w:highlight w:val="none"/>
              </w:rPr>
              <w:t>倍波束展宽、单极化）</w:t>
            </w:r>
          </w:p>
        </w:tc>
      </w:tr>
      <w:tr w14:paraId="46E13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786" w:type="pct"/>
            <w:gridSpan w:val="2"/>
            <w:vMerge w:val="continue"/>
            <w:vAlign w:val="center"/>
          </w:tcPr>
          <w:p w14:paraId="65FDBCD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3213" w:type="pct"/>
            <w:vAlign w:val="center"/>
          </w:tcPr>
          <w:p w14:paraId="5241F1A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22dBZ</w:t>
            </w:r>
            <w:r>
              <w:rPr>
                <w:rFonts w:hint="eastAsia"/>
                <w:color w:val="auto"/>
                <w:kern w:val="0"/>
                <w:sz w:val="24"/>
                <w:szCs w:val="24"/>
                <w:highlight w:val="none"/>
              </w:rPr>
              <w:t>（</w:t>
            </w:r>
            <w:r>
              <w:rPr>
                <w:color w:val="auto"/>
                <w:kern w:val="0"/>
                <w:sz w:val="24"/>
                <w:szCs w:val="24"/>
                <w:highlight w:val="none"/>
              </w:rPr>
              <w:t>50</w:t>
            </w:r>
            <w:r>
              <w:rPr>
                <w:rFonts w:hint="eastAsia"/>
                <w:color w:val="auto"/>
                <w:kern w:val="0"/>
                <w:sz w:val="24"/>
                <w:szCs w:val="24"/>
                <w:highlight w:val="none"/>
              </w:rPr>
              <w:t>千米处、脉宽</w:t>
            </w:r>
            <w:r>
              <w:rPr>
                <w:color w:val="auto"/>
                <w:kern w:val="0"/>
                <w:sz w:val="24"/>
                <w:szCs w:val="24"/>
                <w:highlight w:val="none"/>
              </w:rPr>
              <w:t>100μs</w:t>
            </w:r>
            <w:r>
              <w:rPr>
                <w:rFonts w:hint="eastAsia"/>
                <w:color w:val="auto"/>
                <w:kern w:val="0"/>
                <w:sz w:val="24"/>
                <w:szCs w:val="24"/>
                <w:highlight w:val="none"/>
              </w:rPr>
              <w:t>、分辨率</w:t>
            </w:r>
            <w:r>
              <w:rPr>
                <w:color w:val="auto"/>
                <w:kern w:val="0"/>
                <w:sz w:val="24"/>
                <w:szCs w:val="24"/>
                <w:highlight w:val="none"/>
              </w:rPr>
              <w:t>75m</w:t>
            </w:r>
            <w:r>
              <w:rPr>
                <w:rFonts w:hint="eastAsia"/>
                <w:color w:val="auto"/>
                <w:kern w:val="0"/>
                <w:sz w:val="24"/>
                <w:szCs w:val="24"/>
                <w:highlight w:val="none"/>
              </w:rPr>
              <w:t>、发射</w:t>
            </w:r>
            <w:r>
              <w:rPr>
                <w:color w:val="auto"/>
                <w:kern w:val="0"/>
                <w:sz w:val="24"/>
                <w:szCs w:val="24"/>
                <w:highlight w:val="none"/>
              </w:rPr>
              <w:t>8</w:t>
            </w:r>
            <w:r>
              <w:rPr>
                <w:rFonts w:hint="eastAsia"/>
                <w:color w:val="auto"/>
                <w:kern w:val="0"/>
                <w:sz w:val="24"/>
                <w:szCs w:val="24"/>
                <w:highlight w:val="none"/>
              </w:rPr>
              <w:t>倍波束展宽、单极化）</w:t>
            </w:r>
          </w:p>
        </w:tc>
      </w:tr>
      <w:tr w14:paraId="0B41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restart"/>
            <w:vAlign w:val="center"/>
          </w:tcPr>
          <w:p w14:paraId="496645E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测量</w:t>
            </w:r>
          </w:p>
          <w:p w14:paraId="73936C5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范围</w:t>
            </w:r>
          </w:p>
        </w:tc>
        <w:tc>
          <w:tcPr>
            <w:tcW w:w="1074" w:type="pct"/>
            <w:vAlign w:val="center"/>
          </w:tcPr>
          <w:p w14:paraId="79AFB71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强度</w:t>
            </w:r>
          </w:p>
        </w:tc>
        <w:tc>
          <w:tcPr>
            <w:tcW w:w="3213" w:type="pct"/>
            <w:vAlign w:val="center"/>
          </w:tcPr>
          <w:p w14:paraId="650EFE6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-15dBZ</w:t>
            </w:r>
            <w:r>
              <w:rPr>
                <w:rFonts w:hint="eastAsia"/>
                <w:color w:val="auto"/>
                <w:kern w:val="0"/>
                <w:sz w:val="24"/>
                <w:szCs w:val="24"/>
                <w:highlight w:val="none"/>
              </w:rPr>
              <w:t>～</w:t>
            </w:r>
            <w:r>
              <w:rPr>
                <w:color w:val="auto"/>
                <w:kern w:val="0"/>
                <w:sz w:val="24"/>
                <w:szCs w:val="24"/>
                <w:highlight w:val="none"/>
              </w:rPr>
              <w:t>+80dBZ</w:t>
            </w:r>
          </w:p>
        </w:tc>
      </w:tr>
      <w:tr w14:paraId="31536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vAlign w:val="center"/>
          </w:tcPr>
          <w:p w14:paraId="7C74320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10AFFA0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速度</w:t>
            </w:r>
          </w:p>
        </w:tc>
        <w:tc>
          <w:tcPr>
            <w:tcW w:w="3213" w:type="pct"/>
            <w:vAlign w:val="center"/>
          </w:tcPr>
          <w:p w14:paraId="4A18B7E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48m/s</w:t>
            </w:r>
          </w:p>
        </w:tc>
      </w:tr>
      <w:tr w14:paraId="777C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2" w:type="pct"/>
            <w:vMerge w:val="continue"/>
            <w:vAlign w:val="center"/>
          </w:tcPr>
          <w:p w14:paraId="66A12AF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4FFAB8F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谱宽</w:t>
            </w:r>
          </w:p>
        </w:tc>
        <w:tc>
          <w:tcPr>
            <w:tcW w:w="3213" w:type="pct"/>
            <w:vAlign w:val="center"/>
          </w:tcPr>
          <w:p w14:paraId="60960CF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0m/s</w:t>
            </w:r>
            <w:r>
              <w:rPr>
                <w:rFonts w:hint="eastAsia"/>
                <w:color w:val="auto"/>
                <w:kern w:val="0"/>
                <w:sz w:val="24"/>
                <w:szCs w:val="24"/>
                <w:highlight w:val="none"/>
              </w:rPr>
              <w:t>～</w:t>
            </w:r>
            <w:r>
              <w:rPr>
                <w:color w:val="auto"/>
                <w:kern w:val="0"/>
                <w:sz w:val="24"/>
                <w:szCs w:val="24"/>
                <w:highlight w:val="none"/>
              </w:rPr>
              <w:t>16m/s</w:t>
            </w:r>
          </w:p>
        </w:tc>
      </w:tr>
      <w:tr w14:paraId="0CF3A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12" w:type="pct"/>
            <w:vMerge w:val="continue"/>
            <w:vAlign w:val="center"/>
          </w:tcPr>
          <w:p w14:paraId="0B45388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7995EF4D">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差分反射率因子</w:t>
            </w:r>
          </w:p>
        </w:tc>
        <w:tc>
          <w:tcPr>
            <w:tcW w:w="3213" w:type="pct"/>
            <w:vAlign w:val="center"/>
          </w:tcPr>
          <w:p w14:paraId="080A448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-7.9dB</w:t>
            </w:r>
            <w:r>
              <w:rPr>
                <w:rFonts w:hint="eastAsia"/>
                <w:color w:val="auto"/>
                <w:kern w:val="0"/>
                <w:sz w:val="24"/>
                <w:szCs w:val="24"/>
                <w:highlight w:val="none"/>
              </w:rPr>
              <w:t>～</w:t>
            </w:r>
            <w:r>
              <w:rPr>
                <w:color w:val="auto"/>
                <w:kern w:val="0"/>
                <w:sz w:val="24"/>
                <w:szCs w:val="24"/>
                <w:highlight w:val="none"/>
              </w:rPr>
              <w:t>+7.9dB</w:t>
            </w:r>
          </w:p>
        </w:tc>
      </w:tr>
      <w:tr w14:paraId="2ECF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pct"/>
            <w:vMerge w:val="continue"/>
            <w:vAlign w:val="center"/>
          </w:tcPr>
          <w:p w14:paraId="79DC97E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1EBCF68D">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差分传播相移</w:t>
            </w:r>
          </w:p>
        </w:tc>
        <w:tc>
          <w:tcPr>
            <w:tcW w:w="3213" w:type="pct"/>
            <w:vAlign w:val="center"/>
          </w:tcPr>
          <w:p w14:paraId="524B538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-180°</w:t>
            </w:r>
            <w:r>
              <w:rPr>
                <w:rFonts w:hint="eastAsia"/>
                <w:color w:val="auto"/>
                <w:kern w:val="0"/>
                <w:sz w:val="24"/>
                <w:szCs w:val="24"/>
                <w:highlight w:val="none"/>
              </w:rPr>
              <w:t>～</w:t>
            </w:r>
            <w:r>
              <w:rPr>
                <w:color w:val="auto"/>
                <w:kern w:val="0"/>
                <w:sz w:val="24"/>
                <w:szCs w:val="24"/>
                <w:highlight w:val="none"/>
              </w:rPr>
              <w:t>+180°</w:t>
            </w:r>
          </w:p>
        </w:tc>
      </w:tr>
      <w:tr w14:paraId="0DDB9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pct"/>
            <w:vMerge w:val="continue"/>
            <w:vAlign w:val="center"/>
          </w:tcPr>
          <w:p w14:paraId="7653AE8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035B49E9">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差分传播相移率</w:t>
            </w:r>
          </w:p>
        </w:tc>
        <w:tc>
          <w:tcPr>
            <w:tcW w:w="3213" w:type="pct"/>
            <w:vAlign w:val="center"/>
          </w:tcPr>
          <w:p w14:paraId="602F339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-2°/km</w:t>
            </w:r>
            <w:r>
              <w:rPr>
                <w:rFonts w:hint="eastAsia"/>
                <w:color w:val="auto"/>
                <w:kern w:val="0"/>
                <w:sz w:val="24"/>
                <w:szCs w:val="24"/>
                <w:highlight w:val="none"/>
              </w:rPr>
              <w:t>～</w:t>
            </w:r>
            <w:r>
              <w:rPr>
                <w:color w:val="auto"/>
                <w:kern w:val="0"/>
                <w:sz w:val="24"/>
                <w:szCs w:val="24"/>
                <w:highlight w:val="none"/>
              </w:rPr>
              <w:t>+20°/km</w:t>
            </w:r>
          </w:p>
        </w:tc>
      </w:tr>
      <w:tr w14:paraId="7CBDB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pct"/>
            <w:vMerge w:val="continue"/>
            <w:vAlign w:val="center"/>
          </w:tcPr>
          <w:p w14:paraId="3B69032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46AB0FD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相关系数</w:t>
            </w:r>
          </w:p>
        </w:tc>
        <w:tc>
          <w:tcPr>
            <w:tcW w:w="3213" w:type="pct"/>
            <w:vAlign w:val="center"/>
          </w:tcPr>
          <w:p w14:paraId="2B8A893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0</w:t>
            </w:r>
            <w:r>
              <w:rPr>
                <w:rFonts w:hint="eastAsia"/>
                <w:color w:val="auto"/>
                <w:kern w:val="0"/>
                <w:sz w:val="24"/>
                <w:szCs w:val="24"/>
                <w:highlight w:val="none"/>
              </w:rPr>
              <w:t>～</w:t>
            </w:r>
            <w:r>
              <w:rPr>
                <w:color w:val="auto"/>
                <w:kern w:val="0"/>
                <w:sz w:val="24"/>
                <w:szCs w:val="24"/>
                <w:highlight w:val="none"/>
              </w:rPr>
              <w:t>1</w:t>
            </w:r>
          </w:p>
        </w:tc>
      </w:tr>
      <w:tr w14:paraId="1435B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restart"/>
            <w:tcBorders>
              <w:bottom w:val="nil"/>
            </w:tcBorders>
            <w:vAlign w:val="center"/>
          </w:tcPr>
          <w:p w14:paraId="15E6C84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参数</w:t>
            </w:r>
          </w:p>
          <w:p w14:paraId="519D3B1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测量</w:t>
            </w:r>
          </w:p>
          <w:p w14:paraId="17F15E5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精度</w:t>
            </w:r>
          </w:p>
          <w:p w14:paraId="21BC054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（标准差）</w:t>
            </w:r>
          </w:p>
        </w:tc>
        <w:tc>
          <w:tcPr>
            <w:tcW w:w="1074" w:type="pct"/>
            <w:vAlign w:val="center"/>
          </w:tcPr>
          <w:p w14:paraId="4523ED1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强度</w:t>
            </w:r>
          </w:p>
        </w:tc>
        <w:tc>
          <w:tcPr>
            <w:tcW w:w="3213" w:type="pct"/>
            <w:vAlign w:val="center"/>
          </w:tcPr>
          <w:p w14:paraId="0E4BFD0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1dB</w:t>
            </w:r>
          </w:p>
        </w:tc>
      </w:tr>
      <w:tr w14:paraId="6AC8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6C4CF19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EDE006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速度</w:t>
            </w:r>
          </w:p>
        </w:tc>
        <w:tc>
          <w:tcPr>
            <w:tcW w:w="3213" w:type="pct"/>
            <w:vAlign w:val="center"/>
          </w:tcPr>
          <w:p w14:paraId="05C17C4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1m/s</w:t>
            </w:r>
          </w:p>
        </w:tc>
      </w:tr>
      <w:tr w14:paraId="163D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2D2816D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76010F3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谱宽</w:t>
            </w:r>
          </w:p>
        </w:tc>
        <w:tc>
          <w:tcPr>
            <w:tcW w:w="3213" w:type="pct"/>
            <w:vAlign w:val="center"/>
          </w:tcPr>
          <w:p w14:paraId="21B0C9E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1m/s</w:t>
            </w:r>
          </w:p>
        </w:tc>
      </w:tr>
      <w:tr w14:paraId="60CCB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5422794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49944794">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差分反射率因子</w:t>
            </w:r>
          </w:p>
        </w:tc>
        <w:tc>
          <w:tcPr>
            <w:tcW w:w="3213" w:type="pct"/>
            <w:vAlign w:val="center"/>
          </w:tcPr>
          <w:p w14:paraId="588AD2F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0.2dB</w:t>
            </w:r>
          </w:p>
        </w:tc>
      </w:tr>
      <w:tr w14:paraId="32E4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2855690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6FAB01A4">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差分传播相移</w:t>
            </w:r>
          </w:p>
        </w:tc>
        <w:tc>
          <w:tcPr>
            <w:tcW w:w="3213" w:type="pct"/>
            <w:vAlign w:val="center"/>
          </w:tcPr>
          <w:p w14:paraId="0E6AD11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w:t>
            </w:r>
          </w:p>
        </w:tc>
      </w:tr>
      <w:tr w14:paraId="0E2A1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726E4A2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0C1FA9BD">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差分传播相移率</w:t>
            </w:r>
          </w:p>
        </w:tc>
        <w:tc>
          <w:tcPr>
            <w:tcW w:w="3213" w:type="pct"/>
            <w:vAlign w:val="center"/>
          </w:tcPr>
          <w:p w14:paraId="35BF7CF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0.2°/km</w:t>
            </w:r>
          </w:p>
        </w:tc>
      </w:tr>
      <w:tr w14:paraId="3621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tcBorders>
            <w:vAlign w:val="center"/>
          </w:tcPr>
          <w:p w14:paraId="7ECBF45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71693B8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相关系数</w:t>
            </w:r>
          </w:p>
        </w:tc>
        <w:tc>
          <w:tcPr>
            <w:tcW w:w="3213" w:type="pct"/>
            <w:vAlign w:val="center"/>
          </w:tcPr>
          <w:p w14:paraId="6D1E153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0.01</w:t>
            </w:r>
          </w:p>
        </w:tc>
      </w:tr>
      <w:tr w14:paraId="5F2FB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499A472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距离分辨率</w:t>
            </w:r>
          </w:p>
        </w:tc>
        <w:tc>
          <w:tcPr>
            <w:tcW w:w="3213" w:type="pct"/>
            <w:vAlign w:val="center"/>
          </w:tcPr>
          <w:p w14:paraId="3EA8722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75m</w:t>
            </w:r>
          </w:p>
        </w:tc>
      </w:tr>
      <w:tr w14:paraId="1295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restart"/>
            <w:vAlign w:val="center"/>
          </w:tcPr>
          <w:p w14:paraId="4505334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数据分辨力</w:t>
            </w:r>
          </w:p>
        </w:tc>
        <w:tc>
          <w:tcPr>
            <w:tcW w:w="1074" w:type="pct"/>
            <w:vAlign w:val="center"/>
          </w:tcPr>
          <w:p w14:paraId="738DCF3C">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方位角和俯仰角</w:t>
            </w:r>
          </w:p>
        </w:tc>
        <w:tc>
          <w:tcPr>
            <w:tcW w:w="3213" w:type="pct"/>
            <w:vAlign w:val="center"/>
          </w:tcPr>
          <w:p w14:paraId="22542ED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0.01°</w:t>
            </w:r>
          </w:p>
        </w:tc>
      </w:tr>
      <w:tr w14:paraId="20F5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vAlign w:val="center"/>
          </w:tcPr>
          <w:p w14:paraId="0327C6C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2801EE81">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强度</w:t>
            </w:r>
          </w:p>
        </w:tc>
        <w:tc>
          <w:tcPr>
            <w:tcW w:w="3213" w:type="pct"/>
            <w:vAlign w:val="center"/>
          </w:tcPr>
          <w:p w14:paraId="6D278A67">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w:t>
            </w:r>
            <w:r>
              <w:rPr>
                <w:color w:val="auto"/>
                <w:kern w:val="0"/>
                <w:sz w:val="24"/>
                <w:szCs w:val="24"/>
                <w:highlight w:val="none"/>
              </w:rPr>
              <w:t>0.1dB</w:t>
            </w:r>
          </w:p>
        </w:tc>
      </w:tr>
      <w:tr w14:paraId="63A0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vAlign w:val="center"/>
          </w:tcPr>
          <w:p w14:paraId="05C10B0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9D0D81E">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速度</w:t>
            </w:r>
          </w:p>
        </w:tc>
        <w:tc>
          <w:tcPr>
            <w:tcW w:w="3213" w:type="pct"/>
            <w:vAlign w:val="center"/>
          </w:tcPr>
          <w:p w14:paraId="3BFFE92A">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w:t>
            </w:r>
            <w:r>
              <w:rPr>
                <w:color w:val="auto"/>
                <w:kern w:val="0"/>
                <w:sz w:val="24"/>
                <w:szCs w:val="24"/>
                <w:highlight w:val="none"/>
              </w:rPr>
              <w:t>0.1m/s</w:t>
            </w:r>
          </w:p>
        </w:tc>
      </w:tr>
      <w:tr w14:paraId="562A3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vAlign w:val="center"/>
          </w:tcPr>
          <w:p w14:paraId="2A78D2A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78351964">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谱宽</w:t>
            </w:r>
          </w:p>
        </w:tc>
        <w:tc>
          <w:tcPr>
            <w:tcW w:w="3213" w:type="pct"/>
            <w:vAlign w:val="center"/>
          </w:tcPr>
          <w:p w14:paraId="281C064B">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w:t>
            </w:r>
            <w:r>
              <w:rPr>
                <w:color w:val="auto"/>
                <w:kern w:val="0"/>
                <w:sz w:val="24"/>
                <w:szCs w:val="24"/>
                <w:highlight w:val="none"/>
              </w:rPr>
              <w:t>0.1m/s</w:t>
            </w:r>
          </w:p>
        </w:tc>
      </w:tr>
      <w:tr w14:paraId="295D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vAlign w:val="center"/>
          </w:tcPr>
          <w:p w14:paraId="2C088CE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F133EBB">
            <w:pPr>
              <w:widowControl/>
              <w:kinsoku w:val="0"/>
              <w:autoSpaceDE w:val="0"/>
              <w:autoSpaceDN w:val="0"/>
              <w:adjustRightInd w:val="0"/>
              <w:snapToGrid w:val="0"/>
              <w:spacing w:line="360" w:lineRule="auto"/>
              <w:textAlignment w:val="baseline"/>
              <w:rPr>
                <w:snapToGrid w:val="0"/>
                <w:color w:val="auto"/>
                <w:kern w:val="0"/>
                <w:sz w:val="24"/>
                <w:szCs w:val="24"/>
                <w:highlight w:val="none"/>
                <w:lang w:eastAsia="en-US"/>
              </w:rPr>
            </w:pPr>
            <w:r>
              <w:rPr>
                <w:rFonts w:hint="eastAsia"/>
                <w:color w:val="auto"/>
                <w:kern w:val="0"/>
                <w:sz w:val="24"/>
                <w:szCs w:val="24"/>
                <w:highlight w:val="none"/>
              </w:rPr>
              <w:t>差分反射率因子</w:t>
            </w:r>
          </w:p>
        </w:tc>
        <w:tc>
          <w:tcPr>
            <w:tcW w:w="3213" w:type="pct"/>
            <w:vAlign w:val="center"/>
          </w:tcPr>
          <w:p w14:paraId="005A7596">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w:t>
            </w:r>
            <w:r>
              <w:rPr>
                <w:color w:val="auto"/>
                <w:kern w:val="0"/>
                <w:sz w:val="24"/>
                <w:szCs w:val="24"/>
                <w:highlight w:val="none"/>
              </w:rPr>
              <w:t>0.01dB</w:t>
            </w:r>
          </w:p>
        </w:tc>
      </w:tr>
      <w:tr w14:paraId="6776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vAlign w:val="center"/>
          </w:tcPr>
          <w:p w14:paraId="0AB4EA4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98C11A3">
            <w:pPr>
              <w:widowControl/>
              <w:kinsoku w:val="0"/>
              <w:autoSpaceDE w:val="0"/>
              <w:autoSpaceDN w:val="0"/>
              <w:adjustRightInd w:val="0"/>
              <w:snapToGrid w:val="0"/>
              <w:spacing w:line="360" w:lineRule="auto"/>
              <w:textAlignment w:val="baseline"/>
              <w:rPr>
                <w:snapToGrid w:val="0"/>
                <w:color w:val="auto"/>
                <w:kern w:val="0"/>
                <w:sz w:val="24"/>
                <w:szCs w:val="24"/>
                <w:highlight w:val="none"/>
                <w:lang w:eastAsia="en-US"/>
              </w:rPr>
            </w:pPr>
            <w:r>
              <w:rPr>
                <w:rFonts w:hint="eastAsia"/>
                <w:color w:val="auto"/>
                <w:kern w:val="0"/>
                <w:sz w:val="24"/>
                <w:szCs w:val="24"/>
                <w:highlight w:val="none"/>
              </w:rPr>
              <w:t>差分传播相移</w:t>
            </w:r>
          </w:p>
        </w:tc>
        <w:tc>
          <w:tcPr>
            <w:tcW w:w="3213" w:type="pct"/>
            <w:vAlign w:val="center"/>
          </w:tcPr>
          <w:p w14:paraId="6D8D795F">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w:t>
            </w:r>
            <w:r>
              <w:rPr>
                <w:color w:val="auto"/>
                <w:kern w:val="0"/>
                <w:sz w:val="24"/>
                <w:szCs w:val="24"/>
                <w:highlight w:val="none"/>
              </w:rPr>
              <w:t>0.1°</w:t>
            </w:r>
          </w:p>
        </w:tc>
      </w:tr>
      <w:tr w14:paraId="31B78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vAlign w:val="center"/>
          </w:tcPr>
          <w:p w14:paraId="3A8C602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36528E24">
            <w:pPr>
              <w:widowControl/>
              <w:kinsoku w:val="0"/>
              <w:autoSpaceDE w:val="0"/>
              <w:autoSpaceDN w:val="0"/>
              <w:adjustRightInd w:val="0"/>
              <w:snapToGrid w:val="0"/>
              <w:spacing w:line="360" w:lineRule="auto"/>
              <w:textAlignment w:val="baseline"/>
              <w:rPr>
                <w:snapToGrid w:val="0"/>
                <w:color w:val="auto"/>
                <w:kern w:val="0"/>
                <w:sz w:val="24"/>
                <w:szCs w:val="24"/>
                <w:highlight w:val="none"/>
                <w:lang w:eastAsia="en-US"/>
              </w:rPr>
            </w:pPr>
            <w:r>
              <w:rPr>
                <w:rFonts w:hint="eastAsia"/>
                <w:color w:val="auto"/>
                <w:kern w:val="0"/>
                <w:sz w:val="24"/>
                <w:szCs w:val="24"/>
                <w:highlight w:val="none"/>
              </w:rPr>
              <w:t>差分传播相移率</w:t>
            </w:r>
          </w:p>
        </w:tc>
        <w:tc>
          <w:tcPr>
            <w:tcW w:w="3213" w:type="pct"/>
            <w:vAlign w:val="center"/>
          </w:tcPr>
          <w:p w14:paraId="1823D538">
            <w:pPr>
              <w:widowControl/>
              <w:kinsoku w:val="0"/>
              <w:autoSpaceDE w:val="0"/>
              <w:autoSpaceDN w:val="0"/>
              <w:adjustRightInd w:val="0"/>
              <w:snapToGrid w:val="0"/>
              <w:spacing w:line="360" w:lineRule="auto"/>
              <w:ind w:left="105" w:leftChars="50"/>
              <w:textAlignment w:val="baseline"/>
              <w:rPr>
                <w:snapToGrid w:val="0"/>
                <w:color w:val="auto"/>
                <w:kern w:val="0"/>
                <w:sz w:val="24"/>
                <w:szCs w:val="24"/>
                <w:highlight w:val="none"/>
                <w:lang w:eastAsia="en-US"/>
              </w:rPr>
            </w:pPr>
            <w:r>
              <w:rPr>
                <w:rFonts w:hint="eastAsia"/>
                <w:color w:val="auto"/>
                <w:kern w:val="0"/>
                <w:sz w:val="24"/>
                <w:szCs w:val="24"/>
                <w:highlight w:val="none"/>
              </w:rPr>
              <w:t>≤</w:t>
            </w:r>
            <w:r>
              <w:rPr>
                <w:color w:val="auto"/>
                <w:kern w:val="0"/>
                <w:sz w:val="24"/>
                <w:szCs w:val="24"/>
                <w:highlight w:val="none"/>
              </w:rPr>
              <w:t>0.01°/km</w:t>
            </w:r>
          </w:p>
        </w:tc>
      </w:tr>
      <w:tr w14:paraId="0B37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bottom w:val="nil"/>
            </w:tcBorders>
            <w:vAlign w:val="center"/>
          </w:tcPr>
          <w:p w14:paraId="6996DFF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C1A3D0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相关系数</w:t>
            </w:r>
          </w:p>
        </w:tc>
        <w:tc>
          <w:tcPr>
            <w:tcW w:w="3213" w:type="pct"/>
            <w:vAlign w:val="center"/>
          </w:tcPr>
          <w:p w14:paraId="75A30D0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0.001</w:t>
            </w:r>
          </w:p>
        </w:tc>
      </w:tr>
      <w:tr w14:paraId="10ED5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72BBC3F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系统噪声系数</w:t>
            </w:r>
          </w:p>
        </w:tc>
        <w:tc>
          <w:tcPr>
            <w:tcW w:w="3213" w:type="pct"/>
            <w:vAlign w:val="center"/>
          </w:tcPr>
          <w:p w14:paraId="28599D1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3.5dB</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2068C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7D6F657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系统线性动态范围</w:t>
            </w:r>
          </w:p>
        </w:tc>
        <w:tc>
          <w:tcPr>
            <w:tcW w:w="3213" w:type="pct"/>
            <w:vAlign w:val="center"/>
          </w:tcPr>
          <w:p w14:paraId="359496C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95dB</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36506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86" w:type="pct"/>
            <w:gridSpan w:val="2"/>
            <w:vAlign w:val="center"/>
          </w:tcPr>
          <w:p w14:paraId="6E7C190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系统相位噪声</w:t>
            </w:r>
          </w:p>
        </w:tc>
        <w:tc>
          <w:tcPr>
            <w:tcW w:w="3213" w:type="pct"/>
            <w:vAlign w:val="center"/>
          </w:tcPr>
          <w:p w14:paraId="29DA49D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0.1°</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7CD5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86" w:type="pct"/>
            <w:gridSpan w:val="2"/>
            <w:vAlign w:val="center"/>
          </w:tcPr>
          <w:p w14:paraId="46C09E9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实际地物对消能力</w:t>
            </w:r>
          </w:p>
        </w:tc>
        <w:tc>
          <w:tcPr>
            <w:tcW w:w="3213" w:type="pct"/>
            <w:vAlign w:val="center"/>
          </w:tcPr>
          <w:p w14:paraId="6691A78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50dB</w:t>
            </w:r>
          </w:p>
        </w:tc>
      </w:tr>
      <w:tr w14:paraId="7DBF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786" w:type="pct"/>
            <w:gridSpan w:val="2"/>
            <w:vAlign w:val="center"/>
          </w:tcPr>
          <w:p w14:paraId="30442C7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输出参数</w:t>
            </w:r>
          </w:p>
        </w:tc>
        <w:tc>
          <w:tcPr>
            <w:tcW w:w="3213" w:type="pct"/>
            <w:vAlign w:val="center"/>
          </w:tcPr>
          <w:p w14:paraId="426A294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强度、速度、谱宽、差分反射率因子、差分传播相移、差分传播相移率、相关系数、信噪比</w:t>
            </w:r>
          </w:p>
        </w:tc>
      </w:tr>
      <w:tr w14:paraId="2263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786" w:type="pct"/>
            <w:gridSpan w:val="2"/>
            <w:vAlign w:val="center"/>
          </w:tcPr>
          <w:p w14:paraId="23EABD6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电源要求</w:t>
            </w:r>
          </w:p>
        </w:tc>
        <w:tc>
          <w:tcPr>
            <w:tcW w:w="3213" w:type="pct"/>
            <w:vAlign w:val="center"/>
          </w:tcPr>
          <w:p w14:paraId="7F7003D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三相</w:t>
            </w:r>
            <w:r>
              <w:rPr>
                <w:color w:val="auto"/>
                <w:kern w:val="0"/>
                <w:sz w:val="24"/>
                <w:szCs w:val="24"/>
                <w:highlight w:val="none"/>
              </w:rPr>
              <w:t>AC380V±10%</w:t>
            </w:r>
            <w:r>
              <w:rPr>
                <w:rFonts w:hint="eastAsia"/>
                <w:color w:val="auto"/>
                <w:kern w:val="0"/>
                <w:sz w:val="24"/>
                <w:szCs w:val="24"/>
                <w:highlight w:val="none"/>
              </w:rPr>
              <w:t>，</w:t>
            </w:r>
            <w:r>
              <w:rPr>
                <w:color w:val="auto"/>
                <w:kern w:val="0"/>
                <w:sz w:val="24"/>
                <w:szCs w:val="24"/>
                <w:highlight w:val="none"/>
              </w:rPr>
              <w:t>50Hz±5%</w:t>
            </w:r>
          </w:p>
          <w:p w14:paraId="074FFB2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或单相</w:t>
            </w:r>
            <w:r>
              <w:rPr>
                <w:color w:val="auto"/>
                <w:kern w:val="0"/>
                <w:sz w:val="24"/>
                <w:szCs w:val="24"/>
                <w:highlight w:val="none"/>
              </w:rPr>
              <w:t>AC220V±10%</w:t>
            </w:r>
            <w:r>
              <w:rPr>
                <w:rFonts w:hint="eastAsia"/>
                <w:color w:val="auto"/>
                <w:kern w:val="0"/>
                <w:sz w:val="24"/>
                <w:szCs w:val="24"/>
                <w:highlight w:val="none"/>
              </w:rPr>
              <w:t>，</w:t>
            </w:r>
            <w:r>
              <w:rPr>
                <w:color w:val="auto"/>
                <w:kern w:val="0"/>
                <w:sz w:val="24"/>
                <w:szCs w:val="24"/>
                <w:highlight w:val="none"/>
              </w:rPr>
              <w:t>50Hz±5%</w:t>
            </w:r>
          </w:p>
        </w:tc>
      </w:tr>
      <w:tr w14:paraId="4E9D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567EA1A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重量</w:t>
            </w:r>
          </w:p>
        </w:tc>
        <w:tc>
          <w:tcPr>
            <w:tcW w:w="3213" w:type="pct"/>
            <w:vAlign w:val="center"/>
          </w:tcPr>
          <w:p w14:paraId="530DAC7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w:t>
            </w:r>
            <w:r>
              <w:rPr>
                <w:rFonts w:hint="eastAsia"/>
                <w:color w:val="auto"/>
                <w:kern w:val="0"/>
                <w:sz w:val="24"/>
                <w:szCs w:val="24"/>
                <w:highlight w:val="none"/>
              </w:rPr>
              <w:t>吨</w:t>
            </w:r>
          </w:p>
        </w:tc>
      </w:tr>
      <w:tr w14:paraId="381CF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12" w:type="pct"/>
            <w:vMerge w:val="restart"/>
            <w:tcBorders>
              <w:bottom w:val="nil"/>
            </w:tcBorders>
            <w:vAlign w:val="center"/>
          </w:tcPr>
          <w:p w14:paraId="7B0DE53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环境</w:t>
            </w:r>
          </w:p>
          <w:p w14:paraId="5F1F098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要求</w:t>
            </w:r>
          </w:p>
        </w:tc>
        <w:tc>
          <w:tcPr>
            <w:tcW w:w="1074" w:type="pct"/>
            <w:vAlign w:val="center"/>
          </w:tcPr>
          <w:p w14:paraId="44BC7F6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环境温度</w:t>
            </w:r>
          </w:p>
        </w:tc>
        <w:tc>
          <w:tcPr>
            <w:tcW w:w="3213" w:type="pct"/>
            <w:vAlign w:val="center"/>
          </w:tcPr>
          <w:p w14:paraId="0E6FFDE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室内：</w:t>
            </w:r>
            <w:r>
              <w:rPr>
                <w:color w:val="auto"/>
                <w:kern w:val="0"/>
                <w:sz w:val="24"/>
                <w:szCs w:val="24"/>
                <w:highlight w:val="none"/>
              </w:rPr>
              <w:t>0</w:t>
            </w:r>
            <w:r>
              <w:rPr>
                <w:rFonts w:hint="eastAsia"/>
                <w:color w:val="auto"/>
                <w:kern w:val="0"/>
                <w:sz w:val="24"/>
                <w:szCs w:val="24"/>
                <w:highlight w:val="none"/>
              </w:rPr>
              <w:t>～</w:t>
            </w:r>
            <w:r>
              <w:rPr>
                <w:color w:val="auto"/>
                <w:kern w:val="0"/>
                <w:sz w:val="24"/>
                <w:szCs w:val="24"/>
                <w:highlight w:val="none"/>
              </w:rPr>
              <w:t>+40℃</w:t>
            </w:r>
          </w:p>
          <w:p w14:paraId="796BD02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室外：</w:t>
            </w:r>
            <w:r>
              <w:rPr>
                <w:color w:val="auto"/>
                <w:kern w:val="0"/>
                <w:sz w:val="24"/>
                <w:szCs w:val="24"/>
                <w:highlight w:val="none"/>
              </w:rPr>
              <w:t>-40</w:t>
            </w:r>
            <w:r>
              <w:rPr>
                <w:rFonts w:hint="eastAsia"/>
                <w:color w:val="auto"/>
                <w:kern w:val="0"/>
                <w:sz w:val="24"/>
                <w:szCs w:val="24"/>
                <w:highlight w:val="none"/>
              </w:rPr>
              <w:t>～</w:t>
            </w:r>
            <w:r>
              <w:rPr>
                <w:color w:val="auto"/>
                <w:kern w:val="0"/>
                <w:sz w:val="24"/>
                <w:szCs w:val="24"/>
                <w:highlight w:val="none"/>
              </w:rPr>
              <w:t>+50℃</w:t>
            </w:r>
          </w:p>
        </w:tc>
      </w:tr>
      <w:tr w14:paraId="10A7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4B3F6E3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B74080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贮存温度</w:t>
            </w:r>
          </w:p>
        </w:tc>
        <w:tc>
          <w:tcPr>
            <w:tcW w:w="3213" w:type="pct"/>
            <w:vAlign w:val="center"/>
          </w:tcPr>
          <w:p w14:paraId="0D65ACE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-40</w:t>
            </w:r>
            <w:r>
              <w:rPr>
                <w:rFonts w:hint="eastAsia"/>
                <w:color w:val="auto"/>
                <w:kern w:val="0"/>
                <w:sz w:val="24"/>
                <w:szCs w:val="24"/>
                <w:highlight w:val="none"/>
              </w:rPr>
              <w:t>～</w:t>
            </w:r>
            <w:r>
              <w:rPr>
                <w:color w:val="auto"/>
                <w:kern w:val="0"/>
                <w:sz w:val="24"/>
                <w:szCs w:val="24"/>
                <w:highlight w:val="none"/>
              </w:rPr>
              <w:t>+60℃</w:t>
            </w:r>
          </w:p>
        </w:tc>
      </w:tr>
      <w:tr w14:paraId="22021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12" w:type="pct"/>
            <w:vMerge w:val="continue"/>
            <w:tcBorders>
              <w:top w:val="nil"/>
              <w:bottom w:val="nil"/>
            </w:tcBorders>
            <w:vAlign w:val="center"/>
          </w:tcPr>
          <w:p w14:paraId="085F711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0824DBB">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环境最大湿度</w:t>
            </w:r>
          </w:p>
        </w:tc>
        <w:tc>
          <w:tcPr>
            <w:tcW w:w="3213" w:type="pct"/>
            <w:vAlign w:val="center"/>
          </w:tcPr>
          <w:p w14:paraId="31ECD8A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室内：≤</w:t>
            </w:r>
            <w:r>
              <w:rPr>
                <w:color w:val="auto"/>
                <w:kern w:val="0"/>
                <w:sz w:val="24"/>
                <w:szCs w:val="24"/>
                <w:highlight w:val="none"/>
              </w:rPr>
              <w:t>90%</w:t>
            </w:r>
            <w:r>
              <w:rPr>
                <w:rFonts w:hint="eastAsia"/>
                <w:color w:val="auto"/>
                <w:kern w:val="0"/>
                <w:sz w:val="24"/>
                <w:szCs w:val="24"/>
                <w:highlight w:val="none"/>
              </w:rPr>
              <w:t>（</w:t>
            </w:r>
            <w:r>
              <w:rPr>
                <w:color w:val="auto"/>
                <w:kern w:val="0"/>
                <w:sz w:val="24"/>
                <w:szCs w:val="24"/>
                <w:highlight w:val="none"/>
              </w:rPr>
              <w:t>+30℃)</w:t>
            </w:r>
          </w:p>
          <w:p w14:paraId="663F35D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室外：≤</w:t>
            </w:r>
            <w:r>
              <w:rPr>
                <w:color w:val="auto"/>
                <w:kern w:val="0"/>
                <w:sz w:val="24"/>
                <w:szCs w:val="24"/>
                <w:highlight w:val="none"/>
              </w:rPr>
              <w:t>95%</w:t>
            </w:r>
            <w:r>
              <w:rPr>
                <w:rFonts w:hint="eastAsia"/>
                <w:color w:val="auto"/>
                <w:kern w:val="0"/>
                <w:sz w:val="24"/>
                <w:szCs w:val="24"/>
                <w:highlight w:val="none"/>
              </w:rPr>
              <w:t>（</w:t>
            </w:r>
            <w:r>
              <w:rPr>
                <w:color w:val="auto"/>
                <w:kern w:val="0"/>
                <w:sz w:val="24"/>
                <w:szCs w:val="24"/>
                <w:highlight w:val="none"/>
              </w:rPr>
              <w:t>+35℃)</w:t>
            </w:r>
          </w:p>
        </w:tc>
      </w:tr>
      <w:tr w14:paraId="6CC99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45C1871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2C67439C">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工作高度</w:t>
            </w:r>
          </w:p>
        </w:tc>
        <w:tc>
          <w:tcPr>
            <w:tcW w:w="3213" w:type="pct"/>
            <w:vAlign w:val="center"/>
          </w:tcPr>
          <w:p w14:paraId="1099868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海拔高度：≤</w:t>
            </w:r>
            <w:r>
              <w:rPr>
                <w:color w:val="auto"/>
                <w:kern w:val="0"/>
                <w:sz w:val="24"/>
                <w:szCs w:val="24"/>
                <w:highlight w:val="none"/>
              </w:rPr>
              <w:t>5000m</w:t>
            </w:r>
          </w:p>
        </w:tc>
      </w:tr>
      <w:tr w14:paraId="76424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0C23B5C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51025D80">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冲击、振动、淋雨</w:t>
            </w:r>
          </w:p>
        </w:tc>
        <w:tc>
          <w:tcPr>
            <w:tcW w:w="3213" w:type="pct"/>
            <w:vAlign w:val="center"/>
          </w:tcPr>
          <w:p w14:paraId="62C9E425">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符合国家有关部门规定，且满足野外运输要求。</w:t>
            </w:r>
          </w:p>
        </w:tc>
      </w:tr>
      <w:tr w14:paraId="6454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bottom w:val="nil"/>
            </w:tcBorders>
            <w:vAlign w:val="center"/>
          </w:tcPr>
          <w:p w14:paraId="67C9F7B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4A31ED3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抗干扰</w:t>
            </w:r>
          </w:p>
        </w:tc>
        <w:tc>
          <w:tcPr>
            <w:tcW w:w="3213" w:type="pct"/>
            <w:vAlign w:val="center"/>
          </w:tcPr>
          <w:p w14:paraId="7865615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电源干扰、电磁干扰、无线电频率干扰</w:t>
            </w:r>
          </w:p>
        </w:tc>
      </w:tr>
      <w:tr w14:paraId="49BF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2" w:type="pct"/>
            <w:vMerge w:val="continue"/>
            <w:tcBorders>
              <w:top w:val="nil"/>
            </w:tcBorders>
            <w:vAlign w:val="center"/>
          </w:tcPr>
          <w:p w14:paraId="0F2A909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74" w:type="pct"/>
            <w:vAlign w:val="center"/>
          </w:tcPr>
          <w:p w14:paraId="6EF99E1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其它</w:t>
            </w:r>
          </w:p>
        </w:tc>
        <w:tc>
          <w:tcPr>
            <w:tcW w:w="3213" w:type="pct"/>
            <w:vAlign w:val="center"/>
          </w:tcPr>
          <w:p w14:paraId="79338D4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防水、防霉、防盐雾</w:t>
            </w:r>
          </w:p>
        </w:tc>
      </w:tr>
      <w:tr w14:paraId="2E588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786" w:type="pct"/>
            <w:gridSpan w:val="2"/>
            <w:vAlign w:val="center"/>
          </w:tcPr>
          <w:p w14:paraId="65C3B860">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平均严重故障间隔时间（</w:t>
            </w:r>
            <w:r>
              <w:rPr>
                <w:color w:val="auto"/>
                <w:kern w:val="0"/>
                <w:sz w:val="24"/>
                <w:szCs w:val="24"/>
                <w:highlight w:val="none"/>
              </w:rPr>
              <w:t>MTBCF</w:t>
            </w:r>
            <w:r>
              <w:rPr>
                <w:rFonts w:hint="eastAsia"/>
                <w:color w:val="auto"/>
                <w:kern w:val="0"/>
                <w:sz w:val="24"/>
                <w:szCs w:val="24"/>
                <w:highlight w:val="none"/>
              </w:rPr>
              <w:t>）</w:t>
            </w:r>
          </w:p>
        </w:tc>
        <w:tc>
          <w:tcPr>
            <w:tcW w:w="3213" w:type="pct"/>
            <w:vAlign w:val="center"/>
          </w:tcPr>
          <w:p w14:paraId="2085213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5000h</w:t>
            </w:r>
          </w:p>
        </w:tc>
      </w:tr>
      <w:tr w14:paraId="259C5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1614FF4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平均故障修复时间</w:t>
            </w:r>
          </w:p>
        </w:tc>
        <w:tc>
          <w:tcPr>
            <w:tcW w:w="3213" w:type="pct"/>
            <w:vAlign w:val="center"/>
          </w:tcPr>
          <w:p w14:paraId="3E92ED0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0.5h</w:t>
            </w:r>
          </w:p>
        </w:tc>
      </w:tr>
      <w:tr w14:paraId="37F9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79DE2BC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架设方式</w:t>
            </w:r>
          </w:p>
        </w:tc>
        <w:tc>
          <w:tcPr>
            <w:tcW w:w="3213" w:type="pct"/>
            <w:vAlign w:val="center"/>
          </w:tcPr>
          <w:p w14:paraId="5B4317E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固定架设</w:t>
            </w:r>
          </w:p>
        </w:tc>
      </w:tr>
      <w:tr w14:paraId="36098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6C701BC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雷达整机功耗</w:t>
            </w:r>
          </w:p>
        </w:tc>
        <w:tc>
          <w:tcPr>
            <w:tcW w:w="3213" w:type="pct"/>
            <w:vAlign w:val="center"/>
          </w:tcPr>
          <w:p w14:paraId="23E57D6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15kW</w:t>
            </w:r>
          </w:p>
        </w:tc>
      </w:tr>
      <w:tr w14:paraId="28353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86" w:type="pct"/>
            <w:gridSpan w:val="2"/>
            <w:vAlign w:val="center"/>
          </w:tcPr>
          <w:p w14:paraId="27BFA2A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连续工作时间</w:t>
            </w:r>
          </w:p>
        </w:tc>
        <w:tc>
          <w:tcPr>
            <w:tcW w:w="3213" w:type="pct"/>
            <w:vAlign w:val="center"/>
          </w:tcPr>
          <w:p w14:paraId="7DCFCE9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无人值守</w:t>
            </w:r>
            <w:r>
              <w:rPr>
                <w:color w:val="auto"/>
                <w:kern w:val="0"/>
                <w:sz w:val="24"/>
                <w:szCs w:val="24"/>
                <w:highlight w:val="none"/>
              </w:rPr>
              <w:t>7×24h</w:t>
            </w:r>
            <w:r>
              <w:rPr>
                <w:rFonts w:hint="eastAsia"/>
                <w:color w:val="auto"/>
                <w:kern w:val="0"/>
                <w:sz w:val="24"/>
                <w:szCs w:val="24"/>
                <w:highlight w:val="none"/>
              </w:rPr>
              <w:t>工作</w:t>
            </w:r>
          </w:p>
        </w:tc>
      </w:tr>
      <w:tr w14:paraId="79242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786" w:type="pct"/>
            <w:gridSpan w:val="2"/>
            <w:vAlign w:val="center"/>
          </w:tcPr>
          <w:p w14:paraId="1D54D1C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微波辐射安全性</w:t>
            </w:r>
          </w:p>
        </w:tc>
        <w:tc>
          <w:tcPr>
            <w:tcW w:w="3213" w:type="pct"/>
            <w:vAlign w:val="center"/>
          </w:tcPr>
          <w:p w14:paraId="5A012638">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电磁辐射暴露限制应符合</w:t>
            </w:r>
            <w:r>
              <w:rPr>
                <w:color w:val="auto"/>
                <w:kern w:val="0"/>
                <w:sz w:val="24"/>
                <w:szCs w:val="24"/>
                <w:highlight w:val="none"/>
              </w:rPr>
              <w:t>GJB5313A-2017</w:t>
            </w:r>
            <w:r>
              <w:rPr>
                <w:rFonts w:hint="eastAsia"/>
                <w:color w:val="auto"/>
                <w:kern w:val="0"/>
                <w:sz w:val="24"/>
                <w:szCs w:val="24"/>
                <w:highlight w:val="none"/>
              </w:rPr>
              <w:t>的要求。</w:t>
            </w:r>
          </w:p>
        </w:tc>
      </w:tr>
      <w:tr w14:paraId="7EBE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786" w:type="pct"/>
            <w:gridSpan w:val="2"/>
            <w:vAlign w:val="center"/>
          </w:tcPr>
          <w:p w14:paraId="7BA5C2A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安全标记</w:t>
            </w:r>
          </w:p>
        </w:tc>
        <w:tc>
          <w:tcPr>
            <w:tcW w:w="3213" w:type="pct"/>
            <w:vAlign w:val="center"/>
          </w:tcPr>
          <w:p w14:paraId="212AB713">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雷达高压部位、微波泄漏部位、机械转动部位应有清晰、醒目的安全警示标记。</w:t>
            </w:r>
          </w:p>
        </w:tc>
      </w:tr>
      <w:tr w14:paraId="0DDD3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86" w:type="pct"/>
            <w:gridSpan w:val="2"/>
            <w:vAlign w:val="center"/>
          </w:tcPr>
          <w:p w14:paraId="5FABB22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互换性</w:t>
            </w:r>
          </w:p>
        </w:tc>
        <w:tc>
          <w:tcPr>
            <w:tcW w:w="3213" w:type="pct"/>
            <w:vAlign w:val="center"/>
          </w:tcPr>
          <w:p w14:paraId="58DF6973">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雷达备份零件、部件、组件和功能单元均能在现场更换，无需调整而正常工作。</w:t>
            </w:r>
          </w:p>
        </w:tc>
      </w:tr>
      <w:tr w14:paraId="7173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786" w:type="pct"/>
            <w:gridSpan w:val="2"/>
            <w:vAlign w:val="center"/>
          </w:tcPr>
          <w:p w14:paraId="7AEDB34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电磁兼容性</w:t>
            </w:r>
          </w:p>
        </w:tc>
        <w:tc>
          <w:tcPr>
            <w:tcW w:w="3213" w:type="pct"/>
            <w:vAlign w:val="center"/>
          </w:tcPr>
          <w:p w14:paraId="0C0330C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雷达具有市电滤波和防电磁干扰的能力，设置静电屏蔽、磁屏蔽、电磁屏蔽，模拟地线、数字地线和安全地线严格分开。</w:t>
            </w:r>
          </w:p>
        </w:tc>
      </w:tr>
      <w:tr w14:paraId="75C9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786" w:type="pct"/>
            <w:gridSpan w:val="2"/>
            <w:vAlign w:val="center"/>
          </w:tcPr>
          <w:p w14:paraId="76986E6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安全性</w:t>
            </w:r>
          </w:p>
        </w:tc>
        <w:tc>
          <w:tcPr>
            <w:tcW w:w="3213" w:type="pct"/>
            <w:vAlign w:val="center"/>
          </w:tcPr>
          <w:p w14:paraId="50D0D00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雷达应有安全性设计</w:t>
            </w:r>
            <w:r>
              <w:rPr>
                <w:color w:val="auto"/>
                <w:kern w:val="0"/>
                <w:sz w:val="24"/>
                <w:szCs w:val="24"/>
                <w:highlight w:val="none"/>
              </w:rPr>
              <w:t>,</w:t>
            </w:r>
            <w:r>
              <w:rPr>
                <w:rFonts w:hint="eastAsia"/>
                <w:color w:val="auto"/>
                <w:kern w:val="0"/>
                <w:sz w:val="24"/>
                <w:szCs w:val="24"/>
                <w:highlight w:val="none"/>
              </w:rPr>
              <w:t>确保雷达按规定条件进行制造、安装、运输、贮存、使用和维护时的人身安全和设备安全。</w:t>
            </w:r>
          </w:p>
        </w:tc>
      </w:tr>
      <w:tr w14:paraId="2636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786" w:type="pct"/>
            <w:gridSpan w:val="2"/>
            <w:vAlign w:val="center"/>
          </w:tcPr>
          <w:p w14:paraId="3FB1F65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防雷要求</w:t>
            </w:r>
          </w:p>
        </w:tc>
        <w:tc>
          <w:tcPr>
            <w:tcW w:w="3213" w:type="pct"/>
            <w:vAlign w:val="center"/>
          </w:tcPr>
          <w:p w14:paraId="2943B9A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雷达电源线输入端应加装防雷滤波器，室外电缆一律采用屏蔽电缆。</w:t>
            </w:r>
          </w:p>
        </w:tc>
      </w:tr>
      <w:tr w14:paraId="742E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86" w:type="pct"/>
            <w:gridSpan w:val="2"/>
            <w:vAlign w:val="center"/>
          </w:tcPr>
          <w:p w14:paraId="2465978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绝缘性</w:t>
            </w:r>
          </w:p>
        </w:tc>
        <w:tc>
          <w:tcPr>
            <w:tcW w:w="3213" w:type="pct"/>
            <w:vAlign w:val="center"/>
          </w:tcPr>
          <w:p w14:paraId="6871E36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雷达各初级电源与大地间绝缘电阻应大于</w:t>
            </w:r>
            <w:r>
              <w:rPr>
                <w:color w:val="auto"/>
                <w:kern w:val="0"/>
                <w:sz w:val="24"/>
                <w:szCs w:val="24"/>
                <w:highlight w:val="none"/>
              </w:rPr>
              <w:t>1MΩ</w:t>
            </w:r>
            <w:r>
              <w:rPr>
                <w:rFonts w:hint="eastAsia"/>
                <w:color w:val="auto"/>
                <w:kern w:val="0"/>
                <w:sz w:val="24"/>
                <w:szCs w:val="24"/>
                <w:highlight w:val="none"/>
              </w:rPr>
              <w:t>。</w:t>
            </w:r>
          </w:p>
        </w:tc>
      </w:tr>
      <w:tr w14:paraId="7CCD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1786" w:type="pct"/>
            <w:gridSpan w:val="2"/>
            <w:vAlign w:val="center"/>
          </w:tcPr>
          <w:p w14:paraId="2B46B11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外观质量</w:t>
            </w:r>
          </w:p>
        </w:tc>
        <w:tc>
          <w:tcPr>
            <w:tcW w:w="3213" w:type="pct"/>
            <w:vAlign w:val="center"/>
          </w:tcPr>
          <w:p w14:paraId="5203F4A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外观应协调一致。外表面应无凹痕、碰伤、裂痕和变形等缺陷；镀涂层不起泡、龟裂和脱落；金属零件无锈蚀、毛刺及其它机械损伤。</w:t>
            </w:r>
          </w:p>
        </w:tc>
      </w:tr>
      <w:tr w14:paraId="7D4B0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trPr>
        <w:tc>
          <w:tcPr>
            <w:tcW w:w="1786" w:type="pct"/>
            <w:gridSpan w:val="2"/>
            <w:vAlign w:val="center"/>
          </w:tcPr>
          <w:p w14:paraId="72D4673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标记与代号</w:t>
            </w:r>
          </w:p>
        </w:tc>
        <w:tc>
          <w:tcPr>
            <w:tcW w:w="3213" w:type="pct"/>
            <w:vAlign w:val="center"/>
          </w:tcPr>
          <w:p w14:paraId="59894C6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机柜、机箱、插件和线缆等应有统一的编号和标记，符合国家标准。</w:t>
            </w:r>
          </w:p>
          <w:p w14:paraId="0343E82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印制板、主要元器件等应在相应位置印有与电路图中项目代号相符的标记。</w:t>
            </w:r>
          </w:p>
          <w:p w14:paraId="5F2DDB8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标记的文字、字母和符号应完整、规范、清晰和牢固，且便于识读。</w:t>
            </w:r>
          </w:p>
        </w:tc>
      </w:tr>
      <w:tr w14:paraId="7A71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786" w:type="pct"/>
            <w:gridSpan w:val="2"/>
            <w:vAlign w:val="center"/>
          </w:tcPr>
          <w:p w14:paraId="420D0FF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环境噪声要求</w:t>
            </w:r>
          </w:p>
        </w:tc>
        <w:tc>
          <w:tcPr>
            <w:tcW w:w="3213" w:type="pct"/>
            <w:vAlign w:val="center"/>
          </w:tcPr>
          <w:p w14:paraId="0A29A37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终端操作室噪声不大于</w:t>
            </w:r>
            <w:r>
              <w:rPr>
                <w:color w:val="auto"/>
                <w:kern w:val="0"/>
                <w:sz w:val="24"/>
                <w:szCs w:val="24"/>
                <w:highlight w:val="none"/>
              </w:rPr>
              <w:t>65dB</w:t>
            </w:r>
            <w:r>
              <w:rPr>
                <w:rFonts w:hint="eastAsia"/>
                <w:color w:val="auto"/>
                <w:kern w:val="0"/>
                <w:sz w:val="24"/>
                <w:szCs w:val="24"/>
                <w:highlight w:val="none"/>
              </w:rPr>
              <w:t>。</w:t>
            </w:r>
          </w:p>
        </w:tc>
      </w:tr>
      <w:tr w14:paraId="2F365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6" w:type="pct"/>
            <w:gridSpan w:val="2"/>
            <w:vAlign w:val="center"/>
          </w:tcPr>
          <w:p w14:paraId="76181A1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雷达应有的铭牌包括的内容</w:t>
            </w:r>
          </w:p>
        </w:tc>
        <w:tc>
          <w:tcPr>
            <w:tcW w:w="3213" w:type="pct"/>
            <w:vAlign w:val="center"/>
          </w:tcPr>
          <w:p w14:paraId="15AD2A2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雷达的名称、型号（代号）；出厂编号；出厂年月；制造厂商标。</w:t>
            </w:r>
          </w:p>
        </w:tc>
      </w:tr>
    </w:tbl>
    <w:p w14:paraId="5279540D">
      <w:pPr>
        <w:tabs>
          <w:tab w:val="left" w:pos="2340"/>
        </w:tabs>
        <w:spacing w:line="360" w:lineRule="auto"/>
        <w:ind w:firstLine="482"/>
        <w:rPr>
          <w:b/>
          <w:color w:val="auto"/>
          <w:sz w:val="24"/>
          <w:szCs w:val="24"/>
          <w:highlight w:val="none"/>
        </w:rPr>
      </w:pPr>
      <w:bookmarkStart w:id="109" w:name="bookmark19"/>
      <w:bookmarkEnd w:id="109"/>
      <w:bookmarkStart w:id="110" w:name="bookmark20"/>
      <w:bookmarkEnd w:id="110"/>
    </w:p>
    <w:p w14:paraId="139A5BCE">
      <w:pPr>
        <w:tabs>
          <w:tab w:val="left" w:pos="2340"/>
        </w:tabs>
        <w:spacing w:line="360" w:lineRule="auto"/>
        <w:ind w:firstLine="482"/>
        <w:rPr>
          <w:b/>
          <w:color w:val="auto"/>
          <w:sz w:val="24"/>
          <w:szCs w:val="24"/>
          <w:highlight w:val="none"/>
        </w:rPr>
      </w:pPr>
      <w:bookmarkStart w:id="111" w:name="_Toc204335541"/>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.2天线罩技术指标</w:t>
      </w:r>
      <w:bookmarkEnd w:id="111"/>
    </w:p>
    <w:p w14:paraId="23C0A296">
      <w:pPr>
        <w:tabs>
          <w:tab w:val="left" w:pos="2340"/>
        </w:tabs>
        <w:spacing w:line="360" w:lineRule="auto"/>
        <w:ind w:firstLine="480"/>
        <w:rPr>
          <w:bCs/>
          <w:color w:val="auto"/>
          <w:sz w:val="24"/>
          <w:szCs w:val="24"/>
          <w:highlight w:val="none"/>
        </w:rPr>
      </w:pPr>
      <w:r>
        <w:rPr>
          <w:bCs/>
          <w:color w:val="auto"/>
          <w:sz w:val="24"/>
          <w:szCs w:val="24"/>
          <w:highlight w:val="none"/>
        </w:rPr>
        <w:t>天线罩的技术指标包括：引入波束偏差、引入波束展宽、射频损失、引入交叉极化隔离度影响、引入副瓣影响等。</w:t>
      </w:r>
      <w:r>
        <w:rPr>
          <w:rFonts w:hint="eastAsia"/>
          <w:bCs/>
          <w:color w:val="auto"/>
          <w:sz w:val="24"/>
          <w:szCs w:val="24"/>
          <w:highlight w:val="none"/>
        </w:rPr>
        <w:t>天线罩外表面须涂覆疏水层。</w:t>
      </w:r>
      <w:r>
        <w:rPr>
          <w:bCs/>
          <w:color w:val="auto"/>
          <w:sz w:val="24"/>
          <w:szCs w:val="24"/>
          <w:highlight w:val="none"/>
        </w:rPr>
        <w:t>具体指标见</w:t>
      </w:r>
      <w:r>
        <w:rPr>
          <w:rFonts w:hint="eastAsia"/>
          <w:bCs/>
          <w:color w:val="auto"/>
          <w:sz w:val="24"/>
          <w:szCs w:val="24"/>
          <w:highlight w:val="none"/>
        </w:rPr>
        <w:t>表2</w:t>
      </w:r>
      <w:r>
        <w:rPr>
          <w:bCs/>
          <w:color w:val="auto"/>
          <w:sz w:val="24"/>
          <w:szCs w:val="24"/>
          <w:highlight w:val="none"/>
        </w:rPr>
        <w:t>。</w:t>
      </w:r>
    </w:p>
    <w:p w14:paraId="302A2989">
      <w:pPr>
        <w:pStyle w:val="49"/>
        <w:rPr>
          <w:color w:val="auto"/>
          <w:highlight w:val="none"/>
        </w:rPr>
      </w:pPr>
      <w:bookmarkStart w:id="112" w:name="_Ref207028389"/>
      <w:r>
        <w:rPr>
          <w:rFonts w:hint="eastAsia"/>
          <w:color w:val="auto"/>
          <w:highlight w:val="none"/>
        </w:rPr>
        <w:t>表</w:t>
      </w:r>
      <w:bookmarkEnd w:id="112"/>
      <w:r>
        <w:rPr>
          <w:rFonts w:hint="eastAsia"/>
          <w:color w:val="auto"/>
          <w:highlight w:val="none"/>
        </w:rPr>
        <w:t>2</w:t>
      </w:r>
      <w:r>
        <w:rPr>
          <w:color w:val="auto"/>
          <w:highlight w:val="none"/>
        </w:rPr>
        <w:t xml:space="preserve"> 天线罩技术性能指标表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70"/>
        <w:gridCol w:w="1853"/>
        <w:gridCol w:w="4207"/>
      </w:tblGrid>
      <w:tr w14:paraId="142D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tblHeader/>
          <w:jc w:val="center"/>
        </w:trPr>
        <w:tc>
          <w:tcPr>
            <w:tcW w:w="2475" w:type="pct"/>
            <w:gridSpan w:val="2"/>
            <w:vAlign w:val="center"/>
          </w:tcPr>
          <w:p w14:paraId="5C884CD4">
            <w:pPr>
              <w:widowControl/>
              <w:jc w:val="center"/>
              <w:rPr>
                <w:b/>
                <w:bCs/>
                <w:color w:val="auto"/>
                <w:kern w:val="0"/>
                <w:highlight w:val="none"/>
              </w:rPr>
            </w:pPr>
            <w:r>
              <w:rPr>
                <w:b/>
                <w:bCs/>
                <w:color w:val="auto"/>
                <w:kern w:val="0"/>
                <w:highlight w:val="none"/>
              </w:rPr>
              <w:t>项目</w:t>
            </w:r>
          </w:p>
        </w:tc>
        <w:tc>
          <w:tcPr>
            <w:tcW w:w="2525" w:type="pct"/>
            <w:vAlign w:val="center"/>
          </w:tcPr>
          <w:p w14:paraId="73F8359B">
            <w:pPr>
              <w:widowControl/>
              <w:jc w:val="center"/>
              <w:rPr>
                <w:b/>
                <w:bCs/>
                <w:color w:val="auto"/>
                <w:kern w:val="0"/>
                <w:highlight w:val="none"/>
              </w:rPr>
            </w:pPr>
            <w:r>
              <w:rPr>
                <w:b/>
                <w:bCs/>
                <w:color w:val="auto"/>
                <w:kern w:val="0"/>
                <w:highlight w:val="none"/>
              </w:rPr>
              <w:t>性能指标</w:t>
            </w:r>
          </w:p>
        </w:tc>
      </w:tr>
      <w:tr w14:paraId="554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363" w:type="pct"/>
            <w:vAlign w:val="center"/>
          </w:tcPr>
          <w:p w14:paraId="30527D7A">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引入波束偏差</w:t>
            </w:r>
          </w:p>
        </w:tc>
        <w:tc>
          <w:tcPr>
            <w:tcW w:w="1112" w:type="pct"/>
            <w:vAlign w:val="center"/>
          </w:tcPr>
          <w:p w14:paraId="67A48BAF">
            <w:pPr>
              <w:widowControl/>
              <w:kinsoku w:val="0"/>
              <w:autoSpaceDE w:val="0"/>
              <w:autoSpaceDN w:val="0"/>
              <w:adjustRightInd w:val="0"/>
              <w:snapToGrid w:val="0"/>
              <w:spacing w:line="360" w:lineRule="auto"/>
              <w:textAlignment w:val="baseline"/>
              <w:rPr>
                <w:color w:val="auto"/>
                <w:sz w:val="24"/>
                <w:szCs w:val="24"/>
                <w:highlight w:val="none"/>
              </w:rPr>
            </w:pPr>
            <w:r>
              <w:rPr>
                <w:rFonts w:hint="eastAsia"/>
                <w:color w:val="auto"/>
                <w:sz w:val="24"/>
                <w:szCs w:val="24"/>
                <w:highlight w:val="none"/>
              </w:rPr>
              <w:t>球面</w:t>
            </w:r>
            <w:r>
              <w:rPr>
                <w:color w:val="auto"/>
                <w:sz w:val="24"/>
                <w:szCs w:val="24"/>
                <w:highlight w:val="none"/>
              </w:rPr>
              <w:t>罩</w:t>
            </w:r>
          </w:p>
        </w:tc>
        <w:tc>
          <w:tcPr>
            <w:tcW w:w="2525" w:type="pct"/>
            <w:vAlign w:val="center"/>
          </w:tcPr>
          <w:p w14:paraId="2E8F94AA">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≤0.0</w:t>
            </w:r>
            <w:r>
              <w:rPr>
                <w:rFonts w:hint="eastAsia"/>
                <w:color w:val="auto"/>
                <w:sz w:val="24"/>
                <w:szCs w:val="24"/>
                <w:highlight w:val="none"/>
              </w:rPr>
              <w:t>5</w:t>
            </w:r>
            <w:r>
              <w:rPr>
                <w:color w:val="auto"/>
                <w:sz w:val="24"/>
                <w:szCs w:val="24"/>
                <w:highlight w:val="none"/>
              </w:rPr>
              <w:t>°</w:t>
            </w:r>
          </w:p>
        </w:tc>
      </w:tr>
      <w:tr w14:paraId="51D4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363" w:type="pct"/>
            <w:vAlign w:val="center"/>
          </w:tcPr>
          <w:p w14:paraId="1EFD2CD3">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引入波束展宽</w:t>
            </w:r>
          </w:p>
        </w:tc>
        <w:tc>
          <w:tcPr>
            <w:tcW w:w="1112" w:type="pct"/>
          </w:tcPr>
          <w:p w14:paraId="71AD4DC0">
            <w:pPr>
              <w:rPr>
                <w:color w:val="auto"/>
                <w:highlight w:val="none"/>
              </w:rPr>
            </w:pPr>
            <w:r>
              <w:rPr>
                <w:rFonts w:hint="eastAsia"/>
                <w:color w:val="auto"/>
                <w:sz w:val="24"/>
                <w:szCs w:val="24"/>
                <w:highlight w:val="none"/>
              </w:rPr>
              <w:t>球面</w:t>
            </w:r>
            <w:r>
              <w:rPr>
                <w:color w:val="auto"/>
                <w:sz w:val="24"/>
                <w:szCs w:val="24"/>
                <w:highlight w:val="none"/>
              </w:rPr>
              <w:t>罩</w:t>
            </w:r>
          </w:p>
        </w:tc>
        <w:tc>
          <w:tcPr>
            <w:tcW w:w="2525" w:type="pct"/>
            <w:vAlign w:val="center"/>
          </w:tcPr>
          <w:p w14:paraId="208CBA4F">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≤0.0</w:t>
            </w:r>
            <w:r>
              <w:rPr>
                <w:rFonts w:hint="eastAsia"/>
                <w:color w:val="auto"/>
                <w:sz w:val="24"/>
                <w:szCs w:val="24"/>
                <w:highlight w:val="none"/>
              </w:rPr>
              <w:t>5</w:t>
            </w:r>
            <w:r>
              <w:rPr>
                <w:color w:val="auto"/>
                <w:sz w:val="24"/>
                <w:szCs w:val="24"/>
                <w:highlight w:val="none"/>
              </w:rPr>
              <w:t>°</w:t>
            </w:r>
          </w:p>
        </w:tc>
      </w:tr>
      <w:tr w14:paraId="1798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363" w:type="pct"/>
            <w:vAlign w:val="center"/>
          </w:tcPr>
          <w:p w14:paraId="5451D91A">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射频损失（双程）</w:t>
            </w:r>
          </w:p>
        </w:tc>
        <w:tc>
          <w:tcPr>
            <w:tcW w:w="1112" w:type="pct"/>
          </w:tcPr>
          <w:p w14:paraId="630293AF">
            <w:pPr>
              <w:rPr>
                <w:color w:val="auto"/>
                <w:highlight w:val="none"/>
              </w:rPr>
            </w:pPr>
            <w:r>
              <w:rPr>
                <w:rFonts w:hint="eastAsia"/>
                <w:color w:val="auto"/>
                <w:sz w:val="24"/>
                <w:szCs w:val="24"/>
                <w:highlight w:val="none"/>
              </w:rPr>
              <w:t>球面</w:t>
            </w:r>
            <w:r>
              <w:rPr>
                <w:color w:val="auto"/>
                <w:sz w:val="24"/>
                <w:szCs w:val="24"/>
                <w:highlight w:val="none"/>
              </w:rPr>
              <w:t>罩</w:t>
            </w:r>
          </w:p>
        </w:tc>
        <w:tc>
          <w:tcPr>
            <w:tcW w:w="2525" w:type="pct"/>
            <w:vAlign w:val="center"/>
          </w:tcPr>
          <w:p w14:paraId="74E88739">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w:t>
            </w:r>
            <w:r>
              <w:rPr>
                <w:rFonts w:hint="eastAsia"/>
                <w:color w:val="auto"/>
                <w:sz w:val="24"/>
                <w:szCs w:val="24"/>
                <w:highlight w:val="none"/>
              </w:rPr>
              <w:t>1.2</w:t>
            </w:r>
            <w:r>
              <w:rPr>
                <w:color w:val="auto"/>
                <w:sz w:val="24"/>
                <w:szCs w:val="24"/>
                <w:highlight w:val="none"/>
              </w:rPr>
              <w:t>dB</w:t>
            </w:r>
          </w:p>
        </w:tc>
      </w:tr>
      <w:tr w14:paraId="6957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2475" w:type="pct"/>
            <w:gridSpan w:val="2"/>
            <w:vAlign w:val="center"/>
          </w:tcPr>
          <w:p w14:paraId="52DBA77A">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引入交叉极化隔离度影响</w:t>
            </w:r>
          </w:p>
        </w:tc>
        <w:tc>
          <w:tcPr>
            <w:tcW w:w="2525" w:type="pct"/>
            <w:vAlign w:val="center"/>
          </w:tcPr>
          <w:p w14:paraId="4FB4E237">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≤1.0dB</w:t>
            </w:r>
          </w:p>
        </w:tc>
      </w:tr>
      <w:tr w14:paraId="49A7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2475" w:type="pct"/>
            <w:gridSpan w:val="2"/>
            <w:vAlign w:val="center"/>
          </w:tcPr>
          <w:p w14:paraId="50222257">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引入副瓣影响</w:t>
            </w:r>
          </w:p>
        </w:tc>
        <w:tc>
          <w:tcPr>
            <w:tcW w:w="2525" w:type="pct"/>
            <w:vAlign w:val="center"/>
          </w:tcPr>
          <w:p w14:paraId="488C4E61">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≤3.0dB</w:t>
            </w:r>
          </w:p>
        </w:tc>
      </w:tr>
      <w:tr w14:paraId="38C9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2475" w:type="pct"/>
            <w:gridSpan w:val="2"/>
            <w:vAlign w:val="center"/>
          </w:tcPr>
          <w:p w14:paraId="418570AC">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抗风能力（阵风）</w:t>
            </w:r>
          </w:p>
        </w:tc>
        <w:tc>
          <w:tcPr>
            <w:tcW w:w="2525" w:type="pct"/>
            <w:vAlign w:val="center"/>
          </w:tcPr>
          <w:p w14:paraId="37404CA7">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17级风不损坏</w:t>
            </w:r>
          </w:p>
        </w:tc>
      </w:tr>
      <w:tr w14:paraId="533E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2475" w:type="pct"/>
            <w:gridSpan w:val="2"/>
            <w:vAlign w:val="center"/>
          </w:tcPr>
          <w:p w14:paraId="2413A067">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疏水层</w:t>
            </w:r>
          </w:p>
        </w:tc>
        <w:tc>
          <w:tcPr>
            <w:tcW w:w="2525" w:type="pct"/>
            <w:vAlign w:val="center"/>
          </w:tcPr>
          <w:p w14:paraId="1FFD4B4A">
            <w:pPr>
              <w:widowControl/>
              <w:kinsoku w:val="0"/>
              <w:autoSpaceDE w:val="0"/>
              <w:autoSpaceDN w:val="0"/>
              <w:adjustRightInd w:val="0"/>
              <w:snapToGrid w:val="0"/>
              <w:spacing w:line="360" w:lineRule="auto"/>
              <w:ind w:left="105" w:leftChars="50"/>
              <w:textAlignment w:val="baseline"/>
              <w:rPr>
                <w:color w:val="auto"/>
                <w:sz w:val="24"/>
                <w:szCs w:val="24"/>
                <w:highlight w:val="none"/>
              </w:rPr>
            </w:pPr>
            <w:r>
              <w:rPr>
                <w:color w:val="auto"/>
                <w:sz w:val="24"/>
                <w:szCs w:val="24"/>
                <w:highlight w:val="none"/>
              </w:rPr>
              <w:t>接触角&gt;150°</w:t>
            </w:r>
          </w:p>
        </w:tc>
      </w:tr>
    </w:tbl>
    <w:p w14:paraId="0EBA776F">
      <w:pPr>
        <w:tabs>
          <w:tab w:val="left" w:pos="2340"/>
        </w:tabs>
        <w:spacing w:line="360" w:lineRule="auto"/>
        <w:ind w:firstLine="482"/>
        <w:rPr>
          <w:b/>
          <w:color w:val="auto"/>
          <w:sz w:val="24"/>
          <w:szCs w:val="24"/>
          <w:highlight w:val="none"/>
        </w:rPr>
      </w:pPr>
    </w:p>
    <w:p w14:paraId="228488C9">
      <w:pPr>
        <w:tabs>
          <w:tab w:val="left" w:pos="2340"/>
        </w:tabs>
        <w:spacing w:line="360" w:lineRule="auto"/>
        <w:ind w:firstLine="482"/>
        <w:rPr>
          <w:b/>
          <w:color w:val="auto"/>
          <w:sz w:val="24"/>
          <w:szCs w:val="24"/>
          <w:highlight w:val="none"/>
        </w:rPr>
      </w:pPr>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3天线技术指标</w:t>
      </w:r>
    </w:p>
    <w:p w14:paraId="518047FB">
      <w:pPr>
        <w:tabs>
          <w:tab w:val="left" w:pos="2340"/>
        </w:tabs>
        <w:spacing w:line="360" w:lineRule="auto"/>
        <w:ind w:firstLine="480"/>
        <w:rPr>
          <w:bCs/>
          <w:color w:val="auto"/>
          <w:sz w:val="24"/>
          <w:szCs w:val="24"/>
          <w:highlight w:val="none"/>
        </w:rPr>
      </w:pPr>
      <w:r>
        <w:rPr>
          <w:rFonts w:hint="eastAsia"/>
          <w:bCs/>
          <w:color w:val="auto"/>
          <w:sz w:val="24"/>
          <w:szCs w:val="24"/>
          <w:highlight w:val="none"/>
        </w:rPr>
        <w:t>天线的技术指标包括：极化方式、波束宽度、交叉极化隔离度等。</w:t>
      </w:r>
    </w:p>
    <w:p w14:paraId="41565488">
      <w:pPr>
        <w:tabs>
          <w:tab w:val="left" w:pos="2340"/>
        </w:tabs>
        <w:spacing w:line="360" w:lineRule="auto"/>
        <w:ind w:firstLine="480"/>
        <w:rPr>
          <w:bCs/>
          <w:color w:val="auto"/>
          <w:sz w:val="24"/>
          <w:szCs w:val="24"/>
          <w:highlight w:val="none"/>
        </w:rPr>
      </w:pPr>
      <w:r>
        <w:rPr>
          <w:rFonts w:hint="eastAsia"/>
          <w:bCs/>
          <w:color w:val="auto"/>
          <w:sz w:val="24"/>
          <w:szCs w:val="24"/>
          <w:highlight w:val="none"/>
        </w:rPr>
        <w:t>具体指标见表3。</w:t>
      </w:r>
    </w:p>
    <w:p w14:paraId="27F5B1E9">
      <w:pPr>
        <w:widowControl/>
        <w:kinsoku w:val="0"/>
        <w:autoSpaceDE w:val="0"/>
        <w:autoSpaceDN w:val="0"/>
        <w:adjustRightInd w:val="0"/>
        <w:snapToGrid w:val="0"/>
        <w:spacing w:line="360" w:lineRule="auto"/>
        <w:ind w:firstLine="470"/>
        <w:jc w:val="center"/>
        <w:textAlignment w:val="baseline"/>
        <w:rPr>
          <w:color w:val="auto"/>
          <w:sz w:val="24"/>
          <w:szCs w:val="24"/>
          <w:highlight w:val="none"/>
        </w:rPr>
      </w:pPr>
      <w:r>
        <w:rPr>
          <w:rFonts w:hint="eastAsia"/>
          <w:b/>
          <w:bCs/>
          <w:color w:val="auto"/>
          <w:spacing w:val="-3"/>
          <w:sz w:val="24"/>
          <w:szCs w:val="24"/>
          <w:highlight w:val="none"/>
        </w:rPr>
        <w:t>表3</w:t>
      </w:r>
      <w:r>
        <w:rPr>
          <w:b/>
          <w:bCs/>
          <w:color w:val="auto"/>
          <w:spacing w:val="-3"/>
          <w:sz w:val="24"/>
          <w:szCs w:val="24"/>
          <w:highlight w:val="none"/>
        </w:rPr>
        <w:t xml:space="preserve"> </w:t>
      </w:r>
      <w:r>
        <w:rPr>
          <w:rFonts w:hint="eastAsia"/>
          <w:b/>
          <w:bCs/>
          <w:color w:val="auto"/>
          <w:spacing w:val="-3"/>
          <w:sz w:val="24"/>
          <w:szCs w:val="24"/>
          <w:highlight w:val="none"/>
        </w:rPr>
        <w:t>天线技术性能指标表</w:t>
      </w:r>
    </w:p>
    <w:tbl>
      <w:tblPr>
        <w:tblStyle w:val="48"/>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80"/>
        <w:gridCol w:w="5334"/>
      </w:tblGrid>
      <w:tr w14:paraId="65406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92" w:type="pct"/>
            <w:tcBorders>
              <w:bottom w:val="nil"/>
            </w:tcBorders>
            <w:vAlign w:val="center"/>
          </w:tcPr>
          <w:p w14:paraId="17B6FC95">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hint="eastAsia" w:ascii="Times New Roman" w:hAnsi="Times New Roman" w:cs="Times New Roman"/>
                <w:b/>
                <w:bCs/>
                <w:color w:val="auto"/>
                <w:spacing w:val="-9"/>
                <w:kern w:val="0"/>
                <w:highlight w:val="none"/>
              </w:rPr>
              <w:t>项目</w:t>
            </w:r>
          </w:p>
        </w:tc>
        <w:tc>
          <w:tcPr>
            <w:tcW w:w="3207" w:type="pct"/>
            <w:vAlign w:val="center"/>
          </w:tcPr>
          <w:p w14:paraId="620497CD">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hint="eastAsia" w:ascii="Times New Roman" w:hAnsi="Times New Roman" w:cs="Times New Roman"/>
                <w:b/>
                <w:bCs/>
                <w:color w:val="auto"/>
                <w:spacing w:val="-8"/>
                <w:kern w:val="0"/>
                <w:highlight w:val="none"/>
              </w:rPr>
              <w:t>性能指标</w:t>
            </w:r>
          </w:p>
        </w:tc>
      </w:tr>
      <w:tr w14:paraId="39834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792" w:type="pct"/>
            <w:vAlign w:val="center"/>
          </w:tcPr>
          <w:p w14:paraId="73720A7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天线形式</w:t>
            </w:r>
          </w:p>
        </w:tc>
        <w:tc>
          <w:tcPr>
            <w:tcW w:w="3207" w:type="pct"/>
            <w:vAlign w:val="center"/>
          </w:tcPr>
          <w:p w14:paraId="7907C0F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平面双线偏振相控阵天线</w:t>
            </w:r>
          </w:p>
        </w:tc>
      </w:tr>
      <w:tr w14:paraId="48115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92" w:type="pct"/>
            <w:vAlign w:val="center"/>
          </w:tcPr>
          <w:p w14:paraId="7CB7125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极化方式</w:t>
            </w:r>
          </w:p>
        </w:tc>
        <w:tc>
          <w:tcPr>
            <w:tcW w:w="3207" w:type="pct"/>
            <w:vAlign w:val="center"/>
          </w:tcPr>
          <w:p w14:paraId="16474AE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线性水平、垂直极化</w:t>
            </w:r>
          </w:p>
        </w:tc>
      </w:tr>
      <w:tr w14:paraId="3BE25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92" w:type="pct"/>
            <w:vAlign w:val="center"/>
          </w:tcPr>
          <w:p w14:paraId="5CFDB58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▲方位波束宽度（水平极化和垂直极化）</w:t>
            </w:r>
          </w:p>
        </w:tc>
        <w:tc>
          <w:tcPr>
            <w:tcW w:w="3207" w:type="pct"/>
            <w:vAlign w:val="center"/>
          </w:tcPr>
          <w:p w14:paraId="0C29D52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发射、接收均≤</w:t>
            </w:r>
            <w:r>
              <w:rPr>
                <w:color w:val="auto"/>
                <w:kern w:val="0"/>
                <w:sz w:val="24"/>
                <w:szCs w:val="24"/>
                <w:highlight w:val="none"/>
              </w:rPr>
              <w:t>1.8°</w:t>
            </w:r>
          </w:p>
        </w:tc>
      </w:tr>
      <w:tr w14:paraId="46CC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792" w:type="pct"/>
            <w:vAlign w:val="center"/>
          </w:tcPr>
          <w:p w14:paraId="7473326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▲电扫波束宽度（水平极化和垂直极化）</w:t>
            </w:r>
          </w:p>
        </w:tc>
        <w:tc>
          <w:tcPr>
            <w:tcW w:w="3207" w:type="pct"/>
            <w:vAlign w:val="center"/>
          </w:tcPr>
          <w:p w14:paraId="0261D6F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发射、接收均法向≤</w:t>
            </w:r>
            <w:r>
              <w:rPr>
                <w:color w:val="auto"/>
                <w:kern w:val="0"/>
                <w:sz w:val="24"/>
                <w:szCs w:val="24"/>
                <w:highlight w:val="none"/>
              </w:rPr>
              <w:t>1.8°</w:t>
            </w:r>
          </w:p>
          <w:p w14:paraId="7E8170A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偏离法向±</w:t>
            </w:r>
            <w:r>
              <w:rPr>
                <w:color w:val="auto"/>
                <w:kern w:val="0"/>
                <w:sz w:val="24"/>
                <w:szCs w:val="24"/>
                <w:highlight w:val="none"/>
              </w:rPr>
              <w:t>20°H</w:t>
            </w:r>
            <w:r>
              <w:rPr>
                <w:rFonts w:hint="eastAsia"/>
                <w:color w:val="auto"/>
                <w:kern w:val="0"/>
                <w:sz w:val="24"/>
                <w:szCs w:val="24"/>
                <w:highlight w:val="none"/>
              </w:rPr>
              <w:t>面和</w:t>
            </w:r>
            <w:r>
              <w:rPr>
                <w:color w:val="auto"/>
                <w:kern w:val="0"/>
                <w:sz w:val="24"/>
                <w:szCs w:val="24"/>
                <w:highlight w:val="none"/>
              </w:rPr>
              <w:t>E</w:t>
            </w:r>
            <w:r>
              <w:rPr>
                <w:rFonts w:hint="eastAsia"/>
                <w:color w:val="auto"/>
                <w:kern w:val="0"/>
                <w:sz w:val="24"/>
                <w:szCs w:val="24"/>
                <w:highlight w:val="none"/>
              </w:rPr>
              <w:t>面发射、接收均≤</w:t>
            </w:r>
            <w:r>
              <w:rPr>
                <w:color w:val="auto"/>
                <w:kern w:val="0"/>
                <w:sz w:val="24"/>
                <w:szCs w:val="24"/>
                <w:highlight w:val="none"/>
              </w:rPr>
              <w:t>1.91°</w:t>
            </w:r>
          </w:p>
        </w:tc>
      </w:tr>
      <w:tr w14:paraId="60BB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92" w:type="pct"/>
            <w:vAlign w:val="center"/>
          </w:tcPr>
          <w:p w14:paraId="1DD7F4A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发射增益（法向、不含馈线）</w:t>
            </w:r>
          </w:p>
        </w:tc>
        <w:tc>
          <w:tcPr>
            <w:tcW w:w="3207" w:type="pct"/>
            <w:vAlign w:val="center"/>
          </w:tcPr>
          <w:p w14:paraId="00D0AE4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38.5dB</w:t>
            </w:r>
          </w:p>
        </w:tc>
      </w:tr>
      <w:tr w14:paraId="1464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92" w:type="pct"/>
            <w:vAlign w:val="center"/>
          </w:tcPr>
          <w:p w14:paraId="03C6FB8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发射增益（偏离法向±</w:t>
            </w:r>
            <w:r>
              <w:rPr>
                <w:color w:val="auto"/>
                <w:kern w:val="0"/>
                <w:sz w:val="24"/>
                <w:szCs w:val="24"/>
                <w:highlight w:val="none"/>
              </w:rPr>
              <w:t>20°</w:t>
            </w:r>
            <w:r>
              <w:rPr>
                <w:rFonts w:hint="eastAsia"/>
                <w:color w:val="auto"/>
                <w:kern w:val="0"/>
                <w:sz w:val="24"/>
                <w:szCs w:val="24"/>
                <w:highlight w:val="none"/>
              </w:rPr>
              <w:t>、不含馈线）</w:t>
            </w:r>
          </w:p>
        </w:tc>
        <w:tc>
          <w:tcPr>
            <w:tcW w:w="3207" w:type="pct"/>
            <w:vAlign w:val="center"/>
          </w:tcPr>
          <w:p w14:paraId="03ACB9E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37.5dB</w:t>
            </w:r>
          </w:p>
        </w:tc>
      </w:tr>
      <w:tr w14:paraId="5414A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92" w:type="pct"/>
            <w:vAlign w:val="center"/>
          </w:tcPr>
          <w:p w14:paraId="69072D1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发射增益（发射</w:t>
            </w:r>
            <w:r>
              <w:rPr>
                <w:color w:val="auto"/>
                <w:kern w:val="0"/>
                <w:sz w:val="24"/>
                <w:szCs w:val="24"/>
                <w:highlight w:val="none"/>
              </w:rPr>
              <w:t>4</w:t>
            </w:r>
            <w:r>
              <w:rPr>
                <w:rFonts w:hint="eastAsia"/>
                <w:color w:val="auto"/>
                <w:kern w:val="0"/>
                <w:sz w:val="24"/>
                <w:szCs w:val="24"/>
                <w:highlight w:val="none"/>
              </w:rPr>
              <w:t>倍波束展宽、不含馈线）</w:t>
            </w:r>
          </w:p>
        </w:tc>
        <w:tc>
          <w:tcPr>
            <w:tcW w:w="3207" w:type="pct"/>
            <w:vAlign w:val="center"/>
          </w:tcPr>
          <w:p w14:paraId="535A8E5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30.5dB</w:t>
            </w:r>
          </w:p>
        </w:tc>
      </w:tr>
      <w:tr w14:paraId="40755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92" w:type="pct"/>
            <w:vAlign w:val="center"/>
          </w:tcPr>
          <w:p w14:paraId="387266E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发射增益（发射</w:t>
            </w:r>
            <w:r>
              <w:rPr>
                <w:color w:val="auto"/>
                <w:kern w:val="0"/>
                <w:sz w:val="24"/>
                <w:szCs w:val="24"/>
                <w:highlight w:val="none"/>
              </w:rPr>
              <w:t>8</w:t>
            </w:r>
            <w:r>
              <w:rPr>
                <w:rFonts w:hint="eastAsia"/>
                <w:color w:val="auto"/>
                <w:kern w:val="0"/>
                <w:sz w:val="24"/>
                <w:szCs w:val="24"/>
                <w:highlight w:val="none"/>
              </w:rPr>
              <w:t>倍波束展宽、不含馈线）</w:t>
            </w:r>
          </w:p>
        </w:tc>
        <w:tc>
          <w:tcPr>
            <w:tcW w:w="3207" w:type="pct"/>
            <w:vAlign w:val="center"/>
          </w:tcPr>
          <w:p w14:paraId="17E17C9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27.5dB</w:t>
            </w:r>
          </w:p>
        </w:tc>
      </w:tr>
      <w:tr w14:paraId="6BD34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92" w:type="pct"/>
            <w:vAlign w:val="center"/>
          </w:tcPr>
          <w:p w14:paraId="71C3F12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发射增益波动（发射</w:t>
            </w:r>
            <w:r>
              <w:rPr>
                <w:color w:val="auto"/>
                <w:kern w:val="0"/>
                <w:sz w:val="24"/>
                <w:szCs w:val="24"/>
                <w:highlight w:val="none"/>
              </w:rPr>
              <w:t>4</w:t>
            </w:r>
            <w:r>
              <w:rPr>
                <w:rFonts w:hint="eastAsia"/>
                <w:color w:val="auto"/>
                <w:kern w:val="0"/>
                <w:sz w:val="24"/>
                <w:szCs w:val="24"/>
                <w:highlight w:val="none"/>
              </w:rPr>
              <w:t>倍波束展宽）</w:t>
            </w:r>
          </w:p>
        </w:tc>
        <w:tc>
          <w:tcPr>
            <w:tcW w:w="3207" w:type="pct"/>
            <w:vAlign w:val="center"/>
          </w:tcPr>
          <w:p w14:paraId="0506AAC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1dB</w:t>
            </w:r>
          </w:p>
        </w:tc>
      </w:tr>
      <w:tr w14:paraId="0364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92" w:type="pct"/>
            <w:vAlign w:val="center"/>
          </w:tcPr>
          <w:p w14:paraId="227C339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发射增益波动（发射</w:t>
            </w:r>
            <w:r>
              <w:rPr>
                <w:color w:val="auto"/>
                <w:kern w:val="0"/>
                <w:sz w:val="24"/>
                <w:szCs w:val="24"/>
                <w:highlight w:val="none"/>
              </w:rPr>
              <w:t>8</w:t>
            </w:r>
            <w:r>
              <w:rPr>
                <w:rFonts w:hint="eastAsia"/>
                <w:color w:val="auto"/>
                <w:kern w:val="0"/>
                <w:sz w:val="24"/>
                <w:szCs w:val="24"/>
                <w:highlight w:val="none"/>
              </w:rPr>
              <w:t>倍波束展宽）</w:t>
            </w:r>
          </w:p>
        </w:tc>
        <w:tc>
          <w:tcPr>
            <w:tcW w:w="3207" w:type="pct"/>
            <w:vAlign w:val="center"/>
          </w:tcPr>
          <w:p w14:paraId="11D3BF7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2dB</w:t>
            </w:r>
          </w:p>
        </w:tc>
      </w:tr>
      <w:tr w14:paraId="56F0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92" w:type="pct"/>
            <w:vAlign w:val="center"/>
          </w:tcPr>
          <w:p w14:paraId="4D32A44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接收增益（法向、不含馈线）</w:t>
            </w:r>
          </w:p>
        </w:tc>
        <w:tc>
          <w:tcPr>
            <w:tcW w:w="3207" w:type="pct"/>
            <w:vAlign w:val="center"/>
          </w:tcPr>
          <w:p w14:paraId="2AD560D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37.5dB</w:t>
            </w:r>
          </w:p>
        </w:tc>
      </w:tr>
      <w:tr w14:paraId="65B91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92" w:type="pct"/>
            <w:vAlign w:val="center"/>
          </w:tcPr>
          <w:p w14:paraId="67BD357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接收增益（偏离法向±</w:t>
            </w:r>
            <w:r>
              <w:rPr>
                <w:color w:val="auto"/>
                <w:kern w:val="0"/>
                <w:sz w:val="24"/>
                <w:szCs w:val="24"/>
                <w:highlight w:val="none"/>
              </w:rPr>
              <w:t>20°</w:t>
            </w:r>
            <w:r>
              <w:rPr>
                <w:rFonts w:hint="eastAsia"/>
                <w:color w:val="auto"/>
                <w:kern w:val="0"/>
                <w:sz w:val="24"/>
                <w:szCs w:val="24"/>
                <w:highlight w:val="none"/>
              </w:rPr>
              <w:t>、不含馈线）</w:t>
            </w:r>
          </w:p>
        </w:tc>
        <w:tc>
          <w:tcPr>
            <w:tcW w:w="3207" w:type="pct"/>
            <w:vAlign w:val="center"/>
          </w:tcPr>
          <w:p w14:paraId="60BA4A1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36.5dB</w:t>
            </w:r>
          </w:p>
        </w:tc>
      </w:tr>
      <w:tr w14:paraId="4C949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 w:hRule="atLeast"/>
        </w:trPr>
        <w:tc>
          <w:tcPr>
            <w:tcW w:w="1792" w:type="pct"/>
            <w:vAlign w:val="center"/>
          </w:tcPr>
          <w:p w14:paraId="09E6801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▲方位方向最大副瓣电平</w:t>
            </w:r>
          </w:p>
        </w:tc>
        <w:tc>
          <w:tcPr>
            <w:tcW w:w="3207" w:type="pct"/>
            <w:vAlign w:val="center"/>
          </w:tcPr>
          <w:p w14:paraId="6ACCC45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发射、接收均≤</w:t>
            </w:r>
            <w:r>
              <w:rPr>
                <w:color w:val="auto"/>
                <w:kern w:val="0"/>
                <w:sz w:val="24"/>
                <w:szCs w:val="24"/>
                <w:highlight w:val="none"/>
              </w:rPr>
              <w:t>-30dB</w:t>
            </w:r>
          </w:p>
        </w:tc>
      </w:tr>
      <w:tr w14:paraId="704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792" w:type="pct"/>
            <w:vAlign w:val="center"/>
          </w:tcPr>
          <w:p w14:paraId="7BCE5BA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交叉极化隔离度</w:t>
            </w:r>
          </w:p>
        </w:tc>
        <w:tc>
          <w:tcPr>
            <w:tcW w:w="3207" w:type="pct"/>
            <w:vAlign w:val="center"/>
          </w:tcPr>
          <w:p w14:paraId="36A0432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发射、接收均满足且偏离法向±</w:t>
            </w:r>
            <w:r>
              <w:rPr>
                <w:color w:val="auto"/>
                <w:kern w:val="0"/>
                <w:sz w:val="24"/>
                <w:szCs w:val="24"/>
                <w:highlight w:val="none"/>
              </w:rPr>
              <w:t>10°≥35dB</w:t>
            </w:r>
          </w:p>
          <w:p w14:paraId="3D3D35A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发射、接收均满足且偏离法向±</w:t>
            </w:r>
            <w:r>
              <w:rPr>
                <w:color w:val="auto"/>
                <w:kern w:val="0"/>
                <w:sz w:val="24"/>
                <w:szCs w:val="24"/>
                <w:highlight w:val="none"/>
              </w:rPr>
              <w:t>10°</w:t>
            </w:r>
            <w:r>
              <w:rPr>
                <w:rFonts w:hint="eastAsia"/>
                <w:color w:val="auto"/>
                <w:kern w:val="0"/>
                <w:sz w:val="24"/>
                <w:szCs w:val="24"/>
                <w:highlight w:val="none"/>
              </w:rPr>
              <w:t>～±</w:t>
            </w:r>
            <w:r>
              <w:rPr>
                <w:color w:val="auto"/>
                <w:kern w:val="0"/>
                <w:sz w:val="24"/>
                <w:szCs w:val="24"/>
                <w:highlight w:val="none"/>
              </w:rPr>
              <w:t>20°≥33dB</w:t>
            </w:r>
          </w:p>
        </w:tc>
      </w:tr>
      <w:tr w14:paraId="6D80B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792" w:type="pct"/>
            <w:vAlign w:val="center"/>
          </w:tcPr>
          <w:p w14:paraId="78D3A04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双极化波束宽度差异</w:t>
            </w:r>
          </w:p>
        </w:tc>
        <w:tc>
          <w:tcPr>
            <w:tcW w:w="3207" w:type="pct"/>
            <w:vAlign w:val="center"/>
          </w:tcPr>
          <w:p w14:paraId="69B8B19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H</w:t>
            </w:r>
            <w:r>
              <w:rPr>
                <w:rFonts w:hint="eastAsia"/>
                <w:color w:val="auto"/>
                <w:kern w:val="0"/>
                <w:sz w:val="24"/>
                <w:szCs w:val="24"/>
                <w:highlight w:val="none"/>
              </w:rPr>
              <w:t>面和</w:t>
            </w:r>
            <w:r>
              <w:rPr>
                <w:color w:val="auto"/>
                <w:kern w:val="0"/>
                <w:sz w:val="24"/>
                <w:szCs w:val="24"/>
                <w:highlight w:val="none"/>
              </w:rPr>
              <w:t>E</w:t>
            </w:r>
            <w:r>
              <w:rPr>
                <w:rFonts w:hint="eastAsia"/>
                <w:color w:val="auto"/>
                <w:kern w:val="0"/>
                <w:sz w:val="24"/>
                <w:szCs w:val="24"/>
                <w:highlight w:val="none"/>
              </w:rPr>
              <w:t>面发射、接收均≤波束宽度</w:t>
            </w:r>
            <w:r>
              <w:rPr>
                <w:color w:val="auto"/>
                <w:kern w:val="0"/>
                <w:sz w:val="24"/>
                <w:szCs w:val="24"/>
                <w:highlight w:val="none"/>
              </w:rPr>
              <w:t>*5%</w:t>
            </w:r>
          </w:p>
        </w:tc>
      </w:tr>
      <w:tr w14:paraId="53254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92" w:type="pct"/>
            <w:vAlign w:val="center"/>
          </w:tcPr>
          <w:p w14:paraId="7F33D1D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双极化波束指向一致性</w:t>
            </w:r>
          </w:p>
        </w:tc>
        <w:tc>
          <w:tcPr>
            <w:tcW w:w="3207" w:type="pct"/>
            <w:vAlign w:val="center"/>
          </w:tcPr>
          <w:p w14:paraId="02069F9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发射、接收均≤波束宽度</w:t>
            </w:r>
            <w:r>
              <w:rPr>
                <w:color w:val="auto"/>
                <w:kern w:val="0"/>
                <w:sz w:val="24"/>
                <w:szCs w:val="24"/>
                <w:highlight w:val="none"/>
              </w:rPr>
              <w:t>*5%</w:t>
            </w:r>
          </w:p>
        </w:tc>
      </w:tr>
      <w:tr w14:paraId="41D7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92" w:type="pct"/>
            <w:vAlign w:val="center"/>
          </w:tcPr>
          <w:p w14:paraId="580A185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ascii="宋体" w:hAnsi="宋体"/>
                <w:color w:val="auto"/>
                <w:kern w:val="0"/>
                <w:sz w:val="24"/>
                <w:szCs w:val="24"/>
                <w:highlight w:val="none"/>
              </w:rPr>
              <w:t>▲</w:t>
            </w:r>
            <w:r>
              <w:rPr>
                <w:rFonts w:hint="eastAsia"/>
                <w:color w:val="auto"/>
                <w:kern w:val="0"/>
                <w:sz w:val="24"/>
                <w:szCs w:val="24"/>
                <w:highlight w:val="none"/>
              </w:rPr>
              <w:t>驻波比</w:t>
            </w:r>
          </w:p>
        </w:tc>
        <w:tc>
          <w:tcPr>
            <w:tcW w:w="3207" w:type="pct"/>
            <w:vAlign w:val="center"/>
          </w:tcPr>
          <w:p w14:paraId="165479F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1.5</w:t>
            </w:r>
          </w:p>
        </w:tc>
      </w:tr>
    </w:tbl>
    <w:p w14:paraId="7C20DE40">
      <w:pPr>
        <w:tabs>
          <w:tab w:val="left" w:pos="2340"/>
        </w:tabs>
        <w:spacing w:line="360" w:lineRule="auto"/>
        <w:ind w:firstLine="482"/>
        <w:rPr>
          <w:b/>
          <w:color w:val="auto"/>
          <w:sz w:val="24"/>
          <w:szCs w:val="24"/>
          <w:highlight w:val="none"/>
        </w:rPr>
      </w:pPr>
      <w:bookmarkStart w:id="113" w:name="bookmark21"/>
      <w:bookmarkEnd w:id="113"/>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4天线阵面和伺服系统技术指标</w:t>
      </w:r>
    </w:p>
    <w:p w14:paraId="13FB4A31">
      <w:pPr>
        <w:tabs>
          <w:tab w:val="left" w:pos="2340"/>
        </w:tabs>
        <w:spacing w:line="360" w:lineRule="auto"/>
        <w:ind w:firstLine="480"/>
        <w:rPr>
          <w:bCs/>
          <w:color w:val="auto"/>
          <w:sz w:val="24"/>
          <w:szCs w:val="24"/>
          <w:highlight w:val="none"/>
        </w:rPr>
      </w:pPr>
      <w:r>
        <w:rPr>
          <w:rFonts w:hint="eastAsia"/>
          <w:bCs/>
          <w:color w:val="auto"/>
          <w:sz w:val="24"/>
          <w:szCs w:val="24"/>
          <w:highlight w:val="none"/>
        </w:rPr>
        <w:t>天线阵面和伺服系统的技术指标包括：扫描方式、天线扫描范围、扫描速度、波束指向误差、伺服控制误差等。具体指标见下表。具体指标见表4。</w:t>
      </w:r>
    </w:p>
    <w:p w14:paraId="2A5A06E7">
      <w:pPr>
        <w:widowControl/>
        <w:kinsoku w:val="0"/>
        <w:autoSpaceDE w:val="0"/>
        <w:autoSpaceDN w:val="0"/>
        <w:adjustRightInd w:val="0"/>
        <w:snapToGrid w:val="0"/>
        <w:spacing w:line="360" w:lineRule="auto"/>
        <w:ind w:firstLine="466"/>
        <w:jc w:val="center"/>
        <w:textAlignment w:val="baseline"/>
        <w:rPr>
          <w:b/>
          <w:bCs/>
          <w:color w:val="auto"/>
          <w:sz w:val="24"/>
          <w:szCs w:val="24"/>
          <w:highlight w:val="none"/>
        </w:rPr>
      </w:pPr>
      <w:r>
        <w:rPr>
          <w:rFonts w:hint="eastAsia"/>
          <w:b/>
          <w:bCs/>
          <w:color w:val="auto"/>
          <w:spacing w:val="-4"/>
          <w:sz w:val="24"/>
          <w:szCs w:val="24"/>
          <w:highlight w:val="none"/>
        </w:rPr>
        <w:t>表4</w:t>
      </w:r>
      <w:r>
        <w:rPr>
          <w:b/>
          <w:bCs/>
          <w:color w:val="auto"/>
          <w:spacing w:val="-4"/>
          <w:sz w:val="24"/>
          <w:szCs w:val="24"/>
          <w:highlight w:val="none"/>
        </w:rPr>
        <w:t xml:space="preserve"> </w:t>
      </w:r>
      <w:r>
        <w:rPr>
          <w:rFonts w:hint="eastAsia"/>
          <w:b/>
          <w:bCs/>
          <w:color w:val="auto"/>
          <w:spacing w:val="-4"/>
          <w:sz w:val="24"/>
          <w:szCs w:val="24"/>
          <w:highlight w:val="none"/>
        </w:rPr>
        <w:t>天线阵面和伺服系统技术性能指标表</w:t>
      </w:r>
    </w:p>
    <w:tbl>
      <w:tblPr>
        <w:tblStyle w:val="4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57"/>
        <w:gridCol w:w="1676"/>
        <w:gridCol w:w="4471"/>
      </w:tblGrid>
      <w:tr w14:paraId="38C6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08" w:type="pct"/>
            <w:gridSpan w:val="2"/>
            <w:vAlign w:val="center"/>
          </w:tcPr>
          <w:p w14:paraId="5AC7A23C">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项目</w:t>
            </w:r>
          </w:p>
        </w:tc>
        <w:tc>
          <w:tcPr>
            <w:tcW w:w="2692" w:type="pct"/>
            <w:vAlign w:val="center"/>
          </w:tcPr>
          <w:p w14:paraId="37A7BB3A">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性能指标</w:t>
            </w:r>
          </w:p>
        </w:tc>
      </w:tr>
      <w:tr w14:paraId="2700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08" w:type="pct"/>
            <w:gridSpan w:val="2"/>
            <w:vAlign w:val="center"/>
          </w:tcPr>
          <w:p w14:paraId="31764ED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波束扫描方式</w:t>
            </w:r>
          </w:p>
        </w:tc>
        <w:tc>
          <w:tcPr>
            <w:tcW w:w="2692" w:type="pct"/>
            <w:vAlign w:val="center"/>
          </w:tcPr>
          <w:p w14:paraId="22BC25B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平面位置扫描、体积扫描、扇形扫描、定点扫描、用户自定义</w:t>
            </w:r>
          </w:p>
        </w:tc>
      </w:tr>
      <w:tr w14:paraId="1980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99" w:type="pct"/>
            <w:vMerge w:val="restart"/>
            <w:vAlign w:val="center"/>
          </w:tcPr>
          <w:p w14:paraId="5CFA90E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波束扫描范围</w:t>
            </w:r>
          </w:p>
        </w:tc>
        <w:tc>
          <w:tcPr>
            <w:tcW w:w="1009" w:type="pct"/>
            <w:vAlign w:val="center"/>
          </w:tcPr>
          <w:p w14:paraId="1396E4F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方位机械扫描</w:t>
            </w:r>
          </w:p>
        </w:tc>
        <w:tc>
          <w:tcPr>
            <w:tcW w:w="2692" w:type="pct"/>
            <w:vAlign w:val="center"/>
          </w:tcPr>
          <w:p w14:paraId="1ED982F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0</w:t>
            </w:r>
            <w:r>
              <w:rPr>
                <w:rFonts w:hint="eastAsia"/>
                <w:color w:val="auto"/>
                <w:kern w:val="0"/>
                <w:sz w:val="24"/>
                <w:szCs w:val="24"/>
                <w:highlight w:val="none"/>
              </w:rPr>
              <w:t>～</w:t>
            </w:r>
            <w:r>
              <w:rPr>
                <w:color w:val="auto"/>
                <w:kern w:val="0"/>
                <w:sz w:val="24"/>
                <w:szCs w:val="24"/>
                <w:highlight w:val="none"/>
              </w:rPr>
              <w:t>360°</w:t>
            </w:r>
            <w:r>
              <w:rPr>
                <w:rFonts w:hint="eastAsia"/>
                <w:color w:val="auto"/>
                <w:kern w:val="0"/>
                <w:sz w:val="24"/>
                <w:szCs w:val="24"/>
                <w:highlight w:val="none"/>
              </w:rPr>
              <w:t>连续扫描</w:t>
            </w:r>
          </w:p>
        </w:tc>
      </w:tr>
      <w:tr w14:paraId="060C0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99" w:type="pct"/>
            <w:vMerge w:val="continue"/>
            <w:vAlign w:val="center"/>
          </w:tcPr>
          <w:p w14:paraId="01A0161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09" w:type="pct"/>
            <w:vAlign w:val="center"/>
          </w:tcPr>
          <w:p w14:paraId="757D607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俯仰电子扫描</w:t>
            </w:r>
          </w:p>
        </w:tc>
        <w:tc>
          <w:tcPr>
            <w:tcW w:w="2692" w:type="pct"/>
            <w:vAlign w:val="center"/>
          </w:tcPr>
          <w:p w14:paraId="65EB118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w:t>
            </w:r>
            <w:r>
              <w:rPr>
                <w:color w:val="auto"/>
                <w:kern w:val="0"/>
                <w:sz w:val="24"/>
                <w:szCs w:val="24"/>
                <w:highlight w:val="none"/>
              </w:rPr>
              <w:t>+60°</w:t>
            </w:r>
          </w:p>
        </w:tc>
      </w:tr>
      <w:tr w14:paraId="25063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99" w:type="pct"/>
            <w:vMerge w:val="continue"/>
            <w:vAlign w:val="center"/>
          </w:tcPr>
          <w:p w14:paraId="15A5FBB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09" w:type="pct"/>
            <w:vAlign w:val="center"/>
          </w:tcPr>
          <w:p w14:paraId="1BB73B2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俯仰机械调整</w:t>
            </w:r>
          </w:p>
        </w:tc>
        <w:tc>
          <w:tcPr>
            <w:tcW w:w="2692" w:type="pct"/>
            <w:vAlign w:val="center"/>
          </w:tcPr>
          <w:p w14:paraId="5F64470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天线阵面法向</w:t>
            </w:r>
            <w:r>
              <w:rPr>
                <w:color w:val="auto"/>
                <w:kern w:val="0"/>
                <w:sz w:val="24"/>
                <w:szCs w:val="24"/>
                <w:highlight w:val="none"/>
              </w:rPr>
              <w:t>0</w:t>
            </w:r>
            <w:r>
              <w:rPr>
                <w:rFonts w:hint="eastAsia"/>
                <w:color w:val="auto"/>
                <w:kern w:val="0"/>
                <w:sz w:val="24"/>
                <w:szCs w:val="24"/>
                <w:highlight w:val="none"/>
              </w:rPr>
              <w:t>～</w:t>
            </w:r>
            <w:r>
              <w:rPr>
                <w:color w:val="auto"/>
                <w:kern w:val="0"/>
                <w:sz w:val="24"/>
                <w:szCs w:val="24"/>
                <w:highlight w:val="none"/>
              </w:rPr>
              <w:t>+90°</w:t>
            </w:r>
          </w:p>
        </w:tc>
      </w:tr>
      <w:tr w14:paraId="3191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Align w:val="center"/>
          </w:tcPr>
          <w:p w14:paraId="79F6AD8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天线阵面扫描速度</w:t>
            </w:r>
          </w:p>
        </w:tc>
        <w:tc>
          <w:tcPr>
            <w:tcW w:w="1009" w:type="pct"/>
            <w:vAlign w:val="center"/>
          </w:tcPr>
          <w:p w14:paraId="076B12C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方位</w:t>
            </w:r>
          </w:p>
        </w:tc>
        <w:tc>
          <w:tcPr>
            <w:tcW w:w="2692" w:type="pct"/>
            <w:vAlign w:val="center"/>
          </w:tcPr>
          <w:p w14:paraId="31BCC30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0</w:t>
            </w:r>
            <w:r>
              <w:rPr>
                <w:rFonts w:hint="eastAsia"/>
                <w:color w:val="auto"/>
                <w:kern w:val="0"/>
                <w:sz w:val="24"/>
                <w:szCs w:val="24"/>
                <w:highlight w:val="none"/>
              </w:rPr>
              <w:t>～</w:t>
            </w:r>
            <w:r>
              <w:rPr>
                <w:color w:val="auto"/>
                <w:kern w:val="0"/>
                <w:sz w:val="24"/>
                <w:szCs w:val="24"/>
                <w:highlight w:val="none"/>
              </w:rPr>
              <w:t>36°/s</w:t>
            </w:r>
            <w:r>
              <w:rPr>
                <w:rFonts w:hint="eastAsia"/>
                <w:color w:val="auto"/>
                <w:kern w:val="0"/>
                <w:sz w:val="24"/>
                <w:szCs w:val="24"/>
                <w:highlight w:val="none"/>
              </w:rPr>
              <w:t>，≥</w:t>
            </w:r>
            <w:r>
              <w:rPr>
                <w:color w:val="auto"/>
                <w:kern w:val="0"/>
                <w:sz w:val="24"/>
                <w:szCs w:val="24"/>
                <w:highlight w:val="none"/>
              </w:rPr>
              <w:t>6°/s</w:t>
            </w:r>
            <w:r>
              <w:rPr>
                <w:rFonts w:hint="eastAsia"/>
                <w:color w:val="auto"/>
                <w:kern w:val="0"/>
                <w:sz w:val="24"/>
                <w:szCs w:val="24"/>
                <w:highlight w:val="none"/>
              </w:rPr>
              <w:t>时误差不大于</w:t>
            </w:r>
            <w:r>
              <w:rPr>
                <w:color w:val="auto"/>
                <w:kern w:val="0"/>
                <w:sz w:val="24"/>
                <w:szCs w:val="24"/>
                <w:highlight w:val="none"/>
              </w:rPr>
              <w:t>5%</w:t>
            </w:r>
          </w:p>
        </w:tc>
      </w:tr>
      <w:tr w14:paraId="3C726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Merge w:val="restart"/>
            <w:vAlign w:val="center"/>
          </w:tcPr>
          <w:p w14:paraId="3909CA0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波束指向误差</w:t>
            </w:r>
          </w:p>
        </w:tc>
        <w:tc>
          <w:tcPr>
            <w:tcW w:w="1009" w:type="pct"/>
            <w:vAlign w:val="center"/>
          </w:tcPr>
          <w:p w14:paraId="4797D77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方位</w:t>
            </w:r>
          </w:p>
        </w:tc>
        <w:tc>
          <w:tcPr>
            <w:tcW w:w="2692" w:type="pct"/>
            <w:vAlign w:val="center"/>
          </w:tcPr>
          <w:p w14:paraId="2731CC2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0.05°</w:t>
            </w:r>
          </w:p>
        </w:tc>
      </w:tr>
      <w:tr w14:paraId="0C44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Merge w:val="continue"/>
            <w:vAlign w:val="center"/>
          </w:tcPr>
          <w:p w14:paraId="0B3D13F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1009" w:type="pct"/>
            <w:vAlign w:val="center"/>
          </w:tcPr>
          <w:p w14:paraId="413303A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俯仰</w:t>
            </w:r>
          </w:p>
        </w:tc>
        <w:tc>
          <w:tcPr>
            <w:tcW w:w="2692" w:type="pct"/>
            <w:vAlign w:val="center"/>
          </w:tcPr>
          <w:p w14:paraId="5D1F13B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0.05°</w:t>
            </w:r>
          </w:p>
        </w:tc>
      </w:tr>
      <w:tr w14:paraId="0BB9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99" w:type="pct"/>
            <w:vAlign w:val="center"/>
          </w:tcPr>
          <w:p w14:paraId="3D7D685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伺服控制误差</w:t>
            </w:r>
          </w:p>
        </w:tc>
        <w:tc>
          <w:tcPr>
            <w:tcW w:w="1009" w:type="pct"/>
            <w:vAlign w:val="center"/>
          </w:tcPr>
          <w:p w14:paraId="0F1838B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方位</w:t>
            </w:r>
          </w:p>
        </w:tc>
        <w:tc>
          <w:tcPr>
            <w:tcW w:w="2692" w:type="pct"/>
            <w:vAlign w:val="center"/>
          </w:tcPr>
          <w:p w14:paraId="2F452C1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0.05°</w:t>
            </w:r>
          </w:p>
        </w:tc>
      </w:tr>
      <w:tr w14:paraId="7304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08" w:type="pct"/>
            <w:gridSpan w:val="2"/>
            <w:vAlign w:val="center"/>
          </w:tcPr>
          <w:p w14:paraId="552BFE6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天线座水平度</w:t>
            </w:r>
          </w:p>
        </w:tc>
        <w:tc>
          <w:tcPr>
            <w:tcW w:w="2692" w:type="pct"/>
            <w:vAlign w:val="center"/>
          </w:tcPr>
          <w:p w14:paraId="13CB22D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30″</w:t>
            </w:r>
          </w:p>
        </w:tc>
      </w:tr>
      <w:tr w14:paraId="724C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08" w:type="pct"/>
            <w:gridSpan w:val="2"/>
            <w:vAlign w:val="center"/>
          </w:tcPr>
          <w:p w14:paraId="05A939E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天线阵面控制字长</w:t>
            </w:r>
          </w:p>
        </w:tc>
        <w:tc>
          <w:tcPr>
            <w:tcW w:w="2692" w:type="pct"/>
            <w:vAlign w:val="center"/>
          </w:tcPr>
          <w:p w14:paraId="481F42A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16</w:t>
            </w:r>
            <w:r>
              <w:rPr>
                <w:rFonts w:hint="eastAsia"/>
                <w:color w:val="auto"/>
                <w:kern w:val="0"/>
                <w:sz w:val="24"/>
                <w:szCs w:val="24"/>
                <w:highlight w:val="none"/>
              </w:rPr>
              <w:t>位</w:t>
            </w:r>
          </w:p>
        </w:tc>
      </w:tr>
      <w:tr w14:paraId="45826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08" w:type="pct"/>
            <w:gridSpan w:val="2"/>
            <w:vAlign w:val="center"/>
          </w:tcPr>
          <w:p w14:paraId="7168B34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角度编码器字长</w:t>
            </w:r>
          </w:p>
        </w:tc>
        <w:tc>
          <w:tcPr>
            <w:tcW w:w="2692" w:type="pct"/>
            <w:vAlign w:val="center"/>
          </w:tcPr>
          <w:p w14:paraId="58B226A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16</w:t>
            </w:r>
            <w:r>
              <w:rPr>
                <w:rFonts w:hint="eastAsia"/>
                <w:color w:val="auto"/>
                <w:kern w:val="0"/>
                <w:sz w:val="24"/>
                <w:szCs w:val="24"/>
                <w:highlight w:val="none"/>
              </w:rPr>
              <w:t>位</w:t>
            </w:r>
          </w:p>
        </w:tc>
      </w:tr>
      <w:tr w14:paraId="7E1D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308" w:type="pct"/>
            <w:gridSpan w:val="2"/>
            <w:vAlign w:val="center"/>
          </w:tcPr>
          <w:p w14:paraId="37E0770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安全与保护</w:t>
            </w:r>
          </w:p>
        </w:tc>
        <w:tc>
          <w:tcPr>
            <w:tcW w:w="2692" w:type="pct"/>
            <w:vAlign w:val="center"/>
          </w:tcPr>
          <w:p w14:paraId="3943EE6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天线阵面应设有辅助支撑锁定机构，以保证其在运输架设时的安全性和稳定性。天线阵面的方位和俯仰运转系统中应具有安全保护措施并具备锁定功能。</w:t>
            </w:r>
          </w:p>
        </w:tc>
      </w:tr>
    </w:tbl>
    <w:p w14:paraId="3DD8D1AD">
      <w:pPr>
        <w:tabs>
          <w:tab w:val="left" w:pos="2340"/>
        </w:tabs>
        <w:spacing w:line="360" w:lineRule="auto"/>
        <w:ind w:firstLine="482"/>
        <w:rPr>
          <w:b/>
          <w:color w:val="auto"/>
          <w:sz w:val="24"/>
          <w:szCs w:val="24"/>
          <w:highlight w:val="none"/>
        </w:rPr>
      </w:pPr>
      <w:bookmarkStart w:id="114" w:name="bookmark22"/>
      <w:bookmarkEnd w:id="114"/>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5数字收发单元技术指标</w:t>
      </w:r>
    </w:p>
    <w:p w14:paraId="41F09D5C">
      <w:pPr>
        <w:tabs>
          <w:tab w:val="left" w:pos="2340"/>
        </w:tabs>
        <w:spacing w:line="360" w:lineRule="auto"/>
        <w:ind w:firstLine="480"/>
        <w:rPr>
          <w:bCs/>
          <w:color w:val="auto"/>
          <w:sz w:val="24"/>
          <w:szCs w:val="24"/>
          <w:highlight w:val="none"/>
        </w:rPr>
      </w:pPr>
      <w:r>
        <w:rPr>
          <w:rFonts w:hint="eastAsia"/>
          <w:bCs/>
          <w:color w:val="auto"/>
          <w:sz w:val="24"/>
          <w:szCs w:val="24"/>
          <w:highlight w:val="none"/>
        </w:rPr>
        <w:t>（</w:t>
      </w:r>
      <w:r>
        <w:rPr>
          <w:bCs/>
          <w:color w:val="auto"/>
          <w:sz w:val="24"/>
          <w:szCs w:val="24"/>
          <w:highlight w:val="none"/>
        </w:rPr>
        <w:t>1</w:t>
      </w:r>
      <w:r>
        <w:rPr>
          <w:rFonts w:hint="eastAsia"/>
          <w:bCs/>
          <w:color w:val="auto"/>
          <w:sz w:val="24"/>
          <w:szCs w:val="24"/>
          <w:highlight w:val="none"/>
        </w:rPr>
        <w:t>）发射单元技术指标</w:t>
      </w:r>
    </w:p>
    <w:p w14:paraId="46D19F26">
      <w:pPr>
        <w:tabs>
          <w:tab w:val="left" w:pos="2340"/>
        </w:tabs>
        <w:spacing w:line="360" w:lineRule="auto"/>
        <w:ind w:firstLine="480"/>
        <w:rPr>
          <w:bCs/>
          <w:color w:val="auto"/>
          <w:sz w:val="24"/>
          <w:szCs w:val="24"/>
          <w:highlight w:val="none"/>
        </w:rPr>
      </w:pPr>
      <w:r>
        <w:rPr>
          <w:rFonts w:hint="eastAsia"/>
          <w:bCs/>
          <w:color w:val="auto"/>
          <w:sz w:val="24"/>
          <w:szCs w:val="24"/>
          <w:highlight w:val="none"/>
        </w:rPr>
        <w:t>主要包括：</w:t>
      </w:r>
      <w:r>
        <w:rPr>
          <w:bCs/>
          <w:color w:val="auto"/>
          <w:sz w:val="24"/>
          <w:szCs w:val="24"/>
          <w:highlight w:val="none"/>
        </w:rPr>
        <w:t>EIRP</w:t>
      </w:r>
      <w:r>
        <w:rPr>
          <w:rFonts w:hint="eastAsia"/>
          <w:bCs/>
          <w:color w:val="auto"/>
          <w:sz w:val="24"/>
          <w:szCs w:val="24"/>
          <w:highlight w:val="none"/>
        </w:rPr>
        <w:t>、脉冲峰值总功率、脉冲宽度、重复频率、改善因子、频谱特性等，具体指标见表5。</w:t>
      </w:r>
    </w:p>
    <w:p w14:paraId="72D34EA4">
      <w:pPr>
        <w:widowControl/>
        <w:kinsoku w:val="0"/>
        <w:autoSpaceDE w:val="0"/>
        <w:autoSpaceDN w:val="0"/>
        <w:adjustRightInd w:val="0"/>
        <w:snapToGrid w:val="0"/>
        <w:spacing w:line="360" w:lineRule="auto"/>
        <w:jc w:val="center"/>
        <w:textAlignment w:val="baseline"/>
        <w:rPr>
          <w:b/>
          <w:bCs/>
          <w:color w:val="auto"/>
          <w:sz w:val="24"/>
          <w:szCs w:val="24"/>
          <w:highlight w:val="none"/>
        </w:rPr>
      </w:pPr>
      <w:r>
        <w:rPr>
          <w:rFonts w:hint="eastAsia"/>
          <w:b/>
          <w:bCs/>
          <w:color w:val="auto"/>
          <w:spacing w:val="-4"/>
          <w:sz w:val="24"/>
          <w:szCs w:val="24"/>
          <w:highlight w:val="none"/>
        </w:rPr>
        <w:t>表5</w:t>
      </w:r>
      <w:r>
        <w:rPr>
          <w:b/>
          <w:bCs/>
          <w:color w:val="auto"/>
          <w:spacing w:val="-4"/>
          <w:sz w:val="24"/>
          <w:szCs w:val="24"/>
          <w:highlight w:val="none"/>
        </w:rPr>
        <w:t xml:space="preserve"> </w:t>
      </w:r>
      <w:r>
        <w:rPr>
          <w:rFonts w:hint="eastAsia"/>
          <w:b/>
          <w:bCs/>
          <w:color w:val="auto"/>
          <w:spacing w:val="-4"/>
          <w:sz w:val="24"/>
          <w:szCs w:val="24"/>
          <w:highlight w:val="none"/>
        </w:rPr>
        <w:t>发射单元技术性能指标表</w:t>
      </w:r>
    </w:p>
    <w:tbl>
      <w:tblPr>
        <w:tblStyle w:val="48"/>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00"/>
        <w:gridCol w:w="1382"/>
        <w:gridCol w:w="4942"/>
      </w:tblGrid>
      <w:tr w14:paraId="37C3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31" w:type="pct"/>
            <w:gridSpan w:val="2"/>
            <w:tcBorders>
              <w:bottom w:val="nil"/>
            </w:tcBorders>
            <w:vAlign w:val="center"/>
          </w:tcPr>
          <w:p w14:paraId="2F7CE19D">
            <w:pPr>
              <w:pStyle w:val="50"/>
              <w:widowControl/>
              <w:kinsoku w:val="0"/>
              <w:autoSpaceDE w:val="0"/>
              <w:autoSpaceDN w:val="0"/>
              <w:adjustRightInd w:val="0"/>
              <w:snapToGrid w:val="0"/>
              <w:spacing w:line="360" w:lineRule="auto"/>
              <w:ind w:left="105" w:leftChars="50"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项目</w:t>
            </w:r>
          </w:p>
        </w:tc>
        <w:tc>
          <w:tcPr>
            <w:tcW w:w="2966" w:type="pct"/>
            <w:vAlign w:val="center"/>
          </w:tcPr>
          <w:p w14:paraId="64E81D93">
            <w:pPr>
              <w:pStyle w:val="50"/>
              <w:widowControl/>
              <w:kinsoku w:val="0"/>
              <w:autoSpaceDE w:val="0"/>
              <w:autoSpaceDN w:val="0"/>
              <w:adjustRightInd w:val="0"/>
              <w:snapToGrid w:val="0"/>
              <w:spacing w:line="360" w:lineRule="auto"/>
              <w:ind w:left="105" w:leftChars="50"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性能指标</w:t>
            </w:r>
          </w:p>
        </w:tc>
      </w:tr>
      <w:tr w14:paraId="77567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031" w:type="pct"/>
            <w:gridSpan w:val="2"/>
            <w:vAlign w:val="center"/>
          </w:tcPr>
          <w:p w14:paraId="5F28BA2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发射通道形式</w:t>
            </w:r>
          </w:p>
        </w:tc>
        <w:tc>
          <w:tcPr>
            <w:tcW w:w="2966" w:type="pct"/>
            <w:vAlign w:val="center"/>
          </w:tcPr>
          <w:p w14:paraId="387B902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全固态分布式</w:t>
            </w:r>
          </w:p>
        </w:tc>
      </w:tr>
      <w:tr w14:paraId="65F9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031" w:type="pct"/>
            <w:gridSpan w:val="2"/>
            <w:vAlign w:val="center"/>
          </w:tcPr>
          <w:p w14:paraId="4AD711C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脉冲峰值功率（单极化）</w:t>
            </w:r>
          </w:p>
        </w:tc>
        <w:tc>
          <w:tcPr>
            <w:tcW w:w="2966" w:type="pct"/>
            <w:vAlign w:val="center"/>
          </w:tcPr>
          <w:p w14:paraId="37D0F2A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1000W</w:t>
            </w:r>
          </w:p>
        </w:tc>
      </w:tr>
      <w:tr w14:paraId="61A7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3B33CAE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EIRP</w:t>
            </w:r>
            <w:r>
              <w:rPr>
                <w:rFonts w:hint="eastAsia"/>
                <w:color w:val="auto"/>
                <w:kern w:val="0"/>
                <w:sz w:val="24"/>
                <w:szCs w:val="24"/>
                <w:highlight w:val="none"/>
              </w:rPr>
              <w:t>（法向、单极化）</w:t>
            </w:r>
          </w:p>
        </w:tc>
        <w:tc>
          <w:tcPr>
            <w:tcW w:w="2966" w:type="pct"/>
            <w:vAlign w:val="center"/>
          </w:tcPr>
          <w:p w14:paraId="4CFB598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96.5dBm</w:t>
            </w:r>
          </w:p>
        </w:tc>
      </w:tr>
      <w:tr w14:paraId="4ACEB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7077054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EIRP(±20°</w:t>
            </w:r>
            <w:r>
              <w:rPr>
                <w:rFonts w:hint="eastAsia"/>
                <w:color w:val="auto"/>
                <w:kern w:val="0"/>
                <w:sz w:val="24"/>
                <w:szCs w:val="24"/>
                <w:highlight w:val="none"/>
              </w:rPr>
              <w:t>、单极化</w:t>
            </w:r>
            <w:r>
              <w:rPr>
                <w:color w:val="auto"/>
                <w:kern w:val="0"/>
                <w:sz w:val="24"/>
                <w:szCs w:val="24"/>
                <w:highlight w:val="none"/>
              </w:rPr>
              <w:t>)</w:t>
            </w:r>
          </w:p>
        </w:tc>
        <w:tc>
          <w:tcPr>
            <w:tcW w:w="2966" w:type="pct"/>
            <w:vAlign w:val="center"/>
          </w:tcPr>
          <w:p w14:paraId="2112017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95.5dBm</w:t>
            </w:r>
          </w:p>
        </w:tc>
      </w:tr>
      <w:tr w14:paraId="2B53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76D4B88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EIRP</w:t>
            </w:r>
            <w:r>
              <w:rPr>
                <w:rFonts w:hint="eastAsia"/>
                <w:color w:val="auto"/>
                <w:kern w:val="0"/>
                <w:sz w:val="24"/>
                <w:szCs w:val="24"/>
                <w:highlight w:val="none"/>
              </w:rPr>
              <w:t>（</w:t>
            </w:r>
            <w:r>
              <w:rPr>
                <w:color w:val="auto"/>
                <w:kern w:val="0"/>
                <w:sz w:val="24"/>
                <w:szCs w:val="24"/>
                <w:highlight w:val="none"/>
              </w:rPr>
              <w:t>4</w:t>
            </w:r>
            <w:r>
              <w:rPr>
                <w:rFonts w:hint="eastAsia"/>
                <w:color w:val="auto"/>
                <w:kern w:val="0"/>
                <w:sz w:val="24"/>
                <w:szCs w:val="24"/>
                <w:highlight w:val="none"/>
              </w:rPr>
              <w:t>倍波束展宽、单极化）</w:t>
            </w:r>
          </w:p>
        </w:tc>
        <w:tc>
          <w:tcPr>
            <w:tcW w:w="2966" w:type="pct"/>
            <w:vAlign w:val="center"/>
          </w:tcPr>
          <w:p w14:paraId="59B90DC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88.5dBm</w:t>
            </w:r>
          </w:p>
        </w:tc>
      </w:tr>
      <w:tr w14:paraId="7703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3C5C3E9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EIRP</w:t>
            </w:r>
            <w:r>
              <w:rPr>
                <w:rFonts w:hint="eastAsia"/>
                <w:color w:val="auto"/>
                <w:kern w:val="0"/>
                <w:sz w:val="24"/>
                <w:szCs w:val="24"/>
                <w:highlight w:val="none"/>
              </w:rPr>
              <w:t>（</w:t>
            </w:r>
            <w:r>
              <w:rPr>
                <w:color w:val="auto"/>
                <w:kern w:val="0"/>
                <w:sz w:val="24"/>
                <w:szCs w:val="24"/>
                <w:highlight w:val="none"/>
              </w:rPr>
              <w:t>8</w:t>
            </w:r>
            <w:r>
              <w:rPr>
                <w:rFonts w:hint="eastAsia"/>
                <w:color w:val="auto"/>
                <w:kern w:val="0"/>
                <w:sz w:val="24"/>
                <w:szCs w:val="24"/>
                <w:highlight w:val="none"/>
              </w:rPr>
              <w:t>倍波束展宽、单极化）</w:t>
            </w:r>
          </w:p>
        </w:tc>
        <w:tc>
          <w:tcPr>
            <w:tcW w:w="2966" w:type="pct"/>
            <w:vAlign w:val="center"/>
          </w:tcPr>
          <w:p w14:paraId="39D9E3C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85.5dBm</w:t>
            </w:r>
          </w:p>
        </w:tc>
      </w:tr>
      <w:tr w14:paraId="3254A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6D24D8D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校准后</w:t>
            </w:r>
            <w:r>
              <w:rPr>
                <w:color w:val="auto"/>
                <w:kern w:val="0"/>
                <w:sz w:val="24"/>
                <w:szCs w:val="24"/>
                <w:highlight w:val="none"/>
              </w:rPr>
              <w:t>EIRP</w:t>
            </w:r>
            <w:r>
              <w:rPr>
                <w:rFonts w:hint="eastAsia"/>
                <w:color w:val="auto"/>
                <w:kern w:val="0"/>
                <w:sz w:val="24"/>
                <w:szCs w:val="24"/>
                <w:highlight w:val="none"/>
              </w:rPr>
              <w:t>偏差</w:t>
            </w:r>
          </w:p>
        </w:tc>
        <w:tc>
          <w:tcPr>
            <w:tcW w:w="2966" w:type="pct"/>
            <w:vAlign w:val="center"/>
          </w:tcPr>
          <w:p w14:paraId="399F60E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0.8dB</w:t>
            </w:r>
          </w:p>
        </w:tc>
      </w:tr>
      <w:tr w14:paraId="16539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73C5B9A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最大发射占空比</w:t>
            </w:r>
          </w:p>
        </w:tc>
        <w:tc>
          <w:tcPr>
            <w:tcW w:w="2966" w:type="pct"/>
            <w:vAlign w:val="center"/>
          </w:tcPr>
          <w:p w14:paraId="0370B81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20%</w:t>
            </w:r>
          </w:p>
        </w:tc>
      </w:tr>
      <w:tr w14:paraId="09B9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2031" w:type="pct"/>
            <w:gridSpan w:val="2"/>
            <w:vAlign w:val="center"/>
          </w:tcPr>
          <w:p w14:paraId="1F94E08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发射脉冲宽度</w:t>
            </w:r>
          </w:p>
        </w:tc>
        <w:tc>
          <w:tcPr>
            <w:tcW w:w="2966" w:type="pct"/>
            <w:vAlign w:val="center"/>
          </w:tcPr>
          <w:p w14:paraId="2D77790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0.2</w:t>
            </w:r>
            <w:r>
              <w:rPr>
                <w:rFonts w:hint="eastAsia"/>
                <w:color w:val="auto"/>
                <w:kern w:val="0"/>
                <w:sz w:val="24"/>
                <w:szCs w:val="24"/>
                <w:highlight w:val="none"/>
              </w:rPr>
              <w:t>～</w:t>
            </w:r>
            <w:r>
              <w:rPr>
                <w:color w:val="auto"/>
                <w:kern w:val="0"/>
                <w:sz w:val="24"/>
                <w:szCs w:val="24"/>
                <w:highlight w:val="none"/>
              </w:rPr>
              <w:t>200μs</w:t>
            </w:r>
            <w:r>
              <w:rPr>
                <w:rFonts w:hint="eastAsia"/>
                <w:color w:val="auto"/>
                <w:kern w:val="0"/>
                <w:sz w:val="24"/>
                <w:szCs w:val="24"/>
                <w:highlight w:val="none"/>
              </w:rPr>
              <w:t>可选，典型脉冲宽度包括</w:t>
            </w:r>
            <w:r>
              <w:rPr>
                <w:color w:val="auto"/>
                <w:kern w:val="0"/>
                <w:sz w:val="24"/>
                <w:szCs w:val="24"/>
                <w:highlight w:val="none"/>
              </w:rPr>
              <w:t>0.5μs</w:t>
            </w:r>
            <w:r>
              <w:rPr>
                <w:rFonts w:hint="eastAsia"/>
                <w:color w:val="auto"/>
                <w:kern w:val="0"/>
                <w:sz w:val="24"/>
                <w:szCs w:val="24"/>
                <w:highlight w:val="none"/>
              </w:rPr>
              <w:t>、</w:t>
            </w:r>
          </w:p>
          <w:p w14:paraId="5B6B12C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1.0μs</w:t>
            </w:r>
            <w:r>
              <w:rPr>
                <w:rFonts w:hint="eastAsia"/>
                <w:color w:val="auto"/>
                <w:kern w:val="0"/>
                <w:sz w:val="24"/>
                <w:szCs w:val="24"/>
                <w:highlight w:val="none"/>
              </w:rPr>
              <w:t>、</w:t>
            </w:r>
            <w:r>
              <w:rPr>
                <w:color w:val="auto"/>
                <w:kern w:val="0"/>
                <w:sz w:val="24"/>
                <w:szCs w:val="24"/>
                <w:highlight w:val="none"/>
              </w:rPr>
              <w:t>2.0μs</w:t>
            </w:r>
            <w:r>
              <w:rPr>
                <w:rFonts w:hint="eastAsia"/>
                <w:color w:val="auto"/>
                <w:kern w:val="0"/>
                <w:sz w:val="24"/>
                <w:szCs w:val="24"/>
                <w:highlight w:val="none"/>
              </w:rPr>
              <w:t>、</w:t>
            </w:r>
            <w:r>
              <w:rPr>
                <w:color w:val="auto"/>
                <w:kern w:val="0"/>
                <w:sz w:val="24"/>
                <w:szCs w:val="24"/>
                <w:highlight w:val="none"/>
              </w:rPr>
              <w:t>10μs</w:t>
            </w:r>
            <w:r>
              <w:rPr>
                <w:rFonts w:hint="eastAsia"/>
                <w:color w:val="auto"/>
                <w:kern w:val="0"/>
                <w:sz w:val="24"/>
                <w:szCs w:val="24"/>
                <w:highlight w:val="none"/>
              </w:rPr>
              <w:t>、</w:t>
            </w:r>
            <w:r>
              <w:rPr>
                <w:color w:val="auto"/>
                <w:kern w:val="0"/>
                <w:sz w:val="24"/>
                <w:szCs w:val="24"/>
                <w:highlight w:val="none"/>
              </w:rPr>
              <w:t>20μs</w:t>
            </w:r>
            <w:r>
              <w:rPr>
                <w:rFonts w:hint="eastAsia"/>
                <w:color w:val="auto"/>
                <w:kern w:val="0"/>
                <w:sz w:val="24"/>
                <w:szCs w:val="24"/>
                <w:highlight w:val="none"/>
              </w:rPr>
              <w:t>、</w:t>
            </w:r>
            <w:r>
              <w:rPr>
                <w:color w:val="auto"/>
                <w:kern w:val="0"/>
                <w:sz w:val="24"/>
                <w:szCs w:val="24"/>
                <w:highlight w:val="none"/>
              </w:rPr>
              <w:t>40μs</w:t>
            </w:r>
            <w:r>
              <w:rPr>
                <w:rFonts w:hint="eastAsia"/>
                <w:color w:val="auto"/>
                <w:kern w:val="0"/>
                <w:sz w:val="24"/>
                <w:szCs w:val="24"/>
                <w:highlight w:val="none"/>
              </w:rPr>
              <w:t>、</w:t>
            </w:r>
            <w:r>
              <w:rPr>
                <w:color w:val="auto"/>
                <w:kern w:val="0"/>
                <w:sz w:val="24"/>
                <w:szCs w:val="24"/>
                <w:highlight w:val="none"/>
              </w:rPr>
              <w:t>80μs</w:t>
            </w:r>
            <w:r>
              <w:rPr>
                <w:rFonts w:hint="eastAsia"/>
                <w:color w:val="auto"/>
                <w:kern w:val="0"/>
                <w:sz w:val="24"/>
                <w:szCs w:val="24"/>
                <w:highlight w:val="none"/>
              </w:rPr>
              <w:t>等。</w:t>
            </w:r>
          </w:p>
          <w:p w14:paraId="35BB50B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脉冲宽度≥</w:t>
            </w:r>
            <w:r>
              <w:rPr>
                <w:color w:val="auto"/>
                <w:kern w:val="0"/>
                <w:sz w:val="24"/>
                <w:szCs w:val="24"/>
                <w:highlight w:val="none"/>
              </w:rPr>
              <w:t>0.5μs</w:t>
            </w:r>
            <w:r>
              <w:rPr>
                <w:rFonts w:hint="eastAsia"/>
                <w:color w:val="auto"/>
                <w:kern w:val="0"/>
                <w:sz w:val="24"/>
                <w:szCs w:val="24"/>
                <w:highlight w:val="none"/>
              </w:rPr>
              <w:t>时，上升沿：≤</w:t>
            </w:r>
            <w:r>
              <w:rPr>
                <w:color w:val="auto"/>
                <w:kern w:val="0"/>
                <w:sz w:val="24"/>
                <w:szCs w:val="24"/>
                <w:highlight w:val="none"/>
              </w:rPr>
              <w:t>200ns</w:t>
            </w:r>
            <w:r>
              <w:rPr>
                <w:rFonts w:hint="eastAsia"/>
                <w:color w:val="auto"/>
                <w:kern w:val="0"/>
                <w:sz w:val="24"/>
                <w:szCs w:val="24"/>
                <w:highlight w:val="none"/>
              </w:rPr>
              <w:t>，下降沿：≤</w:t>
            </w:r>
            <w:r>
              <w:rPr>
                <w:color w:val="auto"/>
                <w:kern w:val="0"/>
                <w:sz w:val="24"/>
                <w:szCs w:val="24"/>
                <w:highlight w:val="none"/>
              </w:rPr>
              <w:t>200ns</w:t>
            </w:r>
            <w:r>
              <w:rPr>
                <w:rFonts w:hint="eastAsia"/>
                <w:color w:val="auto"/>
                <w:kern w:val="0"/>
                <w:sz w:val="24"/>
                <w:szCs w:val="24"/>
                <w:highlight w:val="none"/>
              </w:rPr>
              <w:t>。</w:t>
            </w:r>
          </w:p>
          <w:p w14:paraId="6E13D40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脉冲宽度≥</w:t>
            </w:r>
            <w:r>
              <w:rPr>
                <w:color w:val="auto"/>
                <w:kern w:val="0"/>
                <w:sz w:val="24"/>
                <w:szCs w:val="24"/>
                <w:highlight w:val="none"/>
              </w:rPr>
              <w:t>1.0μs</w:t>
            </w:r>
            <w:r>
              <w:rPr>
                <w:rFonts w:hint="eastAsia"/>
                <w:color w:val="auto"/>
                <w:kern w:val="0"/>
                <w:sz w:val="24"/>
                <w:szCs w:val="24"/>
                <w:highlight w:val="none"/>
              </w:rPr>
              <w:t>时，顶降：≤</w:t>
            </w:r>
            <w:r>
              <w:rPr>
                <w:color w:val="auto"/>
                <w:kern w:val="0"/>
                <w:sz w:val="24"/>
                <w:szCs w:val="24"/>
                <w:highlight w:val="none"/>
              </w:rPr>
              <w:t>5%</w:t>
            </w:r>
            <w:r>
              <w:rPr>
                <w:rFonts w:hint="eastAsia"/>
                <w:color w:val="auto"/>
                <w:kern w:val="0"/>
                <w:sz w:val="24"/>
                <w:szCs w:val="24"/>
                <w:highlight w:val="none"/>
              </w:rPr>
              <w:t>。</w:t>
            </w:r>
          </w:p>
        </w:tc>
      </w:tr>
      <w:tr w14:paraId="3899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31" w:type="pct"/>
            <w:gridSpan w:val="2"/>
            <w:vAlign w:val="center"/>
          </w:tcPr>
          <w:p w14:paraId="30638D7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脉冲重复频率</w:t>
            </w:r>
          </w:p>
        </w:tc>
        <w:tc>
          <w:tcPr>
            <w:tcW w:w="2966" w:type="pct"/>
            <w:vAlign w:val="center"/>
          </w:tcPr>
          <w:p w14:paraId="76370A7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300</w:t>
            </w:r>
            <w:r>
              <w:rPr>
                <w:rFonts w:hint="eastAsia"/>
                <w:color w:val="auto"/>
                <w:kern w:val="0"/>
                <w:sz w:val="24"/>
                <w:szCs w:val="24"/>
                <w:highlight w:val="none"/>
              </w:rPr>
              <w:t>～</w:t>
            </w:r>
            <w:r>
              <w:rPr>
                <w:color w:val="auto"/>
                <w:kern w:val="0"/>
                <w:sz w:val="24"/>
                <w:szCs w:val="24"/>
                <w:highlight w:val="none"/>
              </w:rPr>
              <w:t>5000Hz</w:t>
            </w:r>
          </w:p>
        </w:tc>
      </w:tr>
      <w:tr w14:paraId="466F9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031" w:type="pct"/>
            <w:gridSpan w:val="2"/>
            <w:vAlign w:val="center"/>
          </w:tcPr>
          <w:p w14:paraId="67F3E8E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输出端极限改善因子</w:t>
            </w:r>
          </w:p>
        </w:tc>
        <w:tc>
          <w:tcPr>
            <w:tcW w:w="2966" w:type="pct"/>
            <w:vAlign w:val="center"/>
          </w:tcPr>
          <w:p w14:paraId="133A80E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52dB</w:t>
            </w:r>
            <w:r>
              <w:rPr>
                <w:rFonts w:hint="eastAsia"/>
                <w:color w:val="auto"/>
                <w:kern w:val="0"/>
                <w:sz w:val="24"/>
                <w:szCs w:val="24"/>
                <w:highlight w:val="none"/>
              </w:rPr>
              <w:t>（重复频率</w:t>
            </w:r>
            <w:r>
              <w:rPr>
                <w:color w:val="auto"/>
                <w:kern w:val="0"/>
                <w:sz w:val="24"/>
                <w:szCs w:val="24"/>
                <w:highlight w:val="none"/>
              </w:rPr>
              <w:t>1000Hz</w:t>
            </w:r>
            <w:r>
              <w:rPr>
                <w:rFonts w:hint="eastAsia"/>
                <w:color w:val="auto"/>
                <w:kern w:val="0"/>
                <w:sz w:val="24"/>
                <w:szCs w:val="24"/>
                <w:highlight w:val="none"/>
              </w:rPr>
              <w:t>、脉冲宽度</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2048A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01" w:type="pct"/>
            <w:vMerge w:val="restart"/>
            <w:tcBorders>
              <w:bottom w:val="nil"/>
            </w:tcBorders>
            <w:vAlign w:val="center"/>
          </w:tcPr>
          <w:p w14:paraId="41804BE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频谱特性（距中心频率频谱线衰减量</w:t>
            </w:r>
            <w:r>
              <w:rPr>
                <w:color w:val="auto"/>
                <w:kern w:val="0"/>
                <w:sz w:val="24"/>
                <w:szCs w:val="24"/>
                <w:highlight w:val="none"/>
              </w:rPr>
              <w:t>-40dB</w:t>
            </w:r>
            <w:r>
              <w:rPr>
                <w:rFonts w:hint="eastAsia"/>
                <w:color w:val="auto"/>
                <w:kern w:val="0"/>
                <w:sz w:val="24"/>
                <w:szCs w:val="24"/>
                <w:highlight w:val="none"/>
              </w:rPr>
              <w:t>处）</w:t>
            </w:r>
          </w:p>
        </w:tc>
        <w:tc>
          <w:tcPr>
            <w:tcW w:w="829" w:type="pct"/>
            <w:vAlign w:val="center"/>
          </w:tcPr>
          <w:p w14:paraId="71EDB04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左频偏</w:t>
            </w:r>
          </w:p>
        </w:tc>
        <w:tc>
          <w:tcPr>
            <w:tcW w:w="2966" w:type="pct"/>
            <w:vAlign w:val="center"/>
          </w:tcPr>
          <w:p w14:paraId="4690137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-15MHz</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2F240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1" w:type="pct"/>
            <w:vMerge w:val="continue"/>
            <w:tcBorders>
              <w:top w:val="nil"/>
            </w:tcBorders>
            <w:vAlign w:val="center"/>
          </w:tcPr>
          <w:p w14:paraId="1F25A09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c>
          <w:tcPr>
            <w:tcW w:w="829" w:type="pct"/>
            <w:vAlign w:val="center"/>
          </w:tcPr>
          <w:p w14:paraId="018F0BD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右频偏</w:t>
            </w:r>
          </w:p>
        </w:tc>
        <w:tc>
          <w:tcPr>
            <w:tcW w:w="2966" w:type="pct"/>
            <w:vAlign w:val="center"/>
          </w:tcPr>
          <w:p w14:paraId="67C5ED0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15MHz</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523BD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031" w:type="pct"/>
            <w:gridSpan w:val="2"/>
            <w:vAlign w:val="center"/>
          </w:tcPr>
          <w:p w14:paraId="13A86EB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谐波和杂散抑制</w:t>
            </w:r>
          </w:p>
        </w:tc>
        <w:tc>
          <w:tcPr>
            <w:tcW w:w="2968" w:type="pct"/>
            <w:vAlign w:val="center"/>
          </w:tcPr>
          <w:p w14:paraId="3FAC5B6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40dB</w:t>
            </w:r>
          </w:p>
        </w:tc>
      </w:tr>
      <w:tr w14:paraId="0A33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031" w:type="pct"/>
            <w:gridSpan w:val="2"/>
            <w:vAlign w:val="center"/>
          </w:tcPr>
          <w:p w14:paraId="5BEC1BE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故障检测和保护</w:t>
            </w:r>
          </w:p>
        </w:tc>
        <w:tc>
          <w:tcPr>
            <w:tcW w:w="2968" w:type="pct"/>
            <w:vAlign w:val="center"/>
          </w:tcPr>
          <w:p w14:paraId="0BF67D5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发生过温，过压，过流等情况时可报警并实现自保，输出功率低时输出报警信号</w:t>
            </w:r>
          </w:p>
        </w:tc>
      </w:tr>
    </w:tbl>
    <w:p w14:paraId="7B9E7B17">
      <w:pPr>
        <w:tabs>
          <w:tab w:val="left" w:pos="2340"/>
        </w:tabs>
        <w:spacing w:line="360" w:lineRule="auto"/>
        <w:ind w:firstLine="480"/>
        <w:rPr>
          <w:bCs/>
          <w:color w:val="auto"/>
          <w:sz w:val="24"/>
          <w:szCs w:val="24"/>
          <w:highlight w:val="none"/>
        </w:rPr>
      </w:pPr>
      <w:r>
        <w:rPr>
          <w:rFonts w:hint="eastAsia"/>
          <w:bCs/>
          <w:color w:val="auto"/>
          <w:sz w:val="24"/>
          <w:szCs w:val="24"/>
          <w:highlight w:val="none"/>
        </w:rPr>
        <w:t>（</w:t>
      </w:r>
      <w:r>
        <w:rPr>
          <w:bCs/>
          <w:color w:val="auto"/>
          <w:sz w:val="24"/>
          <w:szCs w:val="24"/>
          <w:highlight w:val="none"/>
        </w:rPr>
        <w:t>2</w:t>
      </w:r>
      <w:r>
        <w:rPr>
          <w:rFonts w:hint="eastAsia"/>
          <w:bCs/>
          <w:color w:val="auto"/>
          <w:sz w:val="24"/>
          <w:szCs w:val="24"/>
          <w:highlight w:val="none"/>
        </w:rPr>
        <w:t>）接收单元技术指标</w:t>
      </w:r>
    </w:p>
    <w:p w14:paraId="09E50C5B">
      <w:pPr>
        <w:tabs>
          <w:tab w:val="left" w:pos="2340"/>
        </w:tabs>
        <w:spacing w:line="360" w:lineRule="auto"/>
        <w:ind w:firstLine="480"/>
        <w:rPr>
          <w:bCs/>
          <w:color w:val="auto"/>
          <w:sz w:val="24"/>
          <w:szCs w:val="24"/>
          <w:highlight w:val="none"/>
        </w:rPr>
      </w:pPr>
      <w:r>
        <w:rPr>
          <w:rFonts w:hint="eastAsia"/>
          <w:bCs/>
          <w:color w:val="auto"/>
          <w:sz w:val="24"/>
          <w:szCs w:val="24"/>
          <w:highlight w:val="none"/>
        </w:rPr>
        <w:t>主要包括：</w:t>
      </w:r>
      <w:r>
        <w:rPr>
          <w:bCs/>
          <w:color w:val="auto"/>
          <w:sz w:val="24"/>
          <w:szCs w:val="24"/>
          <w:highlight w:val="none"/>
        </w:rPr>
        <w:t>G/T</w:t>
      </w:r>
      <w:r>
        <w:rPr>
          <w:rFonts w:hint="eastAsia"/>
          <w:bCs/>
          <w:color w:val="auto"/>
          <w:sz w:val="24"/>
          <w:szCs w:val="24"/>
          <w:highlight w:val="none"/>
        </w:rPr>
        <w:t>、动态范围、最小可测功率等，具体指标见表6。</w:t>
      </w:r>
    </w:p>
    <w:p w14:paraId="3317C139">
      <w:pPr>
        <w:widowControl/>
        <w:kinsoku w:val="0"/>
        <w:autoSpaceDE w:val="0"/>
        <w:autoSpaceDN w:val="0"/>
        <w:adjustRightInd w:val="0"/>
        <w:snapToGrid w:val="0"/>
        <w:spacing w:line="360" w:lineRule="auto"/>
        <w:jc w:val="center"/>
        <w:textAlignment w:val="baseline"/>
        <w:rPr>
          <w:b/>
          <w:bCs/>
          <w:color w:val="auto"/>
          <w:sz w:val="24"/>
          <w:szCs w:val="24"/>
          <w:highlight w:val="none"/>
        </w:rPr>
      </w:pPr>
      <w:r>
        <w:rPr>
          <w:rFonts w:hint="eastAsia"/>
          <w:b/>
          <w:bCs/>
          <w:color w:val="auto"/>
          <w:spacing w:val="-4"/>
          <w:sz w:val="24"/>
          <w:szCs w:val="24"/>
          <w:highlight w:val="none"/>
        </w:rPr>
        <w:t>表6</w:t>
      </w:r>
      <w:r>
        <w:rPr>
          <w:b/>
          <w:bCs/>
          <w:color w:val="auto"/>
          <w:spacing w:val="-4"/>
          <w:sz w:val="24"/>
          <w:szCs w:val="24"/>
          <w:highlight w:val="none"/>
        </w:rPr>
        <w:t xml:space="preserve"> </w:t>
      </w:r>
      <w:r>
        <w:rPr>
          <w:rFonts w:hint="eastAsia"/>
          <w:b/>
          <w:bCs/>
          <w:color w:val="auto"/>
          <w:spacing w:val="-4"/>
          <w:sz w:val="24"/>
          <w:szCs w:val="24"/>
          <w:highlight w:val="none"/>
        </w:rPr>
        <w:t>接收单元技术性能指标表</w:t>
      </w:r>
    </w:p>
    <w:tbl>
      <w:tblPr>
        <w:tblStyle w:val="4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63"/>
        <w:gridCol w:w="4841"/>
      </w:tblGrid>
      <w:tr w14:paraId="7277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85" w:type="pct"/>
            <w:tcBorders>
              <w:bottom w:val="nil"/>
            </w:tcBorders>
          </w:tcPr>
          <w:p w14:paraId="315C6A18">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项目</w:t>
            </w:r>
          </w:p>
        </w:tc>
        <w:tc>
          <w:tcPr>
            <w:tcW w:w="2915" w:type="pct"/>
          </w:tcPr>
          <w:p w14:paraId="415EF203">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性能指标</w:t>
            </w:r>
          </w:p>
        </w:tc>
      </w:tr>
      <w:tr w14:paraId="1345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85" w:type="pct"/>
          </w:tcPr>
          <w:p w14:paraId="604713D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G/T</w:t>
            </w:r>
            <w:r>
              <w:rPr>
                <w:rFonts w:hint="eastAsia"/>
                <w:color w:val="auto"/>
                <w:kern w:val="0"/>
                <w:sz w:val="24"/>
                <w:szCs w:val="24"/>
                <w:highlight w:val="none"/>
              </w:rPr>
              <w:t>（法向、带宽</w:t>
            </w:r>
            <w:r>
              <w:rPr>
                <w:color w:val="auto"/>
                <w:kern w:val="0"/>
                <w:sz w:val="24"/>
                <w:szCs w:val="24"/>
                <w:highlight w:val="none"/>
              </w:rPr>
              <w:t>1MHz</w:t>
            </w:r>
            <w:r>
              <w:rPr>
                <w:rFonts w:hint="eastAsia"/>
                <w:color w:val="auto"/>
                <w:kern w:val="0"/>
                <w:sz w:val="24"/>
                <w:szCs w:val="24"/>
                <w:highlight w:val="none"/>
              </w:rPr>
              <w:t>）</w:t>
            </w:r>
          </w:p>
        </w:tc>
        <w:tc>
          <w:tcPr>
            <w:tcW w:w="2915" w:type="pct"/>
          </w:tcPr>
          <w:p w14:paraId="21D2139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6.5dB/K</w:t>
            </w:r>
          </w:p>
        </w:tc>
      </w:tr>
      <w:tr w14:paraId="413E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85" w:type="pct"/>
          </w:tcPr>
          <w:p w14:paraId="76C0E87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G/T(±20°</w:t>
            </w:r>
            <w:r>
              <w:rPr>
                <w:rFonts w:hint="eastAsia"/>
                <w:color w:val="auto"/>
                <w:kern w:val="0"/>
                <w:sz w:val="24"/>
                <w:szCs w:val="24"/>
                <w:highlight w:val="none"/>
              </w:rPr>
              <w:t>、带宽</w:t>
            </w:r>
            <w:r>
              <w:rPr>
                <w:color w:val="auto"/>
                <w:kern w:val="0"/>
                <w:sz w:val="24"/>
                <w:szCs w:val="24"/>
                <w:highlight w:val="none"/>
              </w:rPr>
              <w:t>1MHz)</w:t>
            </w:r>
          </w:p>
        </w:tc>
        <w:tc>
          <w:tcPr>
            <w:tcW w:w="2915" w:type="pct"/>
          </w:tcPr>
          <w:p w14:paraId="61A2E52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5.5dB/K</w:t>
            </w:r>
          </w:p>
        </w:tc>
      </w:tr>
      <w:tr w14:paraId="52DF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85" w:type="pct"/>
          </w:tcPr>
          <w:p w14:paraId="0BE1F82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校准后</w:t>
            </w:r>
            <w:r>
              <w:rPr>
                <w:color w:val="auto"/>
                <w:kern w:val="0"/>
                <w:sz w:val="24"/>
                <w:szCs w:val="24"/>
                <w:highlight w:val="none"/>
              </w:rPr>
              <w:t>G/T</w:t>
            </w:r>
            <w:r>
              <w:rPr>
                <w:rFonts w:hint="eastAsia"/>
                <w:color w:val="auto"/>
                <w:kern w:val="0"/>
                <w:sz w:val="24"/>
                <w:szCs w:val="24"/>
                <w:highlight w:val="none"/>
              </w:rPr>
              <w:t>偏差</w:t>
            </w:r>
          </w:p>
        </w:tc>
        <w:tc>
          <w:tcPr>
            <w:tcW w:w="2915" w:type="pct"/>
          </w:tcPr>
          <w:p w14:paraId="76F93E7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0.8dB</w:t>
            </w:r>
          </w:p>
        </w:tc>
      </w:tr>
      <w:tr w14:paraId="7DEA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85" w:type="pct"/>
          </w:tcPr>
          <w:p w14:paraId="576F720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噪声系数</w:t>
            </w:r>
          </w:p>
        </w:tc>
        <w:tc>
          <w:tcPr>
            <w:tcW w:w="2915" w:type="pct"/>
          </w:tcPr>
          <w:p w14:paraId="6976641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3dB</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10C09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85" w:type="pct"/>
          </w:tcPr>
          <w:p w14:paraId="2A86CD1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线性动态范围</w:t>
            </w:r>
          </w:p>
        </w:tc>
        <w:tc>
          <w:tcPr>
            <w:tcW w:w="2915" w:type="pct"/>
          </w:tcPr>
          <w:p w14:paraId="1075C2D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77dB</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038D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85" w:type="pct"/>
          </w:tcPr>
          <w:p w14:paraId="4897142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最小可测功率（灵敏度）</w:t>
            </w:r>
          </w:p>
        </w:tc>
        <w:tc>
          <w:tcPr>
            <w:tcW w:w="2915" w:type="pct"/>
          </w:tcPr>
          <w:p w14:paraId="66EBEA7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-110dBm</w:t>
            </w:r>
            <w:r>
              <w:rPr>
                <w:rFonts w:hint="eastAsia"/>
                <w:color w:val="auto"/>
                <w:kern w:val="0"/>
                <w:sz w:val="24"/>
                <w:szCs w:val="24"/>
                <w:highlight w:val="none"/>
              </w:rPr>
              <w:t>（脉宽</w:t>
            </w:r>
            <w:r>
              <w:rPr>
                <w:color w:val="auto"/>
                <w:kern w:val="0"/>
                <w:sz w:val="24"/>
                <w:szCs w:val="24"/>
                <w:highlight w:val="none"/>
              </w:rPr>
              <w:t>1μs</w:t>
            </w:r>
            <w:r>
              <w:rPr>
                <w:rFonts w:hint="eastAsia"/>
                <w:color w:val="auto"/>
                <w:kern w:val="0"/>
                <w:sz w:val="24"/>
                <w:szCs w:val="24"/>
                <w:highlight w:val="none"/>
              </w:rPr>
              <w:t>，带宽</w:t>
            </w:r>
            <w:r>
              <w:rPr>
                <w:color w:val="auto"/>
                <w:kern w:val="0"/>
                <w:sz w:val="24"/>
                <w:szCs w:val="24"/>
                <w:highlight w:val="none"/>
              </w:rPr>
              <w:t>1MHz</w:t>
            </w:r>
            <w:r>
              <w:rPr>
                <w:rFonts w:hint="eastAsia"/>
                <w:color w:val="auto"/>
                <w:kern w:val="0"/>
                <w:sz w:val="24"/>
                <w:szCs w:val="24"/>
                <w:highlight w:val="none"/>
              </w:rPr>
              <w:t>）</w:t>
            </w:r>
          </w:p>
        </w:tc>
      </w:tr>
      <w:tr w14:paraId="7A67B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85" w:type="pct"/>
          </w:tcPr>
          <w:p w14:paraId="6CC816E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镜频抑制度</w:t>
            </w:r>
          </w:p>
        </w:tc>
        <w:tc>
          <w:tcPr>
            <w:tcW w:w="2915" w:type="pct"/>
          </w:tcPr>
          <w:p w14:paraId="5322D58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60dBc</w:t>
            </w:r>
          </w:p>
        </w:tc>
      </w:tr>
    </w:tbl>
    <w:p w14:paraId="784CC1D3">
      <w:pPr>
        <w:tabs>
          <w:tab w:val="left" w:pos="2340"/>
        </w:tabs>
        <w:spacing w:line="360" w:lineRule="auto"/>
        <w:ind w:firstLine="482"/>
        <w:rPr>
          <w:b/>
          <w:color w:val="auto"/>
          <w:sz w:val="24"/>
          <w:szCs w:val="24"/>
          <w:highlight w:val="none"/>
        </w:rPr>
      </w:pPr>
      <w:bookmarkStart w:id="115" w:name="bookmark23"/>
      <w:bookmarkEnd w:id="115"/>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6数字波束控制与合成单元技术指标</w:t>
      </w:r>
    </w:p>
    <w:p w14:paraId="33B4B0C4">
      <w:pPr>
        <w:tabs>
          <w:tab w:val="left" w:pos="2340"/>
        </w:tabs>
        <w:spacing w:line="360" w:lineRule="auto"/>
        <w:ind w:firstLine="480"/>
        <w:rPr>
          <w:bCs/>
          <w:color w:val="auto"/>
          <w:sz w:val="24"/>
          <w:szCs w:val="24"/>
          <w:highlight w:val="none"/>
        </w:rPr>
      </w:pPr>
      <w:r>
        <w:rPr>
          <w:rFonts w:hint="eastAsia"/>
          <w:bCs/>
          <w:color w:val="auto"/>
          <w:sz w:val="24"/>
          <w:szCs w:val="24"/>
          <w:highlight w:val="none"/>
        </w:rPr>
        <w:t>主要包括：波束控制和合成形式、波束控制精度、电扫方向最大副瓣电平等，具体指标见表7。</w:t>
      </w:r>
    </w:p>
    <w:p w14:paraId="35EE2572">
      <w:pPr>
        <w:widowControl/>
        <w:kinsoku w:val="0"/>
        <w:autoSpaceDE w:val="0"/>
        <w:autoSpaceDN w:val="0"/>
        <w:adjustRightInd w:val="0"/>
        <w:snapToGrid w:val="0"/>
        <w:spacing w:line="360" w:lineRule="auto"/>
        <w:ind w:firstLine="466"/>
        <w:jc w:val="center"/>
        <w:textAlignment w:val="baseline"/>
        <w:rPr>
          <w:color w:val="auto"/>
          <w:sz w:val="24"/>
          <w:szCs w:val="24"/>
          <w:highlight w:val="none"/>
        </w:rPr>
      </w:pPr>
      <w:r>
        <w:rPr>
          <w:rFonts w:hint="eastAsia"/>
          <w:b/>
          <w:bCs/>
          <w:color w:val="auto"/>
          <w:spacing w:val="-4"/>
          <w:sz w:val="24"/>
          <w:szCs w:val="24"/>
          <w:highlight w:val="none"/>
        </w:rPr>
        <w:t>表7</w:t>
      </w:r>
      <w:r>
        <w:rPr>
          <w:b/>
          <w:bCs/>
          <w:color w:val="auto"/>
          <w:spacing w:val="-4"/>
          <w:sz w:val="24"/>
          <w:szCs w:val="24"/>
          <w:highlight w:val="none"/>
        </w:rPr>
        <w:t xml:space="preserve"> </w:t>
      </w:r>
      <w:r>
        <w:rPr>
          <w:rFonts w:hint="eastAsia"/>
          <w:b/>
          <w:bCs/>
          <w:color w:val="auto"/>
          <w:spacing w:val="-4"/>
          <w:sz w:val="24"/>
          <w:szCs w:val="24"/>
          <w:highlight w:val="none"/>
        </w:rPr>
        <w:t>数字波束控制与合成单元技术性能指标表</w:t>
      </w:r>
    </w:p>
    <w:tbl>
      <w:tblPr>
        <w:tblStyle w:val="48"/>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63"/>
        <w:gridCol w:w="4946"/>
      </w:tblGrid>
      <w:tr w14:paraId="2DA6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24" w:type="pct"/>
            <w:tcBorders>
              <w:bottom w:val="nil"/>
            </w:tcBorders>
          </w:tcPr>
          <w:p w14:paraId="0C1F62E1">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项目</w:t>
            </w:r>
          </w:p>
        </w:tc>
        <w:tc>
          <w:tcPr>
            <w:tcW w:w="2976" w:type="pct"/>
          </w:tcPr>
          <w:p w14:paraId="2B210AC3">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性能指标</w:t>
            </w:r>
          </w:p>
        </w:tc>
      </w:tr>
      <w:tr w14:paraId="7440F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24" w:type="pct"/>
          </w:tcPr>
          <w:p w14:paraId="6AFEDBF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波束控制和合成形式</w:t>
            </w:r>
          </w:p>
        </w:tc>
        <w:tc>
          <w:tcPr>
            <w:tcW w:w="2976" w:type="pct"/>
          </w:tcPr>
          <w:p w14:paraId="4E497CA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数字域</w:t>
            </w:r>
          </w:p>
        </w:tc>
      </w:tr>
      <w:tr w14:paraId="37E7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24" w:type="pct"/>
          </w:tcPr>
          <w:p w14:paraId="7AB943B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波束控制精度（基于波束宽度）</w:t>
            </w:r>
          </w:p>
        </w:tc>
        <w:tc>
          <w:tcPr>
            <w:tcW w:w="2976" w:type="pct"/>
          </w:tcPr>
          <w:p w14:paraId="306899F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w:t>
            </w:r>
          </w:p>
        </w:tc>
      </w:tr>
      <w:tr w14:paraId="2A58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24" w:type="pct"/>
          </w:tcPr>
          <w:p w14:paraId="5800437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电扫方向上双线偏振波束指向误差（基于波束宽度）</w:t>
            </w:r>
          </w:p>
        </w:tc>
        <w:tc>
          <w:tcPr>
            <w:tcW w:w="2976" w:type="pct"/>
            <w:vAlign w:val="center"/>
          </w:tcPr>
          <w:p w14:paraId="1D2833D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w:t>
            </w:r>
          </w:p>
        </w:tc>
      </w:tr>
      <w:tr w14:paraId="1E267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024" w:type="pct"/>
          </w:tcPr>
          <w:p w14:paraId="2E26F1C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电扫方向上双线偏振</w:t>
            </w:r>
            <w:r>
              <w:rPr>
                <w:color w:val="auto"/>
                <w:kern w:val="0"/>
                <w:sz w:val="24"/>
                <w:szCs w:val="24"/>
                <w:highlight w:val="none"/>
              </w:rPr>
              <w:t>3dB</w:t>
            </w:r>
            <w:r>
              <w:rPr>
                <w:rFonts w:hint="eastAsia"/>
                <w:color w:val="auto"/>
                <w:kern w:val="0"/>
                <w:sz w:val="24"/>
                <w:szCs w:val="24"/>
                <w:highlight w:val="none"/>
              </w:rPr>
              <w:t>波束宽</w:t>
            </w:r>
          </w:p>
          <w:p w14:paraId="271750F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度误差（基于波束宽度）</w:t>
            </w:r>
          </w:p>
        </w:tc>
        <w:tc>
          <w:tcPr>
            <w:tcW w:w="2976" w:type="pct"/>
            <w:vAlign w:val="center"/>
          </w:tcPr>
          <w:p w14:paraId="448ADBF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w:t>
            </w:r>
          </w:p>
        </w:tc>
      </w:tr>
      <w:tr w14:paraId="21F9F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24" w:type="pct"/>
          </w:tcPr>
          <w:p w14:paraId="43AB0E9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同时接收波束数（单极化）</w:t>
            </w:r>
          </w:p>
        </w:tc>
        <w:tc>
          <w:tcPr>
            <w:tcW w:w="2976" w:type="pct"/>
          </w:tcPr>
          <w:p w14:paraId="145BD4A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16</w:t>
            </w:r>
            <w:r>
              <w:rPr>
                <w:rFonts w:hint="eastAsia"/>
                <w:color w:val="auto"/>
                <w:kern w:val="0"/>
                <w:sz w:val="24"/>
                <w:szCs w:val="24"/>
                <w:highlight w:val="none"/>
              </w:rPr>
              <w:t>个波束</w:t>
            </w:r>
          </w:p>
        </w:tc>
      </w:tr>
      <w:tr w14:paraId="3168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2024" w:type="pct"/>
            <w:vAlign w:val="center"/>
          </w:tcPr>
          <w:p w14:paraId="0DD3BD7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▲电扫方向发射最大副瓣电平</w:t>
            </w:r>
          </w:p>
        </w:tc>
        <w:tc>
          <w:tcPr>
            <w:tcW w:w="2976" w:type="pct"/>
          </w:tcPr>
          <w:p w14:paraId="0F1846F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-23dB</w:t>
            </w:r>
            <w:r>
              <w:rPr>
                <w:rFonts w:hint="eastAsia"/>
                <w:color w:val="auto"/>
                <w:kern w:val="0"/>
                <w:sz w:val="24"/>
                <w:szCs w:val="24"/>
                <w:highlight w:val="none"/>
              </w:rPr>
              <w:t>（法向波束宽度≤</w:t>
            </w:r>
            <w:r>
              <w:rPr>
                <w:color w:val="auto"/>
                <w:kern w:val="0"/>
                <w:sz w:val="24"/>
                <w:szCs w:val="24"/>
                <w:highlight w:val="none"/>
              </w:rPr>
              <w:t>1.8°</w:t>
            </w:r>
            <w:r>
              <w:rPr>
                <w:rFonts w:hint="eastAsia"/>
                <w:color w:val="auto"/>
                <w:kern w:val="0"/>
                <w:sz w:val="24"/>
                <w:szCs w:val="24"/>
                <w:highlight w:val="none"/>
              </w:rPr>
              <w:t>，偏离法向±</w:t>
            </w:r>
            <w:r>
              <w:rPr>
                <w:color w:val="auto"/>
                <w:kern w:val="0"/>
                <w:sz w:val="24"/>
                <w:szCs w:val="24"/>
                <w:highlight w:val="none"/>
              </w:rPr>
              <w:t>20°</w:t>
            </w:r>
            <w:r>
              <w:rPr>
                <w:rFonts w:hint="eastAsia"/>
                <w:color w:val="auto"/>
                <w:kern w:val="0"/>
                <w:sz w:val="24"/>
                <w:szCs w:val="24"/>
                <w:highlight w:val="none"/>
              </w:rPr>
              <w:t>波束宽度≤</w:t>
            </w:r>
            <w:r>
              <w:rPr>
                <w:color w:val="auto"/>
                <w:kern w:val="0"/>
                <w:sz w:val="24"/>
                <w:szCs w:val="24"/>
                <w:highlight w:val="none"/>
              </w:rPr>
              <w:t>1.91°</w:t>
            </w:r>
            <w:r>
              <w:rPr>
                <w:rFonts w:hint="eastAsia"/>
                <w:color w:val="auto"/>
                <w:kern w:val="0"/>
                <w:sz w:val="24"/>
                <w:szCs w:val="24"/>
                <w:highlight w:val="none"/>
              </w:rPr>
              <w:t>）</w:t>
            </w:r>
          </w:p>
        </w:tc>
      </w:tr>
      <w:tr w14:paraId="12A3A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2024" w:type="pct"/>
            <w:vAlign w:val="center"/>
          </w:tcPr>
          <w:p w14:paraId="01AEADF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▲电扫方向接收最大副瓣电平</w:t>
            </w:r>
          </w:p>
        </w:tc>
        <w:tc>
          <w:tcPr>
            <w:tcW w:w="2976" w:type="pct"/>
          </w:tcPr>
          <w:p w14:paraId="255395B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-35dB</w:t>
            </w:r>
            <w:r>
              <w:rPr>
                <w:rFonts w:hint="eastAsia"/>
                <w:color w:val="auto"/>
                <w:kern w:val="0"/>
                <w:sz w:val="24"/>
                <w:szCs w:val="24"/>
                <w:highlight w:val="none"/>
              </w:rPr>
              <w:t>（法向波束宽度≤</w:t>
            </w:r>
            <w:r>
              <w:rPr>
                <w:color w:val="auto"/>
                <w:kern w:val="0"/>
                <w:sz w:val="24"/>
                <w:szCs w:val="24"/>
                <w:highlight w:val="none"/>
              </w:rPr>
              <w:t>1.8°</w:t>
            </w:r>
            <w:r>
              <w:rPr>
                <w:rFonts w:hint="eastAsia"/>
                <w:color w:val="auto"/>
                <w:kern w:val="0"/>
                <w:sz w:val="24"/>
                <w:szCs w:val="24"/>
                <w:highlight w:val="none"/>
              </w:rPr>
              <w:t>，偏离法向±</w:t>
            </w:r>
            <w:r>
              <w:rPr>
                <w:color w:val="auto"/>
                <w:kern w:val="0"/>
                <w:sz w:val="24"/>
                <w:szCs w:val="24"/>
                <w:highlight w:val="none"/>
              </w:rPr>
              <w:t>20°</w:t>
            </w:r>
            <w:r>
              <w:rPr>
                <w:rFonts w:hint="eastAsia"/>
                <w:color w:val="auto"/>
                <w:kern w:val="0"/>
                <w:sz w:val="24"/>
                <w:szCs w:val="24"/>
                <w:highlight w:val="none"/>
              </w:rPr>
              <w:t>波束宽度≤</w:t>
            </w:r>
            <w:r>
              <w:rPr>
                <w:color w:val="auto"/>
                <w:kern w:val="0"/>
                <w:sz w:val="24"/>
                <w:szCs w:val="24"/>
                <w:highlight w:val="none"/>
              </w:rPr>
              <w:t>1.91°</w:t>
            </w:r>
            <w:r>
              <w:rPr>
                <w:rFonts w:hint="eastAsia"/>
                <w:color w:val="auto"/>
                <w:kern w:val="0"/>
                <w:sz w:val="24"/>
                <w:szCs w:val="24"/>
                <w:highlight w:val="none"/>
              </w:rPr>
              <w:t>）</w:t>
            </w:r>
          </w:p>
        </w:tc>
      </w:tr>
    </w:tbl>
    <w:p w14:paraId="2ABB3601">
      <w:pPr>
        <w:tabs>
          <w:tab w:val="left" w:pos="2340"/>
        </w:tabs>
        <w:spacing w:line="360" w:lineRule="auto"/>
        <w:ind w:firstLine="482"/>
        <w:rPr>
          <w:b/>
          <w:color w:val="auto"/>
          <w:sz w:val="24"/>
          <w:szCs w:val="24"/>
          <w:highlight w:val="none"/>
        </w:rPr>
      </w:pPr>
      <w:bookmarkStart w:id="116" w:name="bookmark24"/>
      <w:bookmarkEnd w:id="116"/>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7信号处理单元技术指标</w:t>
      </w:r>
    </w:p>
    <w:p w14:paraId="6B139715">
      <w:pPr>
        <w:tabs>
          <w:tab w:val="left" w:pos="2340"/>
        </w:tabs>
        <w:spacing w:line="360" w:lineRule="auto"/>
        <w:ind w:firstLine="480"/>
        <w:rPr>
          <w:bCs/>
          <w:color w:val="auto"/>
          <w:sz w:val="24"/>
          <w:szCs w:val="24"/>
          <w:highlight w:val="none"/>
        </w:rPr>
      </w:pPr>
      <w:r>
        <w:rPr>
          <w:rFonts w:hint="eastAsia"/>
          <w:bCs/>
          <w:color w:val="auto"/>
          <w:sz w:val="24"/>
          <w:szCs w:val="24"/>
          <w:highlight w:val="none"/>
        </w:rPr>
        <w:t>主要包括：脉冲压缩主副瓣比、脉冲累计平均次数、处理方式等指标，具体指标见表8。</w:t>
      </w:r>
    </w:p>
    <w:p w14:paraId="6997EED9">
      <w:pPr>
        <w:widowControl/>
        <w:kinsoku w:val="0"/>
        <w:autoSpaceDE w:val="0"/>
        <w:autoSpaceDN w:val="0"/>
        <w:adjustRightInd w:val="0"/>
        <w:snapToGrid w:val="0"/>
        <w:spacing w:line="360" w:lineRule="auto"/>
        <w:jc w:val="center"/>
        <w:textAlignment w:val="baseline"/>
        <w:rPr>
          <w:b/>
          <w:bCs/>
          <w:color w:val="auto"/>
          <w:sz w:val="24"/>
          <w:szCs w:val="24"/>
          <w:highlight w:val="none"/>
        </w:rPr>
      </w:pPr>
      <w:r>
        <w:rPr>
          <w:rFonts w:hint="eastAsia"/>
          <w:b/>
          <w:bCs/>
          <w:color w:val="auto"/>
          <w:spacing w:val="-4"/>
          <w:sz w:val="24"/>
          <w:szCs w:val="24"/>
          <w:highlight w:val="none"/>
        </w:rPr>
        <w:t>表8</w:t>
      </w:r>
      <w:r>
        <w:rPr>
          <w:b/>
          <w:bCs/>
          <w:color w:val="auto"/>
          <w:spacing w:val="-4"/>
          <w:sz w:val="24"/>
          <w:szCs w:val="24"/>
          <w:highlight w:val="none"/>
        </w:rPr>
        <w:t xml:space="preserve"> </w:t>
      </w:r>
      <w:r>
        <w:rPr>
          <w:rFonts w:hint="eastAsia"/>
          <w:b/>
          <w:bCs/>
          <w:color w:val="auto"/>
          <w:spacing w:val="-4"/>
          <w:sz w:val="24"/>
          <w:szCs w:val="24"/>
          <w:highlight w:val="none"/>
        </w:rPr>
        <w:t>信号处理单元技术性能指标表</w:t>
      </w:r>
    </w:p>
    <w:tbl>
      <w:tblPr>
        <w:tblStyle w:val="4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42"/>
        <w:gridCol w:w="5662"/>
      </w:tblGrid>
      <w:tr w14:paraId="2915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91" w:type="pct"/>
            <w:tcBorders>
              <w:bottom w:val="nil"/>
            </w:tcBorders>
            <w:vAlign w:val="center"/>
          </w:tcPr>
          <w:p w14:paraId="04B2DC2B">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项目</w:t>
            </w:r>
          </w:p>
        </w:tc>
        <w:tc>
          <w:tcPr>
            <w:tcW w:w="3409" w:type="pct"/>
            <w:vAlign w:val="center"/>
          </w:tcPr>
          <w:p w14:paraId="5CB50F39">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b/>
                <w:bCs/>
                <w:color w:val="auto"/>
                <w:spacing w:val="-9"/>
                <w:kern w:val="0"/>
                <w:highlight w:val="none"/>
              </w:rPr>
            </w:pPr>
            <w:r>
              <w:rPr>
                <w:rFonts w:hint="eastAsia" w:ascii="Times New Roman" w:hAnsi="Times New Roman" w:cs="Times New Roman"/>
                <w:b/>
                <w:bCs/>
                <w:color w:val="auto"/>
                <w:spacing w:val="-9"/>
                <w:kern w:val="0"/>
                <w:highlight w:val="none"/>
              </w:rPr>
              <w:t>性能指标</w:t>
            </w:r>
          </w:p>
        </w:tc>
      </w:tr>
      <w:tr w14:paraId="0BF34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91" w:type="pct"/>
          </w:tcPr>
          <w:p w14:paraId="4765173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最大脉冲压缩比</w:t>
            </w:r>
          </w:p>
        </w:tc>
        <w:tc>
          <w:tcPr>
            <w:tcW w:w="3409" w:type="pct"/>
          </w:tcPr>
          <w:p w14:paraId="0C39440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100</w:t>
            </w:r>
          </w:p>
        </w:tc>
      </w:tr>
      <w:tr w14:paraId="0E09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91" w:type="pct"/>
          </w:tcPr>
          <w:p w14:paraId="0F8C9C7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脉冲压缩主副瓣比</w:t>
            </w:r>
          </w:p>
        </w:tc>
        <w:tc>
          <w:tcPr>
            <w:tcW w:w="3409" w:type="pct"/>
          </w:tcPr>
          <w:p w14:paraId="205C3FD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w:t>
            </w:r>
            <w:r>
              <w:rPr>
                <w:color w:val="auto"/>
                <w:kern w:val="0"/>
                <w:sz w:val="24"/>
                <w:szCs w:val="24"/>
                <w:highlight w:val="none"/>
              </w:rPr>
              <w:t>50dB</w:t>
            </w:r>
            <w:r>
              <w:rPr>
                <w:rFonts w:hint="eastAsia"/>
                <w:color w:val="auto"/>
                <w:kern w:val="0"/>
                <w:sz w:val="24"/>
                <w:szCs w:val="24"/>
                <w:highlight w:val="none"/>
              </w:rPr>
              <w:t>（脉压比≥</w:t>
            </w:r>
            <w:r>
              <w:rPr>
                <w:color w:val="auto"/>
                <w:kern w:val="0"/>
                <w:sz w:val="24"/>
                <w:szCs w:val="24"/>
                <w:highlight w:val="none"/>
              </w:rPr>
              <w:t>100</w:t>
            </w:r>
            <w:r>
              <w:rPr>
                <w:rFonts w:hint="eastAsia"/>
                <w:color w:val="auto"/>
                <w:kern w:val="0"/>
                <w:sz w:val="24"/>
                <w:szCs w:val="24"/>
                <w:highlight w:val="none"/>
              </w:rPr>
              <w:t>）</w:t>
            </w:r>
          </w:p>
        </w:tc>
      </w:tr>
      <w:tr w14:paraId="73F65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91" w:type="pct"/>
          </w:tcPr>
          <w:p w14:paraId="19F62C3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脉冲累计平均次数</w:t>
            </w:r>
          </w:p>
        </w:tc>
        <w:tc>
          <w:tcPr>
            <w:tcW w:w="3409" w:type="pct"/>
          </w:tcPr>
          <w:p w14:paraId="140A8E0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16</w:t>
            </w:r>
            <w:r>
              <w:rPr>
                <w:rFonts w:hint="eastAsia"/>
                <w:color w:val="auto"/>
                <w:kern w:val="0"/>
                <w:sz w:val="24"/>
                <w:szCs w:val="24"/>
                <w:highlight w:val="none"/>
              </w:rPr>
              <w:t>～</w:t>
            </w:r>
            <w:r>
              <w:rPr>
                <w:color w:val="auto"/>
                <w:kern w:val="0"/>
                <w:sz w:val="24"/>
                <w:szCs w:val="24"/>
                <w:highlight w:val="none"/>
              </w:rPr>
              <w:t>512</w:t>
            </w:r>
            <w:r>
              <w:rPr>
                <w:rFonts w:hint="eastAsia"/>
                <w:color w:val="auto"/>
                <w:kern w:val="0"/>
                <w:sz w:val="24"/>
                <w:szCs w:val="24"/>
                <w:highlight w:val="none"/>
              </w:rPr>
              <w:t>可选</w:t>
            </w:r>
          </w:p>
        </w:tc>
      </w:tr>
      <w:tr w14:paraId="477D5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4C986608">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强度、速度处理方式</w:t>
            </w:r>
          </w:p>
        </w:tc>
        <w:tc>
          <w:tcPr>
            <w:tcW w:w="3409" w:type="pct"/>
          </w:tcPr>
          <w:p w14:paraId="0D8F24A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color w:val="auto"/>
                <w:kern w:val="0"/>
                <w:sz w:val="24"/>
                <w:szCs w:val="24"/>
                <w:highlight w:val="none"/>
              </w:rPr>
              <w:t>FFT/PPP</w:t>
            </w:r>
            <w:r>
              <w:rPr>
                <w:rFonts w:hint="eastAsia"/>
                <w:color w:val="auto"/>
                <w:kern w:val="0"/>
                <w:sz w:val="24"/>
                <w:szCs w:val="24"/>
                <w:highlight w:val="none"/>
              </w:rPr>
              <w:t>处理</w:t>
            </w:r>
          </w:p>
        </w:tc>
      </w:tr>
      <w:tr w14:paraId="503B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2DBF296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相关系数处理方式</w:t>
            </w:r>
          </w:p>
        </w:tc>
        <w:tc>
          <w:tcPr>
            <w:tcW w:w="3409" w:type="pct"/>
          </w:tcPr>
          <w:p w14:paraId="19A4541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一阶相关或多阶相关</w:t>
            </w:r>
          </w:p>
        </w:tc>
      </w:tr>
      <w:tr w14:paraId="4A837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04087B7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距离退模糊方法</w:t>
            </w:r>
          </w:p>
        </w:tc>
        <w:tc>
          <w:tcPr>
            <w:tcW w:w="3409" w:type="pct"/>
          </w:tcPr>
          <w:p w14:paraId="5475E94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相位编码或其他等效方法</w:t>
            </w:r>
          </w:p>
        </w:tc>
      </w:tr>
      <w:tr w14:paraId="639A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30E93BD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速度退模糊方法</w:t>
            </w:r>
          </w:p>
        </w:tc>
        <w:tc>
          <w:tcPr>
            <w:tcW w:w="3409" w:type="pct"/>
          </w:tcPr>
          <w:p w14:paraId="7EAA3AB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双重频或其他等效方法</w:t>
            </w:r>
          </w:p>
        </w:tc>
      </w:tr>
      <w:tr w14:paraId="20A3E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3786DBE9">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非气象回波识别和抑制</w:t>
            </w:r>
          </w:p>
        </w:tc>
        <w:tc>
          <w:tcPr>
            <w:tcW w:w="3409" w:type="pct"/>
          </w:tcPr>
          <w:p w14:paraId="4BAF56DB">
            <w:pPr>
              <w:widowControl/>
              <w:kinsoku w:val="0"/>
              <w:autoSpaceDE w:val="0"/>
              <w:autoSpaceDN w:val="0"/>
              <w:adjustRightInd w:val="0"/>
              <w:snapToGrid w:val="0"/>
              <w:spacing w:line="360" w:lineRule="auto"/>
              <w:textAlignment w:val="baseline"/>
              <w:rPr>
                <w:color w:val="auto"/>
                <w:kern w:val="0"/>
                <w:sz w:val="24"/>
                <w:szCs w:val="24"/>
                <w:highlight w:val="none"/>
              </w:rPr>
            </w:pPr>
            <w:r>
              <w:rPr>
                <w:rFonts w:hint="eastAsia"/>
                <w:color w:val="auto"/>
                <w:kern w:val="0"/>
                <w:sz w:val="24"/>
                <w:szCs w:val="24"/>
                <w:highlight w:val="none"/>
              </w:rPr>
              <w:t>具有电磁干扰、风电干扰及其它干扰的自动处理能力</w:t>
            </w:r>
          </w:p>
        </w:tc>
      </w:tr>
      <w:tr w14:paraId="6CD4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4B04425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参数估计</w:t>
            </w:r>
          </w:p>
        </w:tc>
        <w:tc>
          <w:tcPr>
            <w:tcW w:w="3409" w:type="pct"/>
          </w:tcPr>
          <w:p w14:paraId="7D70D62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合理方法处理多脉宽条件下参数估算</w:t>
            </w:r>
          </w:p>
        </w:tc>
      </w:tr>
      <w:tr w14:paraId="75D98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91" w:type="pct"/>
          </w:tcPr>
          <w:p w14:paraId="243D119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地物抑制</w:t>
            </w:r>
          </w:p>
        </w:tc>
        <w:tc>
          <w:tcPr>
            <w:tcW w:w="3409" w:type="pct"/>
          </w:tcPr>
          <w:p w14:paraId="55D8B66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深度学习或其他等效方法</w:t>
            </w:r>
          </w:p>
        </w:tc>
      </w:tr>
      <w:tr w14:paraId="7415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91" w:type="pct"/>
          </w:tcPr>
          <w:p w14:paraId="3675B43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故障检测和保护</w:t>
            </w:r>
          </w:p>
        </w:tc>
        <w:tc>
          <w:tcPr>
            <w:tcW w:w="3409" w:type="pct"/>
          </w:tcPr>
          <w:p w14:paraId="5C8EF9E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数据丢包，参数输出等故障</w:t>
            </w:r>
          </w:p>
        </w:tc>
      </w:tr>
    </w:tbl>
    <w:p w14:paraId="7BA39058">
      <w:pPr>
        <w:tabs>
          <w:tab w:val="left" w:pos="2340"/>
        </w:tabs>
        <w:spacing w:line="360" w:lineRule="auto"/>
        <w:ind w:firstLine="482"/>
        <w:rPr>
          <w:b/>
          <w:color w:val="auto"/>
          <w:sz w:val="24"/>
          <w:szCs w:val="24"/>
          <w:highlight w:val="none"/>
        </w:rPr>
      </w:pPr>
      <w:bookmarkStart w:id="117" w:name="bookmark25"/>
      <w:bookmarkEnd w:id="117"/>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8监控技术指标</w:t>
      </w:r>
    </w:p>
    <w:p w14:paraId="4CE5772E">
      <w:pPr>
        <w:tabs>
          <w:tab w:val="left" w:pos="2340"/>
        </w:tabs>
        <w:spacing w:line="360" w:lineRule="auto"/>
        <w:ind w:firstLine="480"/>
        <w:rPr>
          <w:bCs/>
          <w:color w:val="auto"/>
          <w:sz w:val="24"/>
          <w:szCs w:val="24"/>
          <w:highlight w:val="none"/>
        </w:rPr>
      </w:pPr>
      <w:r>
        <w:rPr>
          <w:rFonts w:hint="eastAsia"/>
          <w:bCs/>
          <w:color w:val="auto"/>
          <w:sz w:val="24"/>
          <w:szCs w:val="24"/>
          <w:highlight w:val="none"/>
        </w:rPr>
        <w:t>在线监测参数详见表9。</w:t>
      </w:r>
    </w:p>
    <w:p w14:paraId="1A19F941">
      <w:pPr>
        <w:tabs>
          <w:tab w:val="left" w:pos="2340"/>
        </w:tabs>
        <w:spacing w:line="360" w:lineRule="auto"/>
        <w:ind w:firstLine="480"/>
        <w:rPr>
          <w:bCs/>
          <w:color w:val="auto"/>
          <w:sz w:val="24"/>
          <w:szCs w:val="24"/>
          <w:highlight w:val="none"/>
        </w:rPr>
      </w:pPr>
      <w:r>
        <w:rPr>
          <w:rFonts w:hint="eastAsia"/>
          <w:bCs/>
          <w:color w:val="auto"/>
          <w:sz w:val="24"/>
          <w:szCs w:val="24"/>
          <w:highlight w:val="none"/>
        </w:rPr>
        <w:t>上传周期可任意设置，具备每次扫描完上传参数的功能。</w:t>
      </w:r>
    </w:p>
    <w:p w14:paraId="717BE869">
      <w:pPr>
        <w:widowControl/>
        <w:kinsoku w:val="0"/>
        <w:autoSpaceDE w:val="0"/>
        <w:autoSpaceDN w:val="0"/>
        <w:adjustRightInd w:val="0"/>
        <w:snapToGrid w:val="0"/>
        <w:spacing w:line="360" w:lineRule="auto"/>
        <w:ind w:firstLine="470"/>
        <w:jc w:val="center"/>
        <w:textAlignment w:val="baseline"/>
        <w:rPr>
          <w:b/>
          <w:bCs/>
          <w:color w:val="auto"/>
          <w:sz w:val="24"/>
          <w:szCs w:val="24"/>
          <w:highlight w:val="none"/>
        </w:rPr>
      </w:pPr>
      <w:r>
        <w:rPr>
          <w:rFonts w:hint="eastAsia"/>
          <w:b/>
          <w:bCs/>
          <w:color w:val="auto"/>
          <w:spacing w:val="-3"/>
          <w:sz w:val="24"/>
          <w:szCs w:val="24"/>
          <w:highlight w:val="none"/>
        </w:rPr>
        <w:t>表9</w:t>
      </w:r>
      <w:r>
        <w:rPr>
          <w:b/>
          <w:bCs/>
          <w:color w:val="auto"/>
          <w:spacing w:val="-3"/>
          <w:sz w:val="24"/>
          <w:szCs w:val="24"/>
          <w:highlight w:val="none"/>
        </w:rPr>
        <w:t xml:space="preserve"> </w:t>
      </w:r>
      <w:r>
        <w:rPr>
          <w:rFonts w:hint="eastAsia"/>
          <w:b/>
          <w:bCs/>
          <w:color w:val="auto"/>
          <w:spacing w:val="-3"/>
          <w:sz w:val="24"/>
          <w:szCs w:val="24"/>
          <w:highlight w:val="none"/>
        </w:rPr>
        <w:t>上传参数列表</w:t>
      </w:r>
    </w:p>
    <w:tbl>
      <w:tblPr>
        <w:tblStyle w:val="4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0"/>
        <w:gridCol w:w="3773"/>
        <w:gridCol w:w="3660"/>
      </w:tblGrid>
      <w:tr w14:paraId="522EE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24" w:type="pct"/>
            <w:vAlign w:val="center"/>
          </w:tcPr>
          <w:p w14:paraId="398FEE05">
            <w:pPr>
              <w:widowControl/>
              <w:kinsoku w:val="0"/>
              <w:autoSpaceDE w:val="0"/>
              <w:autoSpaceDN w:val="0"/>
              <w:adjustRightInd w:val="0"/>
              <w:snapToGrid w:val="0"/>
              <w:spacing w:line="360" w:lineRule="auto"/>
              <w:ind w:left="105" w:leftChars="50"/>
              <w:jc w:val="center"/>
              <w:textAlignment w:val="baseline"/>
              <w:rPr>
                <w:b/>
                <w:bCs/>
                <w:color w:val="auto"/>
                <w:kern w:val="0"/>
                <w:sz w:val="24"/>
                <w:szCs w:val="24"/>
                <w:highlight w:val="none"/>
              </w:rPr>
            </w:pPr>
            <w:r>
              <w:rPr>
                <w:rFonts w:hint="eastAsia"/>
                <w:b/>
                <w:bCs/>
                <w:color w:val="auto"/>
                <w:kern w:val="0"/>
                <w:sz w:val="24"/>
                <w:szCs w:val="24"/>
                <w:highlight w:val="none"/>
              </w:rPr>
              <w:t>序号</w:t>
            </w:r>
          </w:p>
        </w:tc>
        <w:tc>
          <w:tcPr>
            <w:tcW w:w="2272" w:type="pct"/>
            <w:vAlign w:val="center"/>
          </w:tcPr>
          <w:p w14:paraId="61AB029E">
            <w:pPr>
              <w:widowControl/>
              <w:kinsoku w:val="0"/>
              <w:autoSpaceDE w:val="0"/>
              <w:autoSpaceDN w:val="0"/>
              <w:adjustRightInd w:val="0"/>
              <w:snapToGrid w:val="0"/>
              <w:spacing w:line="360" w:lineRule="auto"/>
              <w:ind w:left="105" w:leftChars="50"/>
              <w:jc w:val="center"/>
              <w:textAlignment w:val="baseline"/>
              <w:rPr>
                <w:b/>
                <w:bCs/>
                <w:color w:val="auto"/>
                <w:kern w:val="0"/>
                <w:sz w:val="24"/>
                <w:szCs w:val="24"/>
                <w:highlight w:val="none"/>
              </w:rPr>
            </w:pPr>
            <w:r>
              <w:rPr>
                <w:rFonts w:hint="eastAsia"/>
                <w:b/>
                <w:bCs/>
                <w:color w:val="auto"/>
                <w:kern w:val="0"/>
                <w:sz w:val="24"/>
                <w:szCs w:val="24"/>
                <w:highlight w:val="none"/>
              </w:rPr>
              <w:t>上传参数</w:t>
            </w:r>
          </w:p>
        </w:tc>
        <w:tc>
          <w:tcPr>
            <w:tcW w:w="2204" w:type="pct"/>
            <w:vAlign w:val="center"/>
          </w:tcPr>
          <w:p w14:paraId="78904834">
            <w:pPr>
              <w:widowControl/>
              <w:kinsoku w:val="0"/>
              <w:autoSpaceDE w:val="0"/>
              <w:autoSpaceDN w:val="0"/>
              <w:adjustRightInd w:val="0"/>
              <w:snapToGrid w:val="0"/>
              <w:spacing w:line="360" w:lineRule="auto"/>
              <w:ind w:left="105" w:leftChars="50"/>
              <w:jc w:val="center"/>
              <w:textAlignment w:val="baseline"/>
              <w:rPr>
                <w:b/>
                <w:bCs/>
                <w:color w:val="auto"/>
                <w:kern w:val="0"/>
                <w:sz w:val="24"/>
                <w:szCs w:val="24"/>
                <w:highlight w:val="none"/>
              </w:rPr>
            </w:pPr>
            <w:r>
              <w:rPr>
                <w:rFonts w:hint="eastAsia"/>
                <w:b/>
                <w:bCs/>
                <w:color w:val="auto"/>
                <w:kern w:val="0"/>
                <w:sz w:val="24"/>
                <w:szCs w:val="24"/>
                <w:highlight w:val="none"/>
              </w:rPr>
              <w:t>备注</w:t>
            </w:r>
          </w:p>
        </w:tc>
      </w:tr>
      <w:tr w14:paraId="37F9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000" w:type="pct"/>
            <w:gridSpan w:val="3"/>
            <w:vAlign w:val="center"/>
          </w:tcPr>
          <w:p w14:paraId="6C5946AC">
            <w:pPr>
              <w:widowControl/>
              <w:kinsoku w:val="0"/>
              <w:autoSpaceDE w:val="0"/>
              <w:autoSpaceDN w:val="0"/>
              <w:adjustRightInd w:val="0"/>
              <w:snapToGrid w:val="0"/>
              <w:spacing w:line="360" w:lineRule="auto"/>
              <w:ind w:left="105" w:leftChars="50"/>
              <w:jc w:val="center"/>
              <w:textAlignment w:val="baseline"/>
              <w:rPr>
                <w:color w:val="auto"/>
                <w:kern w:val="0"/>
                <w:sz w:val="24"/>
                <w:szCs w:val="24"/>
                <w:highlight w:val="none"/>
              </w:rPr>
            </w:pPr>
            <w:r>
              <w:rPr>
                <w:rFonts w:hint="eastAsia"/>
                <w:b/>
                <w:bCs/>
                <w:color w:val="auto"/>
                <w:kern w:val="0"/>
                <w:sz w:val="24"/>
                <w:szCs w:val="24"/>
                <w:highlight w:val="none"/>
              </w:rPr>
              <w:t>雷达静态参数</w:t>
            </w:r>
          </w:p>
        </w:tc>
      </w:tr>
      <w:tr w14:paraId="391D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6D2DC3D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w:t>
            </w:r>
          </w:p>
        </w:tc>
        <w:tc>
          <w:tcPr>
            <w:tcW w:w="2272" w:type="pct"/>
            <w:vAlign w:val="center"/>
          </w:tcPr>
          <w:p w14:paraId="0FBF84B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雷达站号</w:t>
            </w:r>
          </w:p>
        </w:tc>
        <w:tc>
          <w:tcPr>
            <w:tcW w:w="2204" w:type="pct"/>
            <w:vAlign w:val="center"/>
          </w:tcPr>
          <w:p w14:paraId="415370D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4EC76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47A701A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w:t>
            </w:r>
          </w:p>
        </w:tc>
        <w:tc>
          <w:tcPr>
            <w:tcW w:w="2272" w:type="pct"/>
            <w:vAlign w:val="center"/>
          </w:tcPr>
          <w:p w14:paraId="6CF782D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站点名称</w:t>
            </w:r>
          </w:p>
        </w:tc>
        <w:tc>
          <w:tcPr>
            <w:tcW w:w="2204" w:type="pct"/>
            <w:vAlign w:val="center"/>
          </w:tcPr>
          <w:p w14:paraId="6E625E4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02632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3F5AAA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w:t>
            </w:r>
          </w:p>
        </w:tc>
        <w:tc>
          <w:tcPr>
            <w:tcW w:w="2272" w:type="pct"/>
            <w:vAlign w:val="center"/>
          </w:tcPr>
          <w:p w14:paraId="12A04DE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纬度</w:t>
            </w:r>
          </w:p>
        </w:tc>
        <w:tc>
          <w:tcPr>
            <w:tcW w:w="2204" w:type="pct"/>
            <w:vAlign w:val="center"/>
          </w:tcPr>
          <w:p w14:paraId="2AD9D8E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3C059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FDE433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w:t>
            </w:r>
          </w:p>
        </w:tc>
        <w:tc>
          <w:tcPr>
            <w:tcW w:w="2272" w:type="pct"/>
            <w:vAlign w:val="center"/>
          </w:tcPr>
          <w:p w14:paraId="7CC5793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经度</w:t>
            </w:r>
          </w:p>
        </w:tc>
        <w:tc>
          <w:tcPr>
            <w:tcW w:w="2204" w:type="pct"/>
            <w:vAlign w:val="center"/>
          </w:tcPr>
          <w:p w14:paraId="3EC8E4F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57260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C92FE5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w:t>
            </w:r>
          </w:p>
        </w:tc>
        <w:tc>
          <w:tcPr>
            <w:tcW w:w="2272" w:type="pct"/>
            <w:vAlign w:val="center"/>
          </w:tcPr>
          <w:p w14:paraId="6E3364A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天线高度</w:t>
            </w:r>
          </w:p>
        </w:tc>
        <w:tc>
          <w:tcPr>
            <w:tcW w:w="2204" w:type="pct"/>
            <w:vAlign w:val="center"/>
          </w:tcPr>
          <w:p w14:paraId="44AA5FB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天线阵面中心高度，单位：</w:t>
            </w:r>
            <w:r>
              <w:rPr>
                <w:color w:val="auto"/>
                <w:kern w:val="0"/>
                <w:sz w:val="24"/>
                <w:szCs w:val="24"/>
                <w:highlight w:val="none"/>
              </w:rPr>
              <w:t>m</w:t>
            </w:r>
          </w:p>
        </w:tc>
      </w:tr>
      <w:tr w14:paraId="25F6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9BA665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w:t>
            </w:r>
          </w:p>
        </w:tc>
        <w:tc>
          <w:tcPr>
            <w:tcW w:w="2272" w:type="pct"/>
            <w:vAlign w:val="center"/>
          </w:tcPr>
          <w:p w14:paraId="2EF5CBC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地面高度</w:t>
            </w:r>
          </w:p>
        </w:tc>
        <w:tc>
          <w:tcPr>
            <w:tcW w:w="2204" w:type="pct"/>
            <w:vAlign w:val="center"/>
          </w:tcPr>
          <w:p w14:paraId="2697BB3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m</w:t>
            </w:r>
          </w:p>
        </w:tc>
      </w:tr>
      <w:tr w14:paraId="10588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135F1B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w:t>
            </w:r>
          </w:p>
        </w:tc>
        <w:tc>
          <w:tcPr>
            <w:tcW w:w="2272" w:type="pct"/>
            <w:vAlign w:val="center"/>
          </w:tcPr>
          <w:p w14:paraId="0D85CC0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雷达类型</w:t>
            </w:r>
          </w:p>
        </w:tc>
        <w:tc>
          <w:tcPr>
            <w:tcW w:w="2204" w:type="pct"/>
            <w:vAlign w:val="center"/>
          </w:tcPr>
          <w:p w14:paraId="60F0C8E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6B8BF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FB1BFD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8</w:t>
            </w:r>
          </w:p>
        </w:tc>
        <w:tc>
          <w:tcPr>
            <w:tcW w:w="2272" w:type="pct"/>
            <w:vAlign w:val="center"/>
          </w:tcPr>
          <w:p w14:paraId="511A7A2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雷达型号</w:t>
            </w:r>
          </w:p>
        </w:tc>
        <w:tc>
          <w:tcPr>
            <w:tcW w:w="2204" w:type="pct"/>
            <w:vAlign w:val="center"/>
          </w:tcPr>
          <w:p w14:paraId="7FCCB6C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5634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3ABB73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9</w:t>
            </w:r>
          </w:p>
        </w:tc>
        <w:tc>
          <w:tcPr>
            <w:tcW w:w="2272" w:type="pct"/>
            <w:vAlign w:val="center"/>
          </w:tcPr>
          <w:p w14:paraId="1DA1BE8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终端软件版本号</w:t>
            </w:r>
          </w:p>
        </w:tc>
        <w:tc>
          <w:tcPr>
            <w:tcW w:w="2204" w:type="pct"/>
            <w:vAlign w:val="center"/>
          </w:tcPr>
          <w:p w14:paraId="61174EB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监控软件</w:t>
            </w:r>
          </w:p>
        </w:tc>
      </w:tr>
      <w:tr w14:paraId="1386A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2EC5BEA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10</w:t>
            </w:r>
          </w:p>
        </w:tc>
        <w:tc>
          <w:tcPr>
            <w:tcW w:w="2272" w:type="pct"/>
            <w:vAlign w:val="center"/>
          </w:tcPr>
          <w:p w14:paraId="73301E5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工作频率</w:t>
            </w:r>
          </w:p>
        </w:tc>
        <w:tc>
          <w:tcPr>
            <w:tcW w:w="2204" w:type="pct"/>
            <w:vAlign w:val="center"/>
          </w:tcPr>
          <w:p w14:paraId="18085A8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MHz</w:t>
            </w:r>
          </w:p>
        </w:tc>
      </w:tr>
      <w:tr w14:paraId="66583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070931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11</w:t>
            </w:r>
          </w:p>
        </w:tc>
        <w:tc>
          <w:tcPr>
            <w:tcW w:w="2272" w:type="pct"/>
            <w:vAlign w:val="center"/>
          </w:tcPr>
          <w:p w14:paraId="69C6F89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水平通道发射增益</w:t>
            </w:r>
          </w:p>
        </w:tc>
        <w:tc>
          <w:tcPr>
            <w:tcW w:w="2204" w:type="pct"/>
            <w:vAlign w:val="center"/>
          </w:tcPr>
          <w:p w14:paraId="113CD8D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0B11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104B2B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12</w:t>
            </w:r>
          </w:p>
        </w:tc>
        <w:tc>
          <w:tcPr>
            <w:tcW w:w="2272" w:type="pct"/>
            <w:vAlign w:val="center"/>
          </w:tcPr>
          <w:p w14:paraId="0C47EBB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垂直通道发射增益</w:t>
            </w:r>
          </w:p>
        </w:tc>
        <w:tc>
          <w:tcPr>
            <w:tcW w:w="2204" w:type="pct"/>
            <w:vAlign w:val="center"/>
          </w:tcPr>
          <w:p w14:paraId="3E2ACD4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28E4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C265BF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13</w:t>
            </w:r>
          </w:p>
        </w:tc>
        <w:tc>
          <w:tcPr>
            <w:tcW w:w="2272" w:type="pct"/>
            <w:vAlign w:val="center"/>
          </w:tcPr>
          <w:p w14:paraId="56A3824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水平通道接收增益</w:t>
            </w:r>
          </w:p>
        </w:tc>
        <w:tc>
          <w:tcPr>
            <w:tcW w:w="2204" w:type="pct"/>
            <w:vAlign w:val="center"/>
          </w:tcPr>
          <w:p w14:paraId="59C9AC5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5DC07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21DDF9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14</w:t>
            </w:r>
          </w:p>
        </w:tc>
        <w:tc>
          <w:tcPr>
            <w:tcW w:w="2272" w:type="pct"/>
            <w:vAlign w:val="center"/>
          </w:tcPr>
          <w:p w14:paraId="2F17132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垂直通道接收增益</w:t>
            </w:r>
          </w:p>
        </w:tc>
        <w:tc>
          <w:tcPr>
            <w:tcW w:w="2204" w:type="pct"/>
            <w:vAlign w:val="center"/>
          </w:tcPr>
          <w:p w14:paraId="23465F3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53759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BA63FB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15</w:t>
            </w:r>
          </w:p>
        </w:tc>
        <w:tc>
          <w:tcPr>
            <w:tcW w:w="2272" w:type="pct"/>
            <w:vAlign w:val="center"/>
          </w:tcPr>
          <w:p w14:paraId="73E83C4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水平极化发射波束宽度</w:t>
            </w:r>
          </w:p>
        </w:tc>
        <w:tc>
          <w:tcPr>
            <w:tcW w:w="2204" w:type="pct"/>
            <w:vAlign w:val="center"/>
          </w:tcPr>
          <w:p w14:paraId="2F5E65D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1A0D6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094E25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16</w:t>
            </w:r>
          </w:p>
        </w:tc>
        <w:tc>
          <w:tcPr>
            <w:tcW w:w="2272" w:type="pct"/>
            <w:vAlign w:val="center"/>
          </w:tcPr>
          <w:p w14:paraId="4ABC8CD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垂直极化发射波束宽度</w:t>
            </w:r>
          </w:p>
        </w:tc>
        <w:tc>
          <w:tcPr>
            <w:tcW w:w="2204" w:type="pct"/>
            <w:vAlign w:val="center"/>
          </w:tcPr>
          <w:p w14:paraId="3E74988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737A1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24" w:type="pct"/>
            <w:vAlign w:val="center"/>
          </w:tcPr>
          <w:p w14:paraId="0F5FE2E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17</w:t>
            </w:r>
          </w:p>
        </w:tc>
        <w:tc>
          <w:tcPr>
            <w:tcW w:w="2272" w:type="pct"/>
            <w:vAlign w:val="center"/>
          </w:tcPr>
          <w:p w14:paraId="6C914F0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水平极化接收波束宽度</w:t>
            </w:r>
          </w:p>
        </w:tc>
        <w:tc>
          <w:tcPr>
            <w:tcW w:w="2204" w:type="pct"/>
            <w:vAlign w:val="center"/>
          </w:tcPr>
          <w:p w14:paraId="1D918A7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6175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2CC5049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18</w:t>
            </w:r>
          </w:p>
        </w:tc>
        <w:tc>
          <w:tcPr>
            <w:tcW w:w="2272" w:type="pct"/>
            <w:vAlign w:val="center"/>
          </w:tcPr>
          <w:p w14:paraId="1D4D725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垂直极化接收波束宽度</w:t>
            </w:r>
          </w:p>
        </w:tc>
        <w:tc>
          <w:tcPr>
            <w:tcW w:w="2204" w:type="pct"/>
            <w:vAlign w:val="center"/>
          </w:tcPr>
          <w:p w14:paraId="3F274B0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1A4E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D0BE47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19</w:t>
            </w:r>
          </w:p>
        </w:tc>
        <w:tc>
          <w:tcPr>
            <w:tcW w:w="2272" w:type="pct"/>
            <w:vAlign w:val="center"/>
          </w:tcPr>
          <w:p w14:paraId="4C49437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发射馈线损耗</w:t>
            </w:r>
          </w:p>
        </w:tc>
        <w:tc>
          <w:tcPr>
            <w:tcW w:w="2204" w:type="pct"/>
            <w:vAlign w:val="center"/>
          </w:tcPr>
          <w:p w14:paraId="31AECF2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6A4E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D9ECD8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20</w:t>
            </w:r>
          </w:p>
        </w:tc>
        <w:tc>
          <w:tcPr>
            <w:tcW w:w="2272" w:type="pct"/>
            <w:vAlign w:val="center"/>
          </w:tcPr>
          <w:p w14:paraId="30404A2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接收馈线损耗</w:t>
            </w:r>
          </w:p>
        </w:tc>
        <w:tc>
          <w:tcPr>
            <w:tcW w:w="2204" w:type="pct"/>
            <w:vAlign w:val="center"/>
          </w:tcPr>
          <w:p w14:paraId="2D6A83C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0A6B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7A8DE9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21</w:t>
            </w:r>
          </w:p>
        </w:tc>
        <w:tc>
          <w:tcPr>
            <w:tcW w:w="2272" w:type="pct"/>
            <w:vAlign w:val="center"/>
          </w:tcPr>
          <w:p w14:paraId="046F387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其他损耗</w:t>
            </w:r>
          </w:p>
        </w:tc>
        <w:tc>
          <w:tcPr>
            <w:tcW w:w="2204" w:type="pct"/>
            <w:vAlign w:val="center"/>
          </w:tcPr>
          <w:p w14:paraId="39D70F1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3F377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000" w:type="pct"/>
            <w:gridSpan w:val="3"/>
            <w:vAlign w:val="center"/>
          </w:tcPr>
          <w:p w14:paraId="63D00AB4">
            <w:pPr>
              <w:widowControl/>
              <w:kinsoku w:val="0"/>
              <w:autoSpaceDE w:val="0"/>
              <w:autoSpaceDN w:val="0"/>
              <w:adjustRightInd w:val="0"/>
              <w:snapToGrid w:val="0"/>
              <w:spacing w:line="360" w:lineRule="auto"/>
              <w:ind w:left="105" w:leftChars="50"/>
              <w:jc w:val="center"/>
              <w:textAlignment w:val="baseline"/>
              <w:rPr>
                <w:color w:val="auto"/>
                <w:kern w:val="0"/>
                <w:sz w:val="24"/>
                <w:szCs w:val="24"/>
                <w:highlight w:val="none"/>
              </w:rPr>
            </w:pPr>
            <w:r>
              <w:rPr>
                <w:rFonts w:hint="eastAsia"/>
                <w:b/>
                <w:bCs/>
                <w:color w:val="auto"/>
                <w:kern w:val="0"/>
                <w:sz w:val="24"/>
                <w:szCs w:val="24"/>
                <w:highlight w:val="none"/>
              </w:rPr>
              <w:t>雷达运行模式参数</w:t>
            </w:r>
          </w:p>
        </w:tc>
      </w:tr>
      <w:tr w14:paraId="5375B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E3D02B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22</w:t>
            </w:r>
          </w:p>
        </w:tc>
        <w:tc>
          <w:tcPr>
            <w:tcW w:w="2272" w:type="pct"/>
            <w:vAlign w:val="center"/>
          </w:tcPr>
          <w:p w14:paraId="159EBAF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日期</w:t>
            </w:r>
          </w:p>
        </w:tc>
        <w:tc>
          <w:tcPr>
            <w:tcW w:w="2204" w:type="pct"/>
            <w:vAlign w:val="center"/>
          </w:tcPr>
          <w:p w14:paraId="0577795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4E077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5A9B64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23</w:t>
            </w:r>
          </w:p>
        </w:tc>
        <w:tc>
          <w:tcPr>
            <w:tcW w:w="2272" w:type="pct"/>
            <w:vAlign w:val="center"/>
          </w:tcPr>
          <w:p w14:paraId="3AC333D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时间</w:t>
            </w:r>
          </w:p>
        </w:tc>
        <w:tc>
          <w:tcPr>
            <w:tcW w:w="2204" w:type="pct"/>
            <w:vAlign w:val="center"/>
          </w:tcPr>
          <w:p w14:paraId="6DA780D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7412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E87219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24</w:t>
            </w:r>
          </w:p>
        </w:tc>
        <w:tc>
          <w:tcPr>
            <w:tcW w:w="2272" w:type="pct"/>
            <w:vAlign w:val="center"/>
          </w:tcPr>
          <w:p w14:paraId="7120326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体扫模式</w:t>
            </w:r>
          </w:p>
        </w:tc>
        <w:tc>
          <w:tcPr>
            <w:tcW w:w="2204" w:type="pct"/>
            <w:vAlign w:val="center"/>
          </w:tcPr>
          <w:p w14:paraId="7B39D0F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5EF5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E4DB67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25</w:t>
            </w:r>
          </w:p>
        </w:tc>
        <w:tc>
          <w:tcPr>
            <w:tcW w:w="2272" w:type="pct"/>
            <w:vAlign w:val="center"/>
          </w:tcPr>
          <w:p w14:paraId="065DBE8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控制权标志</w:t>
            </w:r>
          </w:p>
        </w:tc>
        <w:tc>
          <w:tcPr>
            <w:tcW w:w="2204" w:type="pct"/>
            <w:vAlign w:val="center"/>
          </w:tcPr>
          <w:p w14:paraId="5563566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本控、遥控</w:t>
            </w:r>
          </w:p>
        </w:tc>
      </w:tr>
      <w:tr w14:paraId="66A1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A7FEF8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26</w:t>
            </w:r>
          </w:p>
        </w:tc>
        <w:tc>
          <w:tcPr>
            <w:tcW w:w="2272" w:type="pct"/>
            <w:vAlign w:val="center"/>
          </w:tcPr>
          <w:p w14:paraId="6914130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系统状态</w:t>
            </w:r>
          </w:p>
        </w:tc>
        <w:tc>
          <w:tcPr>
            <w:tcW w:w="2204" w:type="pct"/>
            <w:vAlign w:val="center"/>
          </w:tcPr>
          <w:p w14:paraId="422A2A3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正常、可用、需维护、故障、关机</w:t>
            </w:r>
          </w:p>
        </w:tc>
      </w:tr>
      <w:tr w14:paraId="1266D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61E42F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27</w:t>
            </w:r>
          </w:p>
        </w:tc>
        <w:tc>
          <w:tcPr>
            <w:tcW w:w="2272" w:type="pct"/>
            <w:vAlign w:val="center"/>
          </w:tcPr>
          <w:p w14:paraId="61FB74E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上传状态数据格式版本号</w:t>
            </w:r>
          </w:p>
        </w:tc>
        <w:tc>
          <w:tcPr>
            <w:tcW w:w="2204" w:type="pct"/>
            <w:vAlign w:val="center"/>
          </w:tcPr>
          <w:p w14:paraId="06C0180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p>
        </w:tc>
      </w:tr>
      <w:tr w14:paraId="01AB2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E3FE66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28</w:t>
            </w:r>
          </w:p>
        </w:tc>
        <w:tc>
          <w:tcPr>
            <w:tcW w:w="2272" w:type="pct"/>
            <w:vAlign w:val="center"/>
          </w:tcPr>
          <w:p w14:paraId="447711E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雷达标记</w:t>
            </w:r>
          </w:p>
        </w:tc>
        <w:tc>
          <w:tcPr>
            <w:tcW w:w="2204" w:type="pct"/>
            <w:vAlign w:val="center"/>
          </w:tcPr>
          <w:p w14:paraId="26F78B6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相控阵、多普勒、双偏振</w:t>
            </w:r>
          </w:p>
        </w:tc>
      </w:tr>
      <w:tr w14:paraId="5528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000" w:type="pct"/>
            <w:gridSpan w:val="3"/>
            <w:vAlign w:val="center"/>
          </w:tcPr>
          <w:p w14:paraId="1E7A4EA8">
            <w:pPr>
              <w:widowControl/>
              <w:kinsoku w:val="0"/>
              <w:autoSpaceDE w:val="0"/>
              <w:autoSpaceDN w:val="0"/>
              <w:adjustRightInd w:val="0"/>
              <w:snapToGrid w:val="0"/>
              <w:spacing w:line="360" w:lineRule="auto"/>
              <w:ind w:left="105" w:leftChars="50"/>
              <w:jc w:val="center"/>
              <w:textAlignment w:val="baseline"/>
              <w:rPr>
                <w:color w:val="auto"/>
                <w:kern w:val="0"/>
                <w:sz w:val="24"/>
                <w:szCs w:val="24"/>
                <w:highlight w:val="none"/>
              </w:rPr>
            </w:pPr>
            <w:r>
              <w:rPr>
                <w:rFonts w:hint="eastAsia"/>
                <w:b/>
                <w:bCs/>
                <w:color w:val="auto"/>
                <w:kern w:val="0"/>
                <w:sz w:val="24"/>
                <w:szCs w:val="24"/>
                <w:highlight w:val="none"/>
              </w:rPr>
              <w:t>雷达运行环境参数</w:t>
            </w:r>
          </w:p>
        </w:tc>
      </w:tr>
      <w:tr w14:paraId="0F00D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7186FD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29</w:t>
            </w:r>
          </w:p>
        </w:tc>
        <w:tc>
          <w:tcPr>
            <w:tcW w:w="2272" w:type="pct"/>
            <w:vAlign w:val="center"/>
          </w:tcPr>
          <w:p w14:paraId="4F87DEE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阵面温度</w:t>
            </w:r>
          </w:p>
        </w:tc>
        <w:tc>
          <w:tcPr>
            <w:tcW w:w="2204" w:type="pct"/>
            <w:vAlign w:val="center"/>
          </w:tcPr>
          <w:p w14:paraId="2A80170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73C0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2F734E6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30</w:t>
            </w:r>
          </w:p>
        </w:tc>
        <w:tc>
          <w:tcPr>
            <w:tcW w:w="2272" w:type="pct"/>
            <w:vAlign w:val="center"/>
          </w:tcPr>
          <w:p w14:paraId="7594B2F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各组件温度</w:t>
            </w:r>
          </w:p>
        </w:tc>
        <w:tc>
          <w:tcPr>
            <w:tcW w:w="2204" w:type="pct"/>
            <w:vAlign w:val="center"/>
          </w:tcPr>
          <w:p w14:paraId="64A39CB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2205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AE791D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31</w:t>
            </w:r>
          </w:p>
        </w:tc>
        <w:tc>
          <w:tcPr>
            <w:tcW w:w="2272" w:type="pct"/>
            <w:vAlign w:val="center"/>
          </w:tcPr>
          <w:p w14:paraId="60D1A36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底座温度</w:t>
            </w:r>
          </w:p>
        </w:tc>
        <w:tc>
          <w:tcPr>
            <w:tcW w:w="2204" w:type="pct"/>
            <w:vAlign w:val="center"/>
          </w:tcPr>
          <w:p w14:paraId="657704F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1C8E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8EC870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32</w:t>
            </w:r>
          </w:p>
        </w:tc>
        <w:tc>
          <w:tcPr>
            <w:tcW w:w="2272" w:type="pct"/>
            <w:vAlign w:val="center"/>
          </w:tcPr>
          <w:p w14:paraId="050623F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组件总电压</w:t>
            </w:r>
          </w:p>
        </w:tc>
        <w:tc>
          <w:tcPr>
            <w:tcW w:w="2204" w:type="pct"/>
            <w:vAlign w:val="center"/>
          </w:tcPr>
          <w:p w14:paraId="579F7D12">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V</w:t>
            </w:r>
          </w:p>
        </w:tc>
      </w:tr>
      <w:tr w14:paraId="0D07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24" w:type="pct"/>
            <w:vAlign w:val="center"/>
          </w:tcPr>
          <w:p w14:paraId="0F72803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33</w:t>
            </w:r>
          </w:p>
        </w:tc>
        <w:tc>
          <w:tcPr>
            <w:tcW w:w="2272" w:type="pct"/>
            <w:vAlign w:val="center"/>
          </w:tcPr>
          <w:p w14:paraId="36AE57A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组件总电流</w:t>
            </w:r>
          </w:p>
        </w:tc>
        <w:tc>
          <w:tcPr>
            <w:tcW w:w="2204" w:type="pct"/>
            <w:vAlign w:val="center"/>
          </w:tcPr>
          <w:p w14:paraId="5964D9E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A</w:t>
            </w:r>
          </w:p>
        </w:tc>
      </w:tr>
      <w:tr w14:paraId="15BF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24" w:type="pct"/>
            <w:vAlign w:val="center"/>
          </w:tcPr>
          <w:p w14:paraId="7B6549C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34</w:t>
            </w:r>
          </w:p>
        </w:tc>
        <w:tc>
          <w:tcPr>
            <w:tcW w:w="2272" w:type="pct"/>
            <w:vAlign w:val="center"/>
          </w:tcPr>
          <w:p w14:paraId="77CC6FC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各组件功率</w:t>
            </w:r>
          </w:p>
        </w:tc>
        <w:tc>
          <w:tcPr>
            <w:tcW w:w="2204" w:type="pct"/>
            <w:vAlign w:val="center"/>
          </w:tcPr>
          <w:p w14:paraId="78E8CAF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w:t>
            </w:r>
          </w:p>
        </w:tc>
      </w:tr>
      <w:tr w14:paraId="2776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E11F49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35</w:t>
            </w:r>
          </w:p>
        </w:tc>
        <w:tc>
          <w:tcPr>
            <w:tcW w:w="2272" w:type="pct"/>
            <w:vAlign w:val="center"/>
          </w:tcPr>
          <w:p w14:paraId="11E203E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各组件工作状态</w:t>
            </w:r>
          </w:p>
        </w:tc>
        <w:tc>
          <w:tcPr>
            <w:tcW w:w="2204" w:type="pct"/>
            <w:vAlign w:val="center"/>
          </w:tcPr>
          <w:p w14:paraId="26BC78E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正常、警告、故障</w:t>
            </w:r>
          </w:p>
        </w:tc>
      </w:tr>
      <w:tr w14:paraId="663E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000" w:type="pct"/>
            <w:gridSpan w:val="3"/>
            <w:vAlign w:val="center"/>
          </w:tcPr>
          <w:p w14:paraId="79B3151E">
            <w:pPr>
              <w:widowControl/>
              <w:kinsoku w:val="0"/>
              <w:autoSpaceDE w:val="0"/>
              <w:autoSpaceDN w:val="0"/>
              <w:adjustRightInd w:val="0"/>
              <w:snapToGrid w:val="0"/>
              <w:spacing w:line="360" w:lineRule="auto"/>
              <w:ind w:left="105" w:leftChars="50"/>
              <w:jc w:val="center"/>
              <w:textAlignment w:val="baseline"/>
              <w:rPr>
                <w:color w:val="auto"/>
                <w:kern w:val="0"/>
                <w:sz w:val="24"/>
                <w:szCs w:val="24"/>
                <w:highlight w:val="none"/>
              </w:rPr>
            </w:pPr>
            <w:r>
              <w:rPr>
                <w:rFonts w:hint="eastAsia"/>
                <w:b/>
                <w:bCs/>
                <w:color w:val="auto"/>
                <w:kern w:val="0"/>
                <w:sz w:val="24"/>
                <w:szCs w:val="24"/>
                <w:highlight w:val="none"/>
              </w:rPr>
              <w:t>雷达在线标定参数</w:t>
            </w:r>
          </w:p>
        </w:tc>
      </w:tr>
      <w:tr w14:paraId="0C9A4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24" w:type="pct"/>
            <w:vAlign w:val="center"/>
          </w:tcPr>
          <w:p w14:paraId="777F415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36</w:t>
            </w:r>
          </w:p>
        </w:tc>
        <w:tc>
          <w:tcPr>
            <w:tcW w:w="2272" w:type="pct"/>
            <w:vAlign w:val="center"/>
          </w:tcPr>
          <w:p w14:paraId="67FA45E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水平通道滤波前回波强度</w:t>
            </w:r>
          </w:p>
        </w:tc>
        <w:tc>
          <w:tcPr>
            <w:tcW w:w="2204" w:type="pct"/>
            <w:vAlign w:val="center"/>
          </w:tcPr>
          <w:p w14:paraId="07596C3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dBZ</w:t>
            </w:r>
          </w:p>
        </w:tc>
      </w:tr>
      <w:tr w14:paraId="015E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151CF34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37</w:t>
            </w:r>
          </w:p>
        </w:tc>
        <w:tc>
          <w:tcPr>
            <w:tcW w:w="2272" w:type="pct"/>
            <w:vAlign w:val="center"/>
          </w:tcPr>
          <w:p w14:paraId="12AC9EF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水平通道滤波后回波强度</w:t>
            </w:r>
          </w:p>
        </w:tc>
        <w:tc>
          <w:tcPr>
            <w:tcW w:w="2204" w:type="pct"/>
            <w:vAlign w:val="center"/>
          </w:tcPr>
          <w:p w14:paraId="035C275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dBZ</w:t>
            </w:r>
          </w:p>
        </w:tc>
      </w:tr>
      <w:tr w14:paraId="3DC8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2176D82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38</w:t>
            </w:r>
          </w:p>
        </w:tc>
        <w:tc>
          <w:tcPr>
            <w:tcW w:w="2272" w:type="pct"/>
            <w:vAlign w:val="center"/>
          </w:tcPr>
          <w:p w14:paraId="674E05D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垂直通道滤波前回波强度</w:t>
            </w:r>
          </w:p>
        </w:tc>
        <w:tc>
          <w:tcPr>
            <w:tcW w:w="2204" w:type="pct"/>
            <w:vAlign w:val="center"/>
          </w:tcPr>
          <w:p w14:paraId="3743C42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dBZ</w:t>
            </w:r>
          </w:p>
        </w:tc>
      </w:tr>
      <w:tr w14:paraId="5750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4F21053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39</w:t>
            </w:r>
          </w:p>
        </w:tc>
        <w:tc>
          <w:tcPr>
            <w:tcW w:w="2272" w:type="pct"/>
            <w:vAlign w:val="center"/>
          </w:tcPr>
          <w:p w14:paraId="40D188B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垂直通道滤波后回波强度</w:t>
            </w:r>
          </w:p>
        </w:tc>
        <w:tc>
          <w:tcPr>
            <w:tcW w:w="2204" w:type="pct"/>
            <w:vAlign w:val="center"/>
          </w:tcPr>
          <w:p w14:paraId="417597E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dBZ</w:t>
            </w:r>
          </w:p>
        </w:tc>
      </w:tr>
      <w:tr w14:paraId="01985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DCAE38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40</w:t>
            </w:r>
          </w:p>
        </w:tc>
        <w:tc>
          <w:tcPr>
            <w:tcW w:w="2272" w:type="pct"/>
            <w:vAlign w:val="center"/>
          </w:tcPr>
          <w:p w14:paraId="7B8881B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各水平极化单元峰值功率</w:t>
            </w:r>
          </w:p>
        </w:tc>
        <w:tc>
          <w:tcPr>
            <w:tcW w:w="2204" w:type="pct"/>
            <w:vAlign w:val="center"/>
          </w:tcPr>
          <w:p w14:paraId="3EE5667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w:t>
            </w:r>
          </w:p>
        </w:tc>
      </w:tr>
      <w:tr w14:paraId="1F6C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D74502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41</w:t>
            </w:r>
          </w:p>
        </w:tc>
        <w:tc>
          <w:tcPr>
            <w:tcW w:w="2272" w:type="pct"/>
            <w:vAlign w:val="center"/>
          </w:tcPr>
          <w:p w14:paraId="02341BC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各垂直极化单元峰值功率</w:t>
            </w:r>
          </w:p>
        </w:tc>
        <w:tc>
          <w:tcPr>
            <w:tcW w:w="2204" w:type="pct"/>
            <w:vAlign w:val="center"/>
          </w:tcPr>
          <w:p w14:paraId="241A48E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w:t>
            </w:r>
          </w:p>
        </w:tc>
      </w:tr>
      <w:tr w14:paraId="0849F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79C48D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42</w:t>
            </w:r>
          </w:p>
        </w:tc>
        <w:tc>
          <w:tcPr>
            <w:tcW w:w="2272" w:type="pct"/>
            <w:vAlign w:val="center"/>
          </w:tcPr>
          <w:p w14:paraId="31A2C3B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水平极化短脉冲宽度</w:t>
            </w:r>
          </w:p>
        </w:tc>
        <w:tc>
          <w:tcPr>
            <w:tcW w:w="2204" w:type="pct"/>
            <w:vAlign w:val="center"/>
          </w:tcPr>
          <w:p w14:paraId="4C3AD6A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μs</w:t>
            </w:r>
          </w:p>
        </w:tc>
      </w:tr>
      <w:tr w14:paraId="68A9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9B20D5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43</w:t>
            </w:r>
          </w:p>
        </w:tc>
        <w:tc>
          <w:tcPr>
            <w:tcW w:w="2272" w:type="pct"/>
            <w:vAlign w:val="center"/>
          </w:tcPr>
          <w:p w14:paraId="5EB76EF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水平极化中脉冲宽度</w:t>
            </w:r>
          </w:p>
        </w:tc>
        <w:tc>
          <w:tcPr>
            <w:tcW w:w="2204" w:type="pct"/>
            <w:vAlign w:val="center"/>
          </w:tcPr>
          <w:p w14:paraId="3E29E7A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μs</w:t>
            </w:r>
          </w:p>
        </w:tc>
      </w:tr>
      <w:tr w14:paraId="6BC4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795B39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44</w:t>
            </w:r>
          </w:p>
        </w:tc>
        <w:tc>
          <w:tcPr>
            <w:tcW w:w="2272" w:type="pct"/>
            <w:vAlign w:val="center"/>
          </w:tcPr>
          <w:p w14:paraId="2517E8A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水平极化长脉冲宽度</w:t>
            </w:r>
          </w:p>
        </w:tc>
        <w:tc>
          <w:tcPr>
            <w:tcW w:w="2204" w:type="pct"/>
            <w:vAlign w:val="center"/>
          </w:tcPr>
          <w:p w14:paraId="2144E9A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μs</w:t>
            </w:r>
          </w:p>
        </w:tc>
      </w:tr>
      <w:tr w14:paraId="13E5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E424AA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45</w:t>
            </w:r>
          </w:p>
        </w:tc>
        <w:tc>
          <w:tcPr>
            <w:tcW w:w="2272" w:type="pct"/>
            <w:vAlign w:val="center"/>
          </w:tcPr>
          <w:p w14:paraId="3037BC2B">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垂直极化短脉冲宽度</w:t>
            </w:r>
          </w:p>
        </w:tc>
        <w:tc>
          <w:tcPr>
            <w:tcW w:w="2204" w:type="pct"/>
            <w:vAlign w:val="center"/>
          </w:tcPr>
          <w:p w14:paraId="653A97F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μs</w:t>
            </w:r>
          </w:p>
        </w:tc>
      </w:tr>
      <w:tr w14:paraId="7ED4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59E7BC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46</w:t>
            </w:r>
          </w:p>
        </w:tc>
        <w:tc>
          <w:tcPr>
            <w:tcW w:w="2272" w:type="pct"/>
            <w:vAlign w:val="center"/>
          </w:tcPr>
          <w:p w14:paraId="0BFE925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垂直极化中脉冲宽度</w:t>
            </w:r>
          </w:p>
        </w:tc>
        <w:tc>
          <w:tcPr>
            <w:tcW w:w="2204" w:type="pct"/>
            <w:vAlign w:val="center"/>
          </w:tcPr>
          <w:p w14:paraId="4040539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μs</w:t>
            </w:r>
          </w:p>
        </w:tc>
      </w:tr>
      <w:tr w14:paraId="413C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F7AF3D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47</w:t>
            </w:r>
          </w:p>
        </w:tc>
        <w:tc>
          <w:tcPr>
            <w:tcW w:w="2272" w:type="pct"/>
            <w:vAlign w:val="center"/>
          </w:tcPr>
          <w:p w14:paraId="6AE9BE8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垂直极化长脉冲宽度</w:t>
            </w:r>
          </w:p>
        </w:tc>
        <w:tc>
          <w:tcPr>
            <w:tcW w:w="2204" w:type="pct"/>
            <w:vAlign w:val="center"/>
          </w:tcPr>
          <w:p w14:paraId="243FDE3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μs</w:t>
            </w:r>
          </w:p>
        </w:tc>
      </w:tr>
      <w:tr w14:paraId="41C6D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9ED9B0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48</w:t>
            </w:r>
          </w:p>
        </w:tc>
        <w:tc>
          <w:tcPr>
            <w:tcW w:w="2272" w:type="pct"/>
            <w:vAlign w:val="center"/>
          </w:tcPr>
          <w:p w14:paraId="0B60E66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水平极化短脉冲噪声系数</w:t>
            </w:r>
          </w:p>
        </w:tc>
        <w:tc>
          <w:tcPr>
            <w:tcW w:w="2204" w:type="pct"/>
            <w:vAlign w:val="center"/>
          </w:tcPr>
          <w:p w14:paraId="1F740A9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582B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45BA0C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49</w:t>
            </w:r>
          </w:p>
        </w:tc>
        <w:tc>
          <w:tcPr>
            <w:tcW w:w="2272" w:type="pct"/>
            <w:vAlign w:val="center"/>
          </w:tcPr>
          <w:p w14:paraId="4A349AC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水平极化中脉冲噪声系数</w:t>
            </w:r>
          </w:p>
        </w:tc>
        <w:tc>
          <w:tcPr>
            <w:tcW w:w="2204" w:type="pct"/>
            <w:vAlign w:val="center"/>
          </w:tcPr>
          <w:p w14:paraId="5F22E15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27F5C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0D8D77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50</w:t>
            </w:r>
          </w:p>
        </w:tc>
        <w:tc>
          <w:tcPr>
            <w:tcW w:w="2272" w:type="pct"/>
            <w:vAlign w:val="center"/>
          </w:tcPr>
          <w:p w14:paraId="39CFE82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水平极化长脉冲噪声系数</w:t>
            </w:r>
          </w:p>
        </w:tc>
        <w:tc>
          <w:tcPr>
            <w:tcW w:w="2204" w:type="pct"/>
            <w:vAlign w:val="center"/>
          </w:tcPr>
          <w:p w14:paraId="7809B87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4F538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1A0F643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51</w:t>
            </w:r>
          </w:p>
        </w:tc>
        <w:tc>
          <w:tcPr>
            <w:tcW w:w="2272" w:type="pct"/>
            <w:vAlign w:val="center"/>
          </w:tcPr>
          <w:p w14:paraId="5B836C1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垂直极化短脉冲噪声系数</w:t>
            </w:r>
          </w:p>
        </w:tc>
        <w:tc>
          <w:tcPr>
            <w:tcW w:w="2204" w:type="pct"/>
            <w:vAlign w:val="center"/>
          </w:tcPr>
          <w:p w14:paraId="5BD6825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23D06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1AC22A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52</w:t>
            </w:r>
          </w:p>
        </w:tc>
        <w:tc>
          <w:tcPr>
            <w:tcW w:w="2272" w:type="pct"/>
            <w:vAlign w:val="center"/>
          </w:tcPr>
          <w:p w14:paraId="53BA84C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垂直极化中脉冲噪声系数</w:t>
            </w:r>
          </w:p>
        </w:tc>
        <w:tc>
          <w:tcPr>
            <w:tcW w:w="2204" w:type="pct"/>
            <w:vAlign w:val="center"/>
          </w:tcPr>
          <w:p w14:paraId="3583FEB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1B6A3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C16691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53</w:t>
            </w:r>
          </w:p>
        </w:tc>
        <w:tc>
          <w:tcPr>
            <w:tcW w:w="2272" w:type="pct"/>
            <w:vAlign w:val="center"/>
          </w:tcPr>
          <w:p w14:paraId="52CA178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垂直极化长脉冲噪声系数</w:t>
            </w:r>
          </w:p>
        </w:tc>
        <w:tc>
          <w:tcPr>
            <w:tcW w:w="2204" w:type="pct"/>
            <w:vAlign w:val="center"/>
          </w:tcPr>
          <w:p w14:paraId="2DF497A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6484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4F37ED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54</w:t>
            </w:r>
          </w:p>
        </w:tc>
        <w:tc>
          <w:tcPr>
            <w:tcW w:w="2272" w:type="pct"/>
            <w:vAlign w:val="center"/>
          </w:tcPr>
          <w:p w14:paraId="1C56D1D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反射率因子期望值</w:t>
            </w:r>
          </w:p>
        </w:tc>
        <w:tc>
          <w:tcPr>
            <w:tcW w:w="2204" w:type="pct"/>
            <w:vAlign w:val="center"/>
          </w:tcPr>
          <w:p w14:paraId="49BCA14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dBZ</w:t>
            </w:r>
          </w:p>
        </w:tc>
      </w:tr>
      <w:tr w14:paraId="23B70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02E578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55</w:t>
            </w:r>
          </w:p>
        </w:tc>
        <w:tc>
          <w:tcPr>
            <w:tcW w:w="2272" w:type="pct"/>
            <w:vAlign w:val="center"/>
          </w:tcPr>
          <w:p w14:paraId="4CE1A8D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反射率因子测量值</w:t>
            </w:r>
          </w:p>
        </w:tc>
        <w:tc>
          <w:tcPr>
            <w:tcW w:w="2204" w:type="pct"/>
            <w:vAlign w:val="center"/>
          </w:tcPr>
          <w:p w14:paraId="0818350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dBZ</w:t>
            </w:r>
          </w:p>
        </w:tc>
      </w:tr>
      <w:tr w14:paraId="5B701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3ED44CC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56</w:t>
            </w:r>
          </w:p>
        </w:tc>
        <w:tc>
          <w:tcPr>
            <w:tcW w:w="2272" w:type="pct"/>
            <w:vAlign w:val="center"/>
          </w:tcPr>
          <w:p w14:paraId="71936B6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速度期望值</w:t>
            </w:r>
          </w:p>
        </w:tc>
        <w:tc>
          <w:tcPr>
            <w:tcW w:w="2204" w:type="pct"/>
            <w:vAlign w:val="center"/>
          </w:tcPr>
          <w:p w14:paraId="3F8B3B5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m/s</w:t>
            </w:r>
          </w:p>
        </w:tc>
      </w:tr>
      <w:tr w14:paraId="0617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621D84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57</w:t>
            </w:r>
          </w:p>
        </w:tc>
        <w:tc>
          <w:tcPr>
            <w:tcW w:w="2272" w:type="pct"/>
            <w:vAlign w:val="center"/>
          </w:tcPr>
          <w:p w14:paraId="0B735DA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速度测量值</w:t>
            </w:r>
          </w:p>
        </w:tc>
        <w:tc>
          <w:tcPr>
            <w:tcW w:w="2204" w:type="pct"/>
            <w:vAlign w:val="center"/>
          </w:tcPr>
          <w:p w14:paraId="63DBE61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m/s</w:t>
            </w:r>
          </w:p>
        </w:tc>
      </w:tr>
      <w:tr w14:paraId="03B2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24" w:type="pct"/>
            <w:vAlign w:val="center"/>
          </w:tcPr>
          <w:p w14:paraId="3BE1DB1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58</w:t>
            </w:r>
          </w:p>
        </w:tc>
        <w:tc>
          <w:tcPr>
            <w:tcW w:w="2272" w:type="pct"/>
            <w:vAlign w:val="center"/>
          </w:tcPr>
          <w:p w14:paraId="629F0A5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谱宽期望值</w:t>
            </w:r>
          </w:p>
        </w:tc>
        <w:tc>
          <w:tcPr>
            <w:tcW w:w="2204" w:type="pct"/>
            <w:vAlign w:val="center"/>
          </w:tcPr>
          <w:p w14:paraId="0A5BED7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m/s</w:t>
            </w:r>
          </w:p>
        </w:tc>
      </w:tr>
      <w:tr w14:paraId="02653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7B3DA31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59</w:t>
            </w:r>
          </w:p>
        </w:tc>
        <w:tc>
          <w:tcPr>
            <w:tcW w:w="2272" w:type="pct"/>
            <w:vAlign w:val="center"/>
          </w:tcPr>
          <w:p w14:paraId="06A78B9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谱宽测量值</w:t>
            </w:r>
          </w:p>
        </w:tc>
        <w:tc>
          <w:tcPr>
            <w:tcW w:w="2204" w:type="pct"/>
            <w:vAlign w:val="center"/>
          </w:tcPr>
          <w:p w14:paraId="64A3FE7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m/s</w:t>
            </w:r>
          </w:p>
        </w:tc>
      </w:tr>
      <w:tr w14:paraId="522A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7F20772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60</w:t>
            </w:r>
          </w:p>
        </w:tc>
        <w:tc>
          <w:tcPr>
            <w:tcW w:w="2272" w:type="pct"/>
            <w:vAlign w:val="center"/>
          </w:tcPr>
          <w:p w14:paraId="1B876DB5">
            <w:pPr>
              <w:widowControl/>
              <w:spacing w:line="360" w:lineRule="auto"/>
              <w:ind w:left="105" w:leftChars="50"/>
              <w:rPr>
                <w:color w:val="auto"/>
                <w:kern w:val="0"/>
                <w:sz w:val="24"/>
                <w:szCs w:val="24"/>
                <w:highlight w:val="none"/>
              </w:rPr>
            </w:pPr>
            <w:r>
              <w:rPr>
                <w:snapToGrid w:val="0"/>
                <w:color w:val="auto"/>
                <w:kern w:val="0"/>
                <w:sz w:val="24"/>
                <w:szCs w:val="24"/>
                <w:highlight w:val="none"/>
              </w:rPr>
              <w:t>ZDR</w:t>
            </w:r>
            <w:r>
              <w:rPr>
                <w:rFonts w:hint="eastAsia"/>
                <w:color w:val="auto"/>
                <w:kern w:val="0"/>
                <w:sz w:val="24"/>
                <w:szCs w:val="24"/>
                <w:highlight w:val="none"/>
              </w:rPr>
              <w:t>标定值</w:t>
            </w:r>
          </w:p>
        </w:tc>
        <w:tc>
          <w:tcPr>
            <w:tcW w:w="2204" w:type="pct"/>
            <w:vAlign w:val="center"/>
          </w:tcPr>
          <w:p w14:paraId="35888A34">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4706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4AE38A7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61</w:t>
            </w:r>
          </w:p>
        </w:tc>
        <w:tc>
          <w:tcPr>
            <w:tcW w:w="2272" w:type="pct"/>
            <w:vAlign w:val="center"/>
          </w:tcPr>
          <w:p w14:paraId="1643C1DD">
            <w:pPr>
              <w:widowControl/>
              <w:spacing w:line="360" w:lineRule="auto"/>
              <w:ind w:left="105" w:leftChars="50"/>
              <w:rPr>
                <w:color w:val="auto"/>
                <w:kern w:val="0"/>
                <w:sz w:val="24"/>
                <w:szCs w:val="24"/>
                <w:highlight w:val="none"/>
              </w:rPr>
            </w:pPr>
            <w:r>
              <w:rPr>
                <w:snapToGrid w:val="0"/>
                <w:color w:val="auto"/>
                <w:kern w:val="0"/>
                <w:sz w:val="24"/>
                <w:szCs w:val="24"/>
                <w:highlight w:val="none"/>
              </w:rPr>
              <w:t>ΦDP</w:t>
            </w:r>
            <w:r>
              <w:rPr>
                <w:rFonts w:hint="eastAsia"/>
                <w:color w:val="auto"/>
                <w:kern w:val="0"/>
                <w:sz w:val="24"/>
                <w:szCs w:val="24"/>
                <w:highlight w:val="none"/>
              </w:rPr>
              <w:t>标定值</w:t>
            </w:r>
          </w:p>
        </w:tc>
        <w:tc>
          <w:tcPr>
            <w:tcW w:w="2204" w:type="pct"/>
            <w:vAlign w:val="center"/>
          </w:tcPr>
          <w:p w14:paraId="4070EB7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t>
            </w:r>
          </w:p>
        </w:tc>
      </w:tr>
      <w:tr w14:paraId="4F36B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4D28C7C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62</w:t>
            </w:r>
          </w:p>
        </w:tc>
        <w:tc>
          <w:tcPr>
            <w:tcW w:w="2272" w:type="pct"/>
            <w:vAlign w:val="center"/>
          </w:tcPr>
          <w:p w14:paraId="3085747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短脉冲系统标定常数</w:t>
            </w:r>
          </w:p>
        </w:tc>
        <w:tc>
          <w:tcPr>
            <w:tcW w:w="2204" w:type="pct"/>
            <w:vAlign w:val="center"/>
          </w:tcPr>
          <w:p w14:paraId="0AD2ACA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48E09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096C27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63</w:t>
            </w:r>
          </w:p>
        </w:tc>
        <w:tc>
          <w:tcPr>
            <w:tcW w:w="2272" w:type="pct"/>
            <w:vAlign w:val="center"/>
          </w:tcPr>
          <w:p w14:paraId="32B037C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中脉冲系统标定常数</w:t>
            </w:r>
          </w:p>
        </w:tc>
        <w:tc>
          <w:tcPr>
            <w:tcW w:w="2204" w:type="pct"/>
            <w:vAlign w:val="center"/>
          </w:tcPr>
          <w:p w14:paraId="2D58F5F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631C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B4641B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64</w:t>
            </w:r>
          </w:p>
        </w:tc>
        <w:tc>
          <w:tcPr>
            <w:tcW w:w="2272" w:type="pct"/>
            <w:vAlign w:val="center"/>
          </w:tcPr>
          <w:p w14:paraId="015322D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长脉冲系统标定常数</w:t>
            </w:r>
          </w:p>
        </w:tc>
        <w:tc>
          <w:tcPr>
            <w:tcW w:w="2204" w:type="pct"/>
            <w:vAlign w:val="center"/>
          </w:tcPr>
          <w:p w14:paraId="6D6BFED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50C95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EBAC29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65</w:t>
            </w:r>
          </w:p>
        </w:tc>
        <w:tc>
          <w:tcPr>
            <w:tcW w:w="2272" w:type="pct"/>
            <w:vAlign w:val="center"/>
          </w:tcPr>
          <w:p w14:paraId="3DC8EC2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其他脉冲宽度系统标定常数</w:t>
            </w:r>
          </w:p>
        </w:tc>
        <w:tc>
          <w:tcPr>
            <w:tcW w:w="2204" w:type="pct"/>
            <w:vAlign w:val="center"/>
          </w:tcPr>
          <w:p w14:paraId="6019972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2C5F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694E0D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66</w:t>
            </w:r>
          </w:p>
        </w:tc>
        <w:tc>
          <w:tcPr>
            <w:tcW w:w="2272" w:type="pct"/>
            <w:vAlign w:val="center"/>
          </w:tcPr>
          <w:p w14:paraId="288175D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各发射单元幅度</w:t>
            </w:r>
          </w:p>
        </w:tc>
        <w:tc>
          <w:tcPr>
            <w:tcW w:w="2204" w:type="pct"/>
            <w:vAlign w:val="center"/>
          </w:tcPr>
          <w:p w14:paraId="099175C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5022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721A4B0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67</w:t>
            </w:r>
          </w:p>
        </w:tc>
        <w:tc>
          <w:tcPr>
            <w:tcW w:w="2272" w:type="pct"/>
            <w:vAlign w:val="center"/>
          </w:tcPr>
          <w:p w14:paraId="75BCC69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各发射单元相位</w:t>
            </w:r>
          </w:p>
        </w:tc>
        <w:tc>
          <w:tcPr>
            <w:tcW w:w="2204" w:type="pct"/>
            <w:vAlign w:val="center"/>
          </w:tcPr>
          <w:p w14:paraId="661BB605">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p>
        </w:tc>
      </w:tr>
      <w:tr w14:paraId="43792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050E9A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68</w:t>
            </w:r>
          </w:p>
        </w:tc>
        <w:tc>
          <w:tcPr>
            <w:tcW w:w="2272" w:type="pct"/>
            <w:vAlign w:val="center"/>
          </w:tcPr>
          <w:p w14:paraId="1B21123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各接收单元幅度</w:t>
            </w:r>
          </w:p>
        </w:tc>
        <w:tc>
          <w:tcPr>
            <w:tcW w:w="2204" w:type="pct"/>
            <w:vAlign w:val="center"/>
          </w:tcPr>
          <w:p w14:paraId="5EC4EB0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1D3D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A17C3F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69</w:t>
            </w:r>
          </w:p>
        </w:tc>
        <w:tc>
          <w:tcPr>
            <w:tcW w:w="2272" w:type="pct"/>
            <w:vAlign w:val="center"/>
          </w:tcPr>
          <w:p w14:paraId="1CC48AC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各接收单元相位</w:t>
            </w:r>
          </w:p>
        </w:tc>
        <w:tc>
          <w:tcPr>
            <w:tcW w:w="2204" w:type="pct"/>
            <w:vAlign w:val="center"/>
          </w:tcPr>
          <w:p w14:paraId="3B0DD8A7">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p>
        </w:tc>
      </w:tr>
      <w:tr w14:paraId="21936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54CCCCA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70</w:t>
            </w:r>
          </w:p>
        </w:tc>
        <w:tc>
          <w:tcPr>
            <w:tcW w:w="2272" w:type="pct"/>
            <w:vAlign w:val="center"/>
          </w:tcPr>
          <w:p w14:paraId="4FD4338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水平极化系统发射功率</w:t>
            </w:r>
          </w:p>
        </w:tc>
        <w:tc>
          <w:tcPr>
            <w:tcW w:w="2204" w:type="pct"/>
            <w:vAlign w:val="center"/>
          </w:tcPr>
          <w:p w14:paraId="1AC8B9FA">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w:t>
            </w:r>
          </w:p>
        </w:tc>
      </w:tr>
      <w:tr w14:paraId="61B94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2E8AAEF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71</w:t>
            </w:r>
          </w:p>
        </w:tc>
        <w:tc>
          <w:tcPr>
            <w:tcW w:w="2272" w:type="pct"/>
            <w:vAlign w:val="center"/>
          </w:tcPr>
          <w:p w14:paraId="196743AD">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垂直极化系统发射功率</w:t>
            </w:r>
          </w:p>
        </w:tc>
        <w:tc>
          <w:tcPr>
            <w:tcW w:w="2204" w:type="pct"/>
            <w:vAlign w:val="center"/>
          </w:tcPr>
          <w:p w14:paraId="299C06A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W</w:t>
            </w:r>
          </w:p>
        </w:tc>
      </w:tr>
      <w:tr w14:paraId="13AE7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1B31CFA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72</w:t>
            </w:r>
          </w:p>
        </w:tc>
        <w:tc>
          <w:tcPr>
            <w:tcW w:w="2272" w:type="pct"/>
            <w:vAlign w:val="center"/>
          </w:tcPr>
          <w:p w14:paraId="60F721C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水平极化系统接收增益</w:t>
            </w:r>
          </w:p>
        </w:tc>
        <w:tc>
          <w:tcPr>
            <w:tcW w:w="2204" w:type="pct"/>
            <w:vAlign w:val="center"/>
          </w:tcPr>
          <w:p w14:paraId="03D8151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6AF31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24" w:type="pct"/>
            <w:vAlign w:val="center"/>
          </w:tcPr>
          <w:p w14:paraId="26BE7F0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73</w:t>
            </w:r>
          </w:p>
        </w:tc>
        <w:tc>
          <w:tcPr>
            <w:tcW w:w="2272" w:type="pct"/>
            <w:vAlign w:val="center"/>
          </w:tcPr>
          <w:p w14:paraId="751B8D7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垂直极化系统接收增益</w:t>
            </w:r>
          </w:p>
        </w:tc>
        <w:tc>
          <w:tcPr>
            <w:tcW w:w="2204" w:type="pct"/>
            <w:vAlign w:val="center"/>
          </w:tcPr>
          <w:p w14:paraId="3D0E5C2E">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7F94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BC5CB2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74</w:t>
            </w:r>
          </w:p>
        </w:tc>
        <w:tc>
          <w:tcPr>
            <w:tcW w:w="2272" w:type="pct"/>
            <w:vAlign w:val="center"/>
          </w:tcPr>
          <w:p w14:paraId="3E0EE989">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各水平极化单元相位噪声</w:t>
            </w:r>
          </w:p>
        </w:tc>
        <w:tc>
          <w:tcPr>
            <w:tcW w:w="2204" w:type="pct"/>
            <w:vAlign w:val="center"/>
          </w:tcPr>
          <w:p w14:paraId="5D221538">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p>
        </w:tc>
      </w:tr>
      <w:tr w14:paraId="52A3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0E73920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75</w:t>
            </w:r>
          </w:p>
        </w:tc>
        <w:tc>
          <w:tcPr>
            <w:tcW w:w="2272" w:type="pct"/>
            <w:vAlign w:val="center"/>
          </w:tcPr>
          <w:p w14:paraId="02B65431">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各垂直极化单元相位噪声</w:t>
            </w:r>
          </w:p>
        </w:tc>
        <w:tc>
          <w:tcPr>
            <w:tcW w:w="2204" w:type="pct"/>
            <w:vAlign w:val="center"/>
          </w:tcPr>
          <w:p w14:paraId="27C88503">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p>
        </w:tc>
      </w:tr>
      <w:tr w14:paraId="1A4D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24" w:type="pct"/>
            <w:vAlign w:val="center"/>
          </w:tcPr>
          <w:p w14:paraId="695EE29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76</w:t>
            </w:r>
          </w:p>
        </w:tc>
        <w:tc>
          <w:tcPr>
            <w:tcW w:w="2272" w:type="pct"/>
            <w:vAlign w:val="center"/>
          </w:tcPr>
          <w:p w14:paraId="78280C80">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各水平极化单元不同脉宽噪声电平</w:t>
            </w:r>
          </w:p>
        </w:tc>
        <w:tc>
          <w:tcPr>
            <w:tcW w:w="2204" w:type="pct"/>
            <w:vAlign w:val="center"/>
          </w:tcPr>
          <w:p w14:paraId="3374938C">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r w14:paraId="76383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24" w:type="pct"/>
            <w:vAlign w:val="center"/>
          </w:tcPr>
          <w:p w14:paraId="1B80072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77</w:t>
            </w:r>
          </w:p>
        </w:tc>
        <w:tc>
          <w:tcPr>
            <w:tcW w:w="2272" w:type="pct"/>
            <w:vAlign w:val="center"/>
          </w:tcPr>
          <w:p w14:paraId="199FF2EF">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各垂直极化单元不同脉宽噪声电平</w:t>
            </w:r>
          </w:p>
        </w:tc>
        <w:tc>
          <w:tcPr>
            <w:tcW w:w="2204" w:type="pct"/>
            <w:vAlign w:val="center"/>
          </w:tcPr>
          <w:p w14:paraId="28378D66">
            <w:pPr>
              <w:widowControl/>
              <w:kinsoku w:val="0"/>
              <w:autoSpaceDE w:val="0"/>
              <w:autoSpaceDN w:val="0"/>
              <w:adjustRightInd w:val="0"/>
              <w:snapToGrid w:val="0"/>
              <w:spacing w:line="360" w:lineRule="auto"/>
              <w:ind w:left="105" w:leftChars="50"/>
              <w:textAlignment w:val="baseline"/>
              <w:rPr>
                <w:color w:val="auto"/>
                <w:kern w:val="0"/>
                <w:sz w:val="24"/>
                <w:szCs w:val="24"/>
                <w:highlight w:val="none"/>
              </w:rPr>
            </w:pPr>
            <w:r>
              <w:rPr>
                <w:rFonts w:hint="eastAsia"/>
                <w:color w:val="auto"/>
                <w:kern w:val="0"/>
                <w:sz w:val="24"/>
                <w:szCs w:val="24"/>
                <w:highlight w:val="none"/>
              </w:rPr>
              <w:t>单位：</w:t>
            </w:r>
            <w:r>
              <w:rPr>
                <w:color w:val="auto"/>
                <w:kern w:val="0"/>
                <w:sz w:val="24"/>
                <w:szCs w:val="24"/>
                <w:highlight w:val="none"/>
              </w:rPr>
              <w:t>dB</w:t>
            </w:r>
          </w:p>
        </w:tc>
      </w:tr>
    </w:tbl>
    <w:p w14:paraId="6661A8F4">
      <w:pPr>
        <w:tabs>
          <w:tab w:val="left" w:pos="2340"/>
        </w:tabs>
        <w:spacing w:line="360" w:lineRule="auto"/>
        <w:ind w:firstLine="482"/>
        <w:rPr>
          <w:b/>
          <w:color w:val="auto"/>
          <w:sz w:val="24"/>
          <w:szCs w:val="24"/>
          <w:highlight w:val="none"/>
        </w:rPr>
      </w:pPr>
      <w:bookmarkStart w:id="118" w:name="bookmark26"/>
      <w:bookmarkEnd w:id="118"/>
      <w:r>
        <w:rPr>
          <w:b/>
          <w:color w:val="auto"/>
          <w:sz w:val="24"/>
          <w:szCs w:val="24"/>
          <w:highlight w:val="none"/>
        </w:rPr>
        <w:t>2.</w:t>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9气象产品要求</w:t>
      </w:r>
    </w:p>
    <w:p w14:paraId="4B9B8F40">
      <w:pPr>
        <w:tabs>
          <w:tab w:val="left" w:pos="2340"/>
        </w:tabs>
        <w:spacing w:line="360" w:lineRule="auto"/>
        <w:ind w:firstLine="480"/>
        <w:rPr>
          <w:bCs/>
          <w:color w:val="auto"/>
          <w:sz w:val="24"/>
          <w:szCs w:val="24"/>
          <w:highlight w:val="none"/>
        </w:rPr>
      </w:pPr>
      <w:r>
        <w:rPr>
          <w:rFonts w:hint="eastAsia"/>
          <w:bCs/>
          <w:color w:val="auto"/>
          <w:sz w:val="24"/>
          <w:szCs w:val="24"/>
          <w:highlight w:val="none"/>
        </w:rPr>
        <w:t>（</w:t>
      </w:r>
      <w:r>
        <w:rPr>
          <w:bCs/>
          <w:color w:val="auto"/>
          <w:sz w:val="24"/>
          <w:szCs w:val="24"/>
          <w:highlight w:val="none"/>
        </w:rPr>
        <w:t>1</w:t>
      </w:r>
      <w:r>
        <w:rPr>
          <w:rFonts w:hint="eastAsia"/>
          <w:bCs/>
          <w:color w:val="auto"/>
          <w:sz w:val="24"/>
          <w:szCs w:val="24"/>
          <w:highlight w:val="none"/>
        </w:rPr>
        <w:t>）数据质量控制</w:t>
      </w:r>
    </w:p>
    <w:p w14:paraId="29D378B2">
      <w:pPr>
        <w:tabs>
          <w:tab w:val="left" w:pos="2340"/>
        </w:tabs>
        <w:spacing w:line="360" w:lineRule="auto"/>
        <w:ind w:firstLine="480"/>
        <w:rPr>
          <w:bCs/>
          <w:color w:val="auto"/>
          <w:sz w:val="24"/>
          <w:szCs w:val="24"/>
          <w:highlight w:val="none"/>
        </w:rPr>
      </w:pPr>
      <w:r>
        <w:rPr>
          <w:rFonts w:hint="eastAsia"/>
          <w:bCs/>
          <w:color w:val="auto"/>
          <w:sz w:val="24"/>
          <w:szCs w:val="24"/>
          <w:highlight w:val="none"/>
        </w:rPr>
        <w:t>质量控制算法不少于</w:t>
      </w:r>
      <w:r>
        <w:rPr>
          <w:bCs/>
          <w:color w:val="auto"/>
          <w:sz w:val="24"/>
          <w:szCs w:val="24"/>
          <w:highlight w:val="none"/>
        </w:rPr>
        <w:t>7</w:t>
      </w:r>
      <w:r>
        <w:rPr>
          <w:rFonts w:hint="eastAsia"/>
          <w:bCs/>
          <w:color w:val="auto"/>
          <w:sz w:val="24"/>
          <w:szCs w:val="24"/>
          <w:highlight w:val="none"/>
        </w:rPr>
        <w:t>种，利用不少于</w:t>
      </w:r>
      <w:r>
        <w:rPr>
          <w:bCs/>
          <w:color w:val="auto"/>
          <w:sz w:val="24"/>
          <w:szCs w:val="24"/>
          <w:highlight w:val="none"/>
        </w:rPr>
        <w:t>3</w:t>
      </w:r>
      <w:r>
        <w:rPr>
          <w:rFonts w:hint="eastAsia"/>
          <w:bCs/>
          <w:color w:val="auto"/>
          <w:sz w:val="24"/>
          <w:szCs w:val="24"/>
          <w:highlight w:val="none"/>
        </w:rPr>
        <w:t>年的雷达标准数据集进行评估，算法质量需满足指标要求，具体见表10。</w:t>
      </w:r>
    </w:p>
    <w:p w14:paraId="30CA1477">
      <w:pPr>
        <w:widowControl/>
        <w:kinsoku w:val="0"/>
        <w:autoSpaceDE w:val="0"/>
        <w:autoSpaceDN w:val="0"/>
        <w:adjustRightInd w:val="0"/>
        <w:snapToGrid w:val="0"/>
        <w:spacing w:line="360" w:lineRule="auto"/>
        <w:jc w:val="center"/>
        <w:textAlignment w:val="baseline"/>
        <w:rPr>
          <w:b/>
          <w:bCs/>
          <w:color w:val="auto"/>
          <w:sz w:val="24"/>
          <w:szCs w:val="24"/>
          <w:highlight w:val="none"/>
        </w:rPr>
      </w:pPr>
      <w:r>
        <w:rPr>
          <w:rFonts w:hint="eastAsia"/>
          <w:b/>
          <w:bCs/>
          <w:color w:val="auto"/>
          <w:spacing w:val="-6"/>
          <w:sz w:val="24"/>
          <w:szCs w:val="24"/>
          <w:highlight w:val="none"/>
        </w:rPr>
        <w:t>表10</w:t>
      </w:r>
      <w:r>
        <w:rPr>
          <w:b/>
          <w:bCs/>
          <w:color w:val="auto"/>
          <w:spacing w:val="-6"/>
          <w:sz w:val="24"/>
          <w:szCs w:val="24"/>
          <w:highlight w:val="none"/>
        </w:rPr>
        <w:t xml:space="preserve"> </w:t>
      </w:r>
      <w:r>
        <w:rPr>
          <w:rFonts w:hint="eastAsia"/>
          <w:b/>
          <w:bCs/>
          <w:color w:val="auto"/>
          <w:spacing w:val="-6"/>
          <w:sz w:val="24"/>
          <w:szCs w:val="24"/>
          <w:highlight w:val="none"/>
        </w:rPr>
        <w:t>质控算法列表</w:t>
      </w:r>
    </w:p>
    <w:tbl>
      <w:tblPr>
        <w:tblStyle w:val="48"/>
        <w:tblW w:w="506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16"/>
        <w:gridCol w:w="3751"/>
        <w:gridCol w:w="3852"/>
      </w:tblGrid>
      <w:tr w14:paraId="780C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485" w:type="pct"/>
            <w:vAlign w:val="center"/>
          </w:tcPr>
          <w:p w14:paraId="537FDDDD">
            <w:pPr>
              <w:widowControl/>
              <w:kinsoku w:val="0"/>
              <w:autoSpaceDE w:val="0"/>
              <w:autoSpaceDN w:val="0"/>
              <w:adjustRightInd w:val="0"/>
              <w:snapToGrid w:val="0"/>
              <w:spacing w:line="360" w:lineRule="auto"/>
              <w:jc w:val="center"/>
              <w:textAlignment w:val="baseline"/>
              <w:rPr>
                <w:b/>
                <w:bCs/>
                <w:color w:val="auto"/>
                <w:kern w:val="0"/>
                <w:sz w:val="24"/>
                <w:szCs w:val="24"/>
                <w:highlight w:val="none"/>
              </w:rPr>
            </w:pPr>
            <w:r>
              <w:rPr>
                <w:rFonts w:hint="eastAsia"/>
                <w:b/>
                <w:bCs/>
                <w:color w:val="auto"/>
                <w:kern w:val="0"/>
                <w:sz w:val="24"/>
                <w:szCs w:val="24"/>
                <w:highlight w:val="none"/>
              </w:rPr>
              <w:t>序号</w:t>
            </w:r>
          </w:p>
        </w:tc>
        <w:tc>
          <w:tcPr>
            <w:tcW w:w="2227" w:type="pct"/>
            <w:vAlign w:val="center"/>
          </w:tcPr>
          <w:p w14:paraId="6B6F4FCF">
            <w:pPr>
              <w:widowControl/>
              <w:kinsoku w:val="0"/>
              <w:autoSpaceDE w:val="0"/>
              <w:autoSpaceDN w:val="0"/>
              <w:adjustRightInd w:val="0"/>
              <w:snapToGrid w:val="0"/>
              <w:spacing w:line="360" w:lineRule="auto"/>
              <w:jc w:val="center"/>
              <w:textAlignment w:val="baseline"/>
              <w:rPr>
                <w:b/>
                <w:bCs/>
                <w:color w:val="auto"/>
                <w:kern w:val="0"/>
                <w:sz w:val="24"/>
                <w:szCs w:val="24"/>
                <w:highlight w:val="none"/>
              </w:rPr>
            </w:pPr>
            <w:r>
              <w:rPr>
                <w:rFonts w:hint="eastAsia"/>
                <w:b/>
                <w:bCs/>
                <w:color w:val="auto"/>
                <w:kern w:val="0"/>
                <w:sz w:val="24"/>
                <w:szCs w:val="24"/>
                <w:highlight w:val="none"/>
              </w:rPr>
              <w:t>算法名称</w:t>
            </w:r>
          </w:p>
        </w:tc>
        <w:tc>
          <w:tcPr>
            <w:tcW w:w="2287" w:type="pct"/>
            <w:vAlign w:val="center"/>
          </w:tcPr>
          <w:p w14:paraId="2855A0F3">
            <w:pPr>
              <w:widowControl/>
              <w:kinsoku w:val="0"/>
              <w:autoSpaceDE w:val="0"/>
              <w:autoSpaceDN w:val="0"/>
              <w:adjustRightInd w:val="0"/>
              <w:snapToGrid w:val="0"/>
              <w:spacing w:line="360" w:lineRule="auto"/>
              <w:jc w:val="center"/>
              <w:textAlignment w:val="baseline"/>
              <w:rPr>
                <w:b/>
                <w:bCs/>
                <w:color w:val="auto"/>
                <w:kern w:val="0"/>
                <w:sz w:val="24"/>
                <w:szCs w:val="24"/>
                <w:highlight w:val="none"/>
              </w:rPr>
            </w:pPr>
            <w:r>
              <w:rPr>
                <w:rFonts w:hint="eastAsia"/>
                <w:b/>
                <w:bCs/>
                <w:color w:val="auto"/>
                <w:kern w:val="0"/>
                <w:sz w:val="24"/>
                <w:szCs w:val="24"/>
                <w:highlight w:val="none"/>
              </w:rPr>
              <w:t>指标要求</w:t>
            </w:r>
          </w:p>
        </w:tc>
      </w:tr>
      <w:tr w14:paraId="09EC0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85" w:type="pct"/>
            <w:vAlign w:val="center"/>
          </w:tcPr>
          <w:p w14:paraId="0E0DA8B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w:t>
            </w:r>
          </w:p>
        </w:tc>
        <w:tc>
          <w:tcPr>
            <w:tcW w:w="2227" w:type="pct"/>
            <w:vAlign w:val="center"/>
          </w:tcPr>
          <w:p w14:paraId="3D0E121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反射率因子衰减订正</w:t>
            </w:r>
          </w:p>
        </w:tc>
        <w:tc>
          <w:tcPr>
            <w:tcW w:w="2287" w:type="pct"/>
            <w:vAlign w:val="center"/>
          </w:tcPr>
          <w:p w14:paraId="5FD8597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衰减订正后，与相邻</w:t>
            </w:r>
            <w:r>
              <w:rPr>
                <w:color w:val="auto"/>
                <w:kern w:val="0"/>
                <w:sz w:val="24"/>
                <w:szCs w:val="24"/>
                <w:highlight w:val="none"/>
              </w:rPr>
              <w:t>S</w:t>
            </w:r>
            <w:r>
              <w:rPr>
                <w:rFonts w:hint="eastAsia"/>
                <w:color w:val="auto"/>
                <w:kern w:val="0"/>
                <w:sz w:val="24"/>
                <w:szCs w:val="24"/>
                <w:highlight w:val="none"/>
              </w:rPr>
              <w:t>波段雷达相比平均偏差≤</w:t>
            </w:r>
            <w:r>
              <w:rPr>
                <w:color w:val="auto"/>
                <w:kern w:val="0"/>
                <w:sz w:val="24"/>
                <w:szCs w:val="24"/>
                <w:highlight w:val="none"/>
              </w:rPr>
              <w:t>2.5dB</w:t>
            </w:r>
          </w:p>
        </w:tc>
      </w:tr>
      <w:tr w14:paraId="3D49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85" w:type="pct"/>
            <w:vAlign w:val="center"/>
          </w:tcPr>
          <w:p w14:paraId="3E8EF02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w:t>
            </w:r>
          </w:p>
        </w:tc>
        <w:tc>
          <w:tcPr>
            <w:tcW w:w="2227" w:type="pct"/>
            <w:vAlign w:val="center"/>
          </w:tcPr>
          <w:p w14:paraId="0CA0D8F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差分反射率因子衰减订正</w:t>
            </w:r>
          </w:p>
        </w:tc>
        <w:tc>
          <w:tcPr>
            <w:tcW w:w="2287" w:type="pct"/>
            <w:vAlign w:val="center"/>
          </w:tcPr>
          <w:p w14:paraId="11B08E2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衰减订正后，与相邻</w:t>
            </w:r>
            <w:r>
              <w:rPr>
                <w:color w:val="auto"/>
                <w:kern w:val="0"/>
                <w:sz w:val="24"/>
                <w:szCs w:val="24"/>
                <w:highlight w:val="none"/>
              </w:rPr>
              <w:t>S</w:t>
            </w:r>
            <w:r>
              <w:rPr>
                <w:rFonts w:hint="eastAsia"/>
                <w:color w:val="auto"/>
                <w:kern w:val="0"/>
                <w:sz w:val="24"/>
                <w:szCs w:val="24"/>
                <w:highlight w:val="none"/>
              </w:rPr>
              <w:t>波段雷达相比平均偏差≤</w:t>
            </w:r>
            <w:r>
              <w:rPr>
                <w:color w:val="auto"/>
                <w:kern w:val="0"/>
                <w:sz w:val="24"/>
                <w:szCs w:val="24"/>
                <w:highlight w:val="none"/>
              </w:rPr>
              <w:t>0.5dB</w:t>
            </w:r>
          </w:p>
        </w:tc>
      </w:tr>
      <w:tr w14:paraId="7D45B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85" w:type="pct"/>
            <w:vAlign w:val="center"/>
          </w:tcPr>
          <w:p w14:paraId="540CD1F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w:t>
            </w:r>
          </w:p>
        </w:tc>
        <w:tc>
          <w:tcPr>
            <w:tcW w:w="2227" w:type="pct"/>
            <w:vAlign w:val="center"/>
          </w:tcPr>
          <w:p w14:paraId="0ADF808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地物、超折射、海浪等非降水回波消除</w:t>
            </w:r>
          </w:p>
        </w:tc>
        <w:tc>
          <w:tcPr>
            <w:tcW w:w="2287" w:type="pct"/>
            <w:vAlign w:val="center"/>
          </w:tcPr>
          <w:p w14:paraId="3B53147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非降水回波识别准确率≥</w:t>
            </w:r>
            <w:r>
              <w:rPr>
                <w:color w:val="auto"/>
                <w:kern w:val="0"/>
                <w:sz w:val="24"/>
                <w:szCs w:val="24"/>
                <w:highlight w:val="none"/>
              </w:rPr>
              <w:t>90%</w:t>
            </w:r>
            <w:r>
              <w:rPr>
                <w:rFonts w:hint="eastAsia"/>
                <w:color w:val="auto"/>
                <w:kern w:val="0"/>
                <w:sz w:val="24"/>
                <w:szCs w:val="24"/>
                <w:highlight w:val="none"/>
              </w:rPr>
              <w:t>，且降水回波误判率≤</w:t>
            </w:r>
            <w:r>
              <w:rPr>
                <w:color w:val="auto"/>
                <w:kern w:val="0"/>
                <w:sz w:val="24"/>
                <w:szCs w:val="24"/>
                <w:highlight w:val="none"/>
              </w:rPr>
              <w:t>5%</w:t>
            </w:r>
          </w:p>
        </w:tc>
      </w:tr>
      <w:tr w14:paraId="220BB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85" w:type="pct"/>
            <w:vAlign w:val="center"/>
          </w:tcPr>
          <w:p w14:paraId="769EB81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w:t>
            </w:r>
          </w:p>
        </w:tc>
        <w:tc>
          <w:tcPr>
            <w:tcW w:w="2227" w:type="pct"/>
            <w:vAlign w:val="center"/>
          </w:tcPr>
          <w:p w14:paraId="420A3D5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径向干扰剔除</w:t>
            </w:r>
          </w:p>
        </w:tc>
        <w:tc>
          <w:tcPr>
            <w:tcW w:w="2287" w:type="pct"/>
            <w:vAlign w:val="center"/>
          </w:tcPr>
          <w:p w14:paraId="1DDF7EA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径向干扰识别准确率≥</w:t>
            </w:r>
            <w:r>
              <w:rPr>
                <w:color w:val="auto"/>
                <w:kern w:val="0"/>
                <w:sz w:val="24"/>
                <w:szCs w:val="24"/>
                <w:highlight w:val="none"/>
              </w:rPr>
              <w:t>90%</w:t>
            </w:r>
            <w:r>
              <w:rPr>
                <w:rFonts w:hint="eastAsia"/>
                <w:color w:val="auto"/>
                <w:kern w:val="0"/>
                <w:sz w:val="24"/>
                <w:szCs w:val="24"/>
                <w:highlight w:val="none"/>
              </w:rPr>
              <w:t>，且降水回波误判率≤</w:t>
            </w:r>
            <w:r>
              <w:rPr>
                <w:color w:val="auto"/>
                <w:kern w:val="0"/>
                <w:sz w:val="24"/>
                <w:szCs w:val="24"/>
                <w:highlight w:val="none"/>
              </w:rPr>
              <w:t>5%</w:t>
            </w:r>
          </w:p>
        </w:tc>
      </w:tr>
      <w:tr w14:paraId="62A0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85" w:type="pct"/>
            <w:vAlign w:val="center"/>
          </w:tcPr>
          <w:p w14:paraId="3695E33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w:t>
            </w:r>
          </w:p>
        </w:tc>
        <w:tc>
          <w:tcPr>
            <w:tcW w:w="2227" w:type="pct"/>
            <w:vAlign w:val="center"/>
          </w:tcPr>
          <w:p w14:paraId="2F3BCA3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径向速度退模糊</w:t>
            </w:r>
          </w:p>
        </w:tc>
        <w:tc>
          <w:tcPr>
            <w:tcW w:w="2287" w:type="pct"/>
            <w:vAlign w:val="center"/>
          </w:tcPr>
          <w:p w14:paraId="23C89FA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速度退模糊正确率≥</w:t>
            </w:r>
            <w:r>
              <w:rPr>
                <w:color w:val="auto"/>
                <w:kern w:val="0"/>
                <w:sz w:val="24"/>
                <w:szCs w:val="24"/>
                <w:highlight w:val="none"/>
              </w:rPr>
              <w:t>90%</w:t>
            </w:r>
            <w:r>
              <w:rPr>
                <w:rFonts w:hint="eastAsia"/>
                <w:color w:val="auto"/>
                <w:kern w:val="0"/>
                <w:sz w:val="24"/>
                <w:szCs w:val="24"/>
                <w:highlight w:val="none"/>
              </w:rPr>
              <w:t>，且标准偏差≤</w:t>
            </w:r>
            <w:r>
              <w:rPr>
                <w:color w:val="auto"/>
                <w:kern w:val="0"/>
                <w:sz w:val="24"/>
                <w:szCs w:val="24"/>
                <w:highlight w:val="none"/>
              </w:rPr>
              <w:t>2m/s</w:t>
            </w:r>
          </w:p>
        </w:tc>
      </w:tr>
      <w:tr w14:paraId="07DA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85" w:type="pct"/>
            <w:vAlign w:val="center"/>
          </w:tcPr>
          <w:p w14:paraId="4AAEBB2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w:t>
            </w:r>
          </w:p>
        </w:tc>
        <w:tc>
          <w:tcPr>
            <w:tcW w:w="2227" w:type="pct"/>
            <w:vAlign w:val="center"/>
          </w:tcPr>
          <w:p w14:paraId="2C4E5E3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差分相移退折叠</w:t>
            </w:r>
          </w:p>
        </w:tc>
        <w:tc>
          <w:tcPr>
            <w:tcW w:w="2287" w:type="pct"/>
            <w:vAlign w:val="center"/>
          </w:tcPr>
          <w:p w14:paraId="55826EA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退折叠正确率≥</w:t>
            </w:r>
            <w:r>
              <w:rPr>
                <w:color w:val="auto"/>
                <w:kern w:val="0"/>
                <w:sz w:val="24"/>
                <w:szCs w:val="24"/>
                <w:highlight w:val="none"/>
              </w:rPr>
              <w:t>95%</w:t>
            </w:r>
          </w:p>
        </w:tc>
      </w:tr>
      <w:tr w14:paraId="3F23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85" w:type="pct"/>
            <w:vAlign w:val="center"/>
          </w:tcPr>
          <w:p w14:paraId="738ACBF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w:t>
            </w:r>
          </w:p>
        </w:tc>
        <w:tc>
          <w:tcPr>
            <w:tcW w:w="2227" w:type="pct"/>
            <w:vAlign w:val="center"/>
          </w:tcPr>
          <w:p w14:paraId="2EBFF98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差分传播相移率估算</w:t>
            </w:r>
          </w:p>
        </w:tc>
        <w:tc>
          <w:tcPr>
            <w:tcW w:w="2287" w:type="pct"/>
            <w:vAlign w:val="center"/>
          </w:tcPr>
          <w:p w14:paraId="15D59E3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满足合理性评估要求</w:t>
            </w:r>
          </w:p>
        </w:tc>
      </w:tr>
    </w:tbl>
    <w:p w14:paraId="53842615">
      <w:pPr>
        <w:tabs>
          <w:tab w:val="left" w:pos="2340"/>
        </w:tabs>
        <w:spacing w:line="360" w:lineRule="auto"/>
        <w:ind w:firstLine="480"/>
        <w:rPr>
          <w:bCs/>
          <w:color w:val="auto"/>
          <w:sz w:val="24"/>
          <w:szCs w:val="24"/>
          <w:highlight w:val="none"/>
        </w:rPr>
      </w:pPr>
      <w:r>
        <w:rPr>
          <w:rFonts w:hint="eastAsia"/>
          <w:bCs/>
          <w:color w:val="auto"/>
          <w:sz w:val="24"/>
          <w:szCs w:val="24"/>
          <w:highlight w:val="none"/>
        </w:rPr>
        <w:t>（</w:t>
      </w:r>
      <w:r>
        <w:rPr>
          <w:bCs/>
          <w:color w:val="auto"/>
          <w:sz w:val="24"/>
          <w:szCs w:val="24"/>
          <w:highlight w:val="none"/>
        </w:rPr>
        <w:t>2</w:t>
      </w:r>
      <w:r>
        <w:rPr>
          <w:rFonts w:hint="eastAsia"/>
          <w:bCs/>
          <w:color w:val="auto"/>
          <w:sz w:val="24"/>
          <w:szCs w:val="24"/>
          <w:highlight w:val="none"/>
        </w:rPr>
        <w:t>）气象产品种类</w:t>
      </w:r>
    </w:p>
    <w:p w14:paraId="0FB5E8D2">
      <w:pPr>
        <w:tabs>
          <w:tab w:val="left" w:pos="2340"/>
        </w:tabs>
        <w:spacing w:line="360" w:lineRule="auto"/>
        <w:ind w:firstLine="480"/>
        <w:rPr>
          <w:bCs/>
          <w:color w:val="auto"/>
          <w:sz w:val="24"/>
          <w:szCs w:val="24"/>
          <w:highlight w:val="none"/>
        </w:rPr>
      </w:pPr>
      <w:r>
        <w:rPr>
          <w:rFonts w:hint="eastAsia"/>
          <w:bCs/>
          <w:color w:val="auto"/>
          <w:sz w:val="24"/>
          <w:szCs w:val="24"/>
          <w:highlight w:val="none"/>
        </w:rPr>
        <w:t>气象产品应包含但不限于以下内容，可以根据雷达实际用途进行扩展。</w:t>
      </w:r>
    </w:p>
    <w:p w14:paraId="50B17710">
      <w:pPr>
        <w:tabs>
          <w:tab w:val="left" w:pos="2340"/>
        </w:tabs>
        <w:spacing w:line="360" w:lineRule="auto"/>
        <w:ind w:firstLine="480"/>
        <w:rPr>
          <w:bCs/>
          <w:color w:val="auto"/>
          <w:sz w:val="24"/>
          <w:szCs w:val="24"/>
          <w:highlight w:val="none"/>
        </w:rPr>
      </w:pPr>
      <w:r>
        <w:rPr>
          <w:bCs/>
          <w:color w:val="auto"/>
          <w:sz w:val="24"/>
          <w:szCs w:val="24"/>
          <w:highlight w:val="none"/>
        </w:rPr>
        <w:t>1</w:t>
      </w:r>
      <w:r>
        <w:rPr>
          <w:rFonts w:hint="eastAsia"/>
          <w:bCs/>
          <w:color w:val="auto"/>
          <w:sz w:val="24"/>
          <w:szCs w:val="24"/>
          <w:highlight w:val="none"/>
        </w:rPr>
        <w:t>）基本产品</w:t>
      </w:r>
    </w:p>
    <w:p w14:paraId="4331722F">
      <w:pPr>
        <w:tabs>
          <w:tab w:val="left" w:pos="2340"/>
        </w:tabs>
        <w:spacing w:line="360" w:lineRule="auto"/>
        <w:ind w:firstLine="480"/>
        <w:rPr>
          <w:bCs/>
          <w:color w:val="auto"/>
          <w:sz w:val="24"/>
          <w:szCs w:val="24"/>
          <w:highlight w:val="none"/>
        </w:rPr>
      </w:pPr>
      <w:r>
        <w:rPr>
          <w:rFonts w:hint="eastAsia"/>
          <w:bCs/>
          <w:color w:val="auto"/>
          <w:sz w:val="24"/>
          <w:szCs w:val="24"/>
          <w:highlight w:val="none"/>
        </w:rPr>
        <w:t>基本产品不少于</w:t>
      </w:r>
      <w:r>
        <w:rPr>
          <w:bCs/>
          <w:color w:val="auto"/>
          <w:sz w:val="24"/>
          <w:szCs w:val="24"/>
          <w:highlight w:val="none"/>
        </w:rPr>
        <w:t>10</w:t>
      </w:r>
      <w:r>
        <w:rPr>
          <w:rFonts w:hint="eastAsia"/>
          <w:bCs/>
          <w:color w:val="auto"/>
          <w:sz w:val="24"/>
          <w:szCs w:val="24"/>
          <w:highlight w:val="none"/>
        </w:rPr>
        <w:t>种，具体见表11。</w:t>
      </w:r>
    </w:p>
    <w:p w14:paraId="5AF658F4">
      <w:pPr>
        <w:widowControl/>
        <w:kinsoku w:val="0"/>
        <w:autoSpaceDE w:val="0"/>
        <w:autoSpaceDN w:val="0"/>
        <w:adjustRightInd w:val="0"/>
        <w:snapToGrid w:val="0"/>
        <w:spacing w:line="360" w:lineRule="auto"/>
        <w:jc w:val="center"/>
        <w:textAlignment w:val="baseline"/>
        <w:rPr>
          <w:b/>
          <w:bCs/>
          <w:color w:val="auto"/>
          <w:spacing w:val="-6"/>
          <w:sz w:val="24"/>
          <w:szCs w:val="24"/>
          <w:highlight w:val="none"/>
        </w:rPr>
      </w:pPr>
      <w:r>
        <w:rPr>
          <w:rFonts w:hint="eastAsia"/>
          <w:b/>
          <w:bCs/>
          <w:color w:val="auto"/>
          <w:spacing w:val="-6"/>
          <w:sz w:val="24"/>
          <w:szCs w:val="24"/>
          <w:highlight w:val="none"/>
        </w:rPr>
        <w:t>表</w:t>
      </w:r>
      <w:r>
        <w:rPr>
          <w:b/>
          <w:bCs/>
          <w:color w:val="auto"/>
          <w:spacing w:val="-6"/>
          <w:sz w:val="24"/>
          <w:szCs w:val="24"/>
          <w:highlight w:val="none"/>
        </w:rPr>
        <w:t>1</w:t>
      </w:r>
      <w:r>
        <w:rPr>
          <w:rFonts w:hint="eastAsia"/>
          <w:b/>
          <w:bCs/>
          <w:color w:val="auto"/>
          <w:spacing w:val="-6"/>
          <w:sz w:val="24"/>
          <w:szCs w:val="24"/>
          <w:highlight w:val="none"/>
        </w:rPr>
        <w:t>1</w:t>
      </w:r>
      <w:r>
        <w:rPr>
          <w:b/>
          <w:bCs/>
          <w:color w:val="auto"/>
          <w:spacing w:val="-6"/>
          <w:sz w:val="24"/>
          <w:szCs w:val="24"/>
          <w:highlight w:val="none"/>
        </w:rPr>
        <w:t xml:space="preserve"> </w:t>
      </w:r>
      <w:r>
        <w:rPr>
          <w:rFonts w:hint="eastAsia"/>
          <w:b/>
          <w:bCs/>
          <w:color w:val="auto"/>
          <w:spacing w:val="-6"/>
          <w:sz w:val="24"/>
          <w:szCs w:val="24"/>
          <w:highlight w:val="none"/>
        </w:rPr>
        <w:t>基本产品列表</w:t>
      </w:r>
    </w:p>
    <w:tbl>
      <w:tblPr>
        <w:tblStyle w:val="48"/>
        <w:tblpPr w:leftFromText="180" w:rightFromText="180" w:vertAnchor="text" w:horzAnchor="page" w:tblpX="1695" w:tblpY="462"/>
        <w:tblOverlap w:val="never"/>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5"/>
        <w:gridCol w:w="4159"/>
        <w:gridCol w:w="2875"/>
      </w:tblGrid>
      <w:tr w14:paraId="379B9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67" w:type="pct"/>
            <w:vAlign w:val="center"/>
          </w:tcPr>
          <w:p w14:paraId="37BF675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b/>
                <w:bCs/>
                <w:color w:val="auto"/>
                <w:spacing w:val="-11"/>
                <w:kern w:val="0"/>
                <w:sz w:val="24"/>
                <w:szCs w:val="24"/>
                <w:highlight w:val="none"/>
              </w:rPr>
              <w:t>序号</w:t>
            </w:r>
          </w:p>
        </w:tc>
        <w:tc>
          <w:tcPr>
            <w:tcW w:w="2502" w:type="pct"/>
            <w:vAlign w:val="center"/>
          </w:tcPr>
          <w:p w14:paraId="44ECB1F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b/>
                <w:bCs/>
                <w:color w:val="auto"/>
                <w:spacing w:val="-9"/>
                <w:kern w:val="0"/>
                <w:sz w:val="24"/>
                <w:szCs w:val="24"/>
                <w:highlight w:val="none"/>
              </w:rPr>
              <w:t>产品名称</w:t>
            </w:r>
          </w:p>
        </w:tc>
        <w:tc>
          <w:tcPr>
            <w:tcW w:w="1729" w:type="pct"/>
            <w:vAlign w:val="center"/>
          </w:tcPr>
          <w:p w14:paraId="4773915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b/>
                <w:bCs/>
                <w:color w:val="auto"/>
                <w:spacing w:val="-9"/>
                <w:kern w:val="0"/>
                <w:sz w:val="24"/>
                <w:szCs w:val="24"/>
                <w:highlight w:val="none"/>
              </w:rPr>
              <w:t>产品标识</w:t>
            </w:r>
          </w:p>
        </w:tc>
      </w:tr>
      <w:tr w14:paraId="7B82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67E9E11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w:t>
            </w:r>
          </w:p>
        </w:tc>
        <w:tc>
          <w:tcPr>
            <w:tcW w:w="2502" w:type="pct"/>
            <w:vAlign w:val="center"/>
          </w:tcPr>
          <w:p w14:paraId="126D71C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滤波前回波强度</w:t>
            </w:r>
          </w:p>
        </w:tc>
        <w:tc>
          <w:tcPr>
            <w:tcW w:w="1729" w:type="pct"/>
            <w:vAlign w:val="center"/>
          </w:tcPr>
          <w:p w14:paraId="0BB3604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TR</w:t>
            </w:r>
          </w:p>
        </w:tc>
      </w:tr>
      <w:tr w14:paraId="5C136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49D8D4A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2</w:t>
            </w:r>
          </w:p>
        </w:tc>
        <w:tc>
          <w:tcPr>
            <w:tcW w:w="2502" w:type="pct"/>
            <w:vAlign w:val="center"/>
          </w:tcPr>
          <w:p w14:paraId="1E625DA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滤波后回波强度</w:t>
            </w:r>
          </w:p>
        </w:tc>
        <w:tc>
          <w:tcPr>
            <w:tcW w:w="1729" w:type="pct"/>
            <w:vAlign w:val="center"/>
          </w:tcPr>
          <w:p w14:paraId="3EAF09A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R</w:t>
            </w:r>
          </w:p>
        </w:tc>
      </w:tr>
      <w:tr w14:paraId="62CA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6F33552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w:t>
            </w:r>
          </w:p>
        </w:tc>
        <w:tc>
          <w:tcPr>
            <w:tcW w:w="2502" w:type="pct"/>
            <w:vAlign w:val="center"/>
          </w:tcPr>
          <w:p w14:paraId="1F56DAA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径向速度</w:t>
            </w:r>
          </w:p>
        </w:tc>
        <w:tc>
          <w:tcPr>
            <w:tcW w:w="1729" w:type="pct"/>
            <w:vAlign w:val="center"/>
          </w:tcPr>
          <w:p w14:paraId="620E89D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V</w:t>
            </w:r>
          </w:p>
        </w:tc>
      </w:tr>
      <w:tr w14:paraId="74A6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7" w:type="pct"/>
            <w:vAlign w:val="center"/>
          </w:tcPr>
          <w:p w14:paraId="179F966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w:t>
            </w:r>
          </w:p>
        </w:tc>
        <w:tc>
          <w:tcPr>
            <w:tcW w:w="2502" w:type="pct"/>
            <w:vAlign w:val="center"/>
          </w:tcPr>
          <w:p w14:paraId="6058B64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速度谱宽</w:t>
            </w:r>
          </w:p>
        </w:tc>
        <w:tc>
          <w:tcPr>
            <w:tcW w:w="1729" w:type="pct"/>
            <w:vAlign w:val="center"/>
          </w:tcPr>
          <w:p w14:paraId="465637C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SW</w:t>
            </w:r>
          </w:p>
        </w:tc>
      </w:tr>
      <w:tr w14:paraId="11C31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40065D3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w:t>
            </w:r>
          </w:p>
        </w:tc>
        <w:tc>
          <w:tcPr>
            <w:tcW w:w="2502" w:type="pct"/>
            <w:vAlign w:val="center"/>
          </w:tcPr>
          <w:p w14:paraId="4F32BC6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差分反射率因子</w:t>
            </w:r>
          </w:p>
        </w:tc>
        <w:tc>
          <w:tcPr>
            <w:tcW w:w="1729" w:type="pct"/>
            <w:vAlign w:val="center"/>
          </w:tcPr>
          <w:p w14:paraId="6872A8D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ZDR</w:t>
            </w:r>
          </w:p>
        </w:tc>
      </w:tr>
      <w:tr w14:paraId="3A2AD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04056D2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w:t>
            </w:r>
          </w:p>
        </w:tc>
        <w:tc>
          <w:tcPr>
            <w:tcW w:w="2502" w:type="pct"/>
            <w:vAlign w:val="center"/>
          </w:tcPr>
          <w:p w14:paraId="5F397AC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差分传播相移</w:t>
            </w:r>
          </w:p>
        </w:tc>
        <w:tc>
          <w:tcPr>
            <w:tcW w:w="1729" w:type="pct"/>
            <w:vAlign w:val="center"/>
          </w:tcPr>
          <w:p w14:paraId="3B294AE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PDP</w:t>
            </w:r>
          </w:p>
        </w:tc>
      </w:tr>
      <w:tr w14:paraId="531DD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17BB240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w:t>
            </w:r>
          </w:p>
        </w:tc>
        <w:tc>
          <w:tcPr>
            <w:tcW w:w="2502" w:type="pct"/>
            <w:vAlign w:val="center"/>
          </w:tcPr>
          <w:p w14:paraId="016116C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差分传播相移率</w:t>
            </w:r>
          </w:p>
        </w:tc>
        <w:tc>
          <w:tcPr>
            <w:tcW w:w="1729" w:type="pct"/>
            <w:vAlign w:val="center"/>
          </w:tcPr>
          <w:p w14:paraId="04B29C2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KDP</w:t>
            </w:r>
          </w:p>
        </w:tc>
      </w:tr>
      <w:tr w14:paraId="6B011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3BD9F30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8</w:t>
            </w:r>
          </w:p>
        </w:tc>
        <w:tc>
          <w:tcPr>
            <w:tcW w:w="2502" w:type="pct"/>
            <w:vAlign w:val="center"/>
          </w:tcPr>
          <w:p w14:paraId="334C61E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相关系数</w:t>
            </w:r>
          </w:p>
        </w:tc>
        <w:tc>
          <w:tcPr>
            <w:tcW w:w="1729" w:type="pct"/>
            <w:vAlign w:val="center"/>
          </w:tcPr>
          <w:p w14:paraId="1453B98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CC</w:t>
            </w:r>
          </w:p>
        </w:tc>
      </w:tr>
      <w:tr w14:paraId="3EFF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7" w:type="pct"/>
            <w:vAlign w:val="center"/>
          </w:tcPr>
          <w:p w14:paraId="2446C7C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9</w:t>
            </w:r>
          </w:p>
        </w:tc>
        <w:tc>
          <w:tcPr>
            <w:tcW w:w="2502" w:type="pct"/>
            <w:vAlign w:val="center"/>
          </w:tcPr>
          <w:p w14:paraId="4A6BDB8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水平通道信噪比</w:t>
            </w:r>
          </w:p>
        </w:tc>
        <w:tc>
          <w:tcPr>
            <w:tcW w:w="1729" w:type="pct"/>
            <w:vAlign w:val="center"/>
          </w:tcPr>
          <w:p w14:paraId="26D11AD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SNRH</w:t>
            </w:r>
          </w:p>
        </w:tc>
      </w:tr>
      <w:tr w14:paraId="44CA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67" w:type="pct"/>
            <w:vAlign w:val="center"/>
          </w:tcPr>
          <w:p w14:paraId="68F7894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10</w:t>
            </w:r>
          </w:p>
        </w:tc>
        <w:tc>
          <w:tcPr>
            <w:tcW w:w="2502" w:type="pct"/>
            <w:vAlign w:val="center"/>
          </w:tcPr>
          <w:p w14:paraId="7B5AFC2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垂直通道信噪比</w:t>
            </w:r>
          </w:p>
        </w:tc>
        <w:tc>
          <w:tcPr>
            <w:tcW w:w="1729" w:type="pct"/>
            <w:vAlign w:val="center"/>
          </w:tcPr>
          <w:p w14:paraId="6C88524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SNRV</w:t>
            </w:r>
          </w:p>
        </w:tc>
      </w:tr>
    </w:tbl>
    <w:p w14:paraId="2CA28EA2">
      <w:pPr>
        <w:tabs>
          <w:tab w:val="left" w:pos="2340"/>
        </w:tabs>
        <w:spacing w:line="360" w:lineRule="auto"/>
        <w:ind w:firstLine="480"/>
        <w:rPr>
          <w:bCs/>
          <w:color w:val="auto"/>
          <w:sz w:val="24"/>
          <w:szCs w:val="24"/>
          <w:highlight w:val="none"/>
        </w:rPr>
      </w:pPr>
      <w:r>
        <w:rPr>
          <w:bCs/>
          <w:color w:val="auto"/>
          <w:sz w:val="24"/>
          <w:szCs w:val="24"/>
          <w:highlight w:val="none"/>
        </w:rPr>
        <w:t>2</w:t>
      </w:r>
      <w:r>
        <w:rPr>
          <w:rFonts w:hint="eastAsia"/>
          <w:bCs/>
          <w:color w:val="auto"/>
          <w:sz w:val="24"/>
          <w:szCs w:val="24"/>
          <w:highlight w:val="none"/>
        </w:rPr>
        <w:t>）二次产品</w:t>
      </w:r>
    </w:p>
    <w:p w14:paraId="73469C3D">
      <w:pPr>
        <w:tabs>
          <w:tab w:val="left" w:pos="2340"/>
        </w:tabs>
        <w:spacing w:line="360" w:lineRule="auto"/>
        <w:ind w:firstLine="480"/>
        <w:rPr>
          <w:bCs/>
          <w:color w:val="auto"/>
          <w:sz w:val="24"/>
          <w:szCs w:val="24"/>
          <w:highlight w:val="none"/>
        </w:rPr>
      </w:pPr>
      <w:r>
        <w:rPr>
          <w:rFonts w:hint="eastAsia"/>
          <w:bCs/>
          <w:color w:val="auto"/>
          <w:sz w:val="24"/>
          <w:szCs w:val="24"/>
          <w:highlight w:val="none"/>
        </w:rPr>
        <w:t>二次产品包括物理量产品和识别类产品</w:t>
      </w:r>
      <w:r>
        <w:rPr>
          <w:bCs/>
          <w:color w:val="auto"/>
          <w:sz w:val="24"/>
          <w:szCs w:val="24"/>
          <w:highlight w:val="none"/>
        </w:rPr>
        <w:t>2</w:t>
      </w:r>
      <w:r>
        <w:rPr>
          <w:rFonts w:hint="eastAsia"/>
          <w:bCs/>
          <w:color w:val="auto"/>
          <w:sz w:val="24"/>
          <w:szCs w:val="24"/>
          <w:highlight w:val="none"/>
        </w:rPr>
        <w:t>类，其中物理量产品不少于</w:t>
      </w:r>
      <w:r>
        <w:rPr>
          <w:bCs/>
          <w:color w:val="auto"/>
          <w:sz w:val="24"/>
          <w:szCs w:val="24"/>
          <w:highlight w:val="none"/>
        </w:rPr>
        <w:t>14</w:t>
      </w:r>
      <w:r>
        <w:rPr>
          <w:rFonts w:hint="eastAsia"/>
          <w:bCs/>
          <w:color w:val="auto"/>
          <w:sz w:val="24"/>
          <w:szCs w:val="24"/>
          <w:highlight w:val="none"/>
        </w:rPr>
        <w:t>种、识别类产品不少于</w:t>
      </w:r>
      <w:r>
        <w:rPr>
          <w:bCs/>
          <w:color w:val="auto"/>
          <w:sz w:val="24"/>
          <w:szCs w:val="24"/>
          <w:highlight w:val="none"/>
        </w:rPr>
        <w:t>9</w:t>
      </w:r>
      <w:r>
        <w:rPr>
          <w:rFonts w:hint="eastAsia"/>
          <w:bCs/>
          <w:color w:val="auto"/>
          <w:sz w:val="24"/>
          <w:szCs w:val="24"/>
          <w:highlight w:val="none"/>
        </w:rPr>
        <w:t>种。如表</w:t>
      </w:r>
      <w:r>
        <w:rPr>
          <w:bCs/>
          <w:color w:val="auto"/>
          <w:sz w:val="24"/>
          <w:szCs w:val="24"/>
          <w:highlight w:val="none"/>
        </w:rPr>
        <w:t>1</w:t>
      </w:r>
      <w:r>
        <w:rPr>
          <w:rFonts w:hint="eastAsia"/>
          <w:bCs/>
          <w:color w:val="auto"/>
          <w:sz w:val="24"/>
          <w:szCs w:val="24"/>
          <w:highlight w:val="none"/>
        </w:rPr>
        <w:t>2所示。</w:t>
      </w:r>
    </w:p>
    <w:p w14:paraId="76E4C39F">
      <w:pPr>
        <w:tabs>
          <w:tab w:val="left" w:pos="2340"/>
        </w:tabs>
        <w:spacing w:line="360" w:lineRule="auto"/>
        <w:ind w:firstLine="480"/>
        <w:rPr>
          <w:bCs/>
          <w:color w:val="auto"/>
          <w:sz w:val="24"/>
          <w:szCs w:val="24"/>
          <w:highlight w:val="none"/>
        </w:rPr>
      </w:pPr>
      <w:r>
        <w:rPr>
          <w:rFonts w:hint="eastAsia"/>
          <w:bCs/>
          <w:color w:val="auto"/>
          <w:sz w:val="24"/>
          <w:szCs w:val="24"/>
          <w:highlight w:val="none"/>
        </w:rPr>
        <w:t>二次产品需利用不少于</w:t>
      </w:r>
      <w:r>
        <w:rPr>
          <w:bCs/>
          <w:color w:val="auto"/>
          <w:sz w:val="24"/>
          <w:szCs w:val="24"/>
          <w:highlight w:val="none"/>
        </w:rPr>
        <w:t>3</w:t>
      </w:r>
      <w:r>
        <w:rPr>
          <w:rFonts w:hint="eastAsia"/>
          <w:bCs/>
          <w:color w:val="auto"/>
          <w:sz w:val="24"/>
          <w:szCs w:val="24"/>
          <w:highlight w:val="none"/>
        </w:rPr>
        <w:t>年的雷达标准数据集，对产品的合理性进行评估，即利用探测覆盖区域重叠的最相邻机械扫描雷达生成的对应产品进行一致性、连续性对比，判断产品的变化是否一致，前后时序变化是否连续等。</w:t>
      </w:r>
    </w:p>
    <w:p w14:paraId="4131A785">
      <w:pPr>
        <w:tabs>
          <w:tab w:val="left" w:pos="2340"/>
        </w:tabs>
        <w:spacing w:line="360" w:lineRule="auto"/>
        <w:jc w:val="center"/>
        <w:rPr>
          <w:b/>
          <w:color w:val="auto"/>
          <w:sz w:val="24"/>
          <w:szCs w:val="24"/>
          <w:highlight w:val="none"/>
        </w:rPr>
      </w:pPr>
      <w:r>
        <w:rPr>
          <w:rFonts w:hint="eastAsia"/>
          <w:b/>
          <w:color w:val="auto"/>
          <w:sz w:val="24"/>
          <w:szCs w:val="24"/>
          <w:highlight w:val="none"/>
        </w:rPr>
        <w:t>表12</w:t>
      </w:r>
      <w:r>
        <w:rPr>
          <w:b/>
          <w:color w:val="auto"/>
          <w:sz w:val="24"/>
          <w:szCs w:val="24"/>
          <w:highlight w:val="none"/>
        </w:rPr>
        <w:t xml:space="preserve"> </w:t>
      </w:r>
      <w:r>
        <w:rPr>
          <w:rFonts w:hint="eastAsia"/>
          <w:b/>
          <w:color w:val="auto"/>
          <w:sz w:val="24"/>
          <w:szCs w:val="24"/>
          <w:highlight w:val="none"/>
        </w:rPr>
        <w:t>二次产品列表</w:t>
      </w:r>
    </w:p>
    <w:tbl>
      <w:tblPr>
        <w:tblStyle w:val="48"/>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0"/>
        <w:gridCol w:w="1355"/>
        <w:gridCol w:w="3989"/>
        <w:gridCol w:w="2164"/>
      </w:tblGrid>
      <w:tr w14:paraId="2107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81" w:type="pct"/>
            <w:vAlign w:val="center"/>
          </w:tcPr>
          <w:p w14:paraId="28F45D6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b/>
                <w:bCs/>
                <w:color w:val="auto"/>
                <w:spacing w:val="-11"/>
                <w:kern w:val="0"/>
                <w:sz w:val="24"/>
                <w:szCs w:val="24"/>
                <w:highlight w:val="none"/>
              </w:rPr>
              <w:t>序号</w:t>
            </w:r>
          </w:p>
        </w:tc>
        <w:tc>
          <w:tcPr>
            <w:tcW w:w="815" w:type="pct"/>
            <w:vAlign w:val="center"/>
          </w:tcPr>
          <w:p w14:paraId="41B0FCB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b/>
                <w:bCs/>
                <w:color w:val="auto"/>
                <w:spacing w:val="-12"/>
                <w:kern w:val="0"/>
                <w:sz w:val="24"/>
                <w:szCs w:val="24"/>
                <w:highlight w:val="none"/>
              </w:rPr>
              <w:t>类别</w:t>
            </w:r>
          </w:p>
        </w:tc>
        <w:tc>
          <w:tcPr>
            <w:tcW w:w="2400" w:type="pct"/>
            <w:vAlign w:val="center"/>
          </w:tcPr>
          <w:p w14:paraId="3DDB8AF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b/>
                <w:bCs/>
                <w:color w:val="auto"/>
                <w:spacing w:val="-9"/>
                <w:kern w:val="0"/>
                <w:sz w:val="24"/>
                <w:szCs w:val="24"/>
                <w:highlight w:val="none"/>
              </w:rPr>
              <w:t>产品名称</w:t>
            </w:r>
          </w:p>
        </w:tc>
        <w:tc>
          <w:tcPr>
            <w:tcW w:w="1302" w:type="pct"/>
            <w:vAlign w:val="center"/>
          </w:tcPr>
          <w:p w14:paraId="2A6FE09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b/>
                <w:bCs/>
                <w:color w:val="auto"/>
                <w:spacing w:val="-9"/>
                <w:kern w:val="0"/>
                <w:sz w:val="24"/>
                <w:szCs w:val="24"/>
                <w:highlight w:val="none"/>
              </w:rPr>
              <w:t>产品标识</w:t>
            </w:r>
          </w:p>
        </w:tc>
      </w:tr>
      <w:tr w14:paraId="41CAA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81" w:type="pct"/>
            <w:vAlign w:val="center"/>
          </w:tcPr>
          <w:p w14:paraId="3594262B">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ascii="Times New Roman" w:hAnsi="Times New Roman" w:cs="Times New Roman"/>
                <w:color w:val="auto"/>
                <w:kern w:val="0"/>
                <w:highlight w:val="none"/>
              </w:rPr>
              <w:t>1</w:t>
            </w:r>
          </w:p>
        </w:tc>
        <w:tc>
          <w:tcPr>
            <w:tcW w:w="815" w:type="pct"/>
            <w:vMerge w:val="restart"/>
            <w:vAlign w:val="center"/>
          </w:tcPr>
          <w:p w14:paraId="0F891A5D">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hint="eastAsia" w:ascii="Times New Roman" w:hAnsi="Times New Roman" w:cs="Times New Roman"/>
                <w:color w:val="auto"/>
                <w:spacing w:val="-7"/>
                <w:kern w:val="0"/>
                <w:highlight w:val="none"/>
              </w:rPr>
              <w:t>物理量产</w:t>
            </w:r>
          </w:p>
          <w:p w14:paraId="19C513FD">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品</w:t>
            </w:r>
          </w:p>
        </w:tc>
        <w:tc>
          <w:tcPr>
            <w:tcW w:w="2400" w:type="pct"/>
            <w:vAlign w:val="center"/>
          </w:tcPr>
          <w:p w14:paraId="389C9F36">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hint="eastAsia" w:ascii="Times New Roman" w:hAnsi="Times New Roman" w:cs="Times New Roman"/>
                <w:color w:val="auto"/>
                <w:spacing w:val="-14"/>
                <w:kern w:val="0"/>
                <w:highlight w:val="none"/>
              </w:rPr>
              <w:t>回波顶高</w:t>
            </w:r>
          </w:p>
        </w:tc>
        <w:tc>
          <w:tcPr>
            <w:tcW w:w="1302" w:type="pct"/>
            <w:vAlign w:val="center"/>
          </w:tcPr>
          <w:p w14:paraId="6B94AD56">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ascii="Times New Roman" w:hAnsi="Times New Roman" w:cs="Times New Roman"/>
                <w:color w:val="auto"/>
                <w:spacing w:val="-3"/>
                <w:kern w:val="0"/>
                <w:highlight w:val="none"/>
              </w:rPr>
              <w:t>ET</w:t>
            </w:r>
          </w:p>
        </w:tc>
      </w:tr>
      <w:tr w14:paraId="56AE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81" w:type="pct"/>
            <w:vAlign w:val="center"/>
          </w:tcPr>
          <w:p w14:paraId="16FA5234">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ascii="Times New Roman" w:hAnsi="Times New Roman" w:cs="Times New Roman"/>
                <w:color w:val="auto"/>
                <w:kern w:val="0"/>
                <w:highlight w:val="none"/>
              </w:rPr>
              <w:t>2</w:t>
            </w:r>
          </w:p>
        </w:tc>
        <w:tc>
          <w:tcPr>
            <w:tcW w:w="815" w:type="pct"/>
            <w:vMerge w:val="continue"/>
            <w:vAlign w:val="center"/>
          </w:tcPr>
          <w:p w14:paraId="1C30467F">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030D330F">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hint="eastAsia" w:ascii="Times New Roman" w:hAnsi="Times New Roman" w:cs="Times New Roman"/>
                <w:color w:val="auto"/>
                <w:spacing w:val="-14"/>
                <w:kern w:val="0"/>
                <w:highlight w:val="none"/>
              </w:rPr>
              <w:t>回波底高</w:t>
            </w:r>
          </w:p>
        </w:tc>
        <w:tc>
          <w:tcPr>
            <w:tcW w:w="1302" w:type="pct"/>
            <w:vAlign w:val="center"/>
          </w:tcPr>
          <w:p w14:paraId="2C6C6D6A">
            <w:pPr>
              <w:pStyle w:val="50"/>
              <w:widowControl/>
              <w:kinsoku w:val="0"/>
              <w:autoSpaceDE w:val="0"/>
              <w:autoSpaceDN w:val="0"/>
              <w:adjustRightInd w:val="0"/>
              <w:snapToGrid w:val="0"/>
              <w:spacing w:line="360" w:lineRule="auto"/>
              <w:ind w:firstLine="0" w:firstLineChars="0"/>
              <w:jc w:val="center"/>
              <w:textAlignment w:val="baseline"/>
              <w:rPr>
                <w:rFonts w:ascii="Times New Roman" w:hAnsi="Times New Roman" w:cs="Times New Roman"/>
                <w:color w:val="auto"/>
                <w:kern w:val="0"/>
                <w:highlight w:val="none"/>
              </w:rPr>
            </w:pPr>
            <w:r>
              <w:rPr>
                <w:rFonts w:ascii="Times New Roman" w:hAnsi="Times New Roman" w:cs="Times New Roman"/>
                <w:color w:val="auto"/>
                <w:spacing w:val="-3"/>
                <w:kern w:val="0"/>
                <w:highlight w:val="none"/>
              </w:rPr>
              <w:t>EB</w:t>
            </w:r>
          </w:p>
        </w:tc>
      </w:tr>
      <w:tr w14:paraId="01F5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75E8443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3</w:t>
            </w:r>
          </w:p>
        </w:tc>
        <w:tc>
          <w:tcPr>
            <w:tcW w:w="815" w:type="pct"/>
            <w:vMerge w:val="continue"/>
            <w:vAlign w:val="center"/>
          </w:tcPr>
          <w:p w14:paraId="6A8DEBA9">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6196B1F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7"/>
                <w:kern w:val="0"/>
                <w:sz w:val="24"/>
                <w:szCs w:val="24"/>
                <w:highlight w:val="none"/>
              </w:rPr>
              <w:t>垂直积分液态水</w:t>
            </w:r>
          </w:p>
        </w:tc>
        <w:tc>
          <w:tcPr>
            <w:tcW w:w="1302" w:type="pct"/>
            <w:vAlign w:val="center"/>
          </w:tcPr>
          <w:p w14:paraId="6D376A4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VIL</w:t>
            </w:r>
          </w:p>
        </w:tc>
      </w:tr>
      <w:tr w14:paraId="167E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3F5EBF0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4</w:t>
            </w:r>
          </w:p>
        </w:tc>
        <w:tc>
          <w:tcPr>
            <w:tcW w:w="815" w:type="pct"/>
            <w:vMerge w:val="continue"/>
            <w:vAlign w:val="center"/>
          </w:tcPr>
          <w:p w14:paraId="30D3D188">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491A124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7"/>
                <w:kern w:val="0"/>
                <w:sz w:val="24"/>
                <w:szCs w:val="24"/>
                <w:highlight w:val="none"/>
              </w:rPr>
              <w:t>最强回波高度</w:t>
            </w:r>
          </w:p>
        </w:tc>
        <w:tc>
          <w:tcPr>
            <w:tcW w:w="1302" w:type="pct"/>
            <w:vAlign w:val="center"/>
          </w:tcPr>
          <w:p w14:paraId="083C907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HMAX</w:t>
            </w:r>
          </w:p>
        </w:tc>
      </w:tr>
      <w:tr w14:paraId="39100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0CB6716C">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5</w:t>
            </w:r>
          </w:p>
        </w:tc>
        <w:tc>
          <w:tcPr>
            <w:tcW w:w="815" w:type="pct"/>
            <w:vMerge w:val="continue"/>
            <w:vAlign w:val="center"/>
          </w:tcPr>
          <w:p w14:paraId="4E2A0404">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3CE8E7BE">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组合反射率</w:t>
            </w:r>
          </w:p>
        </w:tc>
        <w:tc>
          <w:tcPr>
            <w:tcW w:w="1302" w:type="pct"/>
            <w:vAlign w:val="center"/>
          </w:tcPr>
          <w:p w14:paraId="4E0F392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4"/>
                <w:kern w:val="0"/>
                <w:sz w:val="24"/>
                <w:szCs w:val="24"/>
                <w:highlight w:val="none"/>
              </w:rPr>
              <w:t>CR</w:t>
            </w:r>
          </w:p>
        </w:tc>
      </w:tr>
      <w:tr w14:paraId="23495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3607394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6</w:t>
            </w:r>
          </w:p>
        </w:tc>
        <w:tc>
          <w:tcPr>
            <w:tcW w:w="815" w:type="pct"/>
            <w:vMerge w:val="continue"/>
            <w:vAlign w:val="center"/>
          </w:tcPr>
          <w:p w14:paraId="4E2D5C24">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3D34BAE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反射率等高平面位置显示</w:t>
            </w:r>
          </w:p>
        </w:tc>
        <w:tc>
          <w:tcPr>
            <w:tcW w:w="1302" w:type="pct"/>
            <w:vAlign w:val="center"/>
          </w:tcPr>
          <w:p w14:paraId="2AF20F8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3"/>
                <w:kern w:val="0"/>
                <w:sz w:val="24"/>
                <w:szCs w:val="24"/>
                <w:highlight w:val="none"/>
              </w:rPr>
              <w:t>CAP</w:t>
            </w:r>
          </w:p>
        </w:tc>
      </w:tr>
      <w:tr w14:paraId="2C8B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4FEBE56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7</w:t>
            </w:r>
          </w:p>
        </w:tc>
        <w:tc>
          <w:tcPr>
            <w:tcW w:w="815" w:type="pct"/>
            <w:vMerge w:val="continue"/>
            <w:vAlign w:val="center"/>
          </w:tcPr>
          <w:p w14:paraId="27CB9727">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48726FA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速度方位显示</w:t>
            </w:r>
          </w:p>
        </w:tc>
        <w:tc>
          <w:tcPr>
            <w:tcW w:w="1302" w:type="pct"/>
            <w:vAlign w:val="center"/>
          </w:tcPr>
          <w:p w14:paraId="69318A1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VAD</w:t>
            </w:r>
          </w:p>
        </w:tc>
      </w:tr>
      <w:tr w14:paraId="0B4A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025EBD2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8</w:t>
            </w:r>
          </w:p>
        </w:tc>
        <w:tc>
          <w:tcPr>
            <w:tcW w:w="815" w:type="pct"/>
            <w:vMerge w:val="continue"/>
            <w:vAlign w:val="center"/>
          </w:tcPr>
          <w:p w14:paraId="078B72B0">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0BBB848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5"/>
                <w:kern w:val="0"/>
                <w:sz w:val="24"/>
                <w:szCs w:val="24"/>
                <w:highlight w:val="none"/>
              </w:rPr>
              <w:t>速度方位显示风廓线</w:t>
            </w:r>
          </w:p>
        </w:tc>
        <w:tc>
          <w:tcPr>
            <w:tcW w:w="1302" w:type="pct"/>
            <w:vAlign w:val="center"/>
          </w:tcPr>
          <w:p w14:paraId="33D847E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VWP</w:t>
            </w:r>
          </w:p>
        </w:tc>
      </w:tr>
      <w:tr w14:paraId="612A4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4B29712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9</w:t>
            </w:r>
          </w:p>
        </w:tc>
        <w:tc>
          <w:tcPr>
            <w:tcW w:w="815" w:type="pct"/>
            <w:vMerge w:val="continue"/>
            <w:vAlign w:val="center"/>
          </w:tcPr>
          <w:p w14:paraId="0FE64481">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0FDEB4D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8"/>
                <w:kern w:val="0"/>
                <w:sz w:val="24"/>
                <w:szCs w:val="24"/>
                <w:highlight w:val="none"/>
              </w:rPr>
              <w:t>1</w:t>
            </w:r>
            <w:r>
              <w:rPr>
                <w:rFonts w:hint="eastAsia"/>
                <w:color w:val="auto"/>
                <w:spacing w:val="-8"/>
                <w:kern w:val="0"/>
                <w:sz w:val="24"/>
                <w:szCs w:val="24"/>
                <w:highlight w:val="none"/>
              </w:rPr>
              <w:t>小时累积降水量</w:t>
            </w:r>
          </w:p>
        </w:tc>
        <w:tc>
          <w:tcPr>
            <w:tcW w:w="1302" w:type="pct"/>
            <w:vAlign w:val="center"/>
          </w:tcPr>
          <w:p w14:paraId="6DCCB43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4"/>
                <w:kern w:val="0"/>
                <w:sz w:val="24"/>
                <w:szCs w:val="24"/>
                <w:highlight w:val="none"/>
              </w:rPr>
              <w:t>OHP</w:t>
            </w:r>
          </w:p>
        </w:tc>
      </w:tr>
      <w:tr w14:paraId="3258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2E908D1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10</w:t>
            </w:r>
          </w:p>
        </w:tc>
        <w:tc>
          <w:tcPr>
            <w:tcW w:w="815" w:type="pct"/>
            <w:vMerge w:val="continue"/>
            <w:vAlign w:val="center"/>
          </w:tcPr>
          <w:p w14:paraId="7A81D1B1">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61567CC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7"/>
                <w:kern w:val="0"/>
                <w:sz w:val="24"/>
                <w:szCs w:val="24"/>
                <w:highlight w:val="none"/>
              </w:rPr>
              <w:t>3</w:t>
            </w:r>
            <w:r>
              <w:rPr>
                <w:rFonts w:hint="eastAsia"/>
                <w:color w:val="auto"/>
                <w:spacing w:val="-7"/>
                <w:kern w:val="0"/>
                <w:sz w:val="24"/>
                <w:szCs w:val="24"/>
                <w:highlight w:val="none"/>
              </w:rPr>
              <w:t>小时累积降水量</w:t>
            </w:r>
          </w:p>
        </w:tc>
        <w:tc>
          <w:tcPr>
            <w:tcW w:w="1302" w:type="pct"/>
            <w:vAlign w:val="center"/>
          </w:tcPr>
          <w:p w14:paraId="4DFE5D9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3"/>
                <w:kern w:val="0"/>
                <w:sz w:val="24"/>
                <w:szCs w:val="24"/>
                <w:highlight w:val="none"/>
              </w:rPr>
              <w:t>THP</w:t>
            </w:r>
          </w:p>
        </w:tc>
      </w:tr>
      <w:tr w14:paraId="43D8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0DAA882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11</w:t>
            </w:r>
          </w:p>
        </w:tc>
        <w:tc>
          <w:tcPr>
            <w:tcW w:w="815" w:type="pct"/>
            <w:vMerge w:val="continue"/>
            <w:vAlign w:val="center"/>
          </w:tcPr>
          <w:p w14:paraId="623623F8">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520EDF3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5"/>
                <w:kern w:val="0"/>
                <w:sz w:val="24"/>
                <w:szCs w:val="24"/>
                <w:highlight w:val="none"/>
              </w:rPr>
              <w:t>N</w:t>
            </w:r>
            <w:r>
              <w:rPr>
                <w:rFonts w:hint="eastAsia"/>
                <w:color w:val="auto"/>
                <w:spacing w:val="-5"/>
                <w:kern w:val="0"/>
                <w:sz w:val="24"/>
                <w:szCs w:val="24"/>
                <w:highlight w:val="none"/>
              </w:rPr>
              <w:t>小时累积降水量</w:t>
            </w:r>
          </w:p>
        </w:tc>
        <w:tc>
          <w:tcPr>
            <w:tcW w:w="1302" w:type="pct"/>
            <w:vAlign w:val="center"/>
          </w:tcPr>
          <w:p w14:paraId="1F9575E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NHP</w:t>
            </w:r>
          </w:p>
        </w:tc>
      </w:tr>
      <w:tr w14:paraId="373E9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75C63C6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12</w:t>
            </w:r>
          </w:p>
        </w:tc>
        <w:tc>
          <w:tcPr>
            <w:tcW w:w="815" w:type="pct"/>
            <w:vMerge w:val="continue"/>
            <w:vAlign w:val="center"/>
          </w:tcPr>
          <w:p w14:paraId="51084369">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450F070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8"/>
                <w:kern w:val="0"/>
                <w:sz w:val="24"/>
                <w:szCs w:val="24"/>
                <w:highlight w:val="none"/>
              </w:rPr>
              <w:t>质心高度</w:t>
            </w:r>
          </w:p>
        </w:tc>
        <w:tc>
          <w:tcPr>
            <w:tcW w:w="1302" w:type="pct"/>
            <w:vAlign w:val="center"/>
          </w:tcPr>
          <w:p w14:paraId="6C8EA43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3"/>
                <w:kern w:val="0"/>
                <w:sz w:val="24"/>
                <w:szCs w:val="24"/>
                <w:highlight w:val="none"/>
              </w:rPr>
              <w:t>RCH</w:t>
            </w:r>
          </w:p>
        </w:tc>
      </w:tr>
      <w:tr w14:paraId="093B4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780DC32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13</w:t>
            </w:r>
          </w:p>
        </w:tc>
        <w:tc>
          <w:tcPr>
            <w:tcW w:w="815" w:type="pct"/>
            <w:vMerge w:val="continue"/>
            <w:vAlign w:val="center"/>
          </w:tcPr>
          <w:p w14:paraId="4304D0B7">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2AC7C7A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7"/>
                <w:kern w:val="0"/>
                <w:sz w:val="24"/>
                <w:szCs w:val="24"/>
                <w:highlight w:val="none"/>
              </w:rPr>
              <w:t>风场反演</w:t>
            </w:r>
          </w:p>
        </w:tc>
        <w:tc>
          <w:tcPr>
            <w:tcW w:w="1302" w:type="pct"/>
            <w:vAlign w:val="center"/>
          </w:tcPr>
          <w:p w14:paraId="4D4272C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WIND</w:t>
            </w:r>
          </w:p>
        </w:tc>
      </w:tr>
      <w:tr w14:paraId="5A77A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42AD137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14</w:t>
            </w:r>
          </w:p>
        </w:tc>
        <w:tc>
          <w:tcPr>
            <w:tcW w:w="815" w:type="pct"/>
            <w:vMerge w:val="continue"/>
            <w:vAlign w:val="center"/>
          </w:tcPr>
          <w:p w14:paraId="04D06153">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49325D4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风暴相对径向速度</w:t>
            </w:r>
          </w:p>
        </w:tc>
        <w:tc>
          <w:tcPr>
            <w:tcW w:w="1302" w:type="pct"/>
            <w:vAlign w:val="center"/>
          </w:tcPr>
          <w:p w14:paraId="2C3077F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4"/>
                <w:kern w:val="0"/>
                <w:sz w:val="24"/>
                <w:szCs w:val="24"/>
                <w:highlight w:val="none"/>
              </w:rPr>
              <w:t>SRM</w:t>
            </w:r>
          </w:p>
        </w:tc>
      </w:tr>
      <w:tr w14:paraId="352F4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3BEFCD9F">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15</w:t>
            </w:r>
          </w:p>
        </w:tc>
        <w:tc>
          <w:tcPr>
            <w:tcW w:w="815" w:type="pct"/>
            <w:vMerge w:val="restart"/>
            <w:tcBorders>
              <w:bottom w:val="nil"/>
            </w:tcBorders>
            <w:vAlign w:val="center"/>
          </w:tcPr>
          <w:p w14:paraId="79B01D8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识别类产</w:t>
            </w:r>
          </w:p>
          <w:p w14:paraId="7469E343">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kern w:val="0"/>
                <w:sz w:val="24"/>
                <w:szCs w:val="24"/>
                <w:highlight w:val="none"/>
              </w:rPr>
              <w:t>品</w:t>
            </w:r>
          </w:p>
        </w:tc>
        <w:tc>
          <w:tcPr>
            <w:tcW w:w="2400" w:type="pct"/>
            <w:vAlign w:val="center"/>
          </w:tcPr>
          <w:p w14:paraId="1D40811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7"/>
                <w:kern w:val="0"/>
                <w:sz w:val="24"/>
                <w:szCs w:val="24"/>
                <w:highlight w:val="none"/>
              </w:rPr>
              <w:t>冰雹指数</w:t>
            </w:r>
          </w:p>
        </w:tc>
        <w:tc>
          <w:tcPr>
            <w:tcW w:w="1302" w:type="pct"/>
            <w:vAlign w:val="center"/>
          </w:tcPr>
          <w:p w14:paraId="4EA5440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HI</w:t>
            </w:r>
          </w:p>
        </w:tc>
      </w:tr>
      <w:tr w14:paraId="45F8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71B1E3F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16</w:t>
            </w:r>
          </w:p>
        </w:tc>
        <w:tc>
          <w:tcPr>
            <w:tcW w:w="815" w:type="pct"/>
            <w:vMerge w:val="continue"/>
            <w:tcBorders>
              <w:top w:val="nil"/>
              <w:bottom w:val="nil"/>
            </w:tcBorders>
            <w:vAlign w:val="center"/>
          </w:tcPr>
          <w:p w14:paraId="5084422B">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7CEB3CC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风暴追踪信息</w:t>
            </w:r>
          </w:p>
        </w:tc>
        <w:tc>
          <w:tcPr>
            <w:tcW w:w="1302" w:type="pct"/>
            <w:vAlign w:val="center"/>
          </w:tcPr>
          <w:p w14:paraId="6787208A">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4"/>
                <w:kern w:val="0"/>
                <w:sz w:val="24"/>
                <w:szCs w:val="24"/>
                <w:highlight w:val="none"/>
              </w:rPr>
              <w:t>STI</w:t>
            </w:r>
          </w:p>
        </w:tc>
      </w:tr>
      <w:tr w14:paraId="625E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81" w:type="pct"/>
            <w:vAlign w:val="center"/>
          </w:tcPr>
          <w:p w14:paraId="5EBD2F20">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17</w:t>
            </w:r>
          </w:p>
        </w:tc>
        <w:tc>
          <w:tcPr>
            <w:tcW w:w="815" w:type="pct"/>
            <w:vMerge w:val="continue"/>
            <w:tcBorders>
              <w:top w:val="nil"/>
              <w:bottom w:val="nil"/>
            </w:tcBorders>
            <w:vAlign w:val="center"/>
          </w:tcPr>
          <w:p w14:paraId="1AC5BB04">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2EA43A8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风暴结构分析</w:t>
            </w:r>
          </w:p>
        </w:tc>
        <w:tc>
          <w:tcPr>
            <w:tcW w:w="1302" w:type="pct"/>
            <w:vAlign w:val="center"/>
          </w:tcPr>
          <w:p w14:paraId="6D654D9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5"/>
                <w:kern w:val="0"/>
                <w:sz w:val="24"/>
                <w:szCs w:val="24"/>
                <w:highlight w:val="none"/>
              </w:rPr>
              <w:t>SS</w:t>
            </w:r>
          </w:p>
        </w:tc>
      </w:tr>
      <w:tr w14:paraId="6BFF6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5CB4638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18</w:t>
            </w:r>
          </w:p>
        </w:tc>
        <w:tc>
          <w:tcPr>
            <w:tcW w:w="815" w:type="pct"/>
            <w:vMerge w:val="continue"/>
            <w:tcBorders>
              <w:top w:val="nil"/>
              <w:bottom w:val="nil"/>
            </w:tcBorders>
            <w:vAlign w:val="center"/>
          </w:tcPr>
          <w:p w14:paraId="0F5BC1BC">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4E2414E6">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12"/>
                <w:kern w:val="0"/>
                <w:sz w:val="24"/>
                <w:szCs w:val="24"/>
                <w:highlight w:val="none"/>
              </w:rPr>
              <w:t>中尺度气旋</w:t>
            </w:r>
          </w:p>
        </w:tc>
        <w:tc>
          <w:tcPr>
            <w:tcW w:w="1302" w:type="pct"/>
            <w:vAlign w:val="center"/>
          </w:tcPr>
          <w:p w14:paraId="59429FF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kern w:val="0"/>
                <w:sz w:val="24"/>
                <w:szCs w:val="24"/>
                <w:highlight w:val="none"/>
              </w:rPr>
              <w:t>M</w:t>
            </w:r>
          </w:p>
        </w:tc>
      </w:tr>
      <w:tr w14:paraId="67352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3F8ABCC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4"/>
                <w:kern w:val="0"/>
                <w:sz w:val="24"/>
                <w:szCs w:val="24"/>
                <w:highlight w:val="none"/>
              </w:rPr>
              <w:t>19</w:t>
            </w:r>
          </w:p>
        </w:tc>
        <w:tc>
          <w:tcPr>
            <w:tcW w:w="815" w:type="pct"/>
            <w:vMerge w:val="continue"/>
            <w:tcBorders>
              <w:top w:val="nil"/>
              <w:bottom w:val="nil"/>
            </w:tcBorders>
            <w:vAlign w:val="center"/>
          </w:tcPr>
          <w:p w14:paraId="48783B50">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478847E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7"/>
                <w:kern w:val="0"/>
                <w:sz w:val="24"/>
                <w:szCs w:val="24"/>
                <w:highlight w:val="none"/>
              </w:rPr>
              <w:t>龙卷涡旋特征</w:t>
            </w:r>
          </w:p>
        </w:tc>
        <w:tc>
          <w:tcPr>
            <w:tcW w:w="1302" w:type="pct"/>
            <w:vAlign w:val="center"/>
          </w:tcPr>
          <w:p w14:paraId="523C1D19">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3"/>
                <w:kern w:val="0"/>
                <w:sz w:val="24"/>
                <w:szCs w:val="24"/>
                <w:highlight w:val="none"/>
              </w:rPr>
              <w:t>TVS</w:t>
            </w:r>
          </w:p>
        </w:tc>
      </w:tr>
      <w:tr w14:paraId="7F64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7CE4869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6"/>
                <w:kern w:val="0"/>
                <w:sz w:val="24"/>
                <w:szCs w:val="24"/>
                <w:highlight w:val="none"/>
              </w:rPr>
              <w:t>20</w:t>
            </w:r>
          </w:p>
        </w:tc>
        <w:tc>
          <w:tcPr>
            <w:tcW w:w="815" w:type="pct"/>
            <w:vMerge w:val="continue"/>
            <w:tcBorders>
              <w:top w:val="nil"/>
              <w:bottom w:val="nil"/>
            </w:tcBorders>
            <w:vAlign w:val="center"/>
          </w:tcPr>
          <w:p w14:paraId="660C0840">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76A55E7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6"/>
                <w:kern w:val="0"/>
                <w:sz w:val="24"/>
                <w:szCs w:val="24"/>
                <w:highlight w:val="none"/>
              </w:rPr>
              <w:t>粒子相态识别</w:t>
            </w:r>
          </w:p>
        </w:tc>
        <w:tc>
          <w:tcPr>
            <w:tcW w:w="1302" w:type="pct"/>
            <w:vAlign w:val="center"/>
          </w:tcPr>
          <w:p w14:paraId="41268FB7">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2"/>
                <w:kern w:val="0"/>
                <w:sz w:val="24"/>
                <w:szCs w:val="24"/>
                <w:highlight w:val="none"/>
              </w:rPr>
              <w:t>HCL</w:t>
            </w:r>
          </w:p>
        </w:tc>
      </w:tr>
      <w:tr w14:paraId="0A4C5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44733F64">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6"/>
                <w:kern w:val="0"/>
                <w:sz w:val="24"/>
                <w:szCs w:val="24"/>
                <w:highlight w:val="none"/>
              </w:rPr>
              <w:t>21</w:t>
            </w:r>
          </w:p>
        </w:tc>
        <w:tc>
          <w:tcPr>
            <w:tcW w:w="815" w:type="pct"/>
            <w:vMerge w:val="continue"/>
            <w:tcBorders>
              <w:top w:val="nil"/>
              <w:bottom w:val="nil"/>
            </w:tcBorders>
            <w:vAlign w:val="center"/>
          </w:tcPr>
          <w:p w14:paraId="1453B1FA">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69DF84B5">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7"/>
                <w:kern w:val="0"/>
                <w:sz w:val="24"/>
                <w:szCs w:val="24"/>
                <w:highlight w:val="none"/>
              </w:rPr>
              <w:t>融化层识别</w:t>
            </w:r>
          </w:p>
        </w:tc>
        <w:tc>
          <w:tcPr>
            <w:tcW w:w="1302" w:type="pct"/>
            <w:vAlign w:val="center"/>
          </w:tcPr>
          <w:p w14:paraId="3EF2F92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1"/>
                <w:kern w:val="0"/>
                <w:sz w:val="24"/>
                <w:szCs w:val="24"/>
                <w:highlight w:val="none"/>
              </w:rPr>
              <w:t>ML</w:t>
            </w:r>
          </w:p>
        </w:tc>
      </w:tr>
      <w:tr w14:paraId="4D0B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 w:type="pct"/>
            <w:vAlign w:val="center"/>
          </w:tcPr>
          <w:p w14:paraId="2EBE0462">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6"/>
                <w:kern w:val="0"/>
                <w:sz w:val="24"/>
                <w:szCs w:val="24"/>
                <w:highlight w:val="none"/>
              </w:rPr>
              <w:t>22</w:t>
            </w:r>
          </w:p>
        </w:tc>
        <w:tc>
          <w:tcPr>
            <w:tcW w:w="815" w:type="pct"/>
            <w:vMerge w:val="continue"/>
            <w:tcBorders>
              <w:top w:val="nil"/>
              <w:bottom w:val="nil"/>
            </w:tcBorders>
            <w:vAlign w:val="center"/>
          </w:tcPr>
          <w:p w14:paraId="4ABADECB">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7E01FE9D">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10"/>
                <w:kern w:val="0"/>
                <w:sz w:val="24"/>
                <w:szCs w:val="24"/>
                <w:highlight w:val="none"/>
              </w:rPr>
              <w:t>雷暴大风</w:t>
            </w:r>
          </w:p>
        </w:tc>
        <w:tc>
          <w:tcPr>
            <w:tcW w:w="1302" w:type="pct"/>
            <w:vAlign w:val="center"/>
          </w:tcPr>
          <w:p w14:paraId="2D91CA5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3"/>
                <w:kern w:val="0"/>
                <w:sz w:val="24"/>
                <w:szCs w:val="24"/>
                <w:highlight w:val="none"/>
              </w:rPr>
              <w:t>TS</w:t>
            </w:r>
          </w:p>
        </w:tc>
      </w:tr>
      <w:tr w14:paraId="12595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81" w:type="pct"/>
            <w:vAlign w:val="center"/>
          </w:tcPr>
          <w:p w14:paraId="469D9908">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6"/>
                <w:kern w:val="0"/>
                <w:sz w:val="24"/>
                <w:szCs w:val="24"/>
                <w:highlight w:val="none"/>
              </w:rPr>
              <w:t>23</w:t>
            </w:r>
          </w:p>
        </w:tc>
        <w:tc>
          <w:tcPr>
            <w:tcW w:w="815" w:type="pct"/>
            <w:vMerge w:val="continue"/>
            <w:tcBorders>
              <w:top w:val="nil"/>
            </w:tcBorders>
            <w:vAlign w:val="center"/>
          </w:tcPr>
          <w:p w14:paraId="2704ADE3">
            <w:pPr>
              <w:widowControl/>
              <w:kinsoku w:val="0"/>
              <w:autoSpaceDE w:val="0"/>
              <w:autoSpaceDN w:val="0"/>
              <w:adjustRightInd w:val="0"/>
              <w:snapToGrid w:val="0"/>
              <w:spacing w:line="360" w:lineRule="auto"/>
              <w:jc w:val="center"/>
              <w:textAlignment w:val="baseline"/>
              <w:rPr>
                <w:color w:val="auto"/>
                <w:kern w:val="0"/>
                <w:sz w:val="24"/>
                <w:szCs w:val="24"/>
                <w:highlight w:val="none"/>
              </w:rPr>
            </w:pPr>
          </w:p>
        </w:tc>
        <w:tc>
          <w:tcPr>
            <w:tcW w:w="2400" w:type="pct"/>
            <w:vAlign w:val="center"/>
          </w:tcPr>
          <w:p w14:paraId="798F991B">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rFonts w:hint="eastAsia"/>
                <w:color w:val="auto"/>
                <w:spacing w:val="-5"/>
                <w:kern w:val="0"/>
                <w:sz w:val="24"/>
                <w:szCs w:val="24"/>
                <w:highlight w:val="none"/>
              </w:rPr>
              <w:t>双偏振定量降水估测</w:t>
            </w:r>
          </w:p>
        </w:tc>
        <w:tc>
          <w:tcPr>
            <w:tcW w:w="1302" w:type="pct"/>
            <w:vAlign w:val="center"/>
          </w:tcPr>
          <w:p w14:paraId="14F19121">
            <w:pPr>
              <w:widowControl/>
              <w:kinsoku w:val="0"/>
              <w:autoSpaceDE w:val="0"/>
              <w:autoSpaceDN w:val="0"/>
              <w:adjustRightInd w:val="0"/>
              <w:snapToGrid w:val="0"/>
              <w:spacing w:line="360" w:lineRule="auto"/>
              <w:jc w:val="center"/>
              <w:textAlignment w:val="baseline"/>
              <w:rPr>
                <w:color w:val="auto"/>
                <w:kern w:val="0"/>
                <w:sz w:val="24"/>
                <w:szCs w:val="24"/>
                <w:highlight w:val="none"/>
              </w:rPr>
            </w:pPr>
            <w:r>
              <w:rPr>
                <w:color w:val="auto"/>
                <w:spacing w:val="-3"/>
                <w:kern w:val="0"/>
                <w:sz w:val="24"/>
                <w:szCs w:val="24"/>
                <w:highlight w:val="none"/>
              </w:rPr>
              <w:t>QPE</w:t>
            </w:r>
          </w:p>
        </w:tc>
      </w:tr>
    </w:tbl>
    <w:p w14:paraId="095B5E48">
      <w:pPr>
        <w:tabs>
          <w:tab w:val="left" w:pos="2340"/>
        </w:tabs>
        <w:spacing w:line="360" w:lineRule="auto"/>
        <w:ind w:firstLine="480"/>
        <w:rPr>
          <w:bCs/>
          <w:color w:val="auto"/>
          <w:sz w:val="24"/>
          <w:szCs w:val="24"/>
          <w:highlight w:val="none"/>
        </w:rPr>
      </w:pPr>
      <w:r>
        <w:rPr>
          <w:rFonts w:hint="eastAsia"/>
          <w:bCs/>
          <w:color w:val="auto"/>
          <w:sz w:val="24"/>
          <w:szCs w:val="24"/>
          <w:highlight w:val="none"/>
        </w:rPr>
        <w:t>（</w:t>
      </w:r>
      <w:r>
        <w:rPr>
          <w:bCs/>
          <w:color w:val="auto"/>
          <w:sz w:val="24"/>
          <w:szCs w:val="24"/>
          <w:highlight w:val="none"/>
        </w:rPr>
        <w:t>3</w:t>
      </w:r>
      <w:r>
        <w:rPr>
          <w:rFonts w:hint="eastAsia"/>
          <w:bCs/>
          <w:color w:val="auto"/>
          <w:sz w:val="24"/>
          <w:szCs w:val="24"/>
          <w:highlight w:val="none"/>
        </w:rPr>
        <w:t>）软件功能要求</w:t>
      </w:r>
    </w:p>
    <w:p w14:paraId="113CB791">
      <w:pPr>
        <w:tabs>
          <w:tab w:val="left" w:pos="2340"/>
        </w:tabs>
        <w:spacing w:line="360" w:lineRule="auto"/>
        <w:ind w:firstLine="480"/>
        <w:rPr>
          <w:bCs/>
          <w:color w:val="auto"/>
          <w:sz w:val="24"/>
          <w:szCs w:val="24"/>
          <w:highlight w:val="none"/>
        </w:rPr>
      </w:pPr>
      <w:r>
        <w:rPr>
          <w:bCs/>
          <w:color w:val="auto"/>
          <w:sz w:val="24"/>
          <w:szCs w:val="24"/>
          <w:highlight w:val="none"/>
        </w:rPr>
        <w:t>1</w:t>
      </w:r>
      <w:r>
        <w:rPr>
          <w:rFonts w:hint="eastAsia"/>
          <w:bCs/>
          <w:color w:val="auto"/>
          <w:sz w:val="24"/>
          <w:szCs w:val="24"/>
          <w:highlight w:val="none"/>
        </w:rPr>
        <w:t>）产品显示：平面位置产品、距离高度产品、等高面位置产品、二次产品等显示功能。</w:t>
      </w:r>
    </w:p>
    <w:p w14:paraId="615AED1F">
      <w:pPr>
        <w:tabs>
          <w:tab w:val="left" w:pos="2340"/>
        </w:tabs>
        <w:spacing w:line="360" w:lineRule="auto"/>
        <w:ind w:firstLine="480"/>
        <w:rPr>
          <w:bCs/>
          <w:color w:val="auto"/>
          <w:sz w:val="24"/>
          <w:szCs w:val="24"/>
          <w:highlight w:val="none"/>
        </w:rPr>
      </w:pPr>
      <w:r>
        <w:rPr>
          <w:bCs/>
          <w:color w:val="auto"/>
          <w:sz w:val="24"/>
          <w:szCs w:val="24"/>
          <w:highlight w:val="none"/>
        </w:rPr>
        <w:t>2</w:t>
      </w:r>
      <w:r>
        <w:rPr>
          <w:rFonts w:hint="eastAsia"/>
          <w:bCs/>
          <w:color w:val="auto"/>
          <w:sz w:val="24"/>
          <w:szCs w:val="24"/>
          <w:highlight w:val="none"/>
        </w:rPr>
        <w:t>）分屏显示：二分屏、四分屏等分屏显示功能、支持光标联动信息显示。</w:t>
      </w:r>
    </w:p>
    <w:p w14:paraId="7847A7FC">
      <w:pPr>
        <w:tabs>
          <w:tab w:val="left" w:pos="2340"/>
        </w:tabs>
        <w:spacing w:line="360" w:lineRule="auto"/>
        <w:ind w:firstLine="480"/>
        <w:rPr>
          <w:bCs/>
          <w:color w:val="auto"/>
          <w:sz w:val="24"/>
          <w:szCs w:val="24"/>
          <w:highlight w:val="none"/>
        </w:rPr>
      </w:pPr>
      <w:r>
        <w:rPr>
          <w:bCs/>
          <w:color w:val="auto"/>
          <w:sz w:val="24"/>
          <w:szCs w:val="24"/>
          <w:highlight w:val="none"/>
        </w:rPr>
        <w:t>3</w:t>
      </w:r>
      <w:r>
        <w:rPr>
          <w:rFonts w:hint="eastAsia"/>
          <w:bCs/>
          <w:color w:val="auto"/>
          <w:sz w:val="24"/>
          <w:szCs w:val="24"/>
          <w:highlight w:val="none"/>
        </w:rPr>
        <w:t>）垂直剖面：基本产品任意垂直剖面显示功能，支持折线剖面，可同时显示多个产品，可保存图像。</w:t>
      </w:r>
    </w:p>
    <w:p w14:paraId="700453B3">
      <w:pPr>
        <w:tabs>
          <w:tab w:val="left" w:pos="2340"/>
        </w:tabs>
        <w:spacing w:line="360" w:lineRule="auto"/>
        <w:ind w:firstLine="480"/>
        <w:rPr>
          <w:bCs/>
          <w:color w:val="auto"/>
          <w:sz w:val="24"/>
          <w:szCs w:val="24"/>
          <w:highlight w:val="none"/>
        </w:rPr>
      </w:pPr>
      <w:r>
        <w:rPr>
          <w:bCs/>
          <w:color w:val="auto"/>
          <w:sz w:val="24"/>
          <w:szCs w:val="24"/>
          <w:highlight w:val="none"/>
        </w:rPr>
        <w:t>4</w:t>
      </w:r>
      <w:r>
        <w:rPr>
          <w:rFonts w:hint="eastAsia"/>
          <w:bCs/>
          <w:color w:val="auto"/>
          <w:sz w:val="24"/>
          <w:szCs w:val="24"/>
          <w:highlight w:val="none"/>
        </w:rPr>
        <w:t>）最大值显示：体扫各层反射率垂直、东西、南北三个方向最大值可投影显示。</w:t>
      </w:r>
    </w:p>
    <w:p w14:paraId="710BDC41">
      <w:pPr>
        <w:tabs>
          <w:tab w:val="left" w:pos="2340"/>
        </w:tabs>
        <w:spacing w:line="360" w:lineRule="auto"/>
        <w:ind w:firstLine="480"/>
        <w:rPr>
          <w:bCs/>
          <w:color w:val="auto"/>
          <w:sz w:val="24"/>
          <w:szCs w:val="24"/>
          <w:highlight w:val="none"/>
        </w:rPr>
      </w:pPr>
      <w:r>
        <w:rPr>
          <w:bCs/>
          <w:color w:val="auto"/>
          <w:sz w:val="24"/>
          <w:szCs w:val="24"/>
          <w:highlight w:val="none"/>
        </w:rPr>
        <w:t>5</w:t>
      </w:r>
      <w:r>
        <w:rPr>
          <w:rFonts w:hint="eastAsia"/>
          <w:bCs/>
          <w:color w:val="auto"/>
          <w:sz w:val="24"/>
          <w:szCs w:val="24"/>
          <w:highlight w:val="none"/>
        </w:rPr>
        <w:t>）图形缩放、拖曳：产品图像可放大缩小，拖曳移动。</w:t>
      </w:r>
    </w:p>
    <w:p w14:paraId="6F0DAEE8">
      <w:pPr>
        <w:tabs>
          <w:tab w:val="left" w:pos="2340"/>
        </w:tabs>
        <w:spacing w:line="360" w:lineRule="auto"/>
        <w:ind w:firstLine="480"/>
        <w:rPr>
          <w:bCs/>
          <w:color w:val="auto"/>
          <w:sz w:val="24"/>
          <w:szCs w:val="24"/>
          <w:highlight w:val="none"/>
        </w:rPr>
      </w:pPr>
      <w:r>
        <w:rPr>
          <w:bCs/>
          <w:color w:val="auto"/>
          <w:sz w:val="24"/>
          <w:szCs w:val="24"/>
          <w:highlight w:val="none"/>
        </w:rPr>
        <w:t>6</w:t>
      </w:r>
      <w:r>
        <w:rPr>
          <w:rFonts w:hint="eastAsia"/>
          <w:bCs/>
          <w:color w:val="auto"/>
          <w:sz w:val="24"/>
          <w:szCs w:val="24"/>
          <w:highlight w:val="none"/>
        </w:rPr>
        <w:t>）图像保存：产品图像可保存为图片格式，分辨率可调。</w:t>
      </w:r>
    </w:p>
    <w:p w14:paraId="7AFBFFE0">
      <w:pPr>
        <w:tabs>
          <w:tab w:val="left" w:pos="2340"/>
        </w:tabs>
        <w:spacing w:line="360" w:lineRule="auto"/>
        <w:ind w:firstLine="480"/>
        <w:rPr>
          <w:bCs/>
          <w:color w:val="auto"/>
          <w:sz w:val="24"/>
          <w:szCs w:val="24"/>
          <w:highlight w:val="none"/>
        </w:rPr>
      </w:pPr>
      <w:r>
        <w:rPr>
          <w:bCs/>
          <w:color w:val="auto"/>
          <w:sz w:val="24"/>
          <w:szCs w:val="24"/>
          <w:highlight w:val="none"/>
        </w:rPr>
        <w:t>7</w:t>
      </w:r>
      <w:r>
        <w:rPr>
          <w:rFonts w:hint="eastAsia"/>
          <w:bCs/>
          <w:color w:val="auto"/>
          <w:sz w:val="24"/>
          <w:szCs w:val="24"/>
          <w:highlight w:val="none"/>
        </w:rPr>
        <w:t>）动态展示：支持产品时序播放、动图制作。</w:t>
      </w:r>
    </w:p>
    <w:p w14:paraId="30942F7C">
      <w:pPr>
        <w:tabs>
          <w:tab w:val="left" w:pos="2340"/>
        </w:tabs>
        <w:spacing w:line="360" w:lineRule="auto"/>
        <w:ind w:firstLine="480"/>
        <w:rPr>
          <w:bCs/>
          <w:color w:val="auto"/>
          <w:sz w:val="24"/>
          <w:szCs w:val="24"/>
          <w:highlight w:val="none"/>
        </w:rPr>
      </w:pPr>
      <w:r>
        <w:rPr>
          <w:bCs/>
          <w:color w:val="auto"/>
          <w:sz w:val="24"/>
          <w:szCs w:val="24"/>
          <w:highlight w:val="none"/>
        </w:rPr>
        <w:t>8</w:t>
      </w:r>
      <w:r>
        <w:rPr>
          <w:rFonts w:hint="eastAsia"/>
          <w:bCs/>
          <w:color w:val="auto"/>
          <w:sz w:val="24"/>
          <w:szCs w:val="24"/>
          <w:highlight w:val="none"/>
        </w:rPr>
        <w:t>）地图加载：产品显示可加载离线地图文件，同时应支持</w:t>
      </w:r>
      <w:r>
        <w:rPr>
          <w:bCs/>
          <w:color w:val="auto"/>
          <w:sz w:val="24"/>
          <w:szCs w:val="24"/>
          <w:highlight w:val="none"/>
        </w:rPr>
        <w:t>API</w:t>
      </w:r>
      <w:r>
        <w:rPr>
          <w:rFonts w:hint="eastAsia"/>
          <w:bCs/>
          <w:color w:val="auto"/>
          <w:sz w:val="24"/>
          <w:szCs w:val="24"/>
          <w:highlight w:val="none"/>
        </w:rPr>
        <w:t>接口获取在线瓦片，底图包括但不限于地图、地形、影像，支持各级界线、名称显隐。</w:t>
      </w:r>
    </w:p>
    <w:p w14:paraId="3FEE6C4F">
      <w:pPr>
        <w:tabs>
          <w:tab w:val="left" w:pos="2340"/>
        </w:tabs>
        <w:spacing w:line="360" w:lineRule="auto"/>
        <w:ind w:firstLine="480"/>
        <w:rPr>
          <w:bCs/>
          <w:color w:val="auto"/>
          <w:sz w:val="24"/>
          <w:szCs w:val="24"/>
          <w:highlight w:val="none"/>
        </w:rPr>
      </w:pPr>
      <w:r>
        <w:rPr>
          <w:bCs/>
          <w:color w:val="auto"/>
          <w:sz w:val="24"/>
          <w:szCs w:val="24"/>
          <w:highlight w:val="none"/>
        </w:rPr>
        <w:t>9</w:t>
      </w:r>
      <w:r>
        <w:rPr>
          <w:rFonts w:hint="eastAsia"/>
          <w:bCs/>
          <w:color w:val="auto"/>
          <w:sz w:val="24"/>
          <w:szCs w:val="24"/>
          <w:highlight w:val="none"/>
        </w:rPr>
        <w:t>）测距功能：产品显示界面可显示两点间距离、折线距离。</w:t>
      </w:r>
    </w:p>
    <w:p w14:paraId="38BDD862">
      <w:pPr>
        <w:tabs>
          <w:tab w:val="left" w:pos="2340"/>
        </w:tabs>
        <w:spacing w:line="360" w:lineRule="auto"/>
        <w:ind w:firstLine="480"/>
        <w:rPr>
          <w:bCs/>
          <w:color w:val="auto"/>
          <w:sz w:val="24"/>
          <w:szCs w:val="24"/>
          <w:highlight w:val="none"/>
        </w:rPr>
      </w:pPr>
      <w:r>
        <w:rPr>
          <w:bCs/>
          <w:color w:val="auto"/>
          <w:sz w:val="24"/>
          <w:szCs w:val="24"/>
          <w:highlight w:val="none"/>
        </w:rPr>
        <w:t>10</w:t>
      </w:r>
      <w:r>
        <w:rPr>
          <w:rFonts w:hint="eastAsia"/>
          <w:bCs/>
          <w:color w:val="auto"/>
          <w:sz w:val="24"/>
          <w:szCs w:val="24"/>
          <w:highlight w:val="none"/>
        </w:rPr>
        <w:t>）游标引导：游标所在点的经纬度、方位、距离、高度、产品数值、地理位置等信息显示。</w:t>
      </w:r>
    </w:p>
    <w:p w14:paraId="6622FE97">
      <w:pPr>
        <w:tabs>
          <w:tab w:val="left" w:pos="2340"/>
        </w:tabs>
        <w:spacing w:line="360" w:lineRule="auto"/>
        <w:ind w:firstLine="480"/>
        <w:rPr>
          <w:bCs/>
          <w:color w:val="auto"/>
          <w:sz w:val="24"/>
          <w:szCs w:val="24"/>
          <w:highlight w:val="none"/>
        </w:rPr>
      </w:pPr>
      <w:r>
        <w:rPr>
          <w:bCs/>
          <w:color w:val="auto"/>
          <w:sz w:val="24"/>
          <w:szCs w:val="24"/>
          <w:highlight w:val="none"/>
        </w:rPr>
        <w:t>11</w:t>
      </w:r>
      <w:r>
        <w:rPr>
          <w:rFonts w:hint="eastAsia"/>
          <w:bCs/>
          <w:color w:val="auto"/>
          <w:sz w:val="24"/>
          <w:szCs w:val="24"/>
          <w:highlight w:val="none"/>
        </w:rPr>
        <w:t>）产品色标：提供默认配色，支持自定义配色。</w:t>
      </w:r>
    </w:p>
    <w:p w14:paraId="678DE2A3">
      <w:pPr>
        <w:tabs>
          <w:tab w:val="left" w:pos="2340"/>
        </w:tabs>
        <w:spacing w:line="360" w:lineRule="auto"/>
        <w:ind w:firstLine="480"/>
        <w:rPr>
          <w:bCs/>
          <w:color w:val="auto"/>
          <w:sz w:val="24"/>
          <w:szCs w:val="24"/>
          <w:highlight w:val="none"/>
        </w:rPr>
      </w:pPr>
      <w:r>
        <w:rPr>
          <w:bCs/>
          <w:color w:val="auto"/>
          <w:sz w:val="24"/>
          <w:szCs w:val="24"/>
          <w:highlight w:val="none"/>
        </w:rPr>
        <w:t>12</w:t>
      </w:r>
      <w:r>
        <w:rPr>
          <w:rFonts w:hint="eastAsia"/>
          <w:bCs/>
          <w:color w:val="auto"/>
          <w:sz w:val="24"/>
          <w:szCs w:val="24"/>
          <w:highlight w:val="none"/>
        </w:rPr>
        <w:t>）阈值过滤：显示阈值范围内数据，过滤超限数据；可单一范围显隐；可调整产品透明度。</w:t>
      </w:r>
    </w:p>
    <w:p w14:paraId="493C63C0">
      <w:pPr>
        <w:tabs>
          <w:tab w:val="left" w:pos="2340"/>
        </w:tabs>
        <w:spacing w:line="360" w:lineRule="auto"/>
        <w:ind w:firstLine="480"/>
        <w:rPr>
          <w:bCs/>
          <w:color w:val="auto"/>
          <w:sz w:val="24"/>
          <w:szCs w:val="24"/>
          <w:highlight w:val="none"/>
        </w:rPr>
      </w:pPr>
      <w:r>
        <w:rPr>
          <w:bCs/>
          <w:color w:val="auto"/>
          <w:sz w:val="24"/>
          <w:szCs w:val="24"/>
          <w:highlight w:val="none"/>
        </w:rPr>
        <w:t>13</w:t>
      </w:r>
      <w:r>
        <w:rPr>
          <w:rFonts w:hint="eastAsia"/>
          <w:bCs/>
          <w:color w:val="auto"/>
          <w:sz w:val="24"/>
          <w:szCs w:val="24"/>
          <w:highlight w:val="none"/>
        </w:rPr>
        <w:t>）自动刷新：可启停的自动显示最新产品数据。</w:t>
      </w:r>
    </w:p>
    <w:p w14:paraId="2CCBA31B">
      <w:pPr>
        <w:tabs>
          <w:tab w:val="left" w:pos="2340"/>
        </w:tabs>
        <w:spacing w:line="360" w:lineRule="auto"/>
        <w:ind w:firstLine="480"/>
        <w:rPr>
          <w:bCs/>
          <w:color w:val="auto"/>
          <w:sz w:val="24"/>
          <w:szCs w:val="24"/>
          <w:highlight w:val="none"/>
        </w:rPr>
      </w:pPr>
      <w:r>
        <w:rPr>
          <w:bCs/>
          <w:color w:val="auto"/>
          <w:sz w:val="24"/>
          <w:szCs w:val="24"/>
          <w:highlight w:val="none"/>
        </w:rPr>
        <w:t>14</w:t>
      </w:r>
      <w:r>
        <w:rPr>
          <w:rFonts w:hint="eastAsia"/>
          <w:bCs/>
          <w:color w:val="auto"/>
          <w:sz w:val="24"/>
          <w:szCs w:val="24"/>
          <w:highlight w:val="none"/>
        </w:rPr>
        <w:t>）状态监控：包括数据接收、产品制作、产品传输状态监控。</w:t>
      </w:r>
    </w:p>
    <w:p w14:paraId="1B3CFAEF">
      <w:pPr>
        <w:tabs>
          <w:tab w:val="left" w:pos="2340"/>
        </w:tabs>
        <w:spacing w:line="360" w:lineRule="auto"/>
        <w:ind w:firstLine="480"/>
        <w:rPr>
          <w:bCs/>
          <w:color w:val="auto"/>
          <w:sz w:val="24"/>
          <w:szCs w:val="24"/>
          <w:highlight w:val="none"/>
        </w:rPr>
      </w:pPr>
      <w:r>
        <w:rPr>
          <w:bCs/>
          <w:color w:val="auto"/>
          <w:sz w:val="24"/>
          <w:szCs w:val="24"/>
          <w:highlight w:val="none"/>
        </w:rPr>
        <w:t>15</w:t>
      </w:r>
      <w:r>
        <w:rPr>
          <w:rFonts w:hint="eastAsia"/>
          <w:bCs/>
          <w:color w:val="auto"/>
          <w:sz w:val="24"/>
          <w:szCs w:val="24"/>
          <w:highlight w:val="none"/>
        </w:rPr>
        <w:t>）数据归档：本地或异地产品数据归档，支持定时清理。</w:t>
      </w:r>
    </w:p>
    <w:p w14:paraId="0D73582D">
      <w:pPr>
        <w:tabs>
          <w:tab w:val="left" w:pos="2340"/>
        </w:tabs>
        <w:spacing w:line="360" w:lineRule="auto"/>
        <w:ind w:firstLine="480"/>
        <w:rPr>
          <w:bCs/>
          <w:color w:val="auto"/>
          <w:sz w:val="24"/>
          <w:szCs w:val="24"/>
          <w:highlight w:val="none"/>
        </w:rPr>
      </w:pPr>
      <w:r>
        <w:rPr>
          <w:bCs/>
          <w:color w:val="auto"/>
          <w:sz w:val="24"/>
          <w:szCs w:val="24"/>
          <w:highlight w:val="none"/>
        </w:rPr>
        <w:t>16</w:t>
      </w:r>
      <w:r>
        <w:rPr>
          <w:rFonts w:hint="eastAsia"/>
          <w:bCs/>
          <w:color w:val="auto"/>
          <w:sz w:val="24"/>
          <w:szCs w:val="24"/>
          <w:highlight w:val="none"/>
        </w:rPr>
        <w:t>）数据上传：产品数据多节点上传，支持恢复网络后自动补传、手动补传。</w:t>
      </w:r>
    </w:p>
    <w:p w14:paraId="1D0A766A">
      <w:pPr>
        <w:tabs>
          <w:tab w:val="left" w:pos="2340"/>
        </w:tabs>
        <w:spacing w:line="360" w:lineRule="auto"/>
        <w:ind w:firstLine="480"/>
        <w:rPr>
          <w:bCs/>
          <w:color w:val="auto"/>
          <w:sz w:val="24"/>
          <w:szCs w:val="24"/>
          <w:highlight w:val="none"/>
        </w:rPr>
      </w:pPr>
      <w:r>
        <w:rPr>
          <w:bCs/>
          <w:color w:val="auto"/>
          <w:sz w:val="24"/>
          <w:szCs w:val="24"/>
          <w:highlight w:val="none"/>
        </w:rPr>
        <w:t>17</w:t>
      </w:r>
      <w:r>
        <w:rPr>
          <w:rFonts w:hint="eastAsia"/>
          <w:bCs/>
          <w:color w:val="auto"/>
          <w:sz w:val="24"/>
          <w:szCs w:val="24"/>
          <w:highlight w:val="none"/>
        </w:rPr>
        <w:t>）算法参数：算法参数可本地化调整。</w:t>
      </w:r>
    </w:p>
    <w:p w14:paraId="356D7F99">
      <w:pPr>
        <w:tabs>
          <w:tab w:val="left" w:pos="2340"/>
        </w:tabs>
        <w:spacing w:line="360" w:lineRule="auto"/>
        <w:ind w:firstLine="480"/>
        <w:rPr>
          <w:bCs/>
          <w:color w:val="auto"/>
          <w:sz w:val="24"/>
          <w:szCs w:val="24"/>
          <w:highlight w:val="none"/>
        </w:rPr>
      </w:pPr>
      <w:r>
        <w:rPr>
          <w:bCs/>
          <w:color w:val="auto"/>
          <w:sz w:val="24"/>
          <w:szCs w:val="24"/>
          <w:highlight w:val="none"/>
        </w:rPr>
        <w:t>18</w:t>
      </w:r>
      <w:r>
        <w:rPr>
          <w:rFonts w:hint="eastAsia"/>
          <w:bCs/>
          <w:color w:val="auto"/>
          <w:sz w:val="24"/>
          <w:szCs w:val="24"/>
          <w:highlight w:val="none"/>
        </w:rPr>
        <w:t>）算法接口：支持外部算法接入，使用统一数据接口调用。</w:t>
      </w:r>
    </w:p>
    <w:p w14:paraId="44C4E82C">
      <w:pPr>
        <w:tabs>
          <w:tab w:val="left" w:pos="2340"/>
        </w:tabs>
        <w:spacing w:line="360" w:lineRule="auto"/>
        <w:ind w:firstLine="480"/>
        <w:rPr>
          <w:bCs/>
          <w:color w:val="auto"/>
          <w:sz w:val="24"/>
          <w:szCs w:val="24"/>
          <w:highlight w:val="none"/>
        </w:rPr>
      </w:pPr>
      <w:r>
        <w:rPr>
          <w:bCs/>
          <w:color w:val="auto"/>
          <w:sz w:val="24"/>
          <w:szCs w:val="24"/>
          <w:highlight w:val="none"/>
        </w:rPr>
        <w:t>19</w:t>
      </w:r>
      <w:r>
        <w:rPr>
          <w:rFonts w:hint="eastAsia"/>
          <w:bCs/>
          <w:color w:val="auto"/>
          <w:sz w:val="24"/>
          <w:szCs w:val="24"/>
          <w:highlight w:val="none"/>
        </w:rPr>
        <w:t>）系统日志：包括软件运行日志、数据接收日志、产品生成日志、数据上传日志、告警日志、预警日志。</w:t>
      </w:r>
    </w:p>
    <w:p w14:paraId="510BC6C9">
      <w:pPr>
        <w:tabs>
          <w:tab w:val="left" w:pos="2340"/>
        </w:tabs>
        <w:spacing w:line="360" w:lineRule="auto"/>
        <w:ind w:firstLine="480"/>
        <w:rPr>
          <w:bCs/>
          <w:color w:val="auto"/>
          <w:sz w:val="24"/>
          <w:szCs w:val="24"/>
          <w:highlight w:val="none"/>
        </w:rPr>
      </w:pPr>
      <w:r>
        <w:rPr>
          <w:bCs/>
          <w:color w:val="auto"/>
          <w:sz w:val="24"/>
          <w:szCs w:val="24"/>
          <w:highlight w:val="none"/>
        </w:rPr>
        <w:t>20</w:t>
      </w:r>
      <w:r>
        <w:rPr>
          <w:rFonts w:hint="eastAsia"/>
          <w:bCs/>
          <w:color w:val="auto"/>
          <w:sz w:val="24"/>
          <w:szCs w:val="24"/>
          <w:highlight w:val="none"/>
        </w:rPr>
        <w:t>）日志查询：可按日期、类型、关键词等方式查询系统日志。</w:t>
      </w:r>
    </w:p>
    <w:p w14:paraId="4BD5EEF3">
      <w:pPr>
        <w:tabs>
          <w:tab w:val="left" w:pos="2340"/>
        </w:tabs>
        <w:spacing w:line="360" w:lineRule="auto"/>
        <w:ind w:firstLine="480"/>
        <w:rPr>
          <w:bCs/>
          <w:color w:val="auto"/>
          <w:sz w:val="24"/>
          <w:szCs w:val="24"/>
          <w:highlight w:val="none"/>
        </w:rPr>
      </w:pPr>
      <w:r>
        <w:rPr>
          <w:bCs/>
          <w:color w:val="auto"/>
          <w:sz w:val="24"/>
          <w:szCs w:val="24"/>
          <w:highlight w:val="none"/>
        </w:rPr>
        <w:t>21</w:t>
      </w:r>
      <w:r>
        <w:rPr>
          <w:rFonts w:hint="eastAsia"/>
          <w:bCs/>
          <w:color w:val="auto"/>
          <w:sz w:val="24"/>
          <w:szCs w:val="24"/>
          <w:highlight w:val="none"/>
        </w:rPr>
        <w:t>）多用户并发：每个产品生成终端应至少能够满足</w:t>
      </w:r>
      <w:r>
        <w:rPr>
          <w:bCs/>
          <w:color w:val="auto"/>
          <w:sz w:val="24"/>
          <w:szCs w:val="24"/>
          <w:highlight w:val="none"/>
        </w:rPr>
        <w:t>30</w:t>
      </w:r>
      <w:r>
        <w:rPr>
          <w:rFonts w:hint="eastAsia"/>
          <w:bCs/>
          <w:color w:val="auto"/>
          <w:sz w:val="24"/>
          <w:szCs w:val="24"/>
          <w:highlight w:val="none"/>
        </w:rPr>
        <w:t>位用户同时访问。</w:t>
      </w:r>
    </w:p>
    <w:p w14:paraId="693CC9A0">
      <w:pPr>
        <w:tabs>
          <w:tab w:val="left" w:pos="2340"/>
        </w:tabs>
        <w:spacing w:line="360" w:lineRule="auto"/>
        <w:ind w:firstLine="480"/>
        <w:rPr>
          <w:bCs/>
          <w:color w:val="auto"/>
          <w:sz w:val="24"/>
          <w:szCs w:val="24"/>
          <w:highlight w:val="none"/>
        </w:rPr>
      </w:pPr>
      <w:r>
        <w:rPr>
          <w:bCs/>
          <w:color w:val="auto"/>
          <w:sz w:val="24"/>
          <w:szCs w:val="24"/>
          <w:highlight w:val="none"/>
        </w:rPr>
        <w:t>22</w:t>
      </w:r>
      <w:r>
        <w:rPr>
          <w:rFonts w:hint="eastAsia"/>
          <w:bCs/>
          <w:color w:val="auto"/>
          <w:sz w:val="24"/>
          <w:szCs w:val="24"/>
          <w:highlight w:val="none"/>
        </w:rPr>
        <w:t>）数据库接口：可从天擎等数据库的接口获取雷达基数据作为数据源。</w:t>
      </w:r>
    </w:p>
    <w:p w14:paraId="5C0FE7CC">
      <w:pPr>
        <w:tabs>
          <w:tab w:val="left" w:pos="2340"/>
        </w:tabs>
        <w:spacing w:line="360" w:lineRule="auto"/>
        <w:ind w:firstLine="480"/>
        <w:rPr>
          <w:bCs/>
          <w:color w:val="auto"/>
          <w:sz w:val="24"/>
          <w:szCs w:val="24"/>
          <w:highlight w:val="none"/>
        </w:rPr>
      </w:pPr>
      <w:r>
        <w:rPr>
          <w:bCs/>
          <w:color w:val="auto"/>
          <w:sz w:val="24"/>
          <w:szCs w:val="24"/>
          <w:highlight w:val="none"/>
        </w:rPr>
        <w:t>23</w:t>
      </w:r>
      <w:r>
        <w:rPr>
          <w:rFonts w:hint="eastAsia"/>
          <w:bCs/>
          <w:color w:val="auto"/>
          <w:sz w:val="24"/>
          <w:szCs w:val="24"/>
          <w:highlight w:val="none"/>
        </w:rPr>
        <w:t>）快捷操作：可通过键盘进行产品切换、时间切换、仰角层切换等快捷操作。</w:t>
      </w:r>
    </w:p>
    <w:p w14:paraId="693C73CB">
      <w:pPr>
        <w:tabs>
          <w:tab w:val="left" w:pos="2340"/>
        </w:tabs>
        <w:spacing w:line="360" w:lineRule="auto"/>
        <w:ind w:firstLine="480"/>
        <w:rPr>
          <w:bCs/>
          <w:color w:val="auto"/>
          <w:sz w:val="24"/>
          <w:szCs w:val="24"/>
          <w:highlight w:val="none"/>
        </w:rPr>
      </w:pPr>
      <w:r>
        <w:rPr>
          <w:bCs/>
          <w:color w:val="auto"/>
          <w:sz w:val="24"/>
          <w:szCs w:val="24"/>
          <w:highlight w:val="none"/>
        </w:rPr>
        <w:t>24</w:t>
      </w:r>
      <w:r>
        <w:rPr>
          <w:rFonts w:hint="eastAsia"/>
          <w:bCs/>
          <w:color w:val="auto"/>
          <w:sz w:val="24"/>
          <w:szCs w:val="24"/>
          <w:highlight w:val="none"/>
        </w:rPr>
        <w:t>）关注点标记：设定不同类型的关注点，可设置备注信息并保存；可单选、多选、分类选择叠加在产品上进行显示；可设定关注点预警范围。支持关注点信息导入导出。</w:t>
      </w:r>
    </w:p>
    <w:p w14:paraId="4F332828">
      <w:pPr>
        <w:tabs>
          <w:tab w:val="left" w:pos="2340"/>
        </w:tabs>
        <w:spacing w:line="360" w:lineRule="auto"/>
        <w:ind w:firstLine="482"/>
        <w:rPr>
          <w:b/>
          <w:color w:val="auto"/>
          <w:sz w:val="24"/>
          <w:szCs w:val="24"/>
          <w:highlight w:val="none"/>
        </w:rPr>
      </w:pPr>
      <w:r>
        <w:rPr>
          <w:rFonts w:hint="eastAsia"/>
          <w:b/>
          <w:color w:val="auto"/>
          <w:sz w:val="24"/>
          <w:szCs w:val="24"/>
          <w:highlight w:val="none"/>
          <w:lang w:val="en-US" w:eastAsia="zh-CN"/>
        </w:rPr>
        <w:t>2</w:t>
      </w:r>
      <w:r>
        <w:rPr>
          <w:b/>
          <w:color w:val="auto"/>
          <w:sz w:val="24"/>
          <w:szCs w:val="24"/>
          <w:highlight w:val="none"/>
        </w:rPr>
        <w:t>.2.</w:t>
      </w:r>
      <w:r>
        <w:rPr>
          <w:rFonts w:hint="eastAsia"/>
          <w:b/>
          <w:color w:val="auto"/>
          <w:sz w:val="24"/>
          <w:szCs w:val="24"/>
          <w:highlight w:val="none"/>
          <w:lang w:val="en-US" w:eastAsia="zh-CN"/>
        </w:rPr>
        <w:t>10</w:t>
      </w:r>
      <w:r>
        <w:rPr>
          <w:rFonts w:hint="eastAsia"/>
          <w:b/>
          <w:color w:val="auto"/>
          <w:sz w:val="24"/>
          <w:szCs w:val="24"/>
          <w:highlight w:val="none"/>
        </w:rPr>
        <w:t>雷达运算存储设备技术指标要求</w:t>
      </w:r>
    </w:p>
    <w:tbl>
      <w:tblPr>
        <w:tblStyle w:val="2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474"/>
        <w:gridCol w:w="5039"/>
      </w:tblGrid>
      <w:tr w14:paraId="480A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50" w:type="pct"/>
            <w:vAlign w:val="center"/>
          </w:tcPr>
          <w:p w14:paraId="78987892">
            <w:pPr>
              <w:widowControl/>
              <w:spacing w:line="360" w:lineRule="auto"/>
              <w:jc w:val="center"/>
              <w:rPr>
                <w:b/>
                <w:color w:val="auto"/>
                <w:kern w:val="0"/>
                <w:sz w:val="24"/>
                <w:szCs w:val="24"/>
                <w:highlight w:val="none"/>
              </w:rPr>
            </w:pPr>
            <w:bookmarkStart w:id="119" w:name="_Hlk215825802"/>
            <w:r>
              <w:rPr>
                <w:rFonts w:hint="eastAsia"/>
                <w:b/>
                <w:color w:val="auto"/>
                <w:kern w:val="0"/>
                <w:sz w:val="24"/>
                <w:szCs w:val="24"/>
                <w:highlight w:val="none"/>
              </w:rPr>
              <w:t>序号</w:t>
            </w:r>
          </w:p>
        </w:tc>
        <w:tc>
          <w:tcPr>
            <w:tcW w:w="1465" w:type="pct"/>
            <w:shd w:val="clear" w:color="auto" w:fill="auto"/>
            <w:vAlign w:val="center"/>
          </w:tcPr>
          <w:p w14:paraId="0C56646A">
            <w:pPr>
              <w:widowControl/>
              <w:spacing w:line="360" w:lineRule="auto"/>
              <w:jc w:val="center"/>
              <w:rPr>
                <w:b/>
                <w:color w:val="auto"/>
                <w:kern w:val="0"/>
                <w:sz w:val="24"/>
                <w:szCs w:val="24"/>
                <w:highlight w:val="none"/>
              </w:rPr>
            </w:pPr>
            <w:r>
              <w:rPr>
                <w:rFonts w:hint="eastAsia"/>
                <w:b/>
                <w:color w:val="auto"/>
                <w:kern w:val="0"/>
                <w:sz w:val="24"/>
                <w:szCs w:val="24"/>
                <w:highlight w:val="none"/>
              </w:rPr>
              <w:t>项目</w:t>
            </w:r>
          </w:p>
        </w:tc>
        <w:tc>
          <w:tcPr>
            <w:tcW w:w="2985" w:type="pct"/>
            <w:shd w:val="clear" w:color="auto" w:fill="auto"/>
            <w:vAlign w:val="center"/>
          </w:tcPr>
          <w:p w14:paraId="6956F538">
            <w:pPr>
              <w:widowControl/>
              <w:spacing w:line="360" w:lineRule="auto"/>
              <w:jc w:val="center"/>
              <w:rPr>
                <w:b/>
                <w:color w:val="auto"/>
                <w:kern w:val="0"/>
                <w:sz w:val="24"/>
                <w:szCs w:val="24"/>
                <w:highlight w:val="none"/>
              </w:rPr>
            </w:pPr>
            <w:r>
              <w:rPr>
                <w:rFonts w:hint="eastAsia"/>
                <w:b/>
                <w:color w:val="auto"/>
                <w:kern w:val="0"/>
                <w:sz w:val="24"/>
                <w:szCs w:val="24"/>
                <w:highlight w:val="none"/>
              </w:rPr>
              <w:t>技术指标</w:t>
            </w:r>
          </w:p>
        </w:tc>
      </w:tr>
      <w:bookmarkEnd w:id="119"/>
      <w:tr w14:paraId="163A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50" w:type="pct"/>
            <w:vAlign w:val="center"/>
          </w:tcPr>
          <w:p w14:paraId="52175B55">
            <w:pPr>
              <w:widowControl/>
              <w:spacing w:line="360" w:lineRule="auto"/>
              <w:jc w:val="center"/>
              <w:rPr>
                <w:color w:val="auto"/>
                <w:kern w:val="0"/>
                <w:sz w:val="24"/>
                <w:szCs w:val="24"/>
                <w:highlight w:val="none"/>
              </w:rPr>
            </w:pPr>
            <w:r>
              <w:rPr>
                <w:color w:val="auto"/>
                <w:kern w:val="0"/>
                <w:sz w:val="24"/>
                <w:szCs w:val="24"/>
                <w:highlight w:val="none"/>
              </w:rPr>
              <w:t>1</w:t>
            </w:r>
          </w:p>
        </w:tc>
        <w:tc>
          <w:tcPr>
            <w:tcW w:w="1465" w:type="pct"/>
            <w:shd w:val="clear" w:color="auto" w:fill="auto"/>
            <w:vAlign w:val="center"/>
          </w:tcPr>
          <w:p w14:paraId="6517ABEF">
            <w:pPr>
              <w:widowControl/>
              <w:spacing w:line="360" w:lineRule="auto"/>
              <w:rPr>
                <w:color w:val="auto"/>
                <w:kern w:val="0"/>
                <w:sz w:val="24"/>
                <w:szCs w:val="24"/>
                <w:highlight w:val="none"/>
              </w:rPr>
            </w:pPr>
            <w:r>
              <w:rPr>
                <w:rFonts w:hint="eastAsia"/>
                <w:color w:val="auto"/>
                <w:kern w:val="0"/>
                <w:sz w:val="24"/>
                <w:szCs w:val="24"/>
                <w:highlight w:val="none"/>
              </w:rPr>
              <w:t>雷达运算存储设备</w:t>
            </w:r>
          </w:p>
        </w:tc>
        <w:tc>
          <w:tcPr>
            <w:tcW w:w="2985" w:type="pct"/>
            <w:shd w:val="clear" w:color="auto" w:fill="auto"/>
            <w:vAlign w:val="center"/>
          </w:tcPr>
          <w:p w14:paraId="582BEAC8">
            <w:pPr>
              <w:widowControl/>
              <w:spacing w:line="360" w:lineRule="auto"/>
              <w:rPr>
                <w:color w:val="auto"/>
                <w:kern w:val="0"/>
                <w:sz w:val="24"/>
                <w:szCs w:val="24"/>
                <w:highlight w:val="none"/>
              </w:rPr>
            </w:pPr>
            <w:r>
              <w:rPr>
                <w:rFonts w:hint="eastAsia"/>
                <w:color w:val="auto"/>
                <w:kern w:val="0"/>
                <w:sz w:val="24"/>
                <w:szCs w:val="24"/>
                <w:highlight w:val="none"/>
              </w:rPr>
              <w:t>国产</w:t>
            </w:r>
            <w:r>
              <w:rPr>
                <w:color w:val="auto"/>
                <w:kern w:val="0"/>
                <w:sz w:val="24"/>
                <w:szCs w:val="24"/>
                <w:highlight w:val="none"/>
              </w:rPr>
              <w:t>CPU</w:t>
            </w:r>
            <w:r>
              <w:rPr>
                <w:rFonts w:hint="eastAsia"/>
                <w:color w:val="auto"/>
                <w:kern w:val="0"/>
                <w:sz w:val="24"/>
                <w:szCs w:val="24"/>
                <w:highlight w:val="none"/>
              </w:rPr>
              <w:t>；</w:t>
            </w:r>
          </w:p>
          <w:p w14:paraId="27DAD745">
            <w:pPr>
              <w:widowControl/>
              <w:spacing w:line="360" w:lineRule="auto"/>
              <w:rPr>
                <w:color w:val="auto"/>
                <w:kern w:val="0"/>
                <w:sz w:val="24"/>
                <w:szCs w:val="24"/>
                <w:highlight w:val="none"/>
              </w:rPr>
            </w:pPr>
            <w:r>
              <w:rPr>
                <w:color w:val="auto"/>
                <w:kern w:val="0"/>
                <w:sz w:val="24"/>
                <w:szCs w:val="24"/>
                <w:highlight w:val="none"/>
              </w:rPr>
              <w:t>CPU</w:t>
            </w:r>
            <w:r>
              <w:rPr>
                <w:rFonts w:hint="eastAsia"/>
                <w:color w:val="auto"/>
                <w:kern w:val="0"/>
                <w:sz w:val="24"/>
                <w:szCs w:val="24"/>
                <w:highlight w:val="none"/>
              </w:rPr>
              <w:t>处理器速度：≥</w:t>
            </w:r>
            <w:r>
              <w:rPr>
                <w:color w:val="auto"/>
                <w:kern w:val="0"/>
                <w:sz w:val="24"/>
                <w:szCs w:val="24"/>
                <w:highlight w:val="none"/>
              </w:rPr>
              <w:t>2.5GHz</w:t>
            </w:r>
            <w:r>
              <w:rPr>
                <w:rFonts w:hint="eastAsia"/>
                <w:color w:val="auto"/>
                <w:kern w:val="0"/>
                <w:sz w:val="24"/>
                <w:szCs w:val="24"/>
                <w:highlight w:val="none"/>
              </w:rPr>
              <w:t>；</w:t>
            </w:r>
          </w:p>
          <w:p w14:paraId="11813907">
            <w:pPr>
              <w:widowControl/>
              <w:spacing w:line="360" w:lineRule="auto"/>
              <w:rPr>
                <w:color w:val="auto"/>
                <w:kern w:val="0"/>
                <w:sz w:val="24"/>
                <w:szCs w:val="24"/>
                <w:highlight w:val="none"/>
              </w:rPr>
            </w:pPr>
            <w:r>
              <w:rPr>
                <w:color w:val="auto"/>
                <w:kern w:val="0"/>
                <w:sz w:val="24"/>
                <w:szCs w:val="24"/>
                <w:highlight w:val="none"/>
              </w:rPr>
              <w:t>CPU</w:t>
            </w:r>
            <w:r>
              <w:rPr>
                <w:rFonts w:hint="eastAsia"/>
                <w:color w:val="auto"/>
                <w:kern w:val="0"/>
                <w:sz w:val="24"/>
                <w:szCs w:val="24"/>
                <w:highlight w:val="none"/>
              </w:rPr>
              <w:t>核心数量：≥</w:t>
            </w:r>
            <w:r>
              <w:rPr>
                <w:color w:val="auto"/>
                <w:kern w:val="0"/>
                <w:sz w:val="24"/>
                <w:szCs w:val="24"/>
                <w:highlight w:val="none"/>
              </w:rPr>
              <w:t>16</w:t>
            </w:r>
            <w:r>
              <w:rPr>
                <w:rFonts w:hint="eastAsia"/>
                <w:color w:val="auto"/>
                <w:kern w:val="0"/>
                <w:sz w:val="24"/>
                <w:szCs w:val="24"/>
                <w:highlight w:val="none"/>
              </w:rPr>
              <w:t>核；</w:t>
            </w:r>
          </w:p>
          <w:p w14:paraId="2575758C">
            <w:pPr>
              <w:widowControl/>
              <w:spacing w:line="360" w:lineRule="auto"/>
              <w:rPr>
                <w:color w:val="auto"/>
                <w:kern w:val="0"/>
                <w:sz w:val="24"/>
                <w:szCs w:val="24"/>
                <w:highlight w:val="none"/>
              </w:rPr>
            </w:pPr>
            <w:r>
              <w:rPr>
                <w:rFonts w:hint="eastAsia"/>
                <w:color w:val="auto"/>
                <w:kern w:val="0"/>
                <w:sz w:val="24"/>
                <w:szCs w:val="24"/>
                <w:highlight w:val="none"/>
              </w:rPr>
              <w:t>内存容量：≥</w:t>
            </w:r>
            <w:r>
              <w:rPr>
                <w:color w:val="auto"/>
                <w:kern w:val="0"/>
                <w:sz w:val="24"/>
                <w:szCs w:val="24"/>
                <w:highlight w:val="none"/>
              </w:rPr>
              <w:t>128GB</w:t>
            </w:r>
            <w:r>
              <w:rPr>
                <w:rFonts w:hint="eastAsia"/>
                <w:color w:val="auto"/>
                <w:kern w:val="0"/>
                <w:sz w:val="24"/>
                <w:szCs w:val="24"/>
                <w:highlight w:val="none"/>
              </w:rPr>
              <w:t>；</w:t>
            </w:r>
          </w:p>
          <w:p w14:paraId="262B3196">
            <w:pPr>
              <w:widowControl/>
              <w:spacing w:line="360" w:lineRule="auto"/>
              <w:rPr>
                <w:color w:val="auto"/>
                <w:kern w:val="0"/>
                <w:sz w:val="24"/>
                <w:szCs w:val="24"/>
                <w:highlight w:val="none"/>
              </w:rPr>
            </w:pPr>
            <w:r>
              <w:rPr>
                <w:rFonts w:hint="eastAsia"/>
                <w:color w:val="auto"/>
                <w:kern w:val="0"/>
                <w:sz w:val="24"/>
                <w:szCs w:val="24"/>
                <w:highlight w:val="none"/>
              </w:rPr>
              <w:t>系统盘：≥</w:t>
            </w:r>
            <w:r>
              <w:rPr>
                <w:color w:val="auto"/>
                <w:kern w:val="0"/>
                <w:sz w:val="24"/>
                <w:szCs w:val="24"/>
                <w:highlight w:val="none"/>
              </w:rPr>
              <w:t>256G</w:t>
            </w:r>
            <w:r>
              <w:rPr>
                <w:rFonts w:hint="eastAsia"/>
                <w:color w:val="auto"/>
                <w:kern w:val="0"/>
                <w:sz w:val="24"/>
                <w:szCs w:val="24"/>
                <w:highlight w:val="none"/>
              </w:rPr>
              <w:t>；</w:t>
            </w:r>
          </w:p>
          <w:p w14:paraId="621A0408">
            <w:pPr>
              <w:widowControl/>
              <w:spacing w:line="360" w:lineRule="auto"/>
              <w:rPr>
                <w:color w:val="auto"/>
                <w:kern w:val="0"/>
                <w:sz w:val="24"/>
                <w:szCs w:val="24"/>
                <w:highlight w:val="none"/>
              </w:rPr>
            </w:pPr>
            <w:r>
              <w:rPr>
                <w:rFonts w:hint="eastAsia"/>
                <w:color w:val="auto"/>
                <w:kern w:val="0"/>
                <w:sz w:val="24"/>
                <w:szCs w:val="24"/>
                <w:highlight w:val="none"/>
              </w:rPr>
              <w:t>数据盘：≥</w:t>
            </w:r>
            <w:r>
              <w:rPr>
                <w:color w:val="auto"/>
                <w:kern w:val="0"/>
                <w:sz w:val="24"/>
                <w:szCs w:val="24"/>
                <w:highlight w:val="none"/>
              </w:rPr>
              <w:t>64TB</w:t>
            </w:r>
            <w:r>
              <w:rPr>
                <w:rFonts w:hint="eastAsia"/>
                <w:color w:val="auto"/>
                <w:kern w:val="0"/>
                <w:sz w:val="24"/>
                <w:szCs w:val="24"/>
                <w:highlight w:val="none"/>
              </w:rPr>
              <w:t>；</w:t>
            </w:r>
          </w:p>
          <w:p w14:paraId="1B199E1F">
            <w:pPr>
              <w:widowControl/>
              <w:spacing w:line="360" w:lineRule="auto"/>
              <w:rPr>
                <w:color w:val="auto"/>
                <w:kern w:val="0"/>
                <w:sz w:val="24"/>
                <w:szCs w:val="24"/>
                <w:highlight w:val="none"/>
              </w:rPr>
            </w:pPr>
            <w:r>
              <w:rPr>
                <w:rFonts w:hint="eastAsia"/>
                <w:color w:val="auto"/>
                <w:kern w:val="0"/>
                <w:sz w:val="24"/>
                <w:szCs w:val="24"/>
                <w:highlight w:val="none"/>
              </w:rPr>
              <w:t>网口：≥</w:t>
            </w:r>
            <w:r>
              <w:rPr>
                <w:color w:val="auto"/>
                <w:kern w:val="0"/>
                <w:sz w:val="24"/>
                <w:szCs w:val="24"/>
                <w:highlight w:val="none"/>
              </w:rPr>
              <w:t>2</w:t>
            </w:r>
            <w:r>
              <w:rPr>
                <w:rFonts w:hint="eastAsia"/>
                <w:color w:val="auto"/>
                <w:kern w:val="0"/>
                <w:sz w:val="24"/>
                <w:szCs w:val="24"/>
                <w:highlight w:val="none"/>
              </w:rPr>
              <w:t>个千兆网口；</w:t>
            </w:r>
          </w:p>
          <w:p w14:paraId="40D3BE5D">
            <w:pPr>
              <w:widowControl/>
              <w:spacing w:line="360" w:lineRule="auto"/>
              <w:rPr>
                <w:color w:val="auto"/>
                <w:kern w:val="0"/>
                <w:sz w:val="24"/>
                <w:szCs w:val="24"/>
                <w:highlight w:val="none"/>
              </w:rPr>
            </w:pPr>
            <w:r>
              <w:rPr>
                <w:rFonts w:hint="eastAsia"/>
                <w:color w:val="auto"/>
                <w:kern w:val="0"/>
                <w:sz w:val="24"/>
                <w:szCs w:val="24"/>
                <w:highlight w:val="none"/>
              </w:rPr>
              <w:t>操作系统：国产操作系统；</w:t>
            </w:r>
          </w:p>
        </w:tc>
      </w:tr>
    </w:tbl>
    <w:p w14:paraId="6889C6D0">
      <w:pPr>
        <w:rPr>
          <w:color w:val="auto"/>
          <w:highlight w:val="none"/>
        </w:rPr>
      </w:pPr>
    </w:p>
    <w:p w14:paraId="089D0C48">
      <w:pPr>
        <w:tabs>
          <w:tab w:val="left" w:pos="2340"/>
        </w:tabs>
        <w:spacing w:line="360" w:lineRule="auto"/>
        <w:rPr>
          <w:b/>
          <w:color w:val="auto"/>
          <w:sz w:val="24"/>
          <w:szCs w:val="24"/>
          <w:highlight w:val="none"/>
        </w:rPr>
      </w:pPr>
      <w:r>
        <w:rPr>
          <w:rFonts w:hint="eastAsia"/>
          <w:b/>
          <w:color w:val="auto"/>
          <w:sz w:val="24"/>
          <w:szCs w:val="24"/>
          <w:highlight w:val="none"/>
          <w:lang w:val="en-US" w:eastAsia="zh-CN"/>
        </w:rPr>
        <w:t>2.2.11</w:t>
      </w:r>
      <w:r>
        <w:rPr>
          <w:rFonts w:hint="eastAsia"/>
          <w:b/>
          <w:color w:val="auto"/>
          <w:sz w:val="24"/>
          <w:szCs w:val="24"/>
          <w:highlight w:val="none"/>
        </w:rPr>
        <w:t>气象产品显示工作站技术指标要求</w:t>
      </w:r>
    </w:p>
    <w:tbl>
      <w:tblPr>
        <w:tblStyle w:val="24"/>
        <w:tblW w:w="4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473"/>
        <w:gridCol w:w="4747"/>
      </w:tblGrid>
      <w:tr w14:paraId="2F5C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70" w:type="pct"/>
            <w:vAlign w:val="center"/>
          </w:tcPr>
          <w:p w14:paraId="0BECDD28">
            <w:pPr>
              <w:widowControl/>
              <w:spacing w:line="360" w:lineRule="auto"/>
              <w:jc w:val="center"/>
              <w:rPr>
                <w:color w:val="auto"/>
                <w:kern w:val="0"/>
                <w:sz w:val="24"/>
                <w:szCs w:val="24"/>
                <w:highlight w:val="none"/>
              </w:rPr>
            </w:pPr>
            <w:r>
              <w:rPr>
                <w:rFonts w:hint="eastAsia"/>
                <w:b/>
                <w:color w:val="auto"/>
                <w:kern w:val="0"/>
                <w:sz w:val="24"/>
                <w:szCs w:val="24"/>
                <w:highlight w:val="none"/>
              </w:rPr>
              <w:t>序号</w:t>
            </w:r>
          </w:p>
        </w:tc>
        <w:tc>
          <w:tcPr>
            <w:tcW w:w="1517" w:type="pct"/>
            <w:shd w:val="clear" w:color="auto" w:fill="auto"/>
            <w:vAlign w:val="center"/>
          </w:tcPr>
          <w:p w14:paraId="18ED0773">
            <w:pPr>
              <w:widowControl/>
              <w:spacing w:line="360" w:lineRule="auto"/>
              <w:jc w:val="center"/>
              <w:rPr>
                <w:color w:val="auto"/>
                <w:kern w:val="0"/>
                <w:sz w:val="24"/>
                <w:szCs w:val="24"/>
                <w:highlight w:val="none"/>
              </w:rPr>
            </w:pPr>
            <w:r>
              <w:rPr>
                <w:rFonts w:hint="eastAsia"/>
                <w:b/>
                <w:color w:val="auto"/>
                <w:kern w:val="0"/>
                <w:sz w:val="24"/>
                <w:szCs w:val="24"/>
                <w:highlight w:val="none"/>
              </w:rPr>
              <w:t>项目</w:t>
            </w:r>
          </w:p>
        </w:tc>
        <w:tc>
          <w:tcPr>
            <w:tcW w:w="2913" w:type="pct"/>
            <w:shd w:val="clear" w:color="auto" w:fill="auto"/>
            <w:vAlign w:val="center"/>
          </w:tcPr>
          <w:p w14:paraId="584377EE">
            <w:pPr>
              <w:widowControl/>
              <w:spacing w:line="360" w:lineRule="auto"/>
              <w:jc w:val="center"/>
              <w:rPr>
                <w:color w:val="auto"/>
                <w:kern w:val="0"/>
                <w:sz w:val="24"/>
                <w:szCs w:val="24"/>
                <w:highlight w:val="none"/>
              </w:rPr>
            </w:pPr>
            <w:r>
              <w:rPr>
                <w:rFonts w:hint="eastAsia"/>
                <w:b/>
                <w:color w:val="auto"/>
                <w:kern w:val="0"/>
                <w:sz w:val="24"/>
                <w:szCs w:val="24"/>
                <w:highlight w:val="none"/>
              </w:rPr>
              <w:t>技术指标</w:t>
            </w:r>
          </w:p>
        </w:tc>
      </w:tr>
      <w:tr w14:paraId="6164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0" w:type="pct"/>
            <w:vAlign w:val="center"/>
          </w:tcPr>
          <w:p w14:paraId="1509B44D">
            <w:pPr>
              <w:widowControl/>
              <w:spacing w:line="360" w:lineRule="auto"/>
              <w:jc w:val="center"/>
              <w:rPr>
                <w:color w:val="auto"/>
                <w:kern w:val="0"/>
                <w:sz w:val="24"/>
                <w:szCs w:val="24"/>
                <w:highlight w:val="none"/>
              </w:rPr>
            </w:pPr>
            <w:r>
              <w:rPr>
                <w:color w:val="auto"/>
                <w:kern w:val="0"/>
                <w:sz w:val="24"/>
                <w:szCs w:val="24"/>
                <w:highlight w:val="none"/>
              </w:rPr>
              <w:t>1</w:t>
            </w:r>
          </w:p>
        </w:tc>
        <w:tc>
          <w:tcPr>
            <w:tcW w:w="1517" w:type="pct"/>
            <w:shd w:val="clear" w:color="auto" w:fill="auto"/>
            <w:vAlign w:val="center"/>
          </w:tcPr>
          <w:p w14:paraId="3056B096">
            <w:pPr>
              <w:widowControl/>
              <w:spacing w:line="360" w:lineRule="auto"/>
              <w:rPr>
                <w:color w:val="auto"/>
                <w:kern w:val="0"/>
                <w:sz w:val="24"/>
                <w:szCs w:val="24"/>
                <w:highlight w:val="none"/>
              </w:rPr>
            </w:pPr>
            <w:r>
              <w:rPr>
                <w:rFonts w:hint="eastAsia"/>
                <w:color w:val="auto"/>
                <w:kern w:val="0"/>
                <w:sz w:val="24"/>
                <w:szCs w:val="24"/>
                <w:highlight w:val="none"/>
              </w:rPr>
              <w:t>气象产品显示工作站</w:t>
            </w:r>
          </w:p>
        </w:tc>
        <w:tc>
          <w:tcPr>
            <w:tcW w:w="2913" w:type="pct"/>
            <w:shd w:val="clear" w:color="auto" w:fill="auto"/>
            <w:vAlign w:val="center"/>
          </w:tcPr>
          <w:p w14:paraId="08C13054">
            <w:pPr>
              <w:widowControl/>
              <w:spacing w:line="360" w:lineRule="auto"/>
              <w:rPr>
                <w:color w:val="auto"/>
                <w:kern w:val="0"/>
                <w:sz w:val="24"/>
                <w:szCs w:val="24"/>
                <w:highlight w:val="none"/>
              </w:rPr>
            </w:pPr>
            <w:r>
              <w:rPr>
                <w:rFonts w:hint="eastAsia"/>
                <w:color w:val="auto"/>
                <w:kern w:val="0"/>
                <w:sz w:val="24"/>
                <w:szCs w:val="24"/>
                <w:highlight w:val="none"/>
              </w:rPr>
              <w:t>国产</w:t>
            </w:r>
            <w:r>
              <w:rPr>
                <w:color w:val="auto"/>
                <w:kern w:val="0"/>
                <w:sz w:val="24"/>
                <w:szCs w:val="24"/>
                <w:highlight w:val="none"/>
              </w:rPr>
              <w:t>CPU</w:t>
            </w:r>
            <w:r>
              <w:rPr>
                <w:rFonts w:hint="eastAsia"/>
                <w:color w:val="auto"/>
                <w:kern w:val="0"/>
                <w:sz w:val="24"/>
                <w:szCs w:val="24"/>
                <w:highlight w:val="none"/>
              </w:rPr>
              <w:t>；</w:t>
            </w:r>
          </w:p>
          <w:p w14:paraId="7667C514">
            <w:pPr>
              <w:widowControl/>
              <w:spacing w:line="360" w:lineRule="auto"/>
              <w:rPr>
                <w:color w:val="auto"/>
                <w:kern w:val="0"/>
                <w:sz w:val="24"/>
                <w:szCs w:val="24"/>
                <w:highlight w:val="none"/>
              </w:rPr>
            </w:pPr>
            <w:r>
              <w:rPr>
                <w:rFonts w:hint="eastAsia"/>
                <w:color w:val="auto"/>
                <w:kern w:val="0"/>
                <w:sz w:val="24"/>
                <w:szCs w:val="24"/>
                <w:highlight w:val="none"/>
              </w:rPr>
              <w:t>处理器速度≥</w:t>
            </w:r>
            <w:r>
              <w:rPr>
                <w:color w:val="auto"/>
                <w:kern w:val="0"/>
                <w:sz w:val="24"/>
                <w:szCs w:val="24"/>
                <w:highlight w:val="none"/>
              </w:rPr>
              <w:t>2.8GHz</w:t>
            </w:r>
            <w:r>
              <w:rPr>
                <w:rFonts w:hint="eastAsia"/>
                <w:color w:val="auto"/>
                <w:kern w:val="0"/>
                <w:sz w:val="24"/>
                <w:szCs w:val="24"/>
                <w:highlight w:val="none"/>
              </w:rPr>
              <w:t>；</w:t>
            </w:r>
          </w:p>
          <w:p w14:paraId="060083CF">
            <w:pPr>
              <w:widowControl/>
              <w:spacing w:line="360" w:lineRule="auto"/>
              <w:rPr>
                <w:color w:val="auto"/>
                <w:kern w:val="0"/>
                <w:sz w:val="24"/>
                <w:szCs w:val="24"/>
                <w:highlight w:val="none"/>
              </w:rPr>
            </w:pPr>
            <w:r>
              <w:rPr>
                <w:color w:val="auto"/>
                <w:kern w:val="0"/>
                <w:sz w:val="24"/>
                <w:szCs w:val="24"/>
                <w:highlight w:val="none"/>
              </w:rPr>
              <w:t>CPU</w:t>
            </w:r>
            <w:r>
              <w:rPr>
                <w:rFonts w:hint="eastAsia"/>
                <w:color w:val="auto"/>
                <w:kern w:val="0"/>
                <w:sz w:val="24"/>
                <w:szCs w:val="24"/>
                <w:highlight w:val="none"/>
              </w:rPr>
              <w:t>核心数量：≥</w:t>
            </w:r>
            <w:r>
              <w:rPr>
                <w:color w:val="auto"/>
                <w:kern w:val="0"/>
                <w:sz w:val="24"/>
                <w:szCs w:val="24"/>
                <w:highlight w:val="none"/>
              </w:rPr>
              <w:t>8</w:t>
            </w:r>
            <w:r>
              <w:rPr>
                <w:rFonts w:hint="eastAsia"/>
                <w:color w:val="auto"/>
                <w:kern w:val="0"/>
                <w:sz w:val="24"/>
                <w:szCs w:val="24"/>
                <w:highlight w:val="none"/>
              </w:rPr>
              <w:t>核；</w:t>
            </w:r>
          </w:p>
          <w:p w14:paraId="5CCD5345">
            <w:pPr>
              <w:widowControl/>
              <w:spacing w:line="360" w:lineRule="auto"/>
              <w:rPr>
                <w:color w:val="auto"/>
                <w:kern w:val="0"/>
                <w:sz w:val="24"/>
                <w:szCs w:val="24"/>
                <w:highlight w:val="none"/>
              </w:rPr>
            </w:pPr>
            <w:r>
              <w:rPr>
                <w:rFonts w:hint="eastAsia"/>
                <w:color w:val="auto"/>
                <w:kern w:val="0"/>
                <w:sz w:val="24"/>
                <w:szCs w:val="24"/>
                <w:highlight w:val="none"/>
              </w:rPr>
              <w:t>内存：≥</w:t>
            </w:r>
            <w:r>
              <w:rPr>
                <w:color w:val="auto"/>
                <w:kern w:val="0"/>
                <w:sz w:val="24"/>
                <w:szCs w:val="24"/>
                <w:highlight w:val="none"/>
              </w:rPr>
              <w:t>16GB</w:t>
            </w:r>
            <w:r>
              <w:rPr>
                <w:rFonts w:hint="eastAsia"/>
                <w:color w:val="auto"/>
                <w:kern w:val="0"/>
                <w:sz w:val="24"/>
                <w:szCs w:val="24"/>
                <w:highlight w:val="none"/>
              </w:rPr>
              <w:t>；</w:t>
            </w:r>
          </w:p>
          <w:p w14:paraId="4C006B50">
            <w:pPr>
              <w:widowControl/>
              <w:spacing w:line="360" w:lineRule="auto"/>
              <w:rPr>
                <w:color w:val="auto"/>
                <w:kern w:val="0"/>
                <w:sz w:val="24"/>
                <w:szCs w:val="24"/>
                <w:highlight w:val="none"/>
              </w:rPr>
            </w:pPr>
            <w:r>
              <w:rPr>
                <w:rFonts w:hint="eastAsia"/>
                <w:color w:val="auto"/>
                <w:kern w:val="0"/>
                <w:sz w:val="24"/>
                <w:szCs w:val="24"/>
                <w:highlight w:val="none"/>
              </w:rPr>
              <w:t>系统盘：≥</w:t>
            </w:r>
            <w:r>
              <w:rPr>
                <w:color w:val="auto"/>
                <w:kern w:val="0"/>
                <w:sz w:val="24"/>
                <w:szCs w:val="24"/>
                <w:highlight w:val="none"/>
              </w:rPr>
              <w:t>256GB</w:t>
            </w:r>
            <w:r>
              <w:rPr>
                <w:rFonts w:hint="eastAsia"/>
                <w:color w:val="auto"/>
                <w:kern w:val="0"/>
                <w:sz w:val="24"/>
                <w:szCs w:val="24"/>
                <w:highlight w:val="none"/>
              </w:rPr>
              <w:t>；</w:t>
            </w:r>
          </w:p>
          <w:p w14:paraId="4721AF75">
            <w:pPr>
              <w:widowControl/>
              <w:spacing w:line="360" w:lineRule="auto"/>
              <w:rPr>
                <w:color w:val="auto"/>
                <w:kern w:val="0"/>
                <w:sz w:val="24"/>
                <w:szCs w:val="24"/>
                <w:highlight w:val="none"/>
              </w:rPr>
            </w:pPr>
            <w:r>
              <w:rPr>
                <w:rFonts w:hint="eastAsia"/>
                <w:color w:val="auto"/>
                <w:kern w:val="0"/>
                <w:sz w:val="24"/>
                <w:szCs w:val="24"/>
                <w:highlight w:val="none"/>
              </w:rPr>
              <w:t>数据盘：≥</w:t>
            </w:r>
            <w:r>
              <w:rPr>
                <w:color w:val="auto"/>
                <w:kern w:val="0"/>
                <w:sz w:val="24"/>
                <w:szCs w:val="24"/>
                <w:highlight w:val="none"/>
              </w:rPr>
              <w:t>2TB</w:t>
            </w:r>
            <w:r>
              <w:rPr>
                <w:rFonts w:hint="eastAsia"/>
                <w:color w:val="auto"/>
                <w:kern w:val="0"/>
                <w:sz w:val="24"/>
                <w:szCs w:val="24"/>
                <w:highlight w:val="none"/>
              </w:rPr>
              <w:t>；</w:t>
            </w:r>
          </w:p>
          <w:p w14:paraId="7254FBB6">
            <w:pPr>
              <w:widowControl/>
              <w:spacing w:line="360" w:lineRule="auto"/>
              <w:rPr>
                <w:color w:val="auto"/>
                <w:kern w:val="0"/>
                <w:sz w:val="24"/>
                <w:szCs w:val="24"/>
                <w:highlight w:val="none"/>
              </w:rPr>
            </w:pPr>
            <w:r>
              <w:rPr>
                <w:rFonts w:hint="eastAsia"/>
                <w:color w:val="auto"/>
                <w:kern w:val="0"/>
                <w:sz w:val="24"/>
                <w:szCs w:val="24"/>
                <w:highlight w:val="none"/>
              </w:rPr>
              <w:t>显卡：显存容量≥</w:t>
            </w:r>
            <w:r>
              <w:rPr>
                <w:color w:val="auto"/>
                <w:kern w:val="0"/>
                <w:sz w:val="24"/>
                <w:szCs w:val="24"/>
                <w:highlight w:val="none"/>
              </w:rPr>
              <w:t>8G</w:t>
            </w:r>
            <w:r>
              <w:rPr>
                <w:rFonts w:hint="eastAsia"/>
                <w:color w:val="auto"/>
                <w:kern w:val="0"/>
                <w:sz w:val="24"/>
                <w:szCs w:val="24"/>
                <w:highlight w:val="none"/>
              </w:rPr>
              <w:t>；</w:t>
            </w:r>
          </w:p>
          <w:p w14:paraId="414957A6">
            <w:pPr>
              <w:widowControl/>
              <w:spacing w:line="360" w:lineRule="auto"/>
              <w:rPr>
                <w:color w:val="auto"/>
                <w:kern w:val="0"/>
                <w:sz w:val="24"/>
                <w:szCs w:val="24"/>
                <w:highlight w:val="none"/>
              </w:rPr>
            </w:pPr>
            <w:r>
              <w:rPr>
                <w:rFonts w:hint="eastAsia"/>
                <w:color w:val="auto"/>
                <w:kern w:val="0"/>
                <w:sz w:val="24"/>
                <w:szCs w:val="24"/>
                <w:highlight w:val="none"/>
              </w:rPr>
              <w:t>显示器：</w:t>
            </w:r>
            <w:r>
              <w:rPr>
                <w:color w:val="auto"/>
                <w:kern w:val="0"/>
                <w:sz w:val="24"/>
                <w:szCs w:val="24"/>
                <w:highlight w:val="none"/>
              </w:rPr>
              <w:t>23.8</w:t>
            </w:r>
            <w:r>
              <w:rPr>
                <w:rFonts w:hint="eastAsia"/>
                <w:color w:val="auto"/>
                <w:kern w:val="0"/>
                <w:sz w:val="24"/>
                <w:szCs w:val="24"/>
                <w:highlight w:val="none"/>
              </w:rPr>
              <w:t>英寸；</w:t>
            </w:r>
          </w:p>
          <w:p w14:paraId="35B44FC0">
            <w:pPr>
              <w:widowControl/>
              <w:spacing w:line="360" w:lineRule="auto"/>
              <w:rPr>
                <w:color w:val="auto"/>
                <w:kern w:val="0"/>
                <w:sz w:val="24"/>
                <w:szCs w:val="24"/>
                <w:highlight w:val="none"/>
              </w:rPr>
            </w:pPr>
            <w:r>
              <w:rPr>
                <w:rFonts w:hint="eastAsia"/>
                <w:color w:val="auto"/>
                <w:kern w:val="0"/>
                <w:sz w:val="24"/>
                <w:szCs w:val="24"/>
                <w:highlight w:val="none"/>
              </w:rPr>
              <w:t>操作系统：国产操作系统；</w:t>
            </w:r>
          </w:p>
        </w:tc>
      </w:tr>
    </w:tbl>
    <w:p w14:paraId="5F14EFCC">
      <w:pPr>
        <w:rPr>
          <w:color w:val="auto"/>
          <w:highlight w:val="none"/>
        </w:rPr>
      </w:pPr>
    </w:p>
    <w:p w14:paraId="41403EB9">
      <w:pPr>
        <w:tabs>
          <w:tab w:val="left" w:pos="2340"/>
        </w:tabs>
        <w:spacing w:line="360" w:lineRule="auto"/>
        <w:rPr>
          <w:b/>
          <w:color w:val="auto"/>
          <w:sz w:val="24"/>
          <w:szCs w:val="24"/>
          <w:highlight w:val="none"/>
        </w:rPr>
      </w:pPr>
      <w:r>
        <w:rPr>
          <w:rFonts w:hint="eastAsia"/>
          <w:b/>
          <w:color w:val="auto"/>
          <w:sz w:val="24"/>
          <w:szCs w:val="24"/>
          <w:highlight w:val="none"/>
          <w:lang w:val="en-US" w:eastAsia="zh-CN"/>
        </w:rPr>
        <w:t>2.3</w:t>
      </w:r>
      <w:r>
        <w:rPr>
          <w:rFonts w:hint="eastAsia"/>
          <w:b/>
          <w:color w:val="auto"/>
          <w:sz w:val="24"/>
          <w:szCs w:val="24"/>
          <w:highlight w:val="none"/>
        </w:rPr>
        <w:t>雷达设备和雷达网系统安装调试要求</w:t>
      </w:r>
    </w:p>
    <w:p w14:paraId="58B32256">
      <w:pPr>
        <w:widowControl/>
        <w:spacing w:line="360" w:lineRule="auto"/>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）雷达设备吊运、安装调试，常规吊运、安装（含雷达设备长途公路运输、意外险）。</w:t>
      </w:r>
    </w:p>
    <w:p w14:paraId="6B3922FE">
      <w:pPr>
        <w:widowControl/>
        <w:spacing w:line="360" w:lineRule="auto"/>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）雷达数据处理中心联网调试、软件调配、网络调试。</w:t>
      </w:r>
    </w:p>
    <w:p w14:paraId="3E7AB002">
      <w:pPr>
        <w:pStyle w:val="2"/>
        <w:ind w:firstLine="0" w:firstLineChars="0"/>
        <w:rPr>
          <w:color w:val="auto"/>
          <w:highlight w:val="none"/>
        </w:rPr>
      </w:pPr>
    </w:p>
    <w:p w14:paraId="0A005DBE">
      <w:pPr>
        <w:keepNext/>
        <w:keepLines/>
        <w:spacing w:line="360" w:lineRule="auto"/>
        <w:jc w:val="left"/>
        <w:outlineLvl w:val="2"/>
        <w:rPr>
          <w:b/>
          <w:bCs/>
          <w:color w:val="auto"/>
          <w:sz w:val="24"/>
          <w:szCs w:val="24"/>
          <w:highlight w:val="none"/>
        </w:rPr>
      </w:pPr>
      <w:r>
        <w:rPr>
          <w:rFonts w:hint="eastAsia"/>
          <w:b/>
          <w:bCs/>
          <w:color w:val="auto"/>
          <w:sz w:val="24"/>
          <w:szCs w:val="24"/>
          <w:highlight w:val="none"/>
          <w:lang w:val="en-US" w:eastAsia="zh-CN"/>
        </w:rPr>
        <w:t>2.4</w:t>
      </w:r>
      <w:r>
        <w:rPr>
          <w:b/>
          <w:bCs/>
          <w:color w:val="auto"/>
          <w:sz w:val="24"/>
          <w:szCs w:val="24"/>
          <w:highlight w:val="none"/>
        </w:rPr>
        <w:t xml:space="preserve"> </w:t>
      </w:r>
      <w:r>
        <w:rPr>
          <w:rFonts w:hint="eastAsia"/>
          <w:b/>
          <w:bCs/>
          <w:color w:val="auto"/>
          <w:sz w:val="24"/>
          <w:szCs w:val="24"/>
          <w:highlight w:val="none"/>
        </w:rPr>
        <w:t>数据要求</w:t>
      </w:r>
    </w:p>
    <w:p w14:paraId="4B18F20D">
      <w:pPr>
        <w:autoSpaceDE w:val="0"/>
        <w:autoSpaceDN w:val="0"/>
        <w:adjustRightInd w:val="0"/>
        <w:spacing w:line="360" w:lineRule="auto"/>
        <w:ind w:firstLine="482" w:firstLineChars="200"/>
        <w:jc w:val="left"/>
        <w:rPr>
          <w:b/>
          <w:bCs/>
          <w:color w:val="auto"/>
          <w:kern w:val="0"/>
          <w:sz w:val="24"/>
          <w:szCs w:val="24"/>
          <w:highlight w:val="none"/>
        </w:rPr>
      </w:pPr>
      <w:r>
        <w:rPr>
          <w:rFonts w:hint="eastAsia"/>
          <w:b/>
          <w:bCs/>
          <w:color w:val="auto"/>
          <w:kern w:val="0"/>
          <w:sz w:val="24"/>
          <w:szCs w:val="24"/>
          <w:highlight w:val="none"/>
        </w:rPr>
        <w:t>供应商提供的设备观测数据符合中国气象局标准，能够接入河南省气象大数据云平台（天擎）。供应商提供承诺函或用户证明。</w:t>
      </w:r>
    </w:p>
    <w:p w14:paraId="170AC720">
      <w:pPr>
        <w:keepNext/>
        <w:keepLines/>
        <w:spacing w:line="360" w:lineRule="auto"/>
        <w:jc w:val="left"/>
        <w:outlineLvl w:val="2"/>
        <w:rPr>
          <w:b/>
          <w:bCs/>
          <w:color w:val="auto"/>
          <w:sz w:val="24"/>
          <w:szCs w:val="24"/>
          <w:highlight w:val="none"/>
        </w:rPr>
      </w:pPr>
      <w:r>
        <w:rPr>
          <w:rFonts w:hint="eastAsia"/>
          <w:b/>
          <w:bCs/>
          <w:color w:val="auto"/>
          <w:sz w:val="24"/>
          <w:szCs w:val="24"/>
          <w:highlight w:val="none"/>
          <w:lang w:val="en-US" w:eastAsia="zh-CN"/>
        </w:rPr>
        <w:t>2.5</w:t>
      </w:r>
      <w:r>
        <w:rPr>
          <w:b/>
          <w:bCs/>
          <w:color w:val="auto"/>
          <w:sz w:val="24"/>
          <w:szCs w:val="24"/>
          <w:highlight w:val="none"/>
        </w:rPr>
        <w:t xml:space="preserve"> </w:t>
      </w:r>
      <w:r>
        <w:rPr>
          <w:rFonts w:hint="eastAsia"/>
          <w:b/>
          <w:bCs/>
          <w:color w:val="auto"/>
          <w:sz w:val="24"/>
          <w:szCs w:val="24"/>
          <w:highlight w:val="none"/>
        </w:rPr>
        <w:t>其他要求</w:t>
      </w:r>
      <w:r>
        <w:rPr>
          <w:b/>
          <w:bCs/>
          <w:color w:val="auto"/>
          <w:sz w:val="24"/>
          <w:szCs w:val="24"/>
          <w:highlight w:val="none"/>
        </w:rPr>
        <w:t xml:space="preserve"> </w:t>
      </w:r>
    </w:p>
    <w:p w14:paraId="1385C768">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1</w:t>
      </w:r>
      <w:r>
        <w:rPr>
          <w:rFonts w:hint="eastAsia"/>
          <w:bCs/>
          <w:color w:val="auto"/>
          <w:kern w:val="0"/>
          <w:sz w:val="24"/>
          <w:szCs w:val="24"/>
          <w:highlight w:val="none"/>
        </w:rPr>
        <w:t>、投标人须提供符合国家质量标准、部颁标准、行业标准或本招标文件规定标准的、供货渠道合法的全新原装合格正品（包括零部件），如安装或配置软件的，须为正版软件。所提供的货物应当同时符合国家有关安全、卫生、环保规定。</w:t>
      </w:r>
    </w:p>
    <w:p w14:paraId="0E3F9DC7">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2</w:t>
      </w:r>
      <w:r>
        <w:rPr>
          <w:rFonts w:hint="eastAsia"/>
          <w:bCs/>
          <w:color w:val="auto"/>
          <w:kern w:val="0"/>
          <w:sz w:val="24"/>
          <w:szCs w:val="24"/>
          <w:highlight w:val="none"/>
        </w:rPr>
        <w:t>、采购人使用中标人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3994893A">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3</w:t>
      </w:r>
      <w:r>
        <w:rPr>
          <w:rFonts w:hint="eastAsia"/>
          <w:bCs/>
          <w:color w:val="auto"/>
          <w:kern w:val="0"/>
          <w:sz w:val="24"/>
          <w:szCs w:val="24"/>
          <w:highlight w:val="none"/>
        </w:rPr>
        <w:t>、本章所述技术规格及要求是采购人提供的最低限度的技术要求，并未对一切技术细节做出规定，也未充分引述有关标准和规范的条文，投标人应保证提供符合本技术规格及要求和有关工业标准的优质产品。</w:t>
      </w:r>
    </w:p>
    <w:p w14:paraId="126136D0">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4</w:t>
      </w:r>
      <w:r>
        <w:rPr>
          <w:rFonts w:hint="eastAsia"/>
          <w:bCs/>
          <w:color w:val="auto"/>
          <w:kern w:val="0"/>
          <w:sz w:val="24"/>
          <w:szCs w:val="24"/>
          <w:highlight w:val="none"/>
        </w:rPr>
        <w:t>、本技术规格及要求所使用的标准和规范如与投标人所执行的标准发生矛盾时，按较高标准执行。</w:t>
      </w:r>
    </w:p>
    <w:p w14:paraId="36807AA4">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5</w:t>
      </w:r>
      <w:r>
        <w:rPr>
          <w:rFonts w:hint="eastAsia"/>
          <w:bCs/>
          <w:color w:val="auto"/>
          <w:kern w:val="0"/>
          <w:sz w:val="24"/>
          <w:szCs w:val="24"/>
          <w:highlight w:val="none"/>
        </w:rPr>
        <w:t>、投标人所提供的货物，如若发生侵犯知识产权的行为时，其侵权责任与采购人无关，应由投标人承担相应的责任，并不得损害采购人的利益。</w:t>
      </w:r>
    </w:p>
    <w:p w14:paraId="79EDBE71">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6</w:t>
      </w:r>
      <w:r>
        <w:rPr>
          <w:rFonts w:hint="eastAsia"/>
          <w:bCs/>
          <w:color w:val="auto"/>
          <w:kern w:val="0"/>
          <w:sz w:val="24"/>
          <w:szCs w:val="24"/>
          <w:highlight w:val="none"/>
        </w:rPr>
        <w:t>、质保期及售后服务</w:t>
      </w:r>
    </w:p>
    <w:p w14:paraId="30AFDF3A">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自本项目系统验收合格之日起，雷达设备提供</w:t>
      </w:r>
      <w:r>
        <w:rPr>
          <w:bCs/>
          <w:color w:val="auto"/>
          <w:kern w:val="0"/>
          <w:sz w:val="24"/>
          <w:szCs w:val="24"/>
          <w:highlight w:val="none"/>
        </w:rPr>
        <w:t>8</w:t>
      </w:r>
      <w:r>
        <w:rPr>
          <w:rFonts w:hint="eastAsia"/>
          <w:bCs/>
          <w:color w:val="auto"/>
          <w:kern w:val="0"/>
          <w:sz w:val="24"/>
          <w:szCs w:val="24"/>
          <w:highlight w:val="none"/>
        </w:rPr>
        <w:t>年原厂质保，其他设备提供</w:t>
      </w:r>
      <w:r>
        <w:rPr>
          <w:bCs/>
          <w:color w:val="auto"/>
          <w:kern w:val="0"/>
          <w:sz w:val="24"/>
          <w:szCs w:val="24"/>
          <w:highlight w:val="none"/>
        </w:rPr>
        <w:t>3</w:t>
      </w:r>
      <w:r>
        <w:rPr>
          <w:rFonts w:hint="eastAsia"/>
          <w:bCs/>
          <w:color w:val="auto"/>
          <w:kern w:val="0"/>
          <w:sz w:val="24"/>
          <w:szCs w:val="24"/>
          <w:highlight w:val="none"/>
        </w:rPr>
        <w:t>年质保，相关产品有国家规定的质保期从其规定，其规定不足</w:t>
      </w:r>
      <w:r>
        <w:rPr>
          <w:bCs/>
          <w:color w:val="auto"/>
          <w:kern w:val="0"/>
          <w:sz w:val="24"/>
          <w:szCs w:val="24"/>
          <w:highlight w:val="none"/>
        </w:rPr>
        <w:t>3</w:t>
      </w:r>
      <w:r>
        <w:rPr>
          <w:rFonts w:hint="eastAsia"/>
          <w:bCs/>
          <w:color w:val="auto"/>
          <w:kern w:val="0"/>
          <w:sz w:val="24"/>
          <w:szCs w:val="24"/>
          <w:highlight w:val="none"/>
        </w:rPr>
        <w:t>年的按</w:t>
      </w:r>
      <w:r>
        <w:rPr>
          <w:bCs/>
          <w:color w:val="auto"/>
          <w:kern w:val="0"/>
          <w:sz w:val="24"/>
          <w:szCs w:val="24"/>
          <w:highlight w:val="none"/>
        </w:rPr>
        <w:t>3</w:t>
      </w:r>
      <w:r>
        <w:rPr>
          <w:rFonts w:hint="eastAsia"/>
          <w:bCs/>
          <w:color w:val="auto"/>
          <w:kern w:val="0"/>
          <w:sz w:val="24"/>
          <w:szCs w:val="24"/>
          <w:highlight w:val="none"/>
        </w:rPr>
        <w:t>年计算。</w:t>
      </w:r>
    </w:p>
    <w:p w14:paraId="66137661">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6.1</w:t>
      </w:r>
      <w:r>
        <w:rPr>
          <w:rFonts w:hint="eastAsia"/>
          <w:bCs/>
          <w:color w:val="auto"/>
          <w:kern w:val="0"/>
          <w:sz w:val="24"/>
          <w:szCs w:val="24"/>
          <w:highlight w:val="none"/>
        </w:rPr>
        <w:t>、质保期内对不符合投标文件的投标产品详细配置、参数及性能或不能修复的货物负责免费更换。</w:t>
      </w:r>
    </w:p>
    <w:p w14:paraId="13B15DED">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6.2</w:t>
      </w:r>
      <w:r>
        <w:rPr>
          <w:rFonts w:hint="eastAsia"/>
          <w:bCs/>
          <w:color w:val="auto"/>
          <w:kern w:val="0"/>
          <w:sz w:val="24"/>
          <w:szCs w:val="24"/>
          <w:highlight w:val="none"/>
        </w:rPr>
        <w:t>、提供所投产品投标人或制造商售后服务机构情况，包括地址、技术人员及联系方式，售后技术人员力量、设备实力等。</w:t>
      </w:r>
    </w:p>
    <w:p w14:paraId="166D1C26">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6.3</w:t>
      </w:r>
      <w:r>
        <w:rPr>
          <w:rFonts w:hint="eastAsia"/>
          <w:bCs/>
          <w:color w:val="auto"/>
          <w:kern w:val="0"/>
          <w:sz w:val="24"/>
          <w:szCs w:val="24"/>
          <w:highlight w:val="none"/>
        </w:rPr>
        <w:t>、质保期内免费上门保修服务，</w:t>
      </w:r>
      <w:r>
        <w:rPr>
          <w:bCs/>
          <w:color w:val="auto"/>
          <w:kern w:val="0"/>
          <w:sz w:val="24"/>
          <w:szCs w:val="24"/>
          <w:highlight w:val="none"/>
        </w:rPr>
        <w:t xml:space="preserve">7 </w:t>
      </w:r>
      <w:r>
        <w:rPr>
          <w:rFonts w:hint="eastAsia"/>
          <w:bCs/>
          <w:color w:val="auto"/>
          <w:kern w:val="0"/>
          <w:sz w:val="24"/>
          <w:szCs w:val="24"/>
          <w:highlight w:val="none"/>
        </w:rPr>
        <w:t>天×</w:t>
      </w:r>
      <w:r>
        <w:rPr>
          <w:bCs/>
          <w:color w:val="auto"/>
          <w:kern w:val="0"/>
          <w:sz w:val="24"/>
          <w:szCs w:val="24"/>
          <w:highlight w:val="none"/>
        </w:rPr>
        <w:t xml:space="preserve">24 </w:t>
      </w:r>
      <w:r>
        <w:rPr>
          <w:rFonts w:hint="eastAsia"/>
          <w:bCs/>
          <w:color w:val="auto"/>
          <w:kern w:val="0"/>
          <w:sz w:val="24"/>
          <w:szCs w:val="24"/>
          <w:highlight w:val="none"/>
        </w:rPr>
        <w:t>小时全年无休，质保期自系统验收合格之日起计算。不接受该质保期的响应将不被接受。</w:t>
      </w:r>
    </w:p>
    <w:p w14:paraId="72DDA97B">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6.4</w:t>
      </w:r>
      <w:r>
        <w:rPr>
          <w:rFonts w:hint="eastAsia"/>
          <w:bCs/>
          <w:color w:val="auto"/>
          <w:kern w:val="0"/>
          <w:sz w:val="24"/>
          <w:szCs w:val="24"/>
          <w:highlight w:val="none"/>
        </w:rPr>
        <w:t>、质保期内（以本项目系统验收合格之日算起）应当为采购人提供以下技术支持和服务：</w:t>
      </w:r>
      <w:r>
        <w:rPr>
          <w:bCs/>
          <w:color w:val="auto"/>
          <w:kern w:val="0"/>
          <w:sz w:val="24"/>
          <w:szCs w:val="24"/>
          <w:highlight w:val="none"/>
        </w:rPr>
        <w:t xml:space="preserve"> </w:t>
      </w:r>
    </w:p>
    <w:p w14:paraId="3CBBBF0E">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1</w:t>
      </w:r>
      <w:r>
        <w:rPr>
          <w:rFonts w:hint="eastAsia"/>
          <w:bCs/>
          <w:color w:val="auto"/>
          <w:kern w:val="0"/>
          <w:sz w:val="24"/>
          <w:szCs w:val="24"/>
          <w:highlight w:val="none"/>
        </w:rPr>
        <w:t>）电话咨询。投标人或制造商应当为采购人提供技术援助电话，解答采购人在使用中遇到的问题，及时为采购人提出解决问题的建议和办法。</w:t>
      </w:r>
    </w:p>
    <w:p w14:paraId="099D612B">
      <w:pPr>
        <w:autoSpaceDE w:val="0"/>
        <w:autoSpaceDN w:val="0"/>
        <w:adjustRightInd w:val="0"/>
        <w:spacing w:line="360" w:lineRule="auto"/>
        <w:ind w:firstLine="480" w:firstLineChars="200"/>
        <w:jc w:val="lef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）现场响应。甲方遇到使用及技术问题，电话咨询不能解决的，汛期期间乙方售后应在</w:t>
      </w:r>
      <w:r>
        <w:rPr>
          <w:color w:val="auto"/>
          <w:sz w:val="24"/>
          <w:szCs w:val="24"/>
          <w:highlight w:val="none"/>
        </w:rPr>
        <w:t>24</w:t>
      </w:r>
      <w:r>
        <w:rPr>
          <w:rFonts w:hint="eastAsia"/>
          <w:color w:val="auto"/>
          <w:sz w:val="24"/>
          <w:szCs w:val="24"/>
          <w:highlight w:val="none"/>
        </w:rPr>
        <w:t>小时内到达现场进行处理，非汛期期间应在</w:t>
      </w:r>
      <w:r>
        <w:rPr>
          <w:color w:val="auto"/>
          <w:sz w:val="24"/>
          <w:szCs w:val="24"/>
          <w:highlight w:val="none"/>
        </w:rPr>
        <w:t>48</w:t>
      </w:r>
      <w:r>
        <w:rPr>
          <w:rFonts w:hint="eastAsia"/>
          <w:color w:val="auto"/>
          <w:sz w:val="24"/>
          <w:szCs w:val="24"/>
          <w:highlight w:val="none"/>
        </w:rPr>
        <w:t>小时内到达现场进行处理，确保设备系统正常工作；现场无法解决的，应在</w:t>
      </w:r>
      <w:r>
        <w:rPr>
          <w:color w:val="auto"/>
          <w:sz w:val="24"/>
          <w:szCs w:val="24"/>
          <w:highlight w:val="none"/>
        </w:rPr>
        <w:t>10</w:t>
      </w:r>
      <w:r>
        <w:rPr>
          <w:rFonts w:hint="eastAsia"/>
          <w:color w:val="auto"/>
          <w:sz w:val="24"/>
          <w:szCs w:val="24"/>
          <w:highlight w:val="none"/>
        </w:rPr>
        <w:t>天内提供备用产品，使采购人能够正常使用。</w:t>
      </w:r>
    </w:p>
    <w:p w14:paraId="75A5635E">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3</w:t>
      </w:r>
      <w:r>
        <w:rPr>
          <w:rFonts w:hint="eastAsia"/>
          <w:bCs/>
          <w:color w:val="auto"/>
          <w:kern w:val="0"/>
          <w:sz w:val="24"/>
          <w:szCs w:val="24"/>
          <w:highlight w:val="none"/>
        </w:rPr>
        <w:t>）投标人应当定期对所供设备运行情况进行检测，消除故障隐患，以保证设备的正常运行。</w:t>
      </w:r>
    </w:p>
    <w:p w14:paraId="64E2088E">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4</w:t>
      </w:r>
      <w:r>
        <w:rPr>
          <w:rFonts w:hint="eastAsia"/>
          <w:bCs/>
          <w:color w:val="auto"/>
          <w:kern w:val="0"/>
          <w:sz w:val="24"/>
          <w:szCs w:val="24"/>
          <w:highlight w:val="none"/>
        </w:rPr>
        <w:t>）技术升级。在质保期内，如果制造商的产品技术升级，中标人应及时通知采购人，如采购人有相应要求，中标人和制造商应对采购人购买的产品进行优惠价格的有偿升级服务。</w:t>
      </w:r>
    </w:p>
    <w:p w14:paraId="4E6F0FB8">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6.5</w:t>
      </w:r>
      <w:r>
        <w:rPr>
          <w:rFonts w:hint="eastAsia"/>
          <w:bCs/>
          <w:color w:val="auto"/>
          <w:kern w:val="0"/>
          <w:sz w:val="24"/>
          <w:szCs w:val="24"/>
          <w:highlight w:val="none"/>
        </w:rPr>
        <w:t>、质保期后应当为采购人提供以下技术支持和服务：</w:t>
      </w:r>
    </w:p>
    <w:p w14:paraId="15BAE169">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1</w:t>
      </w:r>
      <w:r>
        <w:rPr>
          <w:rFonts w:hint="eastAsia"/>
          <w:bCs/>
          <w:color w:val="auto"/>
          <w:kern w:val="0"/>
          <w:sz w:val="24"/>
          <w:szCs w:val="24"/>
          <w:highlight w:val="none"/>
        </w:rPr>
        <w:t>）应同样提供免费电话咨询服务，并应承诺优惠价格有偿提供产品上门维护服务。</w:t>
      </w:r>
    </w:p>
    <w:p w14:paraId="3D662B46">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2</w:t>
      </w:r>
      <w:r>
        <w:rPr>
          <w:rFonts w:hint="eastAsia"/>
          <w:bCs/>
          <w:color w:val="auto"/>
          <w:kern w:val="0"/>
          <w:sz w:val="24"/>
          <w:szCs w:val="24"/>
          <w:highlight w:val="none"/>
        </w:rPr>
        <w:t>）应以优惠价格继续提供售后服务。</w:t>
      </w:r>
    </w:p>
    <w:p w14:paraId="1396E3C4">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7、索赔</w:t>
      </w:r>
    </w:p>
    <w:p w14:paraId="1EAC86AF">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7</w:t>
      </w:r>
      <w:r>
        <w:rPr>
          <w:bCs/>
          <w:color w:val="auto"/>
          <w:kern w:val="0"/>
          <w:sz w:val="24"/>
          <w:szCs w:val="24"/>
          <w:highlight w:val="none"/>
        </w:rPr>
        <w:t>.1</w:t>
      </w:r>
      <w:r>
        <w:rPr>
          <w:rFonts w:hint="eastAsia"/>
          <w:bCs/>
          <w:color w:val="auto"/>
          <w:kern w:val="0"/>
          <w:sz w:val="24"/>
          <w:szCs w:val="24"/>
          <w:highlight w:val="none"/>
        </w:rPr>
        <w:t>、由于产品质量问题而造成的损失，中标人应承担造成损失的全部费用。</w:t>
      </w:r>
    </w:p>
    <w:p w14:paraId="5BB7AF0E">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7.</w:t>
      </w:r>
      <w:r>
        <w:rPr>
          <w:bCs/>
          <w:color w:val="auto"/>
          <w:kern w:val="0"/>
          <w:sz w:val="24"/>
          <w:szCs w:val="24"/>
          <w:highlight w:val="none"/>
        </w:rPr>
        <w:t>2</w:t>
      </w:r>
      <w:r>
        <w:rPr>
          <w:rFonts w:hint="eastAsia"/>
          <w:bCs/>
          <w:color w:val="auto"/>
          <w:kern w:val="0"/>
          <w:sz w:val="24"/>
          <w:szCs w:val="24"/>
          <w:highlight w:val="none"/>
        </w:rPr>
        <w:t>、中标人根据采购人的要求，有责任立即更换部分或全部问题产品，由此产生的其它费用均由中标人承担。</w:t>
      </w:r>
    </w:p>
    <w:p w14:paraId="30C390DE">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7</w:t>
      </w:r>
      <w:r>
        <w:rPr>
          <w:bCs/>
          <w:color w:val="auto"/>
          <w:kern w:val="0"/>
          <w:sz w:val="24"/>
          <w:szCs w:val="24"/>
          <w:highlight w:val="none"/>
        </w:rPr>
        <w:t>.3</w:t>
      </w:r>
      <w:r>
        <w:rPr>
          <w:rFonts w:hint="eastAsia"/>
          <w:bCs/>
          <w:color w:val="auto"/>
          <w:kern w:val="0"/>
          <w:sz w:val="24"/>
          <w:szCs w:val="24"/>
          <w:highlight w:val="none"/>
        </w:rPr>
        <w:t>、对采购人提出的设备发生的故障现象和问题都必须提供合理的书面解释，提供解决方案，并避免再次出现此类问题。</w:t>
      </w:r>
    </w:p>
    <w:p w14:paraId="599953E3">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8、安装调试要求</w:t>
      </w:r>
    </w:p>
    <w:p w14:paraId="6A3410FE">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中标人负责将设备、系统安装并调试至正常运行状态。</w:t>
      </w:r>
    </w:p>
    <w:p w14:paraId="6A7CBED5">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9、验收方式：</w:t>
      </w:r>
    </w:p>
    <w:p w14:paraId="4EB1D40F">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9.1</w:t>
      </w:r>
      <w:r>
        <w:rPr>
          <w:rFonts w:hint="eastAsia"/>
          <w:bCs/>
          <w:color w:val="auto"/>
          <w:kern w:val="0"/>
          <w:sz w:val="24"/>
          <w:szCs w:val="24"/>
          <w:highlight w:val="none"/>
        </w:rPr>
        <w:t>出厂验收：合同签订之日起</w:t>
      </w:r>
      <w:r>
        <w:rPr>
          <w:bCs/>
          <w:color w:val="auto"/>
          <w:kern w:val="0"/>
          <w:sz w:val="24"/>
          <w:szCs w:val="24"/>
          <w:highlight w:val="none"/>
        </w:rPr>
        <w:t>1</w:t>
      </w:r>
      <w:r>
        <w:rPr>
          <w:rFonts w:hint="eastAsia"/>
          <w:bCs/>
          <w:color w:val="auto"/>
          <w:kern w:val="0"/>
          <w:sz w:val="24"/>
          <w:szCs w:val="24"/>
          <w:highlight w:val="none"/>
        </w:rPr>
        <w:t>年内采购人对雷达设备进行验货，并出具雷达设备出厂验收报告。</w:t>
      </w:r>
    </w:p>
    <w:p w14:paraId="172125C2">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9</w:t>
      </w:r>
      <w:r>
        <w:rPr>
          <w:bCs/>
          <w:color w:val="auto"/>
          <w:kern w:val="0"/>
          <w:sz w:val="24"/>
          <w:szCs w:val="24"/>
          <w:highlight w:val="none"/>
        </w:rPr>
        <w:t>.2</w:t>
      </w:r>
      <w:r>
        <w:rPr>
          <w:rFonts w:hint="eastAsia"/>
          <w:bCs/>
          <w:color w:val="auto"/>
          <w:kern w:val="0"/>
          <w:sz w:val="24"/>
          <w:szCs w:val="24"/>
          <w:highlight w:val="none"/>
        </w:rPr>
        <w:t>系统验收：雷达安装调试完成，达到可使用状态后，投入观测业务试运行，系统运行稳定，气象数据收发正常，输出的气象产品符合合同要求时，乙方书面向甲方提出验收申请，甲方接到申请后组织人员对雷达系统进行验收，并出具系统验收报告。甲方出具系统验收报告后，视为乙方已完成该期项目的交付。</w:t>
      </w:r>
    </w:p>
    <w:p w14:paraId="6DB242F0">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9</w:t>
      </w:r>
      <w:r>
        <w:rPr>
          <w:bCs/>
          <w:color w:val="auto"/>
          <w:kern w:val="0"/>
          <w:sz w:val="24"/>
          <w:szCs w:val="24"/>
          <w:highlight w:val="none"/>
        </w:rPr>
        <w:t>.3</w:t>
      </w:r>
      <w:r>
        <w:rPr>
          <w:rFonts w:hint="eastAsia"/>
          <w:bCs/>
          <w:color w:val="auto"/>
          <w:kern w:val="0"/>
          <w:sz w:val="24"/>
          <w:szCs w:val="24"/>
          <w:highlight w:val="none"/>
        </w:rPr>
        <w:t>终期验收：项目通过系统验收，经甲方通知后，乙方准备好所有相关材料，书面向甲方提出验收申请，甲方接到申请后组织人员对采购项目（除运维保障服务以外的全部建设内容）进行终期验收，并出具项目终期验收报告。</w:t>
      </w:r>
    </w:p>
    <w:p w14:paraId="6ABEEB9E">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9</w:t>
      </w:r>
      <w:r>
        <w:rPr>
          <w:bCs/>
          <w:color w:val="auto"/>
          <w:kern w:val="0"/>
          <w:sz w:val="24"/>
          <w:szCs w:val="24"/>
          <w:highlight w:val="none"/>
        </w:rPr>
        <w:t>.4</w:t>
      </w:r>
      <w:r>
        <w:rPr>
          <w:rFonts w:hint="eastAsia"/>
          <w:bCs/>
          <w:color w:val="auto"/>
          <w:kern w:val="0"/>
          <w:sz w:val="24"/>
          <w:szCs w:val="24"/>
          <w:highlight w:val="none"/>
        </w:rPr>
        <w:t>如因第三方不可控原因导致工期延迟，乙方可视情况向甲方书面递交延期申请，甲方批复同意后，方可延期。</w:t>
      </w:r>
    </w:p>
    <w:p w14:paraId="3962051C">
      <w:pPr>
        <w:autoSpaceDE w:val="0"/>
        <w:autoSpaceDN w:val="0"/>
        <w:adjustRightInd w:val="0"/>
        <w:spacing w:line="360" w:lineRule="auto"/>
        <w:ind w:firstLine="480" w:firstLineChars="200"/>
        <w:jc w:val="left"/>
        <w:rPr>
          <w:color w:val="auto"/>
          <w:highlight w:val="none"/>
        </w:rPr>
      </w:pPr>
      <w:r>
        <w:rPr>
          <w:rFonts w:hint="eastAsia"/>
          <w:bCs/>
          <w:color w:val="auto"/>
          <w:kern w:val="0"/>
          <w:sz w:val="24"/>
          <w:szCs w:val="24"/>
          <w:highlight w:val="none"/>
        </w:rPr>
        <w:t>10.组网功能要求：投标产品具备组网功能，其布设后，利于与周边S、X波段天气雷达组网并实现数据互补，可填补气象监测空白，增强监测预警服务能力。</w:t>
      </w:r>
    </w:p>
    <w:p w14:paraId="600E7655">
      <w:pPr>
        <w:widowControl/>
        <w:jc w:val="center"/>
        <w:textAlignment w:val="center"/>
        <w:rPr>
          <w:rFonts w:ascii="宋体" w:hAnsi="宋体" w:cs="宋体"/>
          <w:b/>
          <w:bCs/>
          <w:color w:val="auto"/>
          <w:sz w:val="36"/>
          <w:szCs w:val="36"/>
          <w:highlight w:val="none"/>
        </w:rPr>
      </w:pPr>
      <w:r>
        <w:rPr>
          <w:rFonts w:hint="eastAsia" w:asciiTheme="minorEastAsia" w:hAnsiTheme="minorEastAsia" w:eastAsiaTheme="minorEastAsia" w:cstheme="minorEastAsia"/>
          <w:b/>
          <w:bCs/>
          <w:color w:val="auto"/>
          <w:kern w:val="0"/>
          <w:sz w:val="24"/>
          <w:szCs w:val="24"/>
          <w:highlight w:val="none"/>
        </w:rPr>
        <w:br w:type="page"/>
      </w:r>
    </w:p>
    <w:p w14:paraId="25DE7907">
      <w:pPr>
        <w:shd w:val="clear" w:color="auto" w:fill="FFFFFF"/>
        <w:snapToGrid w:val="0"/>
        <w:spacing w:line="360" w:lineRule="auto"/>
        <w:ind w:right="105" w:rightChars="50"/>
        <w:jc w:val="center"/>
        <w:outlineLvl w:val="0"/>
        <w:rPr>
          <w:rFonts w:ascii="宋体"/>
          <w:b/>
          <w:bCs/>
          <w:color w:val="auto"/>
          <w:sz w:val="36"/>
          <w:szCs w:val="36"/>
          <w:highlight w:val="none"/>
        </w:rPr>
      </w:pPr>
      <w:bookmarkStart w:id="120" w:name="_Toc17237"/>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 xml:space="preserve"> 评标办法</w:t>
      </w:r>
      <w:bookmarkEnd w:id="120"/>
    </w:p>
    <w:p w14:paraId="62D5D11D">
      <w:pPr>
        <w:spacing w:line="360" w:lineRule="auto"/>
        <w:outlineLvl w:val="0"/>
        <w:rPr>
          <w:rFonts w:ascii="宋体" w:hAnsi="宋体" w:cs="宋体"/>
          <w:color w:val="auto"/>
          <w:sz w:val="24"/>
          <w:szCs w:val="24"/>
          <w:highlight w:val="none"/>
        </w:rPr>
      </w:pPr>
      <w:bookmarkStart w:id="121" w:name="_Toc27629"/>
      <w:bookmarkStart w:id="122" w:name="_Toc24261"/>
      <w:r>
        <w:rPr>
          <w:rFonts w:hint="eastAsia" w:ascii="宋体" w:hAnsi="宋体" w:cs="宋体"/>
          <w:color w:val="auto"/>
          <w:sz w:val="24"/>
          <w:szCs w:val="24"/>
          <w:highlight w:val="none"/>
        </w:rPr>
        <w:t>1.投标文件的评审、比较和否决</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1.1评标委员会将按照招标文件的规定，仅对在实质上响应招标文件要求的投标文件进行评估和比较。</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1.2根据相关法律法规及有关招投标文件规定，结合本项目具体情况，制定本次招标评标办法。并按照“公平、公正、科学、择优”的原则进行评标。采用综合评分法进行评比。</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1.3在评审过程中，评标委员会可以以书面形式要求投标供应商就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1.4评标时，投标报价是评标的重要依据，但不是唯一依据，采购人不承诺将合同授予报价最低或最高的投标供应商。</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1.5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1.6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1.7评标委员会依据本须知规定的评标标准和方法，对投标文件进行评审和比较，向采购人提出书面评标报告，并推荐合格的中标候选人。采购人授权评标委员会根据提出的书面评标报告和推荐的中标候选人按序确定中标供应商。</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2．评分标准（采用综合评分法）</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评标委员会按照《中华人民共和国政府采购法》和《评标委员会和评标方法暂行规定》，结合本项目具体情况，按下列标准打分：第一部分：商务部分评审；第二部分：技术部分评审；第三部分：综合部分评审。</w:t>
      </w:r>
      <w:bookmarkEnd w:id="121"/>
      <w:bookmarkEnd w:id="122"/>
    </w:p>
    <w:p w14:paraId="3FC441FE">
      <w:pPr>
        <w:spacing w:line="360" w:lineRule="auto"/>
        <w:rPr>
          <w:color w:val="auto"/>
          <w:sz w:val="24"/>
          <w:szCs w:val="24"/>
          <w:highlight w:val="none"/>
        </w:rPr>
      </w:pPr>
      <w:r>
        <w:rPr>
          <w:rFonts w:hint="eastAsia" w:ascii="宋体" w:hAnsi="宋体" w:cs="宋体"/>
          <w:color w:val="auto"/>
          <w:sz w:val="24"/>
          <w:szCs w:val="24"/>
          <w:highlight w:val="none"/>
        </w:rPr>
        <w:t>投标供应商最终得分=商务部分得分+技术部分得分+综合部分得分。</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3.评审程序</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3.1资格审查</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采购人按照</w:t>
      </w:r>
      <w:r>
        <w:rPr>
          <w:rFonts w:hint="eastAsia" w:ascii="宋体" w:hAnsi="宋体" w:cs="宋体"/>
          <w:b/>
          <w:bCs/>
          <w:color w:val="auto"/>
          <w:sz w:val="24"/>
          <w:szCs w:val="24"/>
          <w:highlight w:val="none"/>
        </w:rPr>
        <w:t>评标办法前附表</w:t>
      </w:r>
      <w:r>
        <w:rPr>
          <w:rFonts w:hint="eastAsia" w:ascii="宋体" w:hAnsi="宋体" w:cs="宋体"/>
          <w:color w:val="auto"/>
          <w:sz w:val="24"/>
          <w:szCs w:val="24"/>
          <w:highlight w:val="none"/>
        </w:rPr>
        <w:t>的要求，对投标供应商资格进行审查，有一项不符合的，视为未通过资格审查，不得进入下一评标过程。符合的进入下一评标程序。</w:t>
      </w:r>
    </w:p>
    <w:p w14:paraId="67247BCC">
      <w:pPr>
        <w:pStyle w:val="4"/>
        <w:spacing w:line="360" w:lineRule="auto"/>
        <w:jc w:val="center"/>
        <w:rPr>
          <w:rFonts w:hAnsi="宋体"/>
          <w:b/>
          <w:bCs/>
          <w:color w:val="auto"/>
          <w:highlight w:val="none"/>
        </w:rPr>
      </w:pPr>
      <w:r>
        <w:rPr>
          <w:rFonts w:hint="eastAsia" w:hAnsi="宋体"/>
          <w:b/>
          <w:bCs/>
          <w:color w:val="auto"/>
          <w:highlight w:val="none"/>
        </w:rPr>
        <w:t>评标办法前附表</w:t>
      </w:r>
    </w:p>
    <w:tbl>
      <w:tblPr>
        <w:tblStyle w:val="24"/>
        <w:tblW w:w="92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
        <w:gridCol w:w="1257"/>
        <w:gridCol w:w="2013"/>
        <w:gridCol w:w="4984"/>
      </w:tblGrid>
      <w:tr w14:paraId="48C9F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212" w:type="dxa"/>
            <w:gridSpan w:val="2"/>
            <w:tcBorders>
              <w:top w:val="single" w:color="auto" w:sz="4" w:space="0"/>
              <w:bottom w:val="single" w:color="auto" w:sz="4" w:space="0"/>
              <w:right w:val="single" w:color="auto" w:sz="4" w:space="0"/>
            </w:tcBorders>
            <w:vAlign w:val="center"/>
          </w:tcPr>
          <w:p w14:paraId="7DAE28BB">
            <w:pPr>
              <w:adjustRightInd w:val="0"/>
              <w:spacing w:line="360" w:lineRule="auto"/>
              <w:jc w:val="center"/>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初步评审</w:t>
            </w:r>
          </w:p>
        </w:tc>
        <w:tc>
          <w:tcPr>
            <w:tcW w:w="2013" w:type="dxa"/>
            <w:tcBorders>
              <w:top w:val="single" w:color="auto" w:sz="4" w:space="0"/>
              <w:left w:val="single" w:color="auto" w:sz="4" w:space="0"/>
              <w:bottom w:val="single" w:color="auto" w:sz="4" w:space="0"/>
              <w:right w:val="single" w:color="auto" w:sz="4" w:space="0"/>
            </w:tcBorders>
            <w:vAlign w:val="center"/>
          </w:tcPr>
          <w:p w14:paraId="1D5D9628">
            <w:pPr>
              <w:adjustRightInd w:val="0"/>
              <w:spacing w:line="360" w:lineRule="auto"/>
              <w:jc w:val="center"/>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评审因素</w:t>
            </w:r>
          </w:p>
        </w:tc>
        <w:tc>
          <w:tcPr>
            <w:tcW w:w="4984" w:type="dxa"/>
            <w:tcBorders>
              <w:top w:val="single" w:color="auto" w:sz="4" w:space="0"/>
              <w:left w:val="single" w:color="auto" w:sz="4" w:space="0"/>
              <w:bottom w:val="single" w:color="auto" w:sz="4" w:space="0"/>
            </w:tcBorders>
            <w:vAlign w:val="center"/>
          </w:tcPr>
          <w:p w14:paraId="2A5638B3">
            <w:pPr>
              <w:adjustRightInd w:val="0"/>
              <w:spacing w:line="360" w:lineRule="auto"/>
              <w:jc w:val="center"/>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c>
      </w:tr>
      <w:tr w14:paraId="41ED1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restart"/>
            <w:tcBorders>
              <w:top w:val="single" w:color="auto" w:sz="4" w:space="0"/>
              <w:right w:val="single" w:color="auto" w:sz="4" w:space="0"/>
            </w:tcBorders>
            <w:vAlign w:val="center"/>
          </w:tcPr>
          <w:p w14:paraId="0857B3C4">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3.1.1</w:t>
            </w:r>
          </w:p>
        </w:tc>
        <w:tc>
          <w:tcPr>
            <w:tcW w:w="1257" w:type="dxa"/>
            <w:vMerge w:val="restart"/>
            <w:tcBorders>
              <w:top w:val="single" w:color="auto" w:sz="4" w:space="0"/>
              <w:right w:val="single" w:color="auto" w:sz="4" w:space="0"/>
            </w:tcBorders>
            <w:vAlign w:val="center"/>
          </w:tcPr>
          <w:p w14:paraId="27981329">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形式评审</w:t>
            </w:r>
          </w:p>
          <w:p w14:paraId="1023E523">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标准</w:t>
            </w:r>
          </w:p>
        </w:tc>
        <w:tc>
          <w:tcPr>
            <w:tcW w:w="2013" w:type="dxa"/>
            <w:tcBorders>
              <w:top w:val="single" w:color="auto" w:sz="4" w:space="0"/>
              <w:left w:val="single" w:color="auto" w:sz="4" w:space="0"/>
              <w:bottom w:val="single" w:color="auto" w:sz="4" w:space="0"/>
              <w:right w:val="single" w:color="auto" w:sz="4" w:space="0"/>
            </w:tcBorders>
            <w:vAlign w:val="center"/>
          </w:tcPr>
          <w:p w14:paraId="4C1A3001">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4984" w:type="dxa"/>
            <w:tcBorders>
              <w:top w:val="single" w:color="auto" w:sz="4" w:space="0"/>
              <w:left w:val="single" w:color="auto" w:sz="4" w:space="0"/>
              <w:bottom w:val="single" w:color="auto" w:sz="4" w:space="0"/>
            </w:tcBorders>
            <w:vAlign w:val="center"/>
          </w:tcPr>
          <w:p w14:paraId="23B06A5C">
            <w:pPr>
              <w:adjustRightIn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与营业执照一致</w:t>
            </w:r>
          </w:p>
        </w:tc>
      </w:tr>
      <w:tr w14:paraId="3DE9B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continue"/>
            <w:tcBorders>
              <w:right w:val="single" w:color="auto" w:sz="4" w:space="0"/>
            </w:tcBorders>
            <w:vAlign w:val="bottom"/>
          </w:tcPr>
          <w:p w14:paraId="3F8AC63B">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49E39CCD">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14:paraId="3C03365F">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签字盖章</w:t>
            </w:r>
          </w:p>
        </w:tc>
        <w:tc>
          <w:tcPr>
            <w:tcW w:w="4984" w:type="dxa"/>
            <w:tcBorders>
              <w:top w:val="single" w:color="auto" w:sz="4" w:space="0"/>
              <w:left w:val="single" w:color="auto" w:sz="4" w:space="0"/>
              <w:bottom w:val="single" w:color="auto" w:sz="4" w:space="0"/>
            </w:tcBorders>
            <w:vAlign w:val="center"/>
          </w:tcPr>
          <w:p w14:paraId="6249A271">
            <w:pPr>
              <w:adjustRightIn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有法定代表人或其委托代理人签字或加盖单位章</w:t>
            </w:r>
          </w:p>
        </w:tc>
      </w:tr>
      <w:tr w14:paraId="29F16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continue"/>
            <w:tcBorders>
              <w:right w:val="single" w:color="auto" w:sz="4" w:space="0"/>
            </w:tcBorders>
            <w:vAlign w:val="bottom"/>
          </w:tcPr>
          <w:p w14:paraId="4942BDAB">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207330E6">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14:paraId="7E27B0FB">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投标文件格式</w:t>
            </w:r>
          </w:p>
        </w:tc>
        <w:tc>
          <w:tcPr>
            <w:tcW w:w="4984" w:type="dxa"/>
            <w:tcBorders>
              <w:top w:val="single" w:color="auto" w:sz="4" w:space="0"/>
              <w:left w:val="single" w:color="auto" w:sz="4" w:space="0"/>
              <w:bottom w:val="single" w:color="auto" w:sz="4" w:space="0"/>
            </w:tcBorders>
            <w:vAlign w:val="center"/>
          </w:tcPr>
          <w:p w14:paraId="53BD8DAF">
            <w:pPr>
              <w:adjustRightIn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符合第六章“投标文件格式”的要求</w:t>
            </w:r>
          </w:p>
        </w:tc>
      </w:tr>
      <w:tr w14:paraId="695E8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continue"/>
            <w:tcBorders>
              <w:right w:val="single" w:color="auto" w:sz="4" w:space="0"/>
            </w:tcBorders>
            <w:vAlign w:val="bottom"/>
          </w:tcPr>
          <w:p w14:paraId="2C042E0A">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3767013C">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14:paraId="05A73F34">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4984" w:type="dxa"/>
            <w:tcBorders>
              <w:top w:val="single" w:color="auto" w:sz="4" w:space="0"/>
              <w:left w:val="single" w:color="auto" w:sz="4" w:space="0"/>
              <w:bottom w:val="single" w:color="auto" w:sz="4" w:space="0"/>
            </w:tcBorders>
            <w:vAlign w:val="center"/>
          </w:tcPr>
          <w:p w14:paraId="7C3070A6">
            <w:pPr>
              <w:adjustRightIn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只能有一个有效报价</w:t>
            </w:r>
          </w:p>
        </w:tc>
      </w:tr>
      <w:tr w14:paraId="17D68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trPr>
        <w:tc>
          <w:tcPr>
            <w:tcW w:w="955" w:type="dxa"/>
            <w:vMerge w:val="restart"/>
            <w:tcBorders>
              <w:top w:val="single" w:color="auto" w:sz="4" w:space="0"/>
              <w:right w:val="single" w:color="auto" w:sz="4" w:space="0"/>
            </w:tcBorders>
            <w:vAlign w:val="center"/>
          </w:tcPr>
          <w:p w14:paraId="6AF1C785">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3.1.2</w:t>
            </w:r>
          </w:p>
        </w:tc>
        <w:tc>
          <w:tcPr>
            <w:tcW w:w="1257" w:type="dxa"/>
            <w:vMerge w:val="restart"/>
            <w:tcBorders>
              <w:top w:val="single" w:color="auto" w:sz="4" w:space="0"/>
              <w:right w:val="single" w:color="auto" w:sz="4" w:space="0"/>
            </w:tcBorders>
            <w:vAlign w:val="center"/>
          </w:tcPr>
          <w:p w14:paraId="58803B8A">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资格评审标准（由采购人对投标单位进行资格审查）</w:t>
            </w:r>
          </w:p>
        </w:tc>
        <w:tc>
          <w:tcPr>
            <w:tcW w:w="2013" w:type="dxa"/>
            <w:tcBorders>
              <w:top w:val="single" w:color="auto" w:sz="4" w:space="0"/>
              <w:left w:val="single" w:color="auto" w:sz="4" w:space="0"/>
            </w:tcBorders>
            <w:vAlign w:val="center"/>
          </w:tcPr>
          <w:p w14:paraId="4A7911A5">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供应商符合《中华人民共和国政府采购法》第二十二条规定条件</w:t>
            </w:r>
          </w:p>
        </w:tc>
        <w:tc>
          <w:tcPr>
            <w:tcW w:w="4984" w:type="dxa"/>
            <w:tcBorders>
              <w:top w:val="single" w:color="auto" w:sz="4" w:space="0"/>
              <w:left w:val="single" w:color="auto" w:sz="4" w:space="0"/>
            </w:tcBorders>
            <w:vAlign w:val="center"/>
          </w:tcPr>
          <w:p w14:paraId="21A6D217">
            <w:pPr>
              <w:adjustRightInd w:val="0"/>
              <w:spacing w:line="400" w:lineRule="exac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供应商满足《中华人民共和国政府采购法》第二十二条规定条件（相关证明资料或承诺书）</w:t>
            </w:r>
          </w:p>
        </w:tc>
      </w:tr>
      <w:tr w14:paraId="095FB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55" w:type="dxa"/>
            <w:vMerge w:val="continue"/>
            <w:tcBorders>
              <w:right w:val="single" w:color="auto" w:sz="4" w:space="0"/>
            </w:tcBorders>
            <w:vAlign w:val="center"/>
          </w:tcPr>
          <w:p w14:paraId="1CD71EA7">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03BF9E59">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tcBorders>
            <w:vAlign w:val="center"/>
          </w:tcPr>
          <w:p w14:paraId="692A8037">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4984" w:type="dxa"/>
            <w:tcBorders>
              <w:top w:val="single" w:color="auto" w:sz="4" w:space="0"/>
              <w:left w:val="single" w:color="auto" w:sz="4" w:space="0"/>
            </w:tcBorders>
            <w:vAlign w:val="center"/>
          </w:tcPr>
          <w:p w14:paraId="1E85AD8D">
            <w:pPr>
              <w:adjustRightInd w:val="0"/>
              <w:spacing w:line="400" w:lineRule="exac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供应商具有有效的营业执照；</w:t>
            </w:r>
          </w:p>
        </w:tc>
      </w:tr>
      <w:tr w14:paraId="57D52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955" w:type="dxa"/>
            <w:vMerge w:val="continue"/>
            <w:tcBorders>
              <w:top w:val="single" w:color="auto" w:sz="4" w:space="0"/>
              <w:right w:val="single" w:color="auto" w:sz="4" w:space="0"/>
            </w:tcBorders>
            <w:vAlign w:val="center"/>
          </w:tcPr>
          <w:p w14:paraId="3940BF0D">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top w:val="single" w:color="auto" w:sz="4" w:space="0"/>
              <w:right w:val="single" w:color="auto" w:sz="4" w:space="0"/>
            </w:tcBorders>
            <w:vAlign w:val="center"/>
          </w:tcPr>
          <w:p w14:paraId="03EE1D82">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tcBorders>
            <w:vAlign w:val="center"/>
          </w:tcPr>
          <w:p w14:paraId="60EEB826">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无行贿查询</w:t>
            </w:r>
          </w:p>
        </w:tc>
        <w:tc>
          <w:tcPr>
            <w:tcW w:w="4984" w:type="dxa"/>
            <w:tcBorders>
              <w:top w:val="single" w:color="auto" w:sz="4" w:space="0"/>
              <w:left w:val="single" w:color="auto" w:sz="4" w:space="0"/>
            </w:tcBorders>
            <w:vAlign w:val="center"/>
          </w:tcPr>
          <w:p w14:paraId="411B8549">
            <w:pPr>
              <w:adjustRightInd w:val="0"/>
              <w:spacing w:line="400" w:lineRule="exac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提供供应商企业、法定代表人无行贿犯罪记录，在中国裁判文书网查询（提供网页查询截图）或供应商自行承诺</w:t>
            </w:r>
          </w:p>
        </w:tc>
      </w:tr>
      <w:tr w14:paraId="6893D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955" w:type="dxa"/>
            <w:vMerge w:val="continue"/>
            <w:tcBorders>
              <w:right w:val="single" w:color="auto" w:sz="4" w:space="0"/>
            </w:tcBorders>
            <w:vAlign w:val="center"/>
          </w:tcPr>
          <w:p w14:paraId="27815356">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2766C0DE">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tcBorders>
            <w:vAlign w:val="center"/>
          </w:tcPr>
          <w:p w14:paraId="2C01C816">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无商业贿赂和不正当竞争行为</w:t>
            </w:r>
          </w:p>
        </w:tc>
        <w:tc>
          <w:tcPr>
            <w:tcW w:w="4984" w:type="dxa"/>
            <w:tcBorders>
              <w:top w:val="single" w:color="auto" w:sz="4" w:space="0"/>
              <w:left w:val="single" w:color="auto" w:sz="4" w:space="0"/>
            </w:tcBorders>
            <w:vAlign w:val="center"/>
          </w:tcPr>
          <w:p w14:paraId="5B65B9C0">
            <w:pPr>
              <w:adjustRightInd w:val="0"/>
              <w:spacing w:line="400" w:lineRule="exact"/>
              <w:textAlignment w:val="baseline"/>
              <w:rPr>
                <w:rFonts w:ascii="宋体" w:hAnsi="宋体" w:cs="宋体"/>
                <w:color w:val="auto"/>
                <w:sz w:val="24"/>
                <w:szCs w:val="24"/>
                <w:highlight w:val="none"/>
              </w:rPr>
            </w:pPr>
            <w:r>
              <w:rPr>
                <w:rFonts w:hint="eastAsia" w:ascii="宋体" w:hAnsi="宋体"/>
                <w:color w:val="auto"/>
                <w:sz w:val="24"/>
                <w:szCs w:val="24"/>
                <w:highlight w:val="none"/>
              </w:rPr>
              <w:t>供应商出具企业及法人代表无商业贿赂及无不正当竞争行为的承诺书</w:t>
            </w:r>
          </w:p>
        </w:tc>
      </w:tr>
      <w:tr w14:paraId="21F10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5" w:hRule="atLeast"/>
        </w:trPr>
        <w:tc>
          <w:tcPr>
            <w:tcW w:w="955" w:type="dxa"/>
            <w:vMerge w:val="continue"/>
            <w:tcBorders>
              <w:right w:val="single" w:color="auto" w:sz="4" w:space="0"/>
            </w:tcBorders>
            <w:vAlign w:val="center"/>
          </w:tcPr>
          <w:p w14:paraId="0AED8F6B">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56A3B26B">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tcBorders>
            <w:vAlign w:val="center"/>
          </w:tcPr>
          <w:p w14:paraId="610095B3">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信用中国</w:t>
            </w:r>
          </w:p>
        </w:tc>
        <w:tc>
          <w:tcPr>
            <w:tcW w:w="4984" w:type="dxa"/>
            <w:tcBorders>
              <w:top w:val="single" w:color="auto" w:sz="4" w:space="0"/>
              <w:left w:val="single" w:color="auto" w:sz="4" w:space="0"/>
            </w:tcBorders>
            <w:vAlign w:val="center"/>
          </w:tcPr>
          <w:p w14:paraId="6E7BE444">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3161C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1" w:hRule="atLeast"/>
        </w:trPr>
        <w:tc>
          <w:tcPr>
            <w:tcW w:w="955" w:type="dxa"/>
            <w:vMerge w:val="continue"/>
            <w:tcBorders>
              <w:right w:val="single" w:color="auto" w:sz="4" w:space="0"/>
            </w:tcBorders>
            <w:vAlign w:val="center"/>
          </w:tcPr>
          <w:p w14:paraId="36E5C390">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278C3D70">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tcBorders>
            <w:vAlign w:val="center"/>
          </w:tcPr>
          <w:p w14:paraId="4A1DA829">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olor w:val="auto"/>
                <w:sz w:val="24"/>
                <w:szCs w:val="24"/>
                <w:highlight w:val="none"/>
              </w:rPr>
              <w:t>国家企业信用信息公示系统查询</w:t>
            </w:r>
          </w:p>
        </w:tc>
        <w:tc>
          <w:tcPr>
            <w:tcW w:w="4984" w:type="dxa"/>
            <w:tcBorders>
              <w:top w:val="single" w:color="auto" w:sz="4" w:space="0"/>
              <w:left w:val="single" w:color="auto" w:sz="4" w:space="0"/>
            </w:tcBorders>
            <w:vAlign w:val="center"/>
          </w:tcPr>
          <w:p w14:paraId="6EC908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246A8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55" w:type="dxa"/>
            <w:vMerge w:val="continue"/>
            <w:tcBorders>
              <w:right w:val="single" w:color="auto" w:sz="4" w:space="0"/>
            </w:tcBorders>
            <w:vAlign w:val="center"/>
          </w:tcPr>
          <w:p w14:paraId="0F54CD9C">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bottom w:val="single" w:color="auto" w:sz="4" w:space="0"/>
              <w:right w:val="single" w:color="auto" w:sz="4" w:space="0"/>
            </w:tcBorders>
            <w:vAlign w:val="center"/>
          </w:tcPr>
          <w:p w14:paraId="4360929E">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tcBorders>
            <w:vAlign w:val="center"/>
          </w:tcPr>
          <w:p w14:paraId="6AE59309">
            <w:pPr>
              <w:pStyle w:val="36"/>
              <w:spacing w:line="360" w:lineRule="auto"/>
              <w:jc w:val="center"/>
              <w:rPr>
                <w:color w:val="auto"/>
                <w:kern w:val="2"/>
                <w:sz w:val="24"/>
                <w:szCs w:val="24"/>
                <w:highlight w:val="none"/>
                <w:lang w:val="en-US" w:bidi="ar-SA"/>
              </w:rPr>
            </w:pPr>
            <w:r>
              <w:rPr>
                <w:rFonts w:hint="eastAsia"/>
                <w:color w:val="auto"/>
                <w:kern w:val="2"/>
                <w:sz w:val="24"/>
                <w:szCs w:val="24"/>
                <w:highlight w:val="none"/>
                <w:lang w:val="en-US" w:bidi="ar-SA"/>
              </w:rPr>
              <w:t>不接受联合体投标承诺书</w:t>
            </w:r>
          </w:p>
        </w:tc>
        <w:tc>
          <w:tcPr>
            <w:tcW w:w="4984" w:type="dxa"/>
            <w:tcBorders>
              <w:top w:val="single" w:color="auto" w:sz="4" w:space="0"/>
              <w:left w:val="single" w:color="auto" w:sz="4" w:space="0"/>
            </w:tcBorders>
            <w:vAlign w:val="center"/>
          </w:tcPr>
          <w:p w14:paraId="04469FBB">
            <w:pPr>
              <w:wordWrap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提供不接受联合体投标承诺书；</w:t>
            </w:r>
          </w:p>
        </w:tc>
      </w:tr>
      <w:tr w14:paraId="7B0D7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restart"/>
            <w:tcBorders>
              <w:top w:val="single" w:color="auto" w:sz="4" w:space="0"/>
              <w:right w:val="single" w:color="auto" w:sz="4" w:space="0"/>
            </w:tcBorders>
            <w:vAlign w:val="center"/>
          </w:tcPr>
          <w:p w14:paraId="2694FE67">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3.1.3</w:t>
            </w:r>
          </w:p>
        </w:tc>
        <w:tc>
          <w:tcPr>
            <w:tcW w:w="1257" w:type="dxa"/>
            <w:vMerge w:val="restart"/>
            <w:tcBorders>
              <w:top w:val="single" w:color="auto" w:sz="4" w:space="0"/>
              <w:right w:val="single" w:color="auto" w:sz="4" w:space="0"/>
            </w:tcBorders>
            <w:vAlign w:val="center"/>
          </w:tcPr>
          <w:p w14:paraId="3CF07123">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响应性</w:t>
            </w:r>
          </w:p>
          <w:p w14:paraId="6F311CA3">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评审标准</w:t>
            </w:r>
          </w:p>
        </w:tc>
        <w:tc>
          <w:tcPr>
            <w:tcW w:w="2013" w:type="dxa"/>
            <w:tcBorders>
              <w:top w:val="single" w:color="auto" w:sz="4" w:space="0"/>
              <w:left w:val="single" w:color="auto" w:sz="4" w:space="0"/>
              <w:bottom w:val="single" w:color="auto" w:sz="4" w:space="0"/>
              <w:right w:val="single" w:color="auto" w:sz="4" w:space="0"/>
            </w:tcBorders>
            <w:vAlign w:val="center"/>
          </w:tcPr>
          <w:p w14:paraId="4A2479A6">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交货期限</w:t>
            </w:r>
          </w:p>
        </w:tc>
        <w:tc>
          <w:tcPr>
            <w:tcW w:w="4984" w:type="dxa"/>
            <w:tcBorders>
              <w:top w:val="single" w:color="auto" w:sz="4" w:space="0"/>
              <w:left w:val="single" w:color="auto" w:sz="4" w:space="0"/>
              <w:bottom w:val="single" w:color="auto" w:sz="4" w:space="0"/>
            </w:tcBorders>
            <w:vAlign w:val="center"/>
          </w:tcPr>
          <w:p w14:paraId="745BA67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符合第二章“供应商须知前附表”的规定</w:t>
            </w:r>
          </w:p>
        </w:tc>
      </w:tr>
      <w:tr w14:paraId="4C751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continue"/>
            <w:tcBorders>
              <w:right w:val="single" w:color="auto" w:sz="4" w:space="0"/>
            </w:tcBorders>
            <w:vAlign w:val="center"/>
          </w:tcPr>
          <w:p w14:paraId="4FD266C2">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55BCF79E">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14:paraId="4D744BC1">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质保期</w:t>
            </w:r>
          </w:p>
        </w:tc>
        <w:tc>
          <w:tcPr>
            <w:tcW w:w="4984" w:type="dxa"/>
            <w:tcBorders>
              <w:top w:val="single" w:color="auto" w:sz="4" w:space="0"/>
              <w:left w:val="single" w:color="auto" w:sz="4" w:space="0"/>
              <w:bottom w:val="single" w:color="auto" w:sz="4" w:space="0"/>
            </w:tcBorders>
            <w:vAlign w:val="center"/>
          </w:tcPr>
          <w:p w14:paraId="018AFF6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符合第二章“供应商须知前附表”的规定</w:t>
            </w:r>
          </w:p>
        </w:tc>
      </w:tr>
      <w:tr w14:paraId="2DCD2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continue"/>
            <w:tcBorders>
              <w:right w:val="single" w:color="auto" w:sz="4" w:space="0"/>
            </w:tcBorders>
          </w:tcPr>
          <w:p w14:paraId="4454F88B">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0ACFD0D4">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14:paraId="618B10CF">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4984" w:type="dxa"/>
            <w:tcBorders>
              <w:top w:val="single" w:color="auto" w:sz="4" w:space="0"/>
              <w:left w:val="single" w:color="auto" w:sz="4" w:space="0"/>
              <w:bottom w:val="single" w:color="auto" w:sz="4" w:space="0"/>
            </w:tcBorders>
            <w:vAlign w:val="center"/>
          </w:tcPr>
          <w:p w14:paraId="2F10AD17">
            <w:pPr>
              <w:adjustRightIn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符合第二章“供应商须知前附表”的规定</w:t>
            </w:r>
          </w:p>
        </w:tc>
      </w:tr>
      <w:tr w14:paraId="3AC2B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5" w:type="dxa"/>
            <w:vMerge w:val="continue"/>
            <w:tcBorders>
              <w:right w:val="single" w:color="auto" w:sz="4" w:space="0"/>
            </w:tcBorders>
          </w:tcPr>
          <w:p w14:paraId="32779C92">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right w:val="single" w:color="auto" w:sz="4" w:space="0"/>
            </w:tcBorders>
            <w:vAlign w:val="center"/>
          </w:tcPr>
          <w:p w14:paraId="31BE5186">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14:paraId="6D4A5C44">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984" w:type="dxa"/>
            <w:tcBorders>
              <w:top w:val="single" w:color="auto" w:sz="4" w:space="0"/>
              <w:left w:val="single" w:color="auto" w:sz="4" w:space="0"/>
              <w:bottom w:val="single" w:color="auto" w:sz="4" w:space="0"/>
            </w:tcBorders>
            <w:vAlign w:val="center"/>
          </w:tcPr>
          <w:p w14:paraId="58C28DB2">
            <w:pPr>
              <w:adjustRightIn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符合第二章“供应商须知前附表”的规定</w:t>
            </w:r>
          </w:p>
        </w:tc>
      </w:tr>
      <w:tr w14:paraId="41647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955" w:type="dxa"/>
            <w:vMerge w:val="continue"/>
            <w:tcBorders>
              <w:bottom w:val="single" w:color="auto" w:sz="4" w:space="0"/>
              <w:right w:val="single" w:color="auto" w:sz="4" w:space="0"/>
            </w:tcBorders>
          </w:tcPr>
          <w:p w14:paraId="5BBB0F39">
            <w:pPr>
              <w:adjustRightInd w:val="0"/>
              <w:spacing w:line="360" w:lineRule="auto"/>
              <w:jc w:val="center"/>
              <w:textAlignment w:val="baseline"/>
              <w:rPr>
                <w:rFonts w:ascii="宋体" w:hAnsi="宋体" w:cs="宋体"/>
                <w:color w:val="auto"/>
                <w:sz w:val="24"/>
                <w:szCs w:val="24"/>
                <w:highlight w:val="none"/>
              </w:rPr>
            </w:pPr>
          </w:p>
        </w:tc>
        <w:tc>
          <w:tcPr>
            <w:tcW w:w="1257" w:type="dxa"/>
            <w:vMerge w:val="continue"/>
            <w:tcBorders>
              <w:bottom w:val="single" w:color="auto" w:sz="4" w:space="0"/>
              <w:right w:val="single" w:color="auto" w:sz="4" w:space="0"/>
            </w:tcBorders>
            <w:vAlign w:val="center"/>
          </w:tcPr>
          <w:p w14:paraId="3243F2F9">
            <w:pPr>
              <w:adjustRightInd w:val="0"/>
              <w:spacing w:line="360" w:lineRule="auto"/>
              <w:jc w:val="center"/>
              <w:textAlignment w:val="baseline"/>
              <w:rPr>
                <w:rFonts w:ascii="宋体" w:hAnsi="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14:paraId="73CCF832">
            <w:pPr>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984" w:type="dxa"/>
            <w:tcBorders>
              <w:top w:val="single" w:color="auto" w:sz="4" w:space="0"/>
              <w:left w:val="single" w:color="auto" w:sz="4" w:space="0"/>
              <w:bottom w:val="single" w:color="auto" w:sz="4" w:space="0"/>
            </w:tcBorders>
            <w:vAlign w:val="center"/>
          </w:tcPr>
          <w:p w14:paraId="195A89C8">
            <w:pPr>
              <w:adjustRightIn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未超过招标文件中规定的预算金额或者最高限价的</w:t>
            </w:r>
          </w:p>
        </w:tc>
      </w:tr>
    </w:tbl>
    <w:p w14:paraId="46E764EB">
      <w:pPr>
        <w:spacing w:line="360" w:lineRule="auto"/>
        <w:ind w:firstLine="480" w:firstLineChars="200"/>
        <w:rPr>
          <w:color w:val="auto"/>
          <w:sz w:val="24"/>
          <w:szCs w:val="24"/>
          <w:highlight w:val="none"/>
        </w:rPr>
      </w:pPr>
    </w:p>
    <w:p w14:paraId="36176343">
      <w:pPr>
        <w:spacing w:line="360" w:lineRule="auto"/>
        <w:ind w:firstLine="480" w:firstLineChars="200"/>
        <w:outlineLvl w:val="0"/>
        <w:rPr>
          <w:color w:val="auto"/>
          <w:sz w:val="24"/>
          <w:szCs w:val="24"/>
          <w:highlight w:val="none"/>
        </w:rPr>
      </w:pPr>
      <w:bookmarkStart w:id="123" w:name="_Toc1469"/>
      <w:bookmarkStart w:id="124" w:name="_Toc5626"/>
      <w:r>
        <w:rPr>
          <w:color w:val="auto"/>
          <w:sz w:val="24"/>
          <w:szCs w:val="24"/>
          <w:highlight w:val="none"/>
        </w:rPr>
        <w:t xml:space="preserve">4. </w:t>
      </w:r>
      <w:r>
        <w:rPr>
          <w:rFonts w:hint="eastAsia" w:cs="宋体"/>
          <w:color w:val="auto"/>
          <w:sz w:val="24"/>
          <w:szCs w:val="24"/>
          <w:highlight w:val="none"/>
        </w:rPr>
        <w:t>本项目评标方法采用综合评分法。</w:t>
      </w:r>
      <w:bookmarkEnd w:id="123"/>
      <w:bookmarkEnd w:id="124"/>
    </w:p>
    <w:p w14:paraId="3A47DDA7">
      <w:pPr>
        <w:spacing w:line="360" w:lineRule="auto"/>
        <w:ind w:firstLine="480" w:firstLineChars="200"/>
        <w:rPr>
          <w:rFonts w:cs="宋体"/>
          <w:color w:val="auto"/>
          <w:sz w:val="24"/>
          <w:szCs w:val="24"/>
          <w:highlight w:val="none"/>
        </w:rPr>
      </w:pPr>
      <w:r>
        <w:rPr>
          <w:rFonts w:hint="eastAsia" w:cs="宋体"/>
          <w:color w:val="auto"/>
          <w:sz w:val="24"/>
          <w:szCs w:val="24"/>
          <w:highlight w:val="none"/>
        </w:rPr>
        <w:t>综合评分法，是指投标文件满足招标文件全部实质性要求且按照评审因素的量化指标评审得分最高的供应商为中标候选人的评标方法。</w:t>
      </w:r>
    </w:p>
    <w:tbl>
      <w:tblPr>
        <w:tblStyle w:val="24"/>
        <w:tblpPr w:leftFromText="180" w:rightFromText="180" w:vertAnchor="text" w:horzAnchor="page" w:tblpX="735" w:tblpY="423"/>
        <w:tblOverlap w:val="never"/>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330"/>
        <w:gridCol w:w="1635"/>
        <w:gridCol w:w="6706"/>
      </w:tblGrid>
      <w:tr w14:paraId="6A3F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74" w:type="dxa"/>
            <w:tcBorders>
              <w:top w:val="single" w:color="auto" w:sz="4" w:space="0"/>
              <w:left w:val="single" w:color="auto" w:sz="4" w:space="0"/>
              <w:bottom w:val="single" w:color="auto" w:sz="4" w:space="0"/>
              <w:right w:val="single" w:color="auto" w:sz="4" w:space="0"/>
            </w:tcBorders>
            <w:vAlign w:val="center"/>
          </w:tcPr>
          <w:p w14:paraId="22146CCB">
            <w:pPr>
              <w:spacing w:line="500" w:lineRule="exact"/>
              <w:ind w:right="-250" w:rightChars="-119"/>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330" w:type="dxa"/>
            <w:tcBorders>
              <w:top w:val="single" w:color="auto" w:sz="4" w:space="0"/>
              <w:left w:val="single" w:color="auto" w:sz="4" w:space="0"/>
              <w:bottom w:val="single" w:color="auto" w:sz="4" w:space="0"/>
              <w:right w:val="single" w:color="auto" w:sz="4" w:space="0"/>
            </w:tcBorders>
            <w:vAlign w:val="center"/>
          </w:tcPr>
          <w:p w14:paraId="049E67D0">
            <w:pPr>
              <w:spacing w:line="500" w:lineRule="exact"/>
              <w:ind w:right="-88" w:rightChars="-42"/>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8341" w:type="dxa"/>
            <w:gridSpan w:val="2"/>
            <w:tcBorders>
              <w:top w:val="single" w:color="auto" w:sz="4" w:space="0"/>
              <w:left w:val="single" w:color="auto" w:sz="4" w:space="0"/>
              <w:bottom w:val="single" w:color="auto" w:sz="4" w:space="0"/>
              <w:right w:val="single" w:color="auto" w:sz="4" w:space="0"/>
            </w:tcBorders>
            <w:vAlign w:val="center"/>
          </w:tcPr>
          <w:p w14:paraId="4C0155A7">
            <w:pPr>
              <w:spacing w:line="500" w:lineRule="exact"/>
              <w:ind w:right="-340" w:rightChars="-162"/>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w w:val="99"/>
                <w:sz w:val="24"/>
                <w:szCs w:val="24"/>
                <w:highlight w:val="none"/>
              </w:rPr>
              <w:t>评分因素</w:t>
            </w:r>
          </w:p>
        </w:tc>
      </w:tr>
      <w:tr w14:paraId="18DD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74" w:type="dxa"/>
            <w:vMerge w:val="restart"/>
            <w:tcBorders>
              <w:top w:val="single" w:color="auto" w:sz="4" w:space="0"/>
              <w:left w:val="single" w:color="auto" w:sz="4" w:space="0"/>
              <w:bottom w:val="single" w:color="auto" w:sz="4" w:space="0"/>
              <w:right w:val="single" w:color="auto" w:sz="4" w:space="0"/>
            </w:tcBorders>
            <w:vAlign w:val="center"/>
          </w:tcPr>
          <w:p w14:paraId="2A992DC8">
            <w:pPr>
              <w:spacing w:line="500" w:lineRule="exact"/>
              <w:ind w:left="-141" w:leftChars="-76" w:right="-250" w:rightChars="-119" w:hanging="19" w:hangingChars="8"/>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p>
        </w:tc>
        <w:tc>
          <w:tcPr>
            <w:tcW w:w="1330" w:type="dxa"/>
            <w:tcBorders>
              <w:top w:val="single" w:color="auto" w:sz="4" w:space="0"/>
              <w:left w:val="single" w:color="auto" w:sz="4" w:space="0"/>
              <w:bottom w:val="single" w:color="auto" w:sz="4" w:space="0"/>
              <w:right w:val="single" w:color="auto" w:sz="4" w:space="0"/>
            </w:tcBorders>
            <w:vAlign w:val="center"/>
          </w:tcPr>
          <w:p w14:paraId="517E0D39">
            <w:pPr>
              <w:spacing w:line="500" w:lineRule="exact"/>
              <w:ind w:firstLine="120" w:firstLineChars="5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14:paraId="6BCE2D0E">
            <w:pPr>
              <w:spacing w:line="500" w:lineRule="exact"/>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color w:val="auto"/>
                <w:sz w:val="24"/>
                <w:szCs w:val="24"/>
                <w:highlight w:val="none"/>
              </w:rPr>
              <w:t>(100分)</w:t>
            </w:r>
          </w:p>
        </w:tc>
        <w:tc>
          <w:tcPr>
            <w:tcW w:w="8341" w:type="dxa"/>
            <w:gridSpan w:val="2"/>
            <w:tcBorders>
              <w:top w:val="single" w:color="auto" w:sz="4" w:space="0"/>
              <w:left w:val="single" w:color="auto" w:sz="4" w:space="0"/>
              <w:bottom w:val="single" w:color="auto" w:sz="4" w:space="0"/>
              <w:right w:val="single" w:color="auto" w:sz="4" w:space="0"/>
            </w:tcBorders>
            <w:vAlign w:val="center"/>
          </w:tcPr>
          <w:p w14:paraId="5FA35AC2">
            <w:pPr>
              <w:spacing w:line="500" w:lineRule="exact"/>
              <w:ind w:left="-107" w:leftChars="-52" w:right="-107" w:rightChars="-51" w:hanging="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投标报价：30分；技术标：55分；商务标：15分；</w:t>
            </w:r>
          </w:p>
        </w:tc>
      </w:tr>
      <w:tr w14:paraId="6804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D64E92E">
            <w:pPr>
              <w:widowControl/>
              <w:jc w:val="left"/>
              <w:rPr>
                <w:rFonts w:asciiTheme="minorEastAsia" w:hAnsiTheme="minorEastAsia" w:eastAsiaTheme="minorEastAsia" w:cstheme="minorEastAsia"/>
                <w:b/>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73525144">
            <w:pP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综合得分</w:t>
            </w:r>
          </w:p>
          <w:p w14:paraId="38048973">
            <w:pPr>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按公式计算</w:t>
            </w:r>
          </w:p>
        </w:tc>
        <w:tc>
          <w:tcPr>
            <w:tcW w:w="8341" w:type="dxa"/>
            <w:gridSpan w:val="2"/>
            <w:tcBorders>
              <w:top w:val="single" w:color="auto" w:sz="4" w:space="0"/>
              <w:left w:val="single" w:color="auto" w:sz="4" w:space="0"/>
              <w:bottom w:val="single" w:color="auto" w:sz="4" w:space="0"/>
              <w:right w:val="single" w:color="auto" w:sz="4" w:space="0"/>
            </w:tcBorders>
            <w:vAlign w:val="center"/>
          </w:tcPr>
          <w:p w14:paraId="2119E269">
            <w:pPr>
              <w:spacing w:line="500" w:lineRule="exact"/>
              <w:ind w:left="-107" w:leftChars="-52" w:right="-107" w:rightChars="-51" w:hanging="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综合得分=报价得分＋技术标得分＋商务标得分；</w:t>
            </w:r>
          </w:p>
          <w:p w14:paraId="790FA39E">
            <w:pPr>
              <w:spacing w:line="500" w:lineRule="exact"/>
              <w:ind w:left="-107" w:leftChars="-52" w:right="-107" w:rightChars="-51" w:hanging="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投标人综合得分按下列公式计算（计算分值均保留两位小数）；</w:t>
            </w:r>
          </w:p>
        </w:tc>
      </w:tr>
      <w:tr w14:paraId="727D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574" w:type="dxa"/>
            <w:tcBorders>
              <w:top w:val="single" w:color="auto" w:sz="4" w:space="0"/>
              <w:left w:val="single" w:color="auto" w:sz="4" w:space="0"/>
              <w:bottom w:val="single" w:color="auto" w:sz="4" w:space="0"/>
              <w:right w:val="single" w:color="auto" w:sz="4" w:space="0"/>
            </w:tcBorders>
            <w:vAlign w:val="center"/>
          </w:tcPr>
          <w:p w14:paraId="1DB485DA">
            <w:pPr>
              <w:spacing w:line="500" w:lineRule="exact"/>
              <w:ind w:left="-141" w:leftChars="-76" w:right="-250" w:rightChars="-119" w:hanging="19" w:hangingChars="8"/>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p>
        </w:tc>
        <w:tc>
          <w:tcPr>
            <w:tcW w:w="1330" w:type="dxa"/>
            <w:tcBorders>
              <w:top w:val="single" w:color="auto" w:sz="4" w:space="0"/>
              <w:left w:val="single" w:color="auto" w:sz="4" w:space="0"/>
              <w:bottom w:val="single" w:color="auto" w:sz="4" w:space="0"/>
              <w:right w:val="single" w:color="auto" w:sz="4" w:space="0"/>
            </w:tcBorders>
            <w:vAlign w:val="center"/>
          </w:tcPr>
          <w:p w14:paraId="317FB9F0">
            <w:pPr>
              <w:spacing w:line="500" w:lineRule="exact"/>
              <w:ind w:left="-107" w:leftChars="-51" w:right="-107" w:rightChars="-51" w:firstLine="1"/>
              <w:jc w:val="center"/>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投标报价</w:t>
            </w:r>
          </w:p>
          <w:p w14:paraId="0C0CF971">
            <w:pPr>
              <w:spacing w:line="500" w:lineRule="exact"/>
              <w:ind w:left="-107" w:leftChars="-51" w:right="-107" w:rightChars="-51" w:firstLine="1"/>
              <w:jc w:val="center"/>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（30分）</w:t>
            </w:r>
          </w:p>
        </w:tc>
        <w:tc>
          <w:tcPr>
            <w:tcW w:w="8341" w:type="dxa"/>
            <w:gridSpan w:val="2"/>
            <w:tcBorders>
              <w:top w:val="single" w:color="auto" w:sz="4" w:space="0"/>
              <w:left w:val="single" w:color="auto" w:sz="4" w:space="0"/>
              <w:bottom w:val="single" w:color="auto" w:sz="4" w:space="0"/>
              <w:right w:val="single" w:color="auto" w:sz="4" w:space="0"/>
            </w:tcBorders>
            <w:vAlign w:val="center"/>
          </w:tcPr>
          <w:p w14:paraId="68CA21F0">
            <w:pPr>
              <w:spacing w:line="500" w:lineRule="exact"/>
              <w:ind w:left="-107" w:leftChars="-52" w:right="-107" w:rightChars="-51" w:hanging="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1、投标报价价格分统一采用低价优先法计算，即满足招标文件要求且投标价格最低的投标报价为评标基准价，其价格分为30满分。其他投标人的价格分统一按照下列公式计算：</w:t>
            </w:r>
          </w:p>
          <w:p w14:paraId="2D84F5BD">
            <w:pPr>
              <w:spacing w:line="500" w:lineRule="exact"/>
              <w:ind w:left="-107" w:leftChars="-52" w:right="-107" w:rightChars="-51" w:hanging="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投标报价得分=（评标基准价/投标报价）×30。</w:t>
            </w:r>
          </w:p>
          <w:p w14:paraId="60D42FAC">
            <w:pPr>
              <w:spacing w:line="500" w:lineRule="exact"/>
              <w:ind w:left="-107" w:leftChars="-52" w:right="-107" w:rightChars="-51" w:hanging="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认为投标人的报价明显低于其他通过符合性审查投标人的报价，有可能影响工程质量或者不能诚信履约的，应当要求其在合理的时间内提供说明，必要时提交相关证明材料；投标人不能证明其报价合理性的，评标委员会应当将其作为无效标处理。</w:t>
            </w:r>
          </w:p>
          <w:p w14:paraId="4735B56C">
            <w:pPr>
              <w:spacing w:line="500" w:lineRule="exact"/>
              <w:ind w:left="-107" w:leftChars="-52" w:right="-107" w:rightChars="-51" w:hanging="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满足的要求：对于非专门面向中小企业的项目，本项目对小微企业生产的产品的价格给予20%的扣除，用扣除后的价格参与报价计算。参加投标的中小微企业，应当按照《政府采购促进中小企业发展管理办法》（财库﹝2020﹞46号）的规定提供《中小企业声明函》，（中小企业划型标准详见《关于印发中小企业划型标准规定的通知》工信部联企业〔2011〕300号）。</w:t>
            </w:r>
          </w:p>
        </w:tc>
      </w:tr>
      <w:tr w14:paraId="7489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restart"/>
            <w:tcBorders>
              <w:top w:val="single" w:color="auto" w:sz="4" w:space="0"/>
              <w:left w:val="single" w:color="auto" w:sz="4" w:space="0"/>
              <w:bottom w:val="single" w:color="auto" w:sz="4" w:space="0"/>
              <w:right w:val="single" w:color="auto" w:sz="4" w:space="0"/>
            </w:tcBorders>
            <w:vAlign w:val="center"/>
          </w:tcPr>
          <w:p w14:paraId="5E0334FB">
            <w:pPr>
              <w:spacing w:line="500" w:lineRule="exact"/>
              <w:ind w:left="-141" w:leftChars="-76" w:right="-250" w:rightChars="-119" w:hanging="19" w:hangingChars="8"/>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p>
        </w:tc>
        <w:tc>
          <w:tcPr>
            <w:tcW w:w="1330" w:type="dxa"/>
            <w:vMerge w:val="restart"/>
            <w:tcBorders>
              <w:top w:val="single" w:color="auto" w:sz="4" w:space="0"/>
              <w:left w:val="single" w:color="auto" w:sz="4" w:space="0"/>
              <w:bottom w:val="single" w:color="auto" w:sz="4" w:space="0"/>
              <w:right w:val="single" w:color="auto" w:sz="4" w:space="0"/>
            </w:tcBorders>
            <w:vAlign w:val="center"/>
          </w:tcPr>
          <w:p w14:paraId="3C1459F9">
            <w:pPr>
              <w:tabs>
                <w:tab w:val="center" w:pos="4153"/>
                <w:tab w:val="right" w:pos="8306"/>
              </w:tabs>
              <w:snapToGrid w:val="0"/>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技术标评分标准（55分）</w:t>
            </w:r>
          </w:p>
        </w:tc>
        <w:tc>
          <w:tcPr>
            <w:tcW w:w="1635" w:type="dxa"/>
            <w:tcBorders>
              <w:top w:val="single" w:color="auto" w:sz="4" w:space="0"/>
              <w:left w:val="single" w:color="auto" w:sz="4" w:space="0"/>
              <w:bottom w:val="single" w:color="auto" w:sz="4" w:space="0"/>
              <w:right w:val="single" w:color="auto" w:sz="4" w:space="0"/>
            </w:tcBorders>
            <w:vAlign w:val="center"/>
          </w:tcPr>
          <w:p w14:paraId="73CC88A9">
            <w:pPr>
              <w:spacing w:line="500" w:lineRule="exact"/>
              <w:ind w:left="-109" w:leftChars="-52"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1、投标产品技术性能（15分）</w:t>
            </w:r>
          </w:p>
        </w:tc>
        <w:tc>
          <w:tcPr>
            <w:tcW w:w="6706" w:type="dxa"/>
            <w:tcBorders>
              <w:top w:val="single" w:color="auto" w:sz="4" w:space="0"/>
              <w:left w:val="single" w:color="auto" w:sz="4" w:space="0"/>
              <w:bottom w:val="single" w:color="auto" w:sz="4" w:space="0"/>
              <w:right w:val="single" w:color="auto" w:sz="4" w:space="0"/>
            </w:tcBorders>
            <w:vAlign w:val="center"/>
          </w:tcPr>
          <w:p w14:paraId="08A3A81F">
            <w:pPr>
              <w:spacing w:line="500" w:lineRule="exact"/>
              <w:ind w:left="-109" w:leftChars="-52" w:right="-107" w:rightChars="-5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第三章 技术指标要求中，▲标记代表重要指标，每有一项不满足扣1分（投标人需提供第三方测试机构出具的带CNAS或CMA标识的检测报告作为佐证材料），其他无▲标记的指标为一般性指标，每有一项不满足扣0.2分，扣完为止。</w:t>
            </w:r>
          </w:p>
          <w:p w14:paraId="09754FF5">
            <w:pPr>
              <w:spacing w:line="500" w:lineRule="exact"/>
              <w:ind w:left="-109" w:leftChars="-52" w:right="-107" w:rightChars="-5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注：投标人或其股东出具的检测报告不属于第三方测试机构的检测报告。</w:t>
            </w:r>
          </w:p>
        </w:tc>
      </w:tr>
      <w:tr w14:paraId="3896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BCF62C2">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6E0C99F2">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747AC136">
            <w:pPr>
              <w:spacing w:line="500" w:lineRule="exact"/>
              <w:ind w:left="-109" w:leftChars="-52"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2局地小尺度天气系统的探测识别能力（6分）</w:t>
            </w:r>
          </w:p>
        </w:tc>
        <w:tc>
          <w:tcPr>
            <w:tcW w:w="6706" w:type="dxa"/>
            <w:tcBorders>
              <w:top w:val="single" w:color="auto" w:sz="4" w:space="0"/>
              <w:left w:val="single" w:color="auto" w:sz="4" w:space="0"/>
              <w:bottom w:val="single" w:color="auto" w:sz="4" w:space="0"/>
              <w:right w:val="single" w:color="auto" w:sz="4" w:space="0"/>
            </w:tcBorders>
            <w:vAlign w:val="center"/>
          </w:tcPr>
          <w:p w14:paraId="24532ED4">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针对投标人提供的双偏振（双极化）相控阵天气雷达对局地小尺度天气系统（①龙卷、②冰雹、③短时暴雨、④雷暴大风）探测识别应用方案和案例进行评审：</w:t>
            </w:r>
          </w:p>
          <w:p w14:paraId="26383862">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1.应用方案全面详细具体，技术路线和方案清晰可行，案例丰富的，得6分；</w:t>
            </w:r>
          </w:p>
          <w:p w14:paraId="55D7D860">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2.应用方案基本全面，技术路线和方案基本可行，案例较为丰富的，得4分；</w:t>
            </w:r>
          </w:p>
          <w:p w14:paraId="5494AD5F">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3.应用方案不太全面，技术路线和方案不太可行，案例较少或没有案例的，得2分；</w:t>
            </w:r>
          </w:p>
          <w:p w14:paraId="66CBEED3">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4.没有应用报告的，得0分。</w:t>
            </w:r>
          </w:p>
        </w:tc>
      </w:tr>
      <w:tr w14:paraId="7698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DE2074D">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133F06F1">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73FA09AA">
            <w:pPr>
              <w:spacing w:line="500" w:lineRule="exact"/>
              <w:ind w:left="-109" w:leftChars="-52"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3同波段（X）组网协同观测方案可行性（7分）</w:t>
            </w:r>
          </w:p>
        </w:tc>
        <w:tc>
          <w:tcPr>
            <w:tcW w:w="6706" w:type="dxa"/>
            <w:tcBorders>
              <w:top w:val="single" w:color="auto" w:sz="4" w:space="0"/>
              <w:left w:val="single" w:color="auto" w:sz="4" w:space="0"/>
              <w:bottom w:val="single" w:color="auto" w:sz="4" w:space="0"/>
              <w:right w:val="single" w:color="auto" w:sz="4" w:space="0"/>
            </w:tcBorders>
            <w:vAlign w:val="center"/>
          </w:tcPr>
          <w:p w14:paraId="5A51AED9">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根据投标人所投产品与周边已布设的X波段相控阵天气雷达组网协同观测方案可行性进行评审，包括①组网协同观测技术分析、②组网协同观测实施方案、③组网协同观测应用案例。</w:t>
            </w:r>
          </w:p>
          <w:p w14:paraId="0AADB0D9">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1.方案内容详实、可行性强，案例丰富的，得7分；</w:t>
            </w:r>
          </w:p>
          <w:p w14:paraId="44662B88">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2.方案内容较详实、可行性较强，案例较为丰富的，得5分；</w:t>
            </w:r>
          </w:p>
          <w:p w14:paraId="1EA0CAD0">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3.方案内容及可行性较差，案例较少或没有案例的，得3分；</w:t>
            </w:r>
          </w:p>
          <w:p w14:paraId="19914F34">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4.不提供观测方案的，得0分。</w:t>
            </w:r>
          </w:p>
        </w:tc>
      </w:tr>
      <w:tr w14:paraId="0B8C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8572D10">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53688744">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6C1A2E57">
            <w:pPr>
              <w:spacing w:line="500" w:lineRule="exact"/>
              <w:ind w:left="-109" w:leftChars="-52"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4不同波段（S、X）天气雷达融合方案（6分）</w:t>
            </w:r>
          </w:p>
        </w:tc>
        <w:tc>
          <w:tcPr>
            <w:tcW w:w="6706" w:type="dxa"/>
            <w:tcBorders>
              <w:top w:val="single" w:color="auto" w:sz="4" w:space="0"/>
              <w:left w:val="single" w:color="auto" w:sz="4" w:space="0"/>
              <w:bottom w:val="single" w:color="auto" w:sz="4" w:space="0"/>
              <w:right w:val="single" w:color="auto" w:sz="4" w:space="0"/>
            </w:tcBorders>
            <w:vAlign w:val="center"/>
          </w:tcPr>
          <w:p w14:paraId="4370BC5C">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根据投标人提出的不同波段（S、X）雷达融合方案（方案中应包括案例）进行综合评审：</w:t>
            </w:r>
          </w:p>
          <w:p w14:paraId="56F6FFE5">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1.方案科学合理，有针对性、可行性强，案例丰富的，得6分；</w:t>
            </w:r>
          </w:p>
          <w:p w14:paraId="5CC3D24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2.方案较为科学合理，有针对性、可行性较强，案例较为丰富的，得4分；</w:t>
            </w:r>
          </w:p>
          <w:p w14:paraId="5F67B334">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3.方案制定不够合理，可行性不强的，案例较少或没有案例的，得2分；</w:t>
            </w:r>
          </w:p>
          <w:p w14:paraId="2852CCE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4.不提供方案的，得0分。</w:t>
            </w:r>
          </w:p>
        </w:tc>
      </w:tr>
      <w:tr w14:paraId="5B29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2E4AF44">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3A247814">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241F6FD5">
            <w:pPr>
              <w:spacing w:line="500" w:lineRule="exact"/>
              <w:ind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5项目实施方案（5分）</w:t>
            </w:r>
          </w:p>
        </w:tc>
        <w:tc>
          <w:tcPr>
            <w:tcW w:w="6706" w:type="dxa"/>
            <w:tcBorders>
              <w:top w:val="single" w:color="auto" w:sz="4" w:space="0"/>
              <w:left w:val="single" w:color="auto" w:sz="4" w:space="0"/>
              <w:bottom w:val="single" w:color="auto" w:sz="4" w:space="0"/>
              <w:right w:val="single" w:color="auto" w:sz="4" w:space="0"/>
            </w:tcBorders>
            <w:vAlign w:val="center"/>
          </w:tcPr>
          <w:p w14:paraId="65120CA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根据供应商提供项目实施方案进行综合评分，实施方案中应包含①产品供货组织方案、②安装调试方案、③运行维护方案。</w:t>
            </w:r>
          </w:p>
          <w:p w14:paraId="007D41F0">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1.整体实施进度方案详实、全面可行的，得5分；</w:t>
            </w:r>
          </w:p>
          <w:p w14:paraId="605735AE">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2.整体实施进度方案详细的，得3分；</w:t>
            </w:r>
          </w:p>
          <w:p w14:paraId="0CB33579">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3.整体实施进度方案简单的，得1分；</w:t>
            </w:r>
          </w:p>
          <w:p w14:paraId="5217190E">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4.不提供方案或方案内容缺项或明显不符合本项目要求的，得0分。</w:t>
            </w:r>
          </w:p>
        </w:tc>
      </w:tr>
      <w:tr w14:paraId="7959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0F69733">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1F135ADE">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4491BA3C">
            <w:pPr>
              <w:spacing w:line="500" w:lineRule="exact"/>
              <w:ind w:left="-109" w:leftChars="-52"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产品技术方案（4分）</w:t>
            </w:r>
          </w:p>
        </w:tc>
        <w:tc>
          <w:tcPr>
            <w:tcW w:w="6706" w:type="dxa"/>
            <w:tcBorders>
              <w:top w:val="single" w:color="auto" w:sz="4" w:space="0"/>
              <w:left w:val="single" w:color="auto" w:sz="4" w:space="0"/>
              <w:bottom w:val="single" w:color="auto" w:sz="4" w:space="0"/>
              <w:right w:val="single" w:color="auto" w:sz="4" w:space="0"/>
            </w:tcBorders>
            <w:vAlign w:val="center"/>
          </w:tcPr>
          <w:p w14:paraId="25A2637E">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根据供应商提供的产品技术方案进行综合评分，技术方案中应包含①硬件技术方案、②软件技术方案。</w:t>
            </w:r>
          </w:p>
          <w:p w14:paraId="61CFAE7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1.产品技术方案详实、技术先进、针对性强的，得4分；</w:t>
            </w:r>
          </w:p>
          <w:p w14:paraId="7765E9D1">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产品技术方案较详实、针对性较强的，得2分；</w:t>
            </w:r>
          </w:p>
          <w:p w14:paraId="1BC7F329">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产品技术方案简单、针对性一般的，得1分；</w:t>
            </w:r>
          </w:p>
          <w:p w14:paraId="60C825AA">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4.不提供方案或方案内容缺项或明显不符合本项目要求的，得0分。</w:t>
            </w:r>
          </w:p>
        </w:tc>
      </w:tr>
      <w:tr w14:paraId="35D0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41A1049">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76EF618F">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587EAF1F">
            <w:pPr>
              <w:spacing w:line="500" w:lineRule="exact"/>
              <w:ind w:left="-109" w:leftChars="-52"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7质量保证措施方案（4分）</w:t>
            </w:r>
          </w:p>
        </w:tc>
        <w:tc>
          <w:tcPr>
            <w:tcW w:w="6706" w:type="dxa"/>
            <w:tcBorders>
              <w:top w:val="single" w:color="auto" w:sz="4" w:space="0"/>
              <w:left w:val="single" w:color="auto" w:sz="4" w:space="0"/>
              <w:bottom w:val="single" w:color="auto" w:sz="4" w:space="0"/>
              <w:right w:val="single" w:color="auto" w:sz="4" w:space="0"/>
            </w:tcBorders>
            <w:vAlign w:val="center"/>
          </w:tcPr>
          <w:p w14:paraId="0F1121F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根据供应商的质量保证措施方案进行综合评分：</w:t>
            </w:r>
          </w:p>
          <w:p w14:paraId="1F51A5B4">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1.内容全面、详尽，针对性很强、措施合理有效、完全满足项目需求的，得4分；</w:t>
            </w:r>
          </w:p>
          <w:p w14:paraId="1A4EA61C">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2.内容全面较详尽，针对性强、措施合理有效、基本满足项目需求的，得2分；</w:t>
            </w:r>
          </w:p>
          <w:p w14:paraId="56475118">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3.内容完善但详尽程度欠佳，针对性一般、措施基本合理有效、满足项目需求程度较弱的，得1分。</w:t>
            </w:r>
          </w:p>
          <w:p w14:paraId="08FEE628">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4.不提供方案或明显不符合本项目要求的，得0分。</w:t>
            </w:r>
          </w:p>
        </w:tc>
      </w:tr>
      <w:tr w14:paraId="28D9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FE40D88">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3AE7E33D">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6D0563EA">
            <w:pPr>
              <w:spacing w:line="500" w:lineRule="exact"/>
              <w:ind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8进度保证措施（4分）</w:t>
            </w:r>
          </w:p>
        </w:tc>
        <w:tc>
          <w:tcPr>
            <w:tcW w:w="6706" w:type="dxa"/>
            <w:tcBorders>
              <w:top w:val="single" w:color="auto" w:sz="4" w:space="0"/>
              <w:left w:val="single" w:color="auto" w:sz="4" w:space="0"/>
              <w:bottom w:val="single" w:color="auto" w:sz="4" w:space="0"/>
              <w:right w:val="single" w:color="auto" w:sz="4" w:space="0"/>
            </w:tcBorders>
            <w:vAlign w:val="center"/>
          </w:tcPr>
          <w:p w14:paraId="02D6F02A">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投标人针对本项目提出科学合理，针对性强的进度保证措施方案（包含但不限于人员组织及分工、工序、时间节点、检测验收等）：</w:t>
            </w:r>
          </w:p>
          <w:p w14:paraId="0AC81AF5">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1.内容合理，分工科学、总进度满足需求、工序安排切实可行、完成时间明确、检验验收工作能满足要求，得4分；</w:t>
            </w:r>
          </w:p>
          <w:p w14:paraId="39BED61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2.内容较合理，分工较科学、总进度能满足需求、工序安排较为切实可行、完成时间较为明确、检验验收工作较能满足要求，得2分；</w:t>
            </w:r>
          </w:p>
          <w:p w14:paraId="6928EE57">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3.内容基本合理，分工科学性一般、总进度基本能满足需求、工序安排基本切实可行、完成时间一般、检验验收工作基本能满足要求，得1分；</w:t>
            </w:r>
          </w:p>
          <w:p w14:paraId="624C6C06">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4.不提供方案或明显不符合本项目特征的，得0分。</w:t>
            </w:r>
          </w:p>
        </w:tc>
      </w:tr>
      <w:tr w14:paraId="3A49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C148645">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2A6FBD1D">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1BB6D648">
            <w:pPr>
              <w:spacing w:line="500" w:lineRule="exact"/>
              <w:ind w:right="-107" w:rightChars="-5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9投标产品标校方案（4分）</w:t>
            </w:r>
          </w:p>
        </w:tc>
        <w:tc>
          <w:tcPr>
            <w:tcW w:w="6706" w:type="dxa"/>
            <w:tcBorders>
              <w:top w:val="single" w:color="auto" w:sz="4" w:space="0"/>
              <w:left w:val="single" w:color="auto" w:sz="4" w:space="0"/>
              <w:bottom w:val="single" w:color="auto" w:sz="4" w:space="0"/>
              <w:right w:val="single" w:color="auto" w:sz="4" w:space="0"/>
            </w:tcBorders>
            <w:vAlign w:val="center"/>
          </w:tcPr>
          <w:p w14:paraId="50474C57">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投标人提供投标雷达产品的标校方案：</w:t>
            </w:r>
          </w:p>
          <w:p w14:paraId="5A488AAF">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1.内容全面、详尽，针对性很强、方法合理有效、完全满足项目需求的，得4分；</w:t>
            </w:r>
          </w:p>
          <w:p w14:paraId="2BFD36B0">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2.内容全面较详尽，针对性强、方法合理有效、基本满足项目需求的，得2分；</w:t>
            </w:r>
          </w:p>
          <w:p w14:paraId="2C27D2FC">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3.内容完善但详尽程度欠佳，针对性一般、方法基本合理有效、满足项目需求程度较弱的，得1分。</w:t>
            </w:r>
          </w:p>
          <w:p w14:paraId="0ED5C73F">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4.不提供方案或明显不符合本项目要求的，得0分。</w:t>
            </w:r>
          </w:p>
        </w:tc>
      </w:tr>
      <w:tr w14:paraId="10D6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245" w:type="dxa"/>
            <w:gridSpan w:val="4"/>
            <w:tcBorders>
              <w:top w:val="single" w:color="auto" w:sz="4" w:space="0"/>
              <w:left w:val="single" w:color="auto" w:sz="4" w:space="0"/>
              <w:bottom w:val="single" w:color="auto" w:sz="4" w:space="0"/>
              <w:right w:val="single" w:color="auto" w:sz="4" w:space="0"/>
            </w:tcBorders>
            <w:vAlign w:val="center"/>
          </w:tcPr>
          <w:p w14:paraId="2D78DD83">
            <w:pPr>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各评委可结合本项目实际，每项根据其科学、合理、可行性程度（要有针对性、不能简单地照抄照搬规范），每项可在给定分值间合理给分。若有缺项，缺项的项目为0分。</w:t>
            </w:r>
          </w:p>
        </w:tc>
      </w:tr>
      <w:tr w14:paraId="5D1E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4" w:type="dxa"/>
            <w:vMerge w:val="restart"/>
            <w:tcBorders>
              <w:top w:val="single" w:color="auto" w:sz="4" w:space="0"/>
              <w:left w:val="single" w:color="auto" w:sz="4" w:space="0"/>
              <w:bottom w:val="single" w:color="auto" w:sz="4" w:space="0"/>
              <w:right w:val="single" w:color="auto" w:sz="4" w:space="0"/>
            </w:tcBorders>
            <w:vAlign w:val="center"/>
          </w:tcPr>
          <w:p w14:paraId="1766223A">
            <w:pPr>
              <w:spacing w:line="500" w:lineRule="exact"/>
              <w:ind w:right="-107" w:rightChars="-5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w:t>
            </w:r>
          </w:p>
        </w:tc>
        <w:tc>
          <w:tcPr>
            <w:tcW w:w="1330" w:type="dxa"/>
            <w:vMerge w:val="restart"/>
            <w:tcBorders>
              <w:top w:val="single" w:color="auto" w:sz="4" w:space="0"/>
              <w:left w:val="single" w:color="auto" w:sz="4" w:space="0"/>
              <w:bottom w:val="single" w:color="auto" w:sz="4" w:space="0"/>
              <w:right w:val="single" w:color="auto" w:sz="4" w:space="0"/>
            </w:tcBorders>
            <w:vAlign w:val="center"/>
          </w:tcPr>
          <w:p w14:paraId="443BC0CB">
            <w:pPr>
              <w:tabs>
                <w:tab w:val="center" w:pos="4153"/>
                <w:tab w:val="right" w:pos="8306"/>
              </w:tabs>
              <w:snapToGrid w:val="0"/>
              <w:spacing w:line="5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商务标（15分）</w:t>
            </w:r>
          </w:p>
        </w:tc>
        <w:tc>
          <w:tcPr>
            <w:tcW w:w="1635" w:type="dxa"/>
            <w:tcBorders>
              <w:top w:val="single" w:color="auto" w:sz="4" w:space="0"/>
              <w:left w:val="single" w:color="auto" w:sz="4" w:space="0"/>
              <w:bottom w:val="single" w:color="auto" w:sz="4" w:space="0"/>
              <w:right w:val="single" w:color="auto" w:sz="4" w:space="0"/>
            </w:tcBorders>
            <w:vAlign w:val="center"/>
          </w:tcPr>
          <w:p w14:paraId="43600EA7">
            <w:pPr>
              <w:spacing w:line="500" w:lineRule="exact"/>
              <w:ind w:left="-109" w:leftChars="-52" w:right="-107" w:rightChars="-5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企业业绩（3分）</w:t>
            </w:r>
          </w:p>
        </w:tc>
        <w:tc>
          <w:tcPr>
            <w:tcW w:w="6706" w:type="dxa"/>
            <w:tcBorders>
              <w:top w:val="single" w:color="auto" w:sz="4" w:space="0"/>
              <w:left w:val="single" w:color="auto" w:sz="4" w:space="0"/>
              <w:bottom w:val="single" w:color="auto" w:sz="4" w:space="0"/>
              <w:right w:val="single" w:color="auto" w:sz="4" w:space="0"/>
            </w:tcBorders>
            <w:vAlign w:val="center"/>
          </w:tcPr>
          <w:p w14:paraId="571EED84">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自2022年1月1日以来本企业承担过的类似项目（X波段双偏振/双极化相控阵天气雷达采购安装项目）的业绩，每提供一项得1分，最多得3分。</w:t>
            </w:r>
          </w:p>
          <w:p w14:paraId="588ABA6B">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注：投标文件中须附中标通知书（或成交通知书）、中标公告、合同关键页（首页、标的页、金额页、双方盖章页）和验收报告扫描件并加盖公章，日期以合同签订时间为准，否则不得分。</w:t>
            </w:r>
          </w:p>
        </w:tc>
      </w:tr>
      <w:tr w14:paraId="5F79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3BE03CE">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5BA4E88D">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607A46A8">
            <w:pPr>
              <w:spacing w:line="500" w:lineRule="exact"/>
              <w:ind w:left="-109" w:leftChars="-52" w:right="-107" w:rightChars="-5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履约能力（2分）</w:t>
            </w:r>
          </w:p>
        </w:tc>
        <w:tc>
          <w:tcPr>
            <w:tcW w:w="6706" w:type="dxa"/>
            <w:tcBorders>
              <w:top w:val="single" w:color="auto" w:sz="4" w:space="0"/>
              <w:left w:val="single" w:color="auto" w:sz="4" w:space="0"/>
              <w:bottom w:val="single" w:color="auto" w:sz="4" w:space="0"/>
              <w:right w:val="single" w:color="auto" w:sz="4" w:space="0"/>
            </w:tcBorders>
            <w:vAlign w:val="center"/>
          </w:tcPr>
          <w:p w14:paraId="4DF58847">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投标人具有配套软件，提供相关软件著作权登记证书，每提供1个得1分，最高2分，不提供不得分。</w:t>
            </w:r>
          </w:p>
        </w:tc>
      </w:tr>
      <w:tr w14:paraId="4A9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17414A5">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3D48E079">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2FD85654">
            <w:pPr>
              <w:spacing w:line="500" w:lineRule="exact"/>
              <w:ind w:left="-109" w:leftChars="-52" w:right="-107" w:rightChars="-5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售后服务方案（5分）</w:t>
            </w:r>
          </w:p>
        </w:tc>
        <w:tc>
          <w:tcPr>
            <w:tcW w:w="6706" w:type="dxa"/>
            <w:tcBorders>
              <w:top w:val="single" w:color="auto" w:sz="4" w:space="0"/>
              <w:left w:val="single" w:color="auto" w:sz="4" w:space="0"/>
              <w:bottom w:val="single" w:color="auto" w:sz="4" w:space="0"/>
              <w:right w:val="single" w:color="auto" w:sz="4" w:space="0"/>
            </w:tcBorders>
            <w:vAlign w:val="center"/>
          </w:tcPr>
          <w:p w14:paraId="19749C3A">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评委根据各投标人所提供的售后服务方案（包含但不限于：售后服务内容、组织机构、人员名单，以及质保期内接到故障报告后切实可行的修复方案及响应时间）进行比较后打分，不提供不得分。</w:t>
            </w:r>
          </w:p>
          <w:p w14:paraId="299A0A07">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1.售后服务方案能按照招标文件要求进行响应，详细具体，针对性强，与项目实际情况相契合，方案完善周全且完全满足招标文件的要求，能充分为采购人考虑，得5分。</w:t>
            </w:r>
          </w:p>
          <w:p w14:paraId="157F87C9">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2.售后服务方案较为具体，方案满足采购文件要求，对售后工作有简单的分析，具有可行性，得3分。</w:t>
            </w:r>
          </w:p>
          <w:p w14:paraId="5888EA4F">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3.售后服务方案简单，服务响应时间等基本满足采购文件要求，得1分；</w:t>
            </w:r>
          </w:p>
          <w:p w14:paraId="1791ACB2">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4.不提供方案或方案内容缺项或明显不符合本项目要求的，得0分。</w:t>
            </w:r>
          </w:p>
        </w:tc>
      </w:tr>
      <w:tr w14:paraId="489A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58B59C1">
            <w:pPr>
              <w:widowControl/>
              <w:jc w:val="left"/>
              <w:rPr>
                <w:rFonts w:asciiTheme="minorEastAsia" w:hAnsiTheme="minorEastAsia" w:eastAsiaTheme="minorEastAsia" w:cstheme="minorEastAsia"/>
                <w:b/>
                <w:color w:val="auto"/>
                <w:sz w:val="24"/>
                <w:szCs w:val="24"/>
                <w:highlight w:val="none"/>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3DFF187B">
            <w:pPr>
              <w:widowControl/>
              <w:jc w:val="left"/>
              <w:rPr>
                <w:rFonts w:asciiTheme="minorEastAsia" w:hAnsiTheme="minorEastAsia" w:eastAsiaTheme="minorEastAsia" w:cstheme="minorEastAsia"/>
                <w:color w:val="auto"/>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7E5AF894">
            <w:pPr>
              <w:spacing w:line="500" w:lineRule="exact"/>
              <w:ind w:right="-107" w:rightChars="-5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培训方案（5分）</w:t>
            </w:r>
          </w:p>
        </w:tc>
        <w:tc>
          <w:tcPr>
            <w:tcW w:w="6706" w:type="dxa"/>
            <w:tcBorders>
              <w:top w:val="single" w:color="auto" w:sz="4" w:space="0"/>
              <w:left w:val="single" w:color="auto" w:sz="4" w:space="0"/>
              <w:bottom w:val="single" w:color="auto" w:sz="4" w:space="0"/>
              <w:right w:val="single" w:color="auto" w:sz="4" w:space="0"/>
            </w:tcBorders>
            <w:vAlign w:val="center"/>
          </w:tcPr>
          <w:p w14:paraId="02FF3410">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供应商根据本项目制定详细的人员培训方案，包含但不限于完整的培训大纲，培训资料，课表、授课人员简介等内容，评标委员会根据供应商提供的人员培训方案进行评价：</w:t>
            </w:r>
          </w:p>
          <w:p w14:paraId="137D0BA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1.培训方案清晰，针对性强，完整明晰、可操作性强，培训人员职能清晰，培训内容切合实际，得5分；</w:t>
            </w:r>
          </w:p>
          <w:p w14:paraId="3F35B8BA">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2.培训方案完整，时间计划完整可行，培训人员职能满足要求，得3分；</w:t>
            </w:r>
          </w:p>
          <w:p w14:paraId="0AFC8FFD">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3.培训方案内容简单空洞，针对性较差，不能满足需求的，得1分。</w:t>
            </w:r>
          </w:p>
          <w:p w14:paraId="162C9D47">
            <w:pPr>
              <w:spacing w:line="500" w:lineRule="exact"/>
              <w:ind w:left="-109" w:leftChars="-52" w:right="-107" w:rightChars="-5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4.不提供方案或方案内容缺项或明显不符合本项目要求的，得0分。</w:t>
            </w:r>
          </w:p>
        </w:tc>
      </w:tr>
    </w:tbl>
    <w:p w14:paraId="16EBEEFA">
      <w:pPr>
        <w:pStyle w:val="2"/>
        <w:ind w:firstLine="0" w:firstLineChars="0"/>
        <w:rPr>
          <w:color w:val="auto"/>
          <w:highlight w:val="none"/>
        </w:rPr>
      </w:pPr>
    </w:p>
    <w:p w14:paraId="7ABC3A45">
      <w:pPr>
        <w:pStyle w:val="6"/>
        <w:rPr>
          <w:color w:val="auto"/>
          <w:highlight w:val="none"/>
        </w:rPr>
      </w:pPr>
    </w:p>
    <w:p w14:paraId="2534EEDC">
      <w:pPr>
        <w:pStyle w:val="6"/>
        <w:rPr>
          <w:color w:val="auto"/>
          <w:highlight w:val="none"/>
        </w:rPr>
      </w:pPr>
    </w:p>
    <w:p w14:paraId="12ED036D">
      <w:pPr>
        <w:pStyle w:val="2"/>
        <w:ind w:firstLine="0" w:firstLineChars="0"/>
        <w:rPr>
          <w:color w:val="auto"/>
          <w:highlight w:val="none"/>
        </w:rPr>
      </w:pPr>
    </w:p>
    <w:p w14:paraId="58A56017">
      <w:pPr>
        <w:spacing w:line="360" w:lineRule="auto"/>
        <w:ind w:firstLine="480" w:firstLineChars="200"/>
        <w:jc w:val="left"/>
        <w:outlineLvl w:val="0"/>
        <w:rPr>
          <w:rFonts w:ascii="宋体"/>
          <w:color w:val="auto"/>
          <w:sz w:val="24"/>
          <w:szCs w:val="24"/>
          <w:highlight w:val="none"/>
        </w:rPr>
      </w:pPr>
      <w:bookmarkStart w:id="125" w:name="_Toc23021"/>
      <w:bookmarkStart w:id="126" w:name="_Toc7010"/>
      <w:r>
        <w:rPr>
          <w:rFonts w:ascii="宋体"/>
          <w:color w:val="auto"/>
          <w:sz w:val="24"/>
          <w:szCs w:val="24"/>
          <w:highlight w:val="none"/>
        </w:rPr>
        <w:t>5.</w:t>
      </w:r>
      <w:r>
        <w:rPr>
          <w:rFonts w:hint="eastAsia" w:ascii="宋体" w:hAnsi="宋体"/>
          <w:color w:val="auto"/>
          <w:sz w:val="24"/>
          <w:szCs w:val="24"/>
          <w:highlight w:val="none"/>
        </w:rPr>
        <w:t>计分办法</w:t>
      </w:r>
      <w:bookmarkEnd w:id="125"/>
      <w:bookmarkEnd w:id="126"/>
    </w:p>
    <w:p w14:paraId="5B643D94">
      <w:pPr>
        <w:spacing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计分过程中按四舍五入的法则，取至小数点后2位，投标供应商的最终得分为所有评委打分的算术平均值，最终结果取至小数点后</w:t>
      </w:r>
      <w:r>
        <w:rPr>
          <w:rFonts w:ascii="宋体" w:hAnsi="宋体" w:cs="宋体"/>
          <w:color w:val="auto"/>
          <w:sz w:val="24"/>
          <w:szCs w:val="24"/>
          <w:highlight w:val="none"/>
        </w:rPr>
        <w:t>2</w:t>
      </w:r>
      <w:r>
        <w:rPr>
          <w:rFonts w:hint="eastAsia" w:ascii="宋体" w:hAnsi="宋体" w:cs="宋体"/>
          <w:color w:val="auto"/>
          <w:sz w:val="24"/>
          <w:szCs w:val="24"/>
          <w:highlight w:val="none"/>
        </w:rPr>
        <w:t>位。评标委员会将按投标供应商得分高低排序向采购人推荐前三名为中标候选人。</w:t>
      </w:r>
      <w:r>
        <w:rPr>
          <w:rFonts w:ascii="宋体"/>
          <w:color w:val="auto"/>
          <w:sz w:val="24"/>
          <w:szCs w:val="24"/>
          <w:highlight w:val="none"/>
        </w:rPr>
        <w:br w:type="textWrapping"/>
      </w:r>
      <w:r>
        <w:rPr>
          <w:rFonts w:ascii="宋体" w:hAnsi="宋体" w:cs="宋体"/>
          <w:color w:val="auto"/>
          <w:sz w:val="24"/>
          <w:szCs w:val="24"/>
          <w:highlight w:val="none"/>
        </w:rPr>
        <w:t xml:space="preserve">    6.</w:t>
      </w:r>
      <w:r>
        <w:rPr>
          <w:rFonts w:hint="eastAsia" w:ascii="宋体" w:hAnsi="宋体" w:cs="宋体"/>
          <w:color w:val="auto"/>
          <w:sz w:val="24"/>
          <w:szCs w:val="24"/>
          <w:highlight w:val="none"/>
        </w:rPr>
        <w:t>定标</w:t>
      </w:r>
      <w:r>
        <w:rPr>
          <w:rFonts w:ascii="宋体"/>
          <w:color w:val="auto"/>
          <w:sz w:val="24"/>
          <w:szCs w:val="24"/>
          <w:highlight w:val="none"/>
        </w:rPr>
        <w:br w:type="textWrapping"/>
      </w:r>
      <w:r>
        <w:rPr>
          <w:rFonts w:hint="eastAsia" w:ascii="宋体" w:hAnsi="宋体" w:cs="宋体"/>
          <w:color w:val="auto"/>
          <w:sz w:val="24"/>
          <w:szCs w:val="24"/>
          <w:highlight w:val="none"/>
        </w:rPr>
        <w:t xml:space="preserve">    按评委计分结果</w:t>
      </w:r>
      <w:r>
        <w:rPr>
          <w:rFonts w:ascii="宋体" w:cs="宋体"/>
          <w:color w:val="auto"/>
          <w:sz w:val="24"/>
          <w:szCs w:val="24"/>
          <w:highlight w:val="none"/>
        </w:rPr>
        <w:t>,</w:t>
      </w:r>
      <w:r>
        <w:rPr>
          <w:rFonts w:hint="eastAsia" w:ascii="宋体" w:hAnsi="宋体" w:cs="宋体"/>
          <w:color w:val="auto"/>
          <w:sz w:val="24"/>
          <w:szCs w:val="24"/>
          <w:highlight w:val="none"/>
        </w:rPr>
        <w:t>评标委员会按照得分由高到低的顺序推荐</w:t>
      </w:r>
      <w:r>
        <w:rPr>
          <w:rFonts w:ascii="宋体" w:hAnsi="宋体" w:cs="宋体"/>
          <w:color w:val="auto"/>
          <w:sz w:val="24"/>
          <w:szCs w:val="24"/>
          <w:highlight w:val="none"/>
        </w:rPr>
        <w:t>3</w:t>
      </w:r>
      <w:r>
        <w:rPr>
          <w:rFonts w:hint="eastAsia" w:ascii="宋体" w:hAnsi="宋体" w:cs="宋体"/>
          <w:color w:val="auto"/>
          <w:sz w:val="24"/>
          <w:szCs w:val="24"/>
          <w:highlight w:val="none"/>
        </w:rPr>
        <w:t>名中标候选人，并向采购人提供书面评标报告。</w:t>
      </w:r>
    </w:p>
    <w:p w14:paraId="2F9B2DD5">
      <w:pPr>
        <w:rPr>
          <w:rFonts w:ascii="宋体" w:hAnsi="宋体" w:cs="宋体"/>
          <w:b/>
          <w:bCs/>
          <w:color w:val="auto"/>
          <w:kern w:val="0"/>
          <w:sz w:val="36"/>
          <w:szCs w:val="36"/>
          <w:highlight w:val="none"/>
        </w:rPr>
      </w:pPr>
      <w:bookmarkStart w:id="127" w:name="_Toc9032"/>
      <w:r>
        <w:rPr>
          <w:rFonts w:hint="eastAsia" w:ascii="宋体" w:hAnsi="宋体" w:cs="宋体"/>
          <w:b/>
          <w:bCs/>
          <w:color w:val="auto"/>
          <w:kern w:val="0"/>
          <w:sz w:val="36"/>
          <w:szCs w:val="36"/>
          <w:highlight w:val="none"/>
        </w:rPr>
        <w:br w:type="page"/>
      </w:r>
    </w:p>
    <w:p w14:paraId="6F3A20C3">
      <w:pPr>
        <w:tabs>
          <w:tab w:val="left" w:pos="1995"/>
          <w:tab w:val="left" w:pos="2846"/>
        </w:tabs>
        <w:spacing w:after="159" w:afterLines="50" w:line="520" w:lineRule="exact"/>
        <w:jc w:val="center"/>
        <w:outlineLvl w:val="0"/>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第五章  合同条款及格式</w:t>
      </w:r>
      <w:bookmarkEnd w:id="127"/>
    </w:p>
    <w:p w14:paraId="2407D79F">
      <w:pPr>
        <w:widowControl/>
        <w:snapToGrid w:val="0"/>
        <w:spacing w:line="520" w:lineRule="exact"/>
        <w:ind w:firstLine="482" w:firstLineChars="200"/>
        <w:jc w:val="center"/>
        <w:rPr>
          <w:rFonts w:ascii="宋体"/>
          <w:color w:val="auto"/>
          <w:kern w:val="0"/>
          <w:sz w:val="24"/>
          <w:szCs w:val="24"/>
          <w:highlight w:val="none"/>
        </w:rPr>
      </w:pPr>
      <w:r>
        <w:rPr>
          <w:rFonts w:hint="eastAsia" w:ascii="宋体" w:hAnsi="宋体" w:cs="宋体"/>
          <w:b/>
          <w:bCs/>
          <w:color w:val="auto"/>
          <w:kern w:val="0"/>
          <w:sz w:val="24"/>
          <w:szCs w:val="24"/>
          <w:highlight w:val="none"/>
        </w:rPr>
        <w:t>（</w:t>
      </w:r>
      <w:r>
        <w:rPr>
          <w:rFonts w:hint="eastAsia" w:ascii="宋体" w:hAnsi="宋体" w:cs="宋体"/>
          <w:color w:val="auto"/>
          <w:kern w:val="0"/>
          <w:sz w:val="24"/>
          <w:szCs w:val="24"/>
          <w:highlight w:val="none"/>
        </w:rPr>
        <w:t>采购人可根据采购项目的实际情况增减条款和内容</w:t>
      </w:r>
      <w:r>
        <w:rPr>
          <w:rFonts w:hint="eastAsia" w:ascii="宋体" w:hAnsi="宋体" w:cs="宋体"/>
          <w:b/>
          <w:bCs/>
          <w:color w:val="auto"/>
          <w:kern w:val="0"/>
          <w:sz w:val="24"/>
          <w:szCs w:val="24"/>
          <w:highlight w:val="none"/>
        </w:rPr>
        <w:t>）</w:t>
      </w:r>
    </w:p>
    <w:p w14:paraId="5BE7AF20">
      <w:pPr>
        <w:widowControl/>
        <w:snapToGrid w:val="0"/>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p w14:paraId="62363996">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招标编号：</w:t>
      </w:r>
    </w:p>
    <w:p w14:paraId="554C1CF6">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甲方：（采购人）</w:t>
      </w:r>
    </w:p>
    <w:p w14:paraId="63FFF1AA">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乙方：（中标供应商）</w:t>
      </w:r>
    </w:p>
    <w:p w14:paraId="6CE700F7">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甲、乙双方根据《中华人民共和国采购法》、《中华人民共和国合同法》等法律法规的规定，按照</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招标编号）的招标结果签订本合同。</w:t>
      </w:r>
    </w:p>
    <w:p w14:paraId="751CE762">
      <w:pPr>
        <w:widowControl/>
        <w:snapToGrid w:val="0"/>
        <w:spacing w:line="520" w:lineRule="exact"/>
        <w:ind w:firstLine="482" w:firstLineChars="200"/>
        <w:jc w:val="left"/>
        <w:outlineLvl w:val="0"/>
        <w:rPr>
          <w:rFonts w:ascii="宋体"/>
          <w:color w:val="auto"/>
          <w:kern w:val="0"/>
          <w:sz w:val="24"/>
          <w:szCs w:val="24"/>
          <w:highlight w:val="none"/>
        </w:rPr>
      </w:pPr>
      <w:bookmarkStart w:id="128" w:name="_Toc20904"/>
      <w:bookmarkStart w:id="129" w:name="_Toc20962"/>
      <w:r>
        <w:rPr>
          <w:rFonts w:ascii="宋体" w:hAnsi="宋体" w:cs="宋体"/>
          <w:b/>
          <w:bCs/>
          <w:color w:val="auto"/>
          <w:kern w:val="0"/>
          <w:sz w:val="24"/>
          <w:szCs w:val="24"/>
          <w:highlight w:val="none"/>
        </w:rPr>
        <w:t>1.</w:t>
      </w:r>
      <w:r>
        <w:rPr>
          <w:rFonts w:hint="eastAsia" w:ascii="宋体" w:hAnsi="宋体" w:cs="宋体"/>
          <w:b/>
          <w:bCs/>
          <w:color w:val="auto"/>
          <w:kern w:val="0"/>
          <w:sz w:val="24"/>
          <w:szCs w:val="24"/>
          <w:highlight w:val="none"/>
        </w:rPr>
        <w:t>货物内容</w:t>
      </w:r>
      <w:bookmarkEnd w:id="128"/>
      <w:bookmarkEnd w:id="129"/>
    </w:p>
    <w:p w14:paraId="70E58AEB">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 </w:t>
      </w:r>
      <w:r>
        <w:rPr>
          <w:rFonts w:hint="eastAsia" w:ascii="宋体" w:hAnsi="宋体" w:cs="宋体"/>
          <w:color w:val="auto"/>
          <w:kern w:val="0"/>
          <w:sz w:val="24"/>
          <w:szCs w:val="24"/>
          <w:highlight w:val="none"/>
        </w:rPr>
        <w:t>货物名称：</w:t>
      </w:r>
    </w:p>
    <w:p w14:paraId="310F3E00">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1.2 </w:t>
      </w:r>
      <w:r>
        <w:rPr>
          <w:rFonts w:hint="eastAsia" w:ascii="宋体" w:hAnsi="宋体" w:cs="宋体"/>
          <w:color w:val="auto"/>
          <w:kern w:val="0"/>
          <w:sz w:val="24"/>
          <w:szCs w:val="24"/>
          <w:highlight w:val="none"/>
        </w:rPr>
        <w:t>型号规格：</w:t>
      </w:r>
    </w:p>
    <w:p w14:paraId="30CA5DBE">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1.3 </w:t>
      </w:r>
      <w:r>
        <w:rPr>
          <w:rFonts w:hint="eastAsia" w:ascii="宋体" w:hAnsi="宋体" w:cs="宋体"/>
          <w:color w:val="auto"/>
          <w:kern w:val="0"/>
          <w:sz w:val="24"/>
          <w:szCs w:val="24"/>
          <w:highlight w:val="none"/>
        </w:rPr>
        <w:t>技术参数：</w:t>
      </w:r>
    </w:p>
    <w:p w14:paraId="5E7B1066">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1.4 </w:t>
      </w:r>
      <w:r>
        <w:rPr>
          <w:rFonts w:hint="eastAsia" w:ascii="宋体" w:hAnsi="宋体" w:cs="宋体"/>
          <w:color w:val="auto"/>
          <w:kern w:val="0"/>
          <w:sz w:val="24"/>
          <w:szCs w:val="24"/>
          <w:highlight w:val="none"/>
        </w:rPr>
        <w:t>数量（单位）：</w:t>
      </w:r>
    </w:p>
    <w:p w14:paraId="3230F2BF">
      <w:pPr>
        <w:widowControl/>
        <w:snapToGrid w:val="0"/>
        <w:spacing w:line="520" w:lineRule="exact"/>
        <w:ind w:firstLine="482" w:firstLineChars="200"/>
        <w:jc w:val="left"/>
        <w:outlineLvl w:val="0"/>
        <w:rPr>
          <w:rFonts w:ascii="宋体"/>
          <w:color w:val="auto"/>
          <w:kern w:val="0"/>
          <w:sz w:val="24"/>
          <w:szCs w:val="24"/>
          <w:highlight w:val="none"/>
        </w:rPr>
      </w:pPr>
      <w:bookmarkStart w:id="130" w:name="_Toc20675"/>
      <w:bookmarkStart w:id="131" w:name="_Toc17485"/>
      <w:r>
        <w:rPr>
          <w:rFonts w:ascii="宋体" w:hAnsi="宋体" w:cs="宋体"/>
          <w:b/>
          <w:bCs/>
          <w:color w:val="auto"/>
          <w:kern w:val="0"/>
          <w:sz w:val="24"/>
          <w:szCs w:val="24"/>
          <w:highlight w:val="none"/>
        </w:rPr>
        <w:t>2.</w:t>
      </w:r>
      <w:r>
        <w:rPr>
          <w:rFonts w:hint="eastAsia" w:ascii="宋体" w:hAnsi="宋体" w:cs="宋体"/>
          <w:b/>
          <w:bCs/>
          <w:color w:val="auto"/>
          <w:kern w:val="0"/>
          <w:sz w:val="24"/>
          <w:szCs w:val="24"/>
          <w:highlight w:val="none"/>
        </w:rPr>
        <w:t>合同金额</w:t>
      </w:r>
      <w:bookmarkEnd w:id="130"/>
      <w:bookmarkEnd w:id="131"/>
    </w:p>
    <w:p w14:paraId="1ADD4D20">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本合同金额为人民币（大写）：</w:t>
      </w:r>
      <w:r>
        <w:rPr>
          <w:rFonts w:ascii="宋体" w:hAnsi="宋体" w:cs="宋体"/>
          <w:color w:val="auto"/>
          <w:kern w:val="0"/>
          <w:sz w:val="24"/>
          <w:szCs w:val="24"/>
          <w:highlight w:val="none"/>
        </w:rPr>
        <w:t>_____</w:t>
      </w:r>
      <w:r>
        <w:rPr>
          <w:rFonts w:ascii="宋体" w:hAnsi="宋体" w:cs="宋体"/>
          <w:color w:val="auto"/>
          <w:kern w:val="0"/>
          <w:sz w:val="24"/>
          <w:szCs w:val="24"/>
          <w:highlight w:val="none"/>
          <w:u w:val="single"/>
        </w:rPr>
        <w:t>_</w:t>
      </w:r>
      <w:r>
        <w:rPr>
          <w:rFonts w:ascii="宋体" w:hAnsi="宋体" w:cs="宋体"/>
          <w:color w:val="auto"/>
          <w:kern w:val="0"/>
          <w:sz w:val="24"/>
          <w:szCs w:val="24"/>
          <w:highlight w:val="none"/>
        </w:rPr>
        <w:t>_____</w:t>
      </w:r>
      <w:r>
        <w:rPr>
          <w:rFonts w:hint="eastAsia" w:ascii="宋体" w:hAnsi="宋体" w:cs="宋体"/>
          <w:color w:val="auto"/>
          <w:kern w:val="0"/>
          <w:sz w:val="24"/>
          <w:szCs w:val="24"/>
          <w:highlight w:val="none"/>
        </w:rPr>
        <w:t>元（￥</w:t>
      </w:r>
      <w:r>
        <w:rPr>
          <w:rFonts w:ascii="宋体" w:hAnsi="宋体" w:cs="宋体"/>
          <w:color w:val="auto"/>
          <w:kern w:val="0"/>
          <w:sz w:val="24"/>
          <w:szCs w:val="24"/>
          <w:highlight w:val="none"/>
        </w:rPr>
        <w:t>________</w:t>
      </w:r>
      <w:r>
        <w:rPr>
          <w:rFonts w:hint="eastAsia" w:ascii="宋体" w:hAnsi="宋体" w:cs="宋体"/>
          <w:color w:val="auto"/>
          <w:kern w:val="0"/>
          <w:sz w:val="24"/>
          <w:szCs w:val="24"/>
          <w:highlight w:val="none"/>
        </w:rPr>
        <w:t>元）。</w:t>
      </w:r>
    </w:p>
    <w:p w14:paraId="36E47FE5">
      <w:pPr>
        <w:widowControl/>
        <w:snapToGrid w:val="0"/>
        <w:spacing w:line="520" w:lineRule="exact"/>
        <w:ind w:firstLine="482" w:firstLineChars="200"/>
        <w:jc w:val="left"/>
        <w:outlineLvl w:val="0"/>
        <w:rPr>
          <w:rFonts w:ascii="宋体"/>
          <w:color w:val="auto"/>
          <w:kern w:val="0"/>
          <w:sz w:val="24"/>
          <w:szCs w:val="24"/>
          <w:highlight w:val="none"/>
        </w:rPr>
      </w:pPr>
      <w:bookmarkStart w:id="132" w:name="_Toc29698"/>
      <w:bookmarkStart w:id="133" w:name="_Toc17184"/>
      <w:r>
        <w:rPr>
          <w:rFonts w:ascii="宋体" w:hAnsi="宋体" w:cs="宋体"/>
          <w:b/>
          <w:bCs/>
          <w:color w:val="auto"/>
          <w:kern w:val="0"/>
          <w:sz w:val="24"/>
          <w:szCs w:val="24"/>
          <w:highlight w:val="none"/>
        </w:rPr>
        <w:t>3.</w:t>
      </w:r>
      <w:r>
        <w:rPr>
          <w:rFonts w:hint="eastAsia" w:ascii="宋体" w:hAnsi="宋体" w:cs="宋体"/>
          <w:b/>
          <w:bCs/>
          <w:color w:val="auto"/>
          <w:kern w:val="0"/>
          <w:sz w:val="24"/>
          <w:szCs w:val="24"/>
          <w:highlight w:val="none"/>
        </w:rPr>
        <w:t>技术资料</w:t>
      </w:r>
      <w:bookmarkEnd w:id="132"/>
      <w:bookmarkEnd w:id="133"/>
    </w:p>
    <w:p w14:paraId="770B41AA">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3.1</w:t>
      </w:r>
      <w:r>
        <w:rPr>
          <w:rFonts w:hint="eastAsia" w:ascii="宋体" w:hAnsi="宋体" w:cs="宋体"/>
          <w:color w:val="auto"/>
          <w:kern w:val="0"/>
          <w:sz w:val="24"/>
          <w:szCs w:val="24"/>
          <w:highlight w:val="none"/>
        </w:rPr>
        <w:t>乙方按招标文件规定的时间向甲方提供使用货物的有关技术资料。</w:t>
      </w:r>
    </w:p>
    <w:p w14:paraId="05E30FEC">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3.2 </w:t>
      </w:r>
      <w:r>
        <w:rPr>
          <w:rFonts w:hint="eastAsia" w:ascii="宋体" w:hAnsi="宋体" w:cs="宋体"/>
          <w:color w:val="auto"/>
          <w:kern w:val="0"/>
          <w:sz w:val="24"/>
          <w:szCs w:val="24"/>
          <w:highlight w:val="none"/>
        </w:rPr>
        <w:t>没有甲方事先书面同意，乙方不得将由甲方提供的有关合同或任何合同条文、规格、计划、图纸、样品或资料提供给与履行本合同无关的任何其他人。</w:t>
      </w:r>
    </w:p>
    <w:p w14:paraId="72E67945">
      <w:pPr>
        <w:widowControl/>
        <w:snapToGrid w:val="0"/>
        <w:spacing w:line="520" w:lineRule="exact"/>
        <w:ind w:firstLine="482" w:firstLineChars="200"/>
        <w:jc w:val="left"/>
        <w:outlineLvl w:val="0"/>
        <w:rPr>
          <w:rFonts w:ascii="宋体"/>
          <w:color w:val="auto"/>
          <w:kern w:val="0"/>
          <w:sz w:val="24"/>
          <w:szCs w:val="24"/>
          <w:highlight w:val="none"/>
        </w:rPr>
      </w:pPr>
      <w:bookmarkStart w:id="134" w:name="_Toc10958"/>
      <w:bookmarkStart w:id="135" w:name="_Toc31058"/>
      <w:r>
        <w:rPr>
          <w:rFonts w:ascii="宋体" w:hAnsi="宋体" w:cs="宋体"/>
          <w:b/>
          <w:bCs/>
          <w:color w:val="auto"/>
          <w:kern w:val="0"/>
          <w:sz w:val="24"/>
          <w:szCs w:val="24"/>
          <w:highlight w:val="none"/>
        </w:rPr>
        <w:t>4.</w:t>
      </w:r>
      <w:r>
        <w:rPr>
          <w:rFonts w:hint="eastAsia" w:ascii="宋体" w:hAnsi="宋体" w:cs="宋体"/>
          <w:b/>
          <w:bCs/>
          <w:color w:val="auto"/>
          <w:kern w:val="0"/>
          <w:sz w:val="24"/>
          <w:szCs w:val="24"/>
          <w:highlight w:val="none"/>
        </w:rPr>
        <w:t>知识产权</w:t>
      </w:r>
      <w:bookmarkEnd w:id="134"/>
      <w:bookmarkEnd w:id="135"/>
    </w:p>
    <w:p w14:paraId="0EC7302D">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乙方保证所提供的货物或其任何一部分均不会侵犯任何第三方的知识产权。</w:t>
      </w:r>
    </w:p>
    <w:p w14:paraId="0A8FD53D">
      <w:pPr>
        <w:widowControl/>
        <w:snapToGrid w:val="0"/>
        <w:spacing w:line="520" w:lineRule="exact"/>
        <w:ind w:firstLine="482" w:firstLineChars="200"/>
        <w:jc w:val="left"/>
        <w:outlineLvl w:val="0"/>
        <w:rPr>
          <w:rFonts w:ascii="宋体"/>
          <w:color w:val="auto"/>
          <w:kern w:val="0"/>
          <w:sz w:val="24"/>
          <w:szCs w:val="24"/>
          <w:highlight w:val="none"/>
        </w:rPr>
      </w:pPr>
      <w:bookmarkStart w:id="136" w:name="_Toc25662"/>
      <w:bookmarkStart w:id="137" w:name="_Toc23014"/>
      <w:r>
        <w:rPr>
          <w:rFonts w:ascii="宋体" w:hAnsi="宋体" w:cs="宋体"/>
          <w:b/>
          <w:bCs/>
          <w:color w:val="auto"/>
          <w:kern w:val="0"/>
          <w:sz w:val="24"/>
          <w:szCs w:val="24"/>
          <w:highlight w:val="none"/>
        </w:rPr>
        <w:t>5.</w:t>
      </w:r>
      <w:r>
        <w:rPr>
          <w:rFonts w:hint="eastAsia" w:ascii="宋体" w:hAnsi="宋体" w:cs="宋体"/>
          <w:b/>
          <w:bCs/>
          <w:color w:val="auto"/>
          <w:kern w:val="0"/>
          <w:sz w:val="24"/>
          <w:szCs w:val="24"/>
          <w:highlight w:val="none"/>
        </w:rPr>
        <w:t>产权担保</w:t>
      </w:r>
      <w:bookmarkEnd w:id="136"/>
      <w:bookmarkEnd w:id="137"/>
    </w:p>
    <w:p w14:paraId="4AF4430D">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乙方保证所交付的货物的所有权完全属于乙方且无任何抵押、查封等产权瑕疵。</w:t>
      </w:r>
    </w:p>
    <w:p w14:paraId="17BD24EA">
      <w:pPr>
        <w:widowControl/>
        <w:snapToGrid w:val="0"/>
        <w:spacing w:line="520" w:lineRule="exact"/>
        <w:ind w:firstLine="482" w:firstLineChars="200"/>
        <w:jc w:val="left"/>
        <w:outlineLvl w:val="0"/>
        <w:rPr>
          <w:rFonts w:ascii="宋体"/>
          <w:color w:val="auto"/>
          <w:kern w:val="0"/>
          <w:sz w:val="24"/>
          <w:szCs w:val="24"/>
          <w:highlight w:val="none"/>
        </w:rPr>
      </w:pPr>
      <w:bookmarkStart w:id="138" w:name="_Toc7455"/>
      <w:bookmarkStart w:id="139" w:name="_Toc8224"/>
      <w:r>
        <w:rPr>
          <w:rFonts w:ascii="宋体" w:hAnsi="宋体" w:cs="宋体"/>
          <w:b/>
          <w:bCs/>
          <w:color w:val="auto"/>
          <w:kern w:val="0"/>
          <w:sz w:val="24"/>
          <w:szCs w:val="24"/>
          <w:highlight w:val="none"/>
        </w:rPr>
        <w:t>6.</w:t>
      </w:r>
      <w:r>
        <w:rPr>
          <w:rFonts w:hint="eastAsia" w:ascii="宋体" w:hAnsi="宋体" w:cs="宋体"/>
          <w:b/>
          <w:bCs/>
          <w:color w:val="auto"/>
          <w:kern w:val="0"/>
          <w:sz w:val="24"/>
          <w:szCs w:val="24"/>
          <w:highlight w:val="none"/>
        </w:rPr>
        <w:t>质量保证金</w:t>
      </w:r>
      <w:bookmarkEnd w:id="138"/>
      <w:bookmarkEnd w:id="139"/>
    </w:p>
    <w:p w14:paraId="4E3DDAA8">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6.1</w:t>
      </w:r>
      <w:r>
        <w:rPr>
          <w:rFonts w:hint="eastAsia" w:ascii="宋体" w:hAnsi="宋体" w:cs="宋体"/>
          <w:color w:val="auto"/>
          <w:kern w:val="0"/>
          <w:sz w:val="24"/>
          <w:szCs w:val="24"/>
          <w:highlight w:val="none"/>
        </w:rPr>
        <w:t>扣除合同总价的作为质量保证金。</w:t>
      </w:r>
    </w:p>
    <w:p w14:paraId="35FA3AF8">
      <w:pPr>
        <w:widowControl/>
        <w:snapToGrid w:val="0"/>
        <w:spacing w:line="52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6.2</w:t>
      </w:r>
      <w:r>
        <w:rPr>
          <w:rFonts w:hint="eastAsia" w:ascii="宋体" w:hAnsi="宋体" w:cs="宋体"/>
          <w:color w:val="auto"/>
          <w:kern w:val="0"/>
          <w:sz w:val="24"/>
          <w:szCs w:val="24"/>
          <w:highlight w:val="none"/>
        </w:rPr>
        <w:t>在质保期内中标供应商提供的货物质量和服务符合合同约定，经验收合格，质保期满后</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个工作日内该款无息退还。</w:t>
      </w:r>
    </w:p>
    <w:p w14:paraId="5BB51110">
      <w:pPr>
        <w:widowControl/>
        <w:snapToGrid w:val="0"/>
        <w:spacing w:line="520" w:lineRule="exact"/>
        <w:ind w:firstLine="482" w:firstLineChars="200"/>
        <w:jc w:val="left"/>
        <w:outlineLvl w:val="0"/>
        <w:rPr>
          <w:rFonts w:ascii="宋体"/>
          <w:color w:val="auto"/>
          <w:kern w:val="0"/>
          <w:sz w:val="24"/>
          <w:szCs w:val="24"/>
          <w:highlight w:val="none"/>
        </w:rPr>
      </w:pPr>
      <w:bookmarkStart w:id="140" w:name="_Toc6467"/>
      <w:bookmarkStart w:id="141" w:name="_Toc28373"/>
      <w:r>
        <w:rPr>
          <w:rFonts w:ascii="宋体" w:hAnsi="宋体" w:cs="宋体"/>
          <w:b/>
          <w:bCs/>
          <w:color w:val="auto"/>
          <w:kern w:val="0"/>
          <w:sz w:val="24"/>
          <w:szCs w:val="24"/>
          <w:highlight w:val="none"/>
        </w:rPr>
        <w:t>7.</w:t>
      </w:r>
      <w:r>
        <w:rPr>
          <w:rFonts w:hint="eastAsia" w:ascii="宋体" w:hAnsi="宋体" w:cs="宋体"/>
          <w:b/>
          <w:bCs/>
          <w:color w:val="auto"/>
          <w:kern w:val="0"/>
          <w:sz w:val="24"/>
          <w:szCs w:val="24"/>
          <w:highlight w:val="none"/>
        </w:rPr>
        <w:t>转包或分包</w:t>
      </w:r>
      <w:bookmarkEnd w:id="140"/>
      <w:bookmarkEnd w:id="141"/>
    </w:p>
    <w:p w14:paraId="4C5C6BE7">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本合同范围的货物，由乙方直接供应，不得转让他人供应。</w:t>
      </w:r>
    </w:p>
    <w:p w14:paraId="10A455A3">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7.2 </w:t>
      </w:r>
      <w:r>
        <w:rPr>
          <w:rFonts w:hint="eastAsia" w:ascii="宋体" w:hAnsi="宋体" w:cs="宋体"/>
          <w:color w:val="auto"/>
          <w:kern w:val="0"/>
          <w:sz w:val="24"/>
          <w:szCs w:val="24"/>
          <w:highlight w:val="none"/>
        </w:rPr>
        <w:t>除非得到甲方的书面同意，乙方不得部分分包给他人供应。</w:t>
      </w:r>
    </w:p>
    <w:p w14:paraId="0B760418">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如有转让和未经甲方同意的分包行为，甲方有权给予终止合同。</w:t>
      </w:r>
    </w:p>
    <w:p w14:paraId="4987B0D5">
      <w:pPr>
        <w:widowControl/>
        <w:snapToGrid w:val="0"/>
        <w:spacing w:line="520" w:lineRule="exact"/>
        <w:ind w:firstLine="482" w:firstLineChars="200"/>
        <w:jc w:val="left"/>
        <w:outlineLvl w:val="0"/>
        <w:rPr>
          <w:rFonts w:ascii="宋体"/>
          <w:color w:val="auto"/>
          <w:kern w:val="0"/>
          <w:sz w:val="24"/>
          <w:szCs w:val="24"/>
          <w:highlight w:val="none"/>
        </w:rPr>
      </w:pPr>
      <w:bookmarkStart w:id="142" w:name="_Toc2777"/>
      <w:bookmarkStart w:id="143" w:name="_Toc13657"/>
      <w:r>
        <w:rPr>
          <w:rFonts w:ascii="宋体" w:hAnsi="宋体" w:cs="宋体"/>
          <w:b/>
          <w:bCs/>
          <w:color w:val="auto"/>
          <w:kern w:val="0"/>
          <w:sz w:val="24"/>
          <w:szCs w:val="24"/>
          <w:highlight w:val="none"/>
        </w:rPr>
        <w:t>8.</w:t>
      </w:r>
      <w:r>
        <w:rPr>
          <w:rFonts w:hint="eastAsia" w:ascii="宋体" w:hAnsi="宋体" w:cs="宋体"/>
          <w:b/>
          <w:bCs/>
          <w:color w:val="auto"/>
          <w:kern w:val="0"/>
          <w:sz w:val="24"/>
          <w:szCs w:val="24"/>
          <w:highlight w:val="none"/>
        </w:rPr>
        <w:t>交货期限、交货方式及交货地点</w:t>
      </w:r>
      <w:bookmarkEnd w:id="142"/>
      <w:bookmarkEnd w:id="143"/>
    </w:p>
    <w:p w14:paraId="7597CA58">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8.1 </w:t>
      </w:r>
      <w:r>
        <w:rPr>
          <w:rFonts w:hint="eastAsia" w:ascii="宋体" w:hAnsi="宋体" w:cs="宋体"/>
          <w:color w:val="auto"/>
          <w:kern w:val="0"/>
          <w:sz w:val="24"/>
          <w:szCs w:val="24"/>
          <w:highlight w:val="none"/>
        </w:rPr>
        <w:t>交货期限：</w:t>
      </w:r>
    </w:p>
    <w:p w14:paraId="5B3A928B">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8.2 </w:t>
      </w:r>
      <w:r>
        <w:rPr>
          <w:rFonts w:hint="eastAsia" w:ascii="宋体" w:hAnsi="宋体" w:cs="宋体"/>
          <w:color w:val="auto"/>
          <w:kern w:val="0"/>
          <w:sz w:val="24"/>
          <w:szCs w:val="24"/>
          <w:highlight w:val="none"/>
        </w:rPr>
        <w:t>交货方式：</w:t>
      </w:r>
    </w:p>
    <w:p w14:paraId="7114D302">
      <w:pPr>
        <w:widowControl/>
        <w:tabs>
          <w:tab w:val="left" w:pos="5670"/>
        </w:tabs>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8.3 </w:t>
      </w:r>
      <w:r>
        <w:rPr>
          <w:rFonts w:hint="eastAsia" w:ascii="宋体" w:hAnsi="宋体" w:cs="宋体"/>
          <w:color w:val="auto"/>
          <w:kern w:val="0"/>
          <w:sz w:val="24"/>
          <w:szCs w:val="24"/>
          <w:highlight w:val="none"/>
        </w:rPr>
        <w:t>交货地点：</w:t>
      </w:r>
      <w:r>
        <w:rPr>
          <w:rFonts w:ascii="宋体" w:hAnsi="宋体" w:cs="宋体"/>
          <w:color w:val="auto"/>
          <w:kern w:val="0"/>
          <w:sz w:val="24"/>
          <w:szCs w:val="24"/>
          <w:highlight w:val="none"/>
        </w:rPr>
        <w:tab/>
      </w:r>
    </w:p>
    <w:p w14:paraId="46EFDEE0">
      <w:pPr>
        <w:widowControl/>
        <w:snapToGrid w:val="0"/>
        <w:spacing w:line="520" w:lineRule="exact"/>
        <w:ind w:firstLine="482" w:firstLineChars="200"/>
        <w:jc w:val="left"/>
        <w:outlineLvl w:val="0"/>
        <w:rPr>
          <w:rFonts w:ascii="宋体"/>
          <w:color w:val="auto"/>
          <w:kern w:val="0"/>
          <w:sz w:val="24"/>
          <w:szCs w:val="24"/>
          <w:highlight w:val="none"/>
        </w:rPr>
      </w:pPr>
      <w:bookmarkStart w:id="144" w:name="_Toc18885"/>
      <w:bookmarkStart w:id="145" w:name="_Toc12503"/>
      <w:r>
        <w:rPr>
          <w:rFonts w:ascii="宋体" w:hAnsi="宋体" w:cs="宋体"/>
          <w:b/>
          <w:bCs/>
          <w:color w:val="auto"/>
          <w:kern w:val="0"/>
          <w:sz w:val="24"/>
          <w:szCs w:val="24"/>
          <w:highlight w:val="none"/>
        </w:rPr>
        <w:t>9.</w:t>
      </w:r>
      <w:r>
        <w:rPr>
          <w:rFonts w:hint="eastAsia" w:ascii="宋体" w:hAnsi="宋体" w:cs="宋体"/>
          <w:b/>
          <w:bCs/>
          <w:color w:val="auto"/>
          <w:kern w:val="0"/>
          <w:sz w:val="24"/>
          <w:szCs w:val="24"/>
          <w:highlight w:val="none"/>
        </w:rPr>
        <w:t>货款支付：双方协商。</w:t>
      </w:r>
      <w:bookmarkEnd w:id="144"/>
      <w:bookmarkEnd w:id="145"/>
    </w:p>
    <w:p w14:paraId="7B46079F">
      <w:pPr>
        <w:widowControl/>
        <w:snapToGrid w:val="0"/>
        <w:spacing w:line="520" w:lineRule="exact"/>
        <w:ind w:firstLine="482" w:firstLineChars="200"/>
        <w:jc w:val="left"/>
        <w:outlineLvl w:val="0"/>
        <w:rPr>
          <w:rFonts w:ascii="宋体"/>
          <w:color w:val="auto"/>
          <w:kern w:val="0"/>
          <w:sz w:val="24"/>
          <w:szCs w:val="24"/>
          <w:highlight w:val="none"/>
        </w:rPr>
      </w:pPr>
      <w:bookmarkStart w:id="146" w:name="_Toc22895"/>
      <w:bookmarkStart w:id="147" w:name="_Toc17383"/>
      <w:r>
        <w:rPr>
          <w:rFonts w:ascii="宋体" w:hAnsi="宋体" w:cs="宋体"/>
          <w:b/>
          <w:bCs/>
          <w:color w:val="auto"/>
          <w:kern w:val="0"/>
          <w:sz w:val="24"/>
          <w:szCs w:val="24"/>
          <w:highlight w:val="none"/>
        </w:rPr>
        <w:t>10.</w:t>
      </w:r>
      <w:r>
        <w:rPr>
          <w:rFonts w:hint="eastAsia" w:ascii="宋体" w:hAnsi="宋体" w:cs="宋体"/>
          <w:b/>
          <w:bCs/>
          <w:color w:val="auto"/>
          <w:kern w:val="0"/>
          <w:sz w:val="24"/>
          <w:szCs w:val="24"/>
          <w:highlight w:val="none"/>
        </w:rPr>
        <w:t>税费</w:t>
      </w:r>
      <w:bookmarkEnd w:id="146"/>
      <w:bookmarkEnd w:id="147"/>
    </w:p>
    <w:p w14:paraId="489F4D35">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本合同执行中相关的一切税费均由乙方负担。</w:t>
      </w:r>
    </w:p>
    <w:p w14:paraId="2261BA34">
      <w:pPr>
        <w:widowControl/>
        <w:snapToGrid w:val="0"/>
        <w:spacing w:line="520" w:lineRule="exact"/>
        <w:ind w:firstLine="482" w:firstLineChars="200"/>
        <w:jc w:val="left"/>
        <w:outlineLvl w:val="0"/>
        <w:rPr>
          <w:rFonts w:ascii="宋体"/>
          <w:color w:val="auto"/>
          <w:kern w:val="0"/>
          <w:sz w:val="24"/>
          <w:szCs w:val="24"/>
          <w:highlight w:val="none"/>
        </w:rPr>
      </w:pPr>
      <w:bookmarkStart w:id="148" w:name="_Toc13796"/>
      <w:bookmarkStart w:id="149" w:name="_Toc6908"/>
      <w:r>
        <w:rPr>
          <w:rFonts w:ascii="宋体" w:hAnsi="宋体" w:cs="宋体"/>
          <w:b/>
          <w:bCs/>
          <w:color w:val="auto"/>
          <w:kern w:val="0"/>
          <w:sz w:val="24"/>
          <w:szCs w:val="24"/>
          <w:highlight w:val="none"/>
        </w:rPr>
        <w:t>11.</w:t>
      </w:r>
      <w:r>
        <w:rPr>
          <w:rFonts w:hint="eastAsia" w:ascii="宋体" w:hAnsi="宋体" w:cs="宋体"/>
          <w:b/>
          <w:bCs/>
          <w:color w:val="auto"/>
          <w:kern w:val="0"/>
          <w:sz w:val="24"/>
          <w:szCs w:val="24"/>
          <w:highlight w:val="none"/>
        </w:rPr>
        <w:t>货物包装、发运及运输</w:t>
      </w:r>
      <w:bookmarkEnd w:id="148"/>
      <w:bookmarkEnd w:id="149"/>
    </w:p>
    <w:p w14:paraId="1A312F77">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11.1 </w:t>
      </w:r>
      <w:r>
        <w:rPr>
          <w:rFonts w:hint="eastAsia" w:ascii="宋体" w:hAnsi="宋体" w:cs="宋体"/>
          <w:color w:val="auto"/>
          <w:kern w:val="0"/>
          <w:sz w:val="24"/>
          <w:szCs w:val="24"/>
          <w:highlight w:val="none"/>
        </w:rPr>
        <w:t>乙方在货物发运前对其进行满足运输距离、防潮、防震、防锈和防破损装卸等要求包装，以保证货物安全运达甲方指定地点。</w:t>
      </w:r>
    </w:p>
    <w:p w14:paraId="6BF6A226">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11.2 </w:t>
      </w:r>
      <w:r>
        <w:rPr>
          <w:rFonts w:hint="eastAsia" w:ascii="宋体" w:hAnsi="宋体" w:cs="宋体"/>
          <w:color w:val="auto"/>
          <w:kern w:val="0"/>
          <w:sz w:val="24"/>
          <w:szCs w:val="24"/>
          <w:highlight w:val="none"/>
        </w:rPr>
        <w:t>使用说明书、质量检验证明书、随配附件和工具以及清单一并附于货物内。</w:t>
      </w:r>
    </w:p>
    <w:p w14:paraId="6FB7754D">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11.3 </w:t>
      </w:r>
      <w:r>
        <w:rPr>
          <w:rFonts w:hint="eastAsia" w:ascii="宋体" w:hAnsi="宋体" w:cs="宋体"/>
          <w:color w:val="auto"/>
          <w:kern w:val="0"/>
          <w:sz w:val="24"/>
          <w:szCs w:val="24"/>
          <w:highlight w:val="none"/>
        </w:rPr>
        <w:t>乙方在货物发运手续办理完毕后</w:t>
      </w:r>
      <w:r>
        <w:rPr>
          <w:rFonts w:ascii="宋体" w:hAnsi="宋体" w:cs="宋体"/>
          <w:color w:val="auto"/>
          <w:kern w:val="0"/>
          <w:sz w:val="24"/>
          <w:szCs w:val="24"/>
          <w:highlight w:val="none"/>
        </w:rPr>
        <w:t>24</w:t>
      </w:r>
      <w:r>
        <w:rPr>
          <w:rFonts w:hint="eastAsia" w:ascii="宋体" w:hAnsi="宋体" w:cs="宋体"/>
          <w:color w:val="auto"/>
          <w:kern w:val="0"/>
          <w:sz w:val="24"/>
          <w:szCs w:val="24"/>
          <w:highlight w:val="none"/>
        </w:rPr>
        <w:t>小时内或货到甲方</w:t>
      </w:r>
      <w:r>
        <w:rPr>
          <w:rFonts w:ascii="宋体" w:hAnsi="宋体" w:cs="宋体"/>
          <w:color w:val="auto"/>
          <w:kern w:val="0"/>
          <w:sz w:val="24"/>
          <w:szCs w:val="24"/>
          <w:highlight w:val="none"/>
        </w:rPr>
        <w:t>48</w:t>
      </w:r>
      <w:r>
        <w:rPr>
          <w:rFonts w:hint="eastAsia" w:ascii="宋体" w:hAnsi="宋体" w:cs="宋体"/>
          <w:color w:val="auto"/>
          <w:kern w:val="0"/>
          <w:sz w:val="24"/>
          <w:szCs w:val="24"/>
          <w:highlight w:val="none"/>
        </w:rPr>
        <w:t>小时前通知甲方，以准备接货。</w:t>
      </w:r>
    </w:p>
    <w:p w14:paraId="6C1C0195">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11.4 </w:t>
      </w:r>
      <w:r>
        <w:rPr>
          <w:rFonts w:hint="eastAsia" w:ascii="宋体" w:hAnsi="宋体" w:cs="宋体"/>
          <w:color w:val="auto"/>
          <w:kern w:val="0"/>
          <w:sz w:val="24"/>
          <w:szCs w:val="24"/>
          <w:highlight w:val="none"/>
        </w:rPr>
        <w:t>货物在交付甲方前发生的风险均由乙方负责。</w:t>
      </w:r>
    </w:p>
    <w:p w14:paraId="09759FA7">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11.5 </w:t>
      </w:r>
      <w:r>
        <w:rPr>
          <w:rFonts w:hint="eastAsia" w:ascii="宋体" w:hAnsi="宋体" w:cs="宋体"/>
          <w:color w:val="auto"/>
          <w:kern w:val="0"/>
          <w:sz w:val="24"/>
          <w:szCs w:val="24"/>
          <w:highlight w:val="none"/>
        </w:rPr>
        <w:t>货物在规定的交付期限内由乙方送达甲方指定的地点视为交付，乙方同时需通知甲方货物已送达。</w:t>
      </w:r>
    </w:p>
    <w:p w14:paraId="007A7A27">
      <w:pPr>
        <w:widowControl/>
        <w:snapToGrid w:val="0"/>
        <w:spacing w:line="520" w:lineRule="exact"/>
        <w:ind w:firstLine="482" w:firstLineChars="200"/>
        <w:jc w:val="left"/>
        <w:outlineLvl w:val="0"/>
        <w:rPr>
          <w:rFonts w:ascii="宋体"/>
          <w:color w:val="auto"/>
          <w:kern w:val="0"/>
          <w:sz w:val="24"/>
          <w:szCs w:val="24"/>
          <w:highlight w:val="none"/>
        </w:rPr>
      </w:pPr>
      <w:bookmarkStart w:id="150" w:name="_Toc16957"/>
      <w:bookmarkStart w:id="151" w:name="_Toc27642"/>
      <w:r>
        <w:rPr>
          <w:rFonts w:ascii="宋体" w:hAnsi="宋体" w:cs="宋体"/>
          <w:b/>
          <w:bCs/>
          <w:color w:val="auto"/>
          <w:kern w:val="0"/>
          <w:sz w:val="24"/>
          <w:szCs w:val="24"/>
          <w:highlight w:val="none"/>
        </w:rPr>
        <w:t>12.</w:t>
      </w:r>
      <w:r>
        <w:rPr>
          <w:rFonts w:hint="eastAsia" w:ascii="宋体" w:hAnsi="宋体" w:cs="宋体"/>
          <w:b/>
          <w:bCs/>
          <w:color w:val="auto"/>
          <w:kern w:val="0"/>
          <w:sz w:val="24"/>
          <w:szCs w:val="24"/>
          <w:highlight w:val="none"/>
        </w:rPr>
        <w:t>质量保证及售后服务</w:t>
      </w:r>
      <w:bookmarkEnd w:id="150"/>
      <w:bookmarkEnd w:id="151"/>
    </w:p>
    <w:p w14:paraId="12BBB0B7">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自本项目系统验收合格之日起，雷达设备提供</w:t>
      </w:r>
      <w:r>
        <w:rPr>
          <w:bCs/>
          <w:color w:val="auto"/>
          <w:kern w:val="0"/>
          <w:sz w:val="24"/>
          <w:szCs w:val="24"/>
          <w:highlight w:val="none"/>
        </w:rPr>
        <w:t>8</w:t>
      </w:r>
      <w:r>
        <w:rPr>
          <w:rFonts w:hint="eastAsia"/>
          <w:bCs/>
          <w:color w:val="auto"/>
          <w:kern w:val="0"/>
          <w:sz w:val="24"/>
          <w:szCs w:val="24"/>
          <w:highlight w:val="none"/>
        </w:rPr>
        <w:t>年原厂质保，其他设备提供</w:t>
      </w:r>
      <w:r>
        <w:rPr>
          <w:bCs/>
          <w:color w:val="auto"/>
          <w:kern w:val="0"/>
          <w:sz w:val="24"/>
          <w:szCs w:val="24"/>
          <w:highlight w:val="none"/>
        </w:rPr>
        <w:t>3</w:t>
      </w:r>
      <w:r>
        <w:rPr>
          <w:rFonts w:hint="eastAsia"/>
          <w:bCs/>
          <w:color w:val="auto"/>
          <w:kern w:val="0"/>
          <w:sz w:val="24"/>
          <w:szCs w:val="24"/>
          <w:highlight w:val="none"/>
        </w:rPr>
        <w:t>年质保，相关产品有国家规定的质保期从其规定，其规定不足</w:t>
      </w:r>
      <w:r>
        <w:rPr>
          <w:bCs/>
          <w:color w:val="auto"/>
          <w:kern w:val="0"/>
          <w:sz w:val="24"/>
          <w:szCs w:val="24"/>
          <w:highlight w:val="none"/>
        </w:rPr>
        <w:t>3</w:t>
      </w:r>
      <w:r>
        <w:rPr>
          <w:rFonts w:hint="eastAsia"/>
          <w:bCs/>
          <w:color w:val="auto"/>
          <w:kern w:val="0"/>
          <w:sz w:val="24"/>
          <w:szCs w:val="24"/>
          <w:highlight w:val="none"/>
        </w:rPr>
        <w:t>年的按</w:t>
      </w:r>
      <w:r>
        <w:rPr>
          <w:bCs/>
          <w:color w:val="auto"/>
          <w:kern w:val="0"/>
          <w:sz w:val="24"/>
          <w:szCs w:val="24"/>
          <w:highlight w:val="none"/>
        </w:rPr>
        <w:t>3</w:t>
      </w:r>
      <w:r>
        <w:rPr>
          <w:rFonts w:hint="eastAsia"/>
          <w:bCs/>
          <w:color w:val="auto"/>
          <w:kern w:val="0"/>
          <w:sz w:val="24"/>
          <w:szCs w:val="24"/>
          <w:highlight w:val="none"/>
        </w:rPr>
        <w:t>年计算。</w:t>
      </w:r>
    </w:p>
    <w:p w14:paraId="457710DB">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12.1</w:t>
      </w:r>
      <w:r>
        <w:rPr>
          <w:rFonts w:hint="eastAsia"/>
          <w:bCs/>
          <w:color w:val="auto"/>
          <w:kern w:val="0"/>
          <w:sz w:val="24"/>
          <w:szCs w:val="24"/>
          <w:highlight w:val="none"/>
        </w:rPr>
        <w:t>、质保期内对不符合投标文件的投标产品详细配置、参数及性能或不能修复的货物负责免费更换。</w:t>
      </w:r>
    </w:p>
    <w:p w14:paraId="03CE7A21">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12.2</w:t>
      </w:r>
      <w:r>
        <w:rPr>
          <w:rFonts w:hint="eastAsia"/>
          <w:bCs/>
          <w:color w:val="auto"/>
          <w:kern w:val="0"/>
          <w:sz w:val="24"/>
          <w:szCs w:val="24"/>
          <w:highlight w:val="none"/>
        </w:rPr>
        <w:t>、提供所投产品投标人或制造商售后服务机构情况，包括地址、技术人员及联系方式，售后技术人员力量、设备实力等。</w:t>
      </w:r>
    </w:p>
    <w:p w14:paraId="232FEBED">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12.3</w:t>
      </w:r>
      <w:r>
        <w:rPr>
          <w:rFonts w:hint="eastAsia"/>
          <w:bCs/>
          <w:color w:val="auto"/>
          <w:kern w:val="0"/>
          <w:sz w:val="24"/>
          <w:szCs w:val="24"/>
          <w:highlight w:val="none"/>
        </w:rPr>
        <w:t>、质保期内免费上门保修服务，</w:t>
      </w:r>
      <w:r>
        <w:rPr>
          <w:bCs/>
          <w:color w:val="auto"/>
          <w:kern w:val="0"/>
          <w:sz w:val="24"/>
          <w:szCs w:val="24"/>
          <w:highlight w:val="none"/>
        </w:rPr>
        <w:t xml:space="preserve">7 </w:t>
      </w:r>
      <w:r>
        <w:rPr>
          <w:rFonts w:hint="eastAsia"/>
          <w:bCs/>
          <w:color w:val="auto"/>
          <w:kern w:val="0"/>
          <w:sz w:val="24"/>
          <w:szCs w:val="24"/>
          <w:highlight w:val="none"/>
        </w:rPr>
        <w:t>天×</w:t>
      </w:r>
      <w:r>
        <w:rPr>
          <w:bCs/>
          <w:color w:val="auto"/>
          <w:kern w:val="0"/>
          <w:sz w:val="24"/>
          <w:szCs w:val="24"/>
          <w:highlight w:val="none"/>
        </w:rPr>
        <w:t xml:space="preserve">24 </w:t>
      </w:r>
      <w:r>
        <w:rPr>
          <w:rFonts w:hint="eastAsia"/>
          <w:bCs/>
          <w:color w:val="auto"/>
          <w:kern w:val="0"/>
          <w:sz w:val="24"/>
          <w:szCs w:val="24"/>
          <w:highlight w:val="none"/>
        </w:rPr>
        <w:t>小时全年无休，质保期自系统验收合格之日起计算。不接受该质保期的响应将不被接受。</w:t>
      </w:r>
    </w:p>
    <w:p w14:paraId="007AB5D3">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12.4</w:t>
      </w:r>
      <w:r>
        <w:rPr>
          <w:rFonts w:hint="eastAsia"/>
          <w:bCs/>
          <w:color w:val="auto"/>
          <w:kern w:val="0"/>
          <w:sz w:val="24"/>
          <w:szCs w:val="24"/>
          <w:highlight w:val="none"/>
        </w:rPr>
        <w:t>、质保期内（以本项目系统验收合格之日算起）应当为采购人提供以下技术支持和服务：</w:t>
      </w:r>
      <w:r>
        <w:rPr>
          <w:bCs/>
          <w:color w:val="auto"/>
          <w:kern w:val="0"/>
          <w:sz w:val="24"/>
          <w:szCs w:val="24"/>
          <w:highlight w:val="none"/>
        </w:rPr>
        <w:t xml:space="preserve"> </w:t>
      </w:r>
    </w:p>
    <w:p w14:paraId="7E9E0124">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1</w:t>
      </w:r>
      <w:r>
        <w:rPr>
          <w:rFonts w:hint="eastAsia"/>
          <w:bCs/>
          <w:color w:val="auto"/>
          <w:kern w:val="0"/>
          <w:sz w:val="24"/>
          <w:szCs w:val="24"/>
          <w:highlight w:val="none"/>
        </w:rPr>
        <w:t>）电话咨询。投标人或制造商应当为采购人提供技术援助电话，解答采购人在使用中遇到的问题，及时为采购人提出解决问题的建议和办法。</w:t>
      </w:r>
    </w:p>
    <w:p w14:paraId="0E9EC9B4">
      <w:pPr>
        <w:autoSpaceDE w:val="0"/>
        <w:autoSpaceDN w:val="0"/>
        <w:adjustRightInd w:val="0"/>
        <w:spacing w:line="360" w:lineRule="auto"/>
        <w:ind w:firstLine="480" w:firstLineChars="200"/>
        <w:jc w:val="lef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）现场响应。甲方遇到使用及技术问题，电话咨询不能解决的，汛期期间乙方售后应在</w:t>
      </w:r>
      <w:r>
        <w:rPr>
          <w:color w:val="auto"/>
          <w:sz w:val="24"/>
          <w:szCs w:val="24"/>
          <w:highlight w:val="none"/>
        </w:rPr>
        <w:t>24</w:t>
      </w:r>
      <w:r>
        <w:rPr>
          <w:rFonts w:hint="eastAsia"/>
          <w:color w:val="auto"/>
          <w:sz w:val="24"/>
          <w:szCs w:val="24"/>
          <w:highlight w:val="none"/>
        </w:rPr>
        <w:t>小时内到达现场进行处理，非汛期期间应在</w:t>
      </w:r>
      <w:r>
        <w:rPr>
          <w:color w:val="auto"/>
          <w:sz w:val="24"/>
          <w:szCs w:val="24"/>
          <w:highlight w:val="none"/>
        </w:rPr>
        <w:t>48</w:t>
      </w:r>
      <w:r>
        <w:rPr>
          <w:rFonts w:hint="eastAsia"/>
          <w:color w:val="auto"/>
          <w:sz w:val="24"/>
          <w:szCs w:val="24"/>
          <w:highlight w:val="none"/>
        </w:rPr>
        <w:t>小时内到达现场进行处理，确保设备系统正常工作；现场无法解决的，应在</w:t>
      </w:r>
      <w:r>
        <w:rPr>
          <w:color w:val="auto"/>
          <w:sz w:val="24"/>
          <w:szCs w:val="24"/>
          <w:highlight w:val="none"/>
        </w:rPr>
        <w:t>10</w:t>
      </w:r>
      <w:r>
        <w:rPr>
          <w:rFonts w:hint="eastAsia"/>
          <w:color w:val="auto"/>
          <w:sz w:val="24"/>
          <w:szCs w:val="24"/>
          <w:highlight w:val="none"/>
        </w:rPr>
        <w:t>天内提供备用产品，使采购人能够正常使用。</w:t>
      </w:r>
    </w:p>
    <w:p w14:paraId="7CACB48F">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3</w:t>
      </w:r>
      <w:r>
        <w:rPr>
          <w:rFonts w:hint="eastAsia"/>
          <w:bCs/>
          <w:color w:val="auto"/>
          <w:kern w:val="0"/>
          <w:sz w:val="24"/>
          <w:szCs w:val="24"/>
          <w:highlight w:val="none"/>
        </w:rPr>
        <w:t>）投标人应当定期对所供设备运行情况进行检测，消除故障隐患，以保证设备的正常运行。</w:t>
      </w:r>
    </w:p>
    <w:p w14:paraId="0897DEAB">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4</w:t>
      </w:r>
      <w:r>
        <w:rPr>
          <w:rFonts w:hint="eastAsia"/>
          <w:bCs/>
          <w:color w:val="auto"/>
          <w:kern w:val="0"/>
          <w:sz w:val="24"/>
          <w:szCs w:val="24"/>
          <w:highlight w:val="none"/>
        </w:rPr>
        <w:t>）技术升级。在质保期内，如果制造商的产品技术升级，中标人应及时通知采购人，如采购人有相应要求，中标人和制造商应对采购人购买的产品进行优惠价格的有偿升级服务。</w:t>
      </w:r>
    </w:p>
    <w:p w14:paraId="4545FE64">
      <w:pPr>
        <w:autoSpaceDE w:val="0"/>
        <w:autoSpaceDN w:val="0"/>
        <w:adjustRightInd w:val="0"/>
        <w:spacing w:line="360" w:lineRule="auto"/>
        <w:ind w:firstLine="480" w:firstLineChars="200"/>
        <w:jc w:val="left"/>
        <w:rPr>
          <w:bCs/>
          <w:color w:val="auto"/>
          <w:kern w:val="0"/>
          <w:sz w:val="24"/>
          <w:szCs w:val="24"/>
          <w:highlight w:val="none"/>
        </w:rPr>
      </w:pPr>
      <w:r>
        <w:rPr>
          <w:bCs/>
          <w:color w:val="auto"/>
          <w:kern w:val="0"/>
          <w:sz w:val="24"/>
          <w:szCs w:val="24"/>
          <w:highlight w:val="none"/>
        </w:rPr>
        <w:t>12.5</w:t>
      </w:r>
      <w:r>
        <w:rPr>
          <w:rFonts w:hint="eastAsia"/>
          <w:bCs/>
          <w:color w:val="auto"/>
          <w:kern w:val="0"/>
          <w:sz w:val="24"/>
          <w:szCs w:val="24"/>
          <w:highlight w:val="none"/>
        </w:rPr>
        <w:t>、质保期后应当为采购人提供以下技术支持和服务：</w:t>
      </w:r>
    </w:p>
    <w:p w14:paraId="293D2BFB">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1</w:t>
      </w:r>
      <w:r>
        <w:rPr>
          <w:rFonts w:hint="eastAsia"/>
          <w:bCs/>
          <w:color w:val="auto"/>
          <w:kern w:val="0"/>
          <w:sz w:val="24"/>
          <w:szCs w:val="24"/>
          <w:highlight w:val="none"/>
        </w:rPr>
        <w:t>）应同样提供免费电话咨询服务，并应承诺优惠价格有偿提供产品上门维护服务。</w:t>
      </w:r>
    </w:p>
    <w:p w14:paraId="2ACCF402">
      <w:pPr>
        <w:autoSpaceDE w:val="0"/>
        <w:autoSpaceDN w:val="0"/>
        <w:adjustRightInd w:val="0"/>
        <w:spacing w:line="360" w:lineRule="auto"/>
        <w:ind w:firstLine="480" w:firstLineChars="200"/>
        <w:jc w:val="left"/>
        <w:rPr>
          <w:bCs/>
          <w:color w:val="auto"/>
          <w:kern w:val="0"/>
          <w:sz w:val="24"/>
          <w:szCs w:val="24"/>
          <w:highlight w:val="none"/>
        </w:rPr>
      </w:pPr>
      <w:r>
        <w:rPr>
          <w:rFonts w:hint="eastAsia"/>
          <w:bCs/>
          <w:color w:val="auto"/>
          <w:kern w:val="0"/>
          <w:sz w:val="24"/>
          <w:szCs w:val="24"/>
          <w:highlight w:val="none"/>
        </w:rPr>
        <w:t>（</w:t>
      </w:r>
      <w:r>
        <w:rPr>
          <w:bCs/>
          <w:color w:val="auto"/>
          <w:kern w:val="0"/>
          <w:sz w:val="24"/>
          <w:szCs w:val="24"/>
          <w:highlight w:val="none"/>
        </w:rPr>
        <w:t>2</w:t>
      </w:r>
      <w:r>
        <w:rPr>
          <w:rFonts w:hint="eastAsia"/>
          <w:bCs/>
          <w:color w:val="auto"/>
          <w:kern w:val="0"/>
          <w:sz w:val="24"/>
          <w:szCs w:val="24"/>
          <w:highlight w:val="none"/>
        </w:rPr>
        <w:t>）应以优惠价格继续提供售后服务。</w:t>
      </w:r>
    </w:p>
    <w:p w14:paraId="612546B9">
      <w:pPr>
        <w:widowControl/>
        <w:snapToGrid w:val="0"/>
        <w:spacing w:line="520" w:lineRule="exact"/>
        <w:ind w:firstLine="482" w:firstLineChars="200"/>
        <w:jc w:val="left"/>
        <w:rPr>
          <w:rFonts w:ascii="宋体"/>
          <w:color w:val="auto"/>
          <w:kern w:val="0"/>
          <w:sz w:val="24"/>
          <w:szCs w:val="24"/>
          <w:highlight w:val="none"/>
        </w:rPr>
      </w:pPr>
      <w:bookmarkStart w:id="152" w:name="_Toc15558"/>
      <w:bookmarkStart w:id="153" w:name="_Toc4137"/>
      <w:r>
        <w:rPr>
          <w:rFonts w:ascii="宋体" w:hAnsi="宋体" w:cs="宋体"/>
          <w:b/>
          <w:bCs/>
          <w:color w:val="auto"/>
          <w:kern w:val="0"/>
          <w:sz w:val="24"/>
          <w:szCs w:val="24"/>
          <w:highlight w:val="none"/>
        </w:rPr>
        <w:t>13.</w:t>
      </w:r>
      <w:r>
        <w:rPr>
          <w:rFonts w:hint="eastAsia" w:ascii="宋体" w:hAnsi="宋体" w:cs="宋体"/>
          <w:b/>
          <w:bCs/>
          <w:color w:val="auto"/>
          <w:kern w:val="0"/>
          <w:sz w:val="24"/>
          <w:szCs w:val="24"/>
          <w:highlight w:val="none"/>
        </w:rPr>
        <w:t>调试和验收</w:t>
      </w:r>
      <w:bookmarkEnd w:id="152"/>
      <w:bookmarkEnd w:id="153"/>
    </w:p>
    <w:p w14:paraId="0B5A5FB4">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中标人负责将设备、系统安装并调试至正常运行状态。</w:t>
      </w:r>
    </w:p>
    <w:p w14:paraId="251636D6">
      <w:pPr>
        <w:widowControl/>
        <w:snapToGrid w:val="0"/>
        <w:spacing w:line="520" w:lineRule="exact"/>
        <w:ind w:firstLine="479" w:firstLineChars="199"/>
        <w:jc w:val="left"/>
        <w:outlineLvl w:val="0"/>
        <w:rPr>
          <w:rFonts w:ascii="宋体"/>
          <w:color w:val="auto"/>
          <w:kern w:val="0"/>
          <w:sz w:val="24"/>
          <w:szCs w:val="24"/>
          <w:highlight w:val="none"/>
        </w:rPr>
      </w:pPr>
      <w:bookmarkStart w:id="154" w:name="_Toc16332"/>
      <w:bookmarkStart w:id="155" w:name="_Toc12523"/>
      <w:r>
        <w:rPr>
          <w:rFonts w:ascii="宋体" w:hAnsi="宋体" w:cs="宋体"/>
          <w:b/>
          <w:bCs/>
          <w:color w:val="auto"/>
          <w:kern w:val="0"/>
          <w:sz w:val="24"/>
          <w:szCs w:val="24"/>
          <w:highlight w:val="none"/>
        </w:rPr>
        <w:t>14.</w:t>
      </w:r>
      <w:r>
        <w:rPr>
          <w:rFonts w:hint="eastAsia" w:ascii="宋体" w:hAnsi="宋体" w:cs="宋体"/>
          <w:b/>
          <w:bCs/>
          <w:color w:val="auto"/>
          <w:kern w:val="0"/>
          <w:sz w:val="24"/>
          <w:szCs w:val="24"/>
          <w:highlight w:val="none"/>
        </w:rPr>
        <w:t>索赔</w:t>
      </w:r>
      <w:bookmarkEnd w:id="154"/>
      <w:bookmarkEnd w:id="155"/>
    </w:p>
    <w:p w14:paraId="1EAF0B30">
      <w:pPr>
        <w:widowControl/>
        <w:snapToGrid w:val="0"/>
        <w:spacing w:line="520" w:lineRule="exact"/>
        <w:ind w:firstLine="477" w:firstLineChars="199"/>
        <w:jc w:val="left"/>
        <w:outlineLvl w:val="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.1、由于产品质量问题而造成的损失，中标人应承担造成损失的全部费用。</w:t>
      </w:r>
    </w:p>
    <w:p w14:paraId="3C4CE676">
      <w:pPr>
        <w:widowControl/>
        <w:snapToGrid w:val="0"/>
        <w:spacing w:line="520" w:lineRule="exact"/>
        <w:ind w:firstLine="477" w:firstLineChars="199"/>
        <w:jc w:val="left"/>
        <w:outlineLvl w:val="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.2、中标人根据采购人的要求，有责任立即更换部分或全部问题产品，由此产生的其它费用均由中标人承担。</w:t>
      </w:r>
    </w:p>
    <w:p w14:paraId="3D0B2D20">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.3、对采购人提出的设备发生的故障现象和问题都必须提供合理的书面解释，提供解决方案，并避免再次出现此类问题。</w:t>
      </w:r>
    </w:p>
    <w:p w14:paraId="70CF086D">
      <w:pPr>
        <w:widowControl/>
        <w:snapToGrid w:val="0"/>
        <w:spacing w:line="520" w:lineRule="exact"/>
        <w:ind w:firstLine="482" w:firstLineChars="200"/>
        <w:jc w:val="left"/>
        <w:outlineLvl w:val="0"/>
        <w:rPr>
          <w:rFonts w:ascii="宋体"/>
          <w:color w:val="auto"/>
          <w:kern w:val="0"/>
          <w:sz w:val="24"/>
          <w:szCs w:val="24"/>
          <w:highlight w:val="none"/>
        </w:rPr>
      </w:pPr>
      <w:bookmarkStart w:id="156" w:name="_Toc30564"/>
      <w:bookmarkStart w:id="157" w:name="_Toc8650"/>
      <w:r>
        <w:rPr>
          <w:rFonts w:ascii="宋体" w:hAnsi="宋体" w:cs="宋体"/>
          <w:b/>
          <w:bCs/>
          <w:color w:val="auto"/>
          <w:kern w:val="0"/>
          <w:sz w:val="24"/>
          <w:szCs w:val="24"/>
          <w:highlight w:val="none"/>
        </w:rPr>
        <w:t>15.</w:t>
      </w:r>
      <w:r>
        <w:rPr>
          <w:rFonts w:hint="eastAsia" w:ascii="宋体" w:hAnsi="宋体" w:cs="宋体"/>
          <w:b/>
          <w:bCs/>
          <w:color w:val="auto"/>
          <w:kern w:val="0"/>
          <w:sz w:val="24"/>
          <w:szCs w:val="24"/>
          <w:highlight w:val="none"/>
        </w:rPr>
        <w:t>违约责任</w:t>
      </w:r>
      <w:bookmarkEnd w:id="156"/>
      <w:bookmarkEnd w:id="157"/>
    </w:p>
    <w:p w14:paraId="51833BB4">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15.1 </w:t>
      </w:r>
      <w:r>
        <w:rPr>
          <w:rFonts w:hint="eastAsia" w:ascii="宋体" w:hAnsi="宋体" w:cs="宋体"/>
          <w:color w:val="auto"/>
          <w:kern w:val="0"/>
          <w:sz w:val="24"/>
          <w:szCs w:val="24"/>
          <w:highlight w:val="none"/>
        </w:rPr>
        <w:t>甲方无正当理由拒收货物的，甲方向乙方偿付拒收货款总值的百分之五违约金。</w:t>
      </w:r>
    </w:p>
    <w:p w14:paraId="329636D7">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15.2 </w:t>
      </w:r>
      <w:r>
        <w:rPr>
          <w:rFonts w:hint="eastAsia" w:ascii="宋体" w:hAnsi="宋体" w:cs="宋体"/>
          <w:color w:val="auto"/>
          <w:kern w:val="0"/>
          <w:sz w:val="24"/>
          <w:szCs w:val="24"/>
          <w:highlight w:val="none"/>
        </w:rPr>
        <w:t>甲方无故逾期验收和办理货款支付手续的</w:t>
      </w:r>
      <w:r>
        <w:rPr>
          <w:rFonts w:ascii="宋体" w:cs="宋体"/>
          <w:color w:val="auto"/>
          <w:kern w:val="0"/>
          <w:sz w:val="24"/>
          <w:szCs w:val="24"/>
          <w:highlight w:val="none"/>
        </w:rPr>
        <w:t>,</w:t>
      </w:r>
      <w:r>
        <w:rPr>
          <w:rFonts w:hint="eastAsia" w:ascii="宋体" w:hAnsi="宋体" w:cs="宋体"/>
          <w:color w:val="auto"/>
          <w:kern w:val="0"/>
          <w:sz w:val="24"/>
          <w:szCs w:val="24"/>
          <w:highlight w:val="none"/>
        </w:rPr>
        <w:t>甲方按逾期付款总额每日万分之五向乙方支付违约金。</w:t>
      </w:r>
    </w:p>
    <w:p w14:paraId="47C2B6C3">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15.3 </w:t>
      </w:r>
      <w:r>
        <w:rPr>
          <w:rFonts w:hint="eastAsia" w:ascii="宋体" w:hAnsi="宋体" w:cs="宋体"/>
          <w:color w:val="auto"/>
          <w:kern w:val="0"/>
          <w:sz w:val="24"/>
          <w:szCs w:val="24"/>
          <w:highlight w:val="none"/>
        </w:rPr>
        <w:t>乙方逾期交付货物的，乙方按逾期交货总额每日万分之五向甲方支付违约金。逾期超过约定日期</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的违约金，如造成甲方损失超过违约金的，超出部分由乙方继续承担赔偿责任。</w:t>
      </w:r>
    </w:p>
    <w:p w14:paraId="13EA3CD2">
      <w:pPr>
        <w:widowControl/>
        <w:snapToGrid w:val="0"/>
        <w:spacing w:line="520" w:lineRule="exact"/>
        <w:ind w:firstLine="482" w:firstLineChars="200"/>
        <w:jc w:val="left"/>
        <w:outlineLvl w:val="0"/>
        <w:rPr>
          <w:rFonts w:ascii="宋体"/>
          <w:color w:val="auto"/>
          <w:kern w:val="0"/>
          <w:sz w:val="24"/>
          <w:szCs w:val="24"/>
          <w:highlight w:val="none"/>
        </w:rPr>
      </w:pPr>
      <w:bookmarkStart w:id="158" w:name="_Toc1286"/>
      <w:bookmarkStart w:id="159" w:name="_Toc9334"/>
      <w:r>
        <w:rPr>
          <w:rFonts w:ascii="宋体" w:hAnsi="宋体" w:cs="宋体"/>
          <w:b/>
          <w:bCs/>
          <w:color w:val="auto"/>
          <w:kern w:val="0"/>
          <w:sz w:val="24"/>
          <w:szCs w:val="24"/>
          <w:highlight w:val="none"/>
        </w:rPr>
        <w:t>16.</w:t>
      </w:r>
      <w:r>
        <w:rPr>
          <w:rFonts w:hint="eastAsia" w:ascii="宋体" w:hAnsi="宋体" w:cs="宋体"/>
          <w:b/>
          <w:bCs/>
          <w:color w:val="auto"/>
          <w:kern w:val="0"/>
          <w:sz w:val="24"/>
          <w:szCs w:val="24"/>
          <w:highlight w:val="none"/>
        </w:rPr>
        <w:t>不可抗力事件处理</w:t>
      </w:r>
      <w:bookmarkEnd w:id="158"/>
      <w:bookmarkEnd w:id="159"/>
    </w:p>
    <w:p w14:paraId="1C2BFFEF">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16.1</w:t>
      </w:r>
      <w:r>
        <w:rPr>
          <w:rFonts w:hint="eastAsia" w:ascii="宋体" w:hAnsi="宋体" w:cs="宋体"/>
          <w:color w:val="auto"/>
          <w:kern w:val="0"/>
          <w:sz w:val="24"/>
          <w:szCs w:val="24"/>
          <w:highlight w:val="none"/>
        </w:rPr>
        <w:t>因不可抗力造成违约的，遭受不可抗力一方应及时向对方通报不能履行或不能完全履行的理由，并在随后取得有关权威机构出具的证明后的</w:t>
      </w: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日内向另一方提供不可抗力发生以及持续期间的充分证据。基本于以上行为，允许遭受不可抗力一方延期履行、部分履行或者不履行合同，并根据情况可部分或全部免于承担违约责任。</w:t>
      </w:r>
    </w:p>
    <w:p w14:paraId="5F063DC7">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16.2 </w:t>
      </w:r>
      <w:r>
        <w:rPr>
          <w:rFonts w:hint="eastAsia" w:ascii="宋体" w:hAnsi="宋体" w:cs="宋体"/>
          <w:color w:val="auto"/>
          <w:kern w:val="0"/>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0D7CDFDA">
      <w:pPr>
        <w:widowControl/>
        <w:snapToGrid w:val="0"/>
        <w:spacing w:line="520" w:lineRule="exact"/>
        <w:ind w:firstLine="482" w:firstLineChars="200"/>
        <w:jc w:val="left"/>
        <w:outlineLvl w:val="0"/>
        <w:rPr>
          <w:rFonts w:ascii="宋体"/>
          <w:color w:val="auto"/>
          <w:kern w:val="0"/>
          <w:sz w:val="24"/>
          <w:szCs w:val="24"/>
          <w:highlight w:val="none"/>
        </w:rPr>
      </w:pPr>
      <w:bookmarkStart w:id="160" w:name="_Toc26379"/>
      <w:bookmarkStart w:id="161" w:name="_Toc9485"/>
      <w:r>
        <w:rPr>
          <w:rFonts w:ascii="宋体" w:hAnsi="宋体" w:cs="宋体"/>
          <w:b/>
          <w:bCs/>
          <w:color w:val="auto"/>
          <w:kern w:val="0"/>
          <w:sz w:val="24"/>
          <w:szCs w:val="24"/>
          <w:highlight w:val="none"/>
        </w:rPr>
        <w:t>17.</w:t>
      </w:r>
      <w:r>
        <w:rPr>
          <w:rFonts w:hint="eastAsia" w:ascii="宋体" w:hAnsi="宋体" w:cs="宋体"/>
          <w:b/>
          <w:bCs/>
          <w:color w:val="auto"/>
          <w:kern w:val="0"/>
          <w:sz w:val="24"/>
          <w:szCs w:val="24"/>
          <w:highlight w:val="none"/>
        </w:rPr>
        <w:t>合同纠纷处理</w:t>
      </w:r>
      <w:bookmarkEnd w:id="160"/>
      <w:bookmarkEnd w:id="161"/>
    </w:p>
    <w:p w14:paraId="0AA45889">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因本合同或与本合同有关的一切事项发生争议，由双方友好协商解决。协商不成的，任何一方均可选择以下方式解决：</w:t>
      </w:r>
    </w:p>
    <w:p w14:paraId="5DE524EF">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17.1 </w:t>
      </w:r>
      <w:r>
        <w:rPr>
          <w:rFonts w:hint="eastAsia" w:ascii="宋体" w:hAnsi="宋体" w:cs="宋体"/>
          <w:color w:val="auto"/>
          <w:kern w:val="0"/>
          <w:sz w:val="24"/>
          <w:szCs w:val="24"/>
          <w:highlight w:val="none"/>
        </w:rPr>
        <w:t>向合同签订地人民法院提起诉讼。</w:t>
      </w:r>
    </w:p>
    <w:p w14:paraId="3AC6C243">
      <w:pPr>
        <w:widowControl/>
        <w:snapToGrid w:val="0"/>
        <w:spacing w:line="520" w:lineRule="exact"/>
        <w:ind w:firstLine="479" w:firstLineChars="199"/>
        <w:jc w:val="left"/>
        <w:outlineLvl w:val="0"/>
        <w:rPr>
          <w:rFonts w:ascii="宋体"/>
          <w:color w:val="auto"/>
          <w:kern w:val="0"/>
          <w:sz w:val="24"/>
          <w:szCs w:val="24"/>
          <w:highlight w:val="none"/>
        </w:rPr>
      </w:pPr>
      <w:bookmarkStart w:id="162" w:name="_Toc12330"/>
      <w:bookmarkStart w:id="163" w:name="_Toc26540"/>
      <w:r>
        <w:rPr>
          <w:rFonts w:ascii="宋体" w:hAnsi="宋体" w:cs="宋体"/>
          <w:b/>
          <w:bCs/>
          <w:color w:val="auto"/>
          <w:kern w:val="0"/>
          <w:sz w:val="24"/>
          <w:szCs w:val="24"/>
          <w:highlight w:val="none"/>
        </w:rPr>
        <w:t>18.</w:t>
      </w:r>
      <w:r>
        <w:rPr>
          <w:rFonts w:hint="eastAsia" w:ascii="宋体" w:hAnsi="宋体" w:cs="宋体"/>
          <w:b/>
          <w:bCs/>
          <w:color w:val="auto"/>
          <w:kern w:val="0"/>
          <w:sz w:val="24"/>
          <w:szCs w:val="24"/>
          <w:highlight w:val="none"/>
        </w:rPr>
        <w:t>违约解除合同</w:t>
      </w:r>
      <w:bookmarkEnd w:id="162"/>
      <w:bookmarkEnd w:id="163"/>
    </w:p>
    <w:p w14:paraId="76174B38">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18.1</w:t>
      </w:r>
      <w:r>
        <w:rPr>
          <w:rFonts w:hint="eastAsia" w:ascii="宋体" w:hAnsi="宋体" w:cs="宋体"/>
          <w:color w:val="auto"/>
          <w:kern w:val="0"/>
          <w:sz w:val="24"/>
          <w:szCs w:val="24"/>
          <w:highlight w:val="none"/>
        </w:rPr>
        <w:t>在乙方违约的情况下，甲方可向乙方发出书面通知，部分或全部终止合同，同时保留向对方追诉的权利。</w:t>
      </w:r>
    </w:p>
    <w:p w14:paraId="76AD9D19">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18.1.1 </w:t>
      </w:r>
      <w:r>
        <w:rPr>
          <w:rFonts w:hint="eastAsia" w:ascii="宋体" w:hAnsi="宋体" w:cs="宋体"/>
          <w:color w:val="auto"/>
          <w:kern w:val="0"/>
          <w:sz w:val="24"/>
          <w:szCs w:val="24"/>
          <w:highlight w:val="none"/>
        </w:rPr>
        <w:t>乙方未能在合同规定的限期或甲方同意延长的限期内提供全部或部分货物，按合同第</w:t>
      </w:r>
      <w:r>
        <w:rPr>
          <w:rFonts w:ascii="宋体" w:hAnsi="宋体" w:cs="宋体"/>
          <w:color w:val="auto"/>
          <w:kern w:val="0"/>
          <w:sz w:val="24"/>
          <w:szCs w:val="24"/>
          <w:highlight w:val="none"/>
        </w:rPr>
        <w:t>15.3</w:t>
      </w:r>
      <w:r>
        <w:rPr>
          <w:rFonts w:hint="eastAsia" w:ascii="宋体" w:hAnsi="宋体" w:cs="宋体"/>
          <w:color w:val="auto"/>
          <w:kern w:val="0"/>
          <w:sz w:val="24"/>
          <w:szCs w:val="24"/>
          <w:highlight w:val="none"/>
        </w:rPr>
        <w:t>的规定可以解除合同的。</w:t>
      </w:r>
    </w:p>
    <w:p w14:paraId="7D70CEBA">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18.1.2 </w:t>
      </w:r>
      <w:r>
        <w:rPr>
          <w:rFonts w:hint="eastAsia" w:ascii="宋体" w:hAnsi="宋体" w:cs="宋体"/>
          <w:color w:val="auto"/>
          <w:kern w:val="0"/>
          <w:sz w:val="24"/>
          <w:szCs w:val="24"/>
          <w:highlight w:val="none"/>
        </w:rPr>
        <w:t>乙方有转让和未经甲方同意的分包行为，按合同第</w:t>
      </w:r>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的规定可以解除合同的。</w:t>
      </w:r>
    </w:p>
    <w:p w14:paraId="6BB79F24">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18.1.3 </w:t>
      </w:r>
      <w:r>
        <w:rPr>
          <w:rFonts w:hint="eastAsia" w:ascii="宋体" w:hAnsi="宋体" w:cs="宋体"/>
          <w:color w:val="auto"/>
          <w:kern w:val="0"/>
          <w:sz w:val="24"/>
          <w:szCs w:val="24"/>
          <w:highlight w:val="none"/>
        </w:rPr>
        <w:t>乙方未能履行合同规定的其它主要义务的。</w:t>
      </w:r>
    </w:p>
    <w:p w14:paraId="7E6125BB">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18.1.4 </w:t>
      </w:r>
      <w:r>
        <w:rPr>
          <w:rFonts w:hint="eastAsia" w:ascii="宋体" w:hAnsi="宋体" w:cs="宋体"/>
          <w:color w:val="auto"/>
          <w:kern w:val="0"/>
          <w:sz w:val="24"/>
          <w:szCs w:val="24"/>
          <w:highlight w:val="none"/>
        </w:rPr>
        <w:t>在本合同履行过程中有腐败和欺诈行为的。</w:t>
      </w:r>
    </w:p>
    <w:p w14:paraId="6FF1684C">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18.2 </w:t>
      </w:r>
      <w:r>
        <w:rPr>
          <w:rFonts w:hint="eastAsia" w:ascii="宋体" w:hAnsi="宋体" w:cs="宋体"/>
          <w:color w:val="auto"/>
          <w:kern w:val="0"/>
          <w:sz w:val="24"/>
          <w:szCs w:val="24"/>
          <w:highlight w:val="none"/>
        </w:rPr>
        <w:t>在甲方根据上述第</w:t>
      </w:r>
      <w:r>
        <w:rPr>
          <w:rFonts w:ascii="宋体" w:hAnsi="宋体" w:cs="宋体"/>
          <w:color w:val="auto"/>
          <w:kern w:val="0"/>
          <w:sz w:val="24"/>
          <w:szCs w:val="24"/>
          <w:highlight w:val="none"/>
        </w:rPr>
        <w:t>18.1</w:t>
      </w:r>
      <w:r>
        <w:rPr>
          <w:rFonts w:hint="eastAsia" w:ascii="宋体" w:hAnsi="宋体" w:cs="宋体"/>
          <w:color w:val="auto"/>
          <w:kern w:val="0"/>
          <w:sz w:val="24"/>
          <w:szCs w:val="24"/>
          <w:highlight w:val="none"/>
        </w:rPr>
        <w:t>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B3B2512">
      <w:pPr>
        <w:widowControl/>
        <w:snapToGrid w:val="0"/>
        <w:spacing w:line="520" w:lineRule="exact"/>
        <w:ind w:firstLine="482" w:firstLineChars="200"/>
        <w:jc w:val="left"/>
        <w:outlineLvl w:val="0"/>
        <w:rPr>
          <w:rFonts w:ascii="宋体"/>
          <w:color w:val="auto"/>
          <w:kern w:val="0"/>
          <w:sz w:val="24"/>
          <w:szCs w:val="24"/>
          <w:highlight w:val="none"/>
        </w:rPr>
      </w:pPr>
      <w:bookmarkStart w:id="164" w:name="_Toc23405"/>
      <w:bookmarkStart w:id="165" w:name="_Toc13339"/>
      <w:r>
        <w:rPr>
          <w:rFonts w:ascii="宋体" w:hAnsi="宋体" w:cs="宋体"/>
          <w:b/>
          <w:bCs/>
          <w:color w:val="auto"/>
          <w:kern w:val="0"/>
          <w:sz w:val="24"/>
          <w:szCs w:val="24"/>
          <w:highlight w:val="none"/>
        </w:rPr>
        <w:t>19.</w:t>
      </w:r>
      <w:r>
        <w:rPr>
          <w:rFonts w:hint="eastAsia" w:ascii="宋体" w:hAnsi="宋体" w:cs="宋体"/>
          <w:b/>
          <w:bCs/>
          <w:color w:val="auto"/>
          <w:kern w:val="0"/>
          <w:sz w:val="24"/>
          <w:szCs w:val="24"/>
          <w:highlight w:val="none"/>
        </w:rPr>
        <w:t>其他约定</w:t>
      </w:r>
      <w:bookmarkEnd w:id="164"/>
      <w:bookmarkEnd w:id="165"/>
    </w:p>
    <w:p w14:paraId="4709E7F3">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19.1 </w:t>
      </w:r>
      <w:r>
        <w:rPr>
          <w:rFonts w:hint="eastAsia" w:ascii="宋体" w:hAnsi="宋体" w:cs="宋体"/>
          <w:color w:val="auto"/>
          <w:kern w:val="0"/>
          <w:sz w:val="24"/>
          <w:szCs w:val="24"/>
          <w:highlight w:val="none"/>
        </w:rPr>
        <w:t>本采购项目的招标文件、中标供应商的投标文件以及相关的澄清确认函（如果有的话）均为本合同不可分割的一部分，与本合同具有同等法律效力。</w:t>
      </w:r>
    </w:p>
    <w:p w14:paraId="621428E5">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19.2 </w:t>
      </w:r>
      <w:r>
        <w:rPr>
          <w:rFonts w:hint="eastAsia" w:ascii="宋体" w:hAnsi="宋体" w:cs="宋体"/>
          <w:color w:val="auto"/>
          <w:kern w:val="0"/>
          <w:sz w:val="24"/>
          <w:szCs w:val="24"/>
          <w:highlight w:val="none"/>
        </w:rPr>
        <w:t>本合同未尽事宜，双方另行补充。</w:t>
      </w:r>
    </w:p>
    <w:p w14:paraId="3A71CE4E">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19.3</w:t>
      </w:r>
      <w:r>
        <w:rPr>
          <w:rFonts w:hint="eastAsia" w:ascii="宋体" w:hAnsi="宋体" w:cs="宋体"/>
          <w:color w:val="auto"/>
          <w:kern w:val="0"/>
          <w:sz w:val="24"/>
          <w:szCs w:val="24"/>
          <w:highlight w:val="none"/>
        </w:rPr>
        <w:t>本合同正本一式份，具有同等法律效力，甲、乙双方各执两份。自采购合同签订之日起</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个工作日内，甲方按照有关规定将合同副本报同级财政部门备案。</w:t>
      </w:r>
    </w:p>
    <w:p w14:paraId="3B045C81">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19.4 </w:t>
      </w:r>
      <w:r>
        <w:rPr>
          <w:rFonts w:hint="eastAsia" w:ascii="宋体" w:hAnsi="宋体" w:cs="宋体"/>
          <w:color w:val="auto"/>
          <w:kern w:val="0"/>
          <w:sz w:val="24"/>
          <w:szCs w:val="24"/>
          <w:highlight w:val="none"/>
        </w:rPr>
        <w:t>签定地点：</w:t>
      </w:r>
    </w:p>
    <w:p w14:paraId="315D965C">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甲方：                                乙方：</w:t>
      </w:r>
    </w:p>
    <w:p w14:paraId="6E5E0490">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单位地址：                           单位地址：</w:t>
      </w:r>
    </w:p>
    <w:p w14:paraId="27E1EA8C">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法定代表人：                         法定代表人：</w:t>
      </w:r>
    </w:p>
    <w:p w14:paraId="20EFB56F">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委托代理人：                         委托代理人：</w:t>
      </w:r>
    </w:p>
    <w:p w14:paraId="27101C1F">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电话：                                 电话：</w:t>
      </w:r>
    </w:p>
    <w:p w14:paraId="30139EF7">
      <w:pPr>
        <w:widowControl/>
        <w:snapToGrid w:val="0"/>
        <w:spacing w:line="520" w:lineRule="exact"/>
        <w:ind w:firstLine="480" w:firstLineChars="200"/>
        <w:jc w:val="left"/>
        <w:rPr>
          <w:rFonts w:ascii="宋体"/>
          <w:color w:val="auto"/>
          <w:kern w:val="0"/>
          <w:sz w:val="24"/>
          <w:szCs w:val="24"/>
          <w:highlight w:val="none"/>
        </w:rPr>
      </w:pPr>
    </w:p>
    <w:p w14:paraId="7BC62B11">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（监督管理部门）</w:t>
      </w:r>
    </w:p>
    <w:p w14:paraId="7C6F13FF">
      <w:pPr>
        <w:widowControl/>
        <w:snapToGrid w:val="0"/>
        <w:spacing w:line="520" w:lineRule="exact"/>
        <w:ind w:firstLine="4320" w:firstLineChars="1800"/>
        <w:jc w:val="left"/>
        <w:rPr>
          <w:rFonts w:ascii="宋体"/>
          <w:color w:val="auto"/>
          <w:kern w:val="0"/>
          <w:sz w:val="24"/>
          <w:szCs w:val="24"/>
          <w:highlight w:val="none"/>
        </w:rPr>
      </w:pPr>
      <w:r>
        <w:rPr>
          <w:rFonts w:hint="eastAsia" w:ascii="宋体" w:hAnsi="宋体" w:cs="宋体"/>
          <w:color w:val="auto"/>
          <w:kern w:val="0"/>
          <w:sz w:val="24"/>
          <w:szCs w:val="24"/>
          <w:highlight w:val="none"/>
        </w:rPr>
        <w:t>签订日期：   年   月   日</w:t>
      </w:r>
    </w:p>
    <w:p w14:paraId="4C5F2256">
      <w:pPr>
        <w:spacing w:line="360" w:lineRule="auto"/>
        <w:jc w:val="center"/>
        <w:rPr>
          <w:rFonts w:ascii="宋体"/>
          <w:b/>
          <w:bCs/>
          <w:color w:val="auto"/>
          <w:sz w:val="24"/>
          <w:szCs w:val="24"/>
          <w:highlight w:val="none"/>
        </w:rPr>
      </w:pPr>
    </w:p>
    <w:p w14:paraId="78B50B17">
      <w:pPr>
        <w:spacing w:line="360" w:lineRule="auto"/>
        <w:jc w:val="center"/>
        <w:rPr>
          <w:rFonts w:ascii="宋体"/>
          <w:b/>
          <w:bCs/>
          <w:color w:val="auto"/>
          <w:sz w:val="24"/>
          <w:szCs w:val="24"/>
          <w:highlight w:val="none"/>
        </w:rPr>
      </w:pPr>
    </w:p>
    <w:p w14:paraId="547766FE">
      <w:pPr>
        <w:rPr>
          <w:rFonts w:ascii="宋体" w:hAnsi="宋体" w:cs="宋体"/>
          <w:b/>
          <w:bCs/>
          <w:color w:val="auto"/>
          <w:sz w:val="48"/>
          <w:szCs w:val="48"/>
          <w:highlight w:val="none"/>
        </w:rPr>
      </w:pPr>
      <w:bookmarkStart w:id="166" w:name="_Toc5275"/>
      <w:r>
        <w:rPr>
          <w:rFonts w:hint="eastAsia" w:ascii="宋体" w:hAnsi="宋体" w:cs="宋体"/>
          <w:b/>
          <w:bCs/>
          <w:color w:val="auto"/>
          <w:sz w:val="48"/>
          <w:szCs w:val="48"/>
          <w:highlight w:val="none"/>
        </w:rPr>
        <w:br w:type="page"/>
      </w:r>
    </w:p>
    <w:p w14:paraId="03B6FF03">
      <w:pPr>
        <w:shd w:val="clear" w:color="auto" w:fill="FFFFFF"/>
        <w:snapToGrid w:val="0"/>
        <w:spacing w:line="360" w:lineRule="auto"/>
        <w:ind w:right="105" w:rightChars="50"/>
        <w:jc w:val="center"/>
        <w:outlineLvl w:val="0"/>
        <w:rPr>
          <w:rFonts w:ascii="宋体"/>
          <w:b/>
          <w:bCs/>
          <w:color w:val="auto"/>
          <w:sz w:val="48"/>
          <w:szCs w:val="48"/>
          <w:highlight w:val="none"/>
        </w:rPr>
      </w:pPr>
      <w:r>
        <w:rPr>
          <w:rFonts w:hint="eastAsia" w:ascii="宋体" w:hAnsi="宋体" w:cs="宋体"/>
          <w:b/>
          <w:bCs/>
          <w:color w:val="auto"/>
          <w:sz w:val="48"/>
          <w:szCs w:val="48"/>
          <w:highlight w:val="none"/>
        </w:rPr>
        <w:t>第六章</w:t>
      </w:r>
      <w:r>
        <w:rPr>
          <w:rFonts w:ascii="宋体" w:hAnsi="宋体" w:cs="宋体"/>
          <w:b/>
          <w:bCs/>
          <w:color w:val="auto"/>
          <w:sz w:val="48"/>
          <w:szCs w:val="48"/>
          <w:highlight w:val="none"/>
        </w:rPr>
        <w:t xml:space="preserve"> </w:t>
      </w:r>
      <w:r>
        <w:rPr>
          <w:rFonts w:hint="eastAsia" w:ascii="宋体" w:hAnsi="宋体" w:cs="宋体"/>
          <w:b/>
          <w:bCs/>
          <w:color w:val="auto"/>
          <w:sz w:val="48"/>
          <w:szCs w:val="48"/>
          <w:highlight w:val="none"/>
        </w:rPr>
        <w:t>投标文件格式</w:t>
      </w:r>
      <w:bookmarkEnd w:id="166"/>
    </w:p>
    <w:p w14:paraId="1E61B650">
      <w:pPr>
        <w:widowControl/>
        <w:shd w:val="clear" w:color="auto" w:fill="FFFFFF"/>
        <w:autoSpaceDN w:val="0"/>
        <w:spacing w:line="360" w:lineRule="auto"/>
        <w:jc w:val="center"/>
        <w:rPr>
          <w:rFonts w:ascii="宋体"/>
          <w:b/>
          <w:bCs/>
          <w:color w:val="auto"/>
          <w:kern w:val="0"/>
          <w:sz w:val="24"/>
          <w:szCs w:val="24"/>
          <w:highlight w:val="none"/>
          <w:shd w:val="clear" w:color="auto" w:fill="FFFFFF"/>
        </w:rPr>
      </w:pPr>
      <w:bookmarkStart w:id="167" w:name="_Toc171073208"/>
      <w:bookmarkStart w:id="168" w:name="_Toc223432388"/>
      <w:bookmarkStart w:id="169" w:name="_Toc171073043"/>
      <w:r>
        <w:rPr>
          <w:rFonts w:hint="eastAsia" w:ascii="宋体" w:hAnsi="宋体" w:cs="宋体"/>
          <w:color w:val="auto"/>
          <w:kern w:val="0"/>
          <w:sz w:val="24"/>
          <w:szCs w:val="24"/>
          <w:highlight w:val="none"/>
          <w:shd w:val="clear" w:color="auto" w:fill="FFFFFF"/>
        </w:rPr>
        <w:t>★</w:t>
      </w:r>
      <w:r>
        <w:rPr>
          <w:rFonts w:hint="eastAsia" w:ascii="宋体" w:hAnsi="宋体" w:cs="宋体"/>
          <w:b/>
          <w:bCs/>
          <w:color w:val="auto"/>
          <w:kern w:val="0"/>
          <w:sz w:val="24"/>
          <w:szCs w:val="24"/>
          <w:highlight w:val="none"/>
          <w:shd w:val="clear" w:color="auto" w:fill="FFFFFF"/>
        </w:rPr>
        <w:t>说明：请供应商使用此页格式作为所编写投标文件的封皮。</w:t>
      </w:r>
    </w:p>
    <w:p w14:paraId="259BD296">
      <w:pPr>
        <w:shd w:val="clear" w:color="auto" w:fill="FFFFFF"/>
        <w:snapToGrid w:val="0"/>
        <w:spacing w:line="360" w:lineRule="auto"/>
        <w:ind w:right="105" w:rightChars="50"/>
        <w:rPr>
          <w:rFonts w:ascii="宋体"/>
          <w:b/>
          <w:bCs/>
          <w:color w:val="auto"/>
          <w:sz w:val="36"/>
          <w:szCs w:val="36"/>
          <w:highlight w:val="none"/>
        </w:rPr>
      </w:pPr>
    </w:p>
    <w:p w14:paraId="65EA8ED2">
      <w:pPr>
        <w:jc w:val="center"/>
        <w:rPr>
          <w:rFonts w:ascii="宋体"/>
          <w:b/>
          <w:bCs/>
          <w:color w:val="auto"/>
          <w:sz w:val="96"/>
          <w:szCs w:val="96"/>
          <w:highlight w:val="none"/>
        </w:rPr>
      </w:pPr>
      <w:r>
        <w:rPr>
          <w:rFonts w:hint="eastAsia" w:ascii="宋体" w:hAnsi="宋体" w:cs="宋体"/>
          <w:b/>
          <w:bCs/>
          <w:color w:val="auto"/>
          <w:sz w:val="52"/>
          <w:szCs w:val="52"/>
          <w:highlight w:val="none"/>
        </w:rPr>
        <w:t>渑池县X波段相控阵天气建设工程项目（雷达系统设备采购）</w:t>
      </w:r>
    </w:p>
    <w:p w14:paraId="7275EF52">
      <w:pPr>
        <w:rPr>
          <w:color w:val="auto"/>
          <w:highlight w:val="none"/>
        </w:rPr>
      </w:pPr>
    </w:p>
    <w:p w14:paraId="316AFF3F">
      <w:pPr>
        <w:rPr>
          <w:color w:val="auto"/>
          <w:highlight w:val="none"/>
        </w:rPr>
      </w:pPr>
    </w:p>
    <w:p w14:paraId="70CEE16F">
      <w:pPr>
        <w:rPr>
          <w:color w:val="auto"/>
          <w:highlight w:val="none"/>
        </w:rPr>
      </w:pPr>
    </w:p>
    <w:p w14:paraId="4BAB5F74">
      <w:pPr>
        <w:rPr>
          <w:color w:val="auto"/>
          <w:highlight w:val="none"/>
        </w:rPr>
      </w:pPr>
    </w:p>
    <w:p w14:paraId="0879AFFF">
      <w:pPr>
        <w:rPr>
          <w:color w:val="auto"/>
          <w:highlight w:val="none"/>
        </w:rPr>
      </w:pPr>
    </w:p>
    <w:p w14:paraId="3F618EB9">
      <w:pPr>
        <w:rPr>
          <w:color w:val="auto"/>
          <w:highlight w:val="none"/>
        </w:rPr>
      </w:pPr>
    </w:p>
    <w:p w14:paraId="1CAD14D1">
      <w:pPr>
        <w:jc w:val="center"/>
        <w:rPr>
          <w:rFonts w:ascii="宋体"/>
          <w:b/>
          <w:bCs/>
          <w:color w:val="auto"/>
          <w:sz w:val="72"/>
          <w:szCs w:val="72"/>
          <w:highlight w:val="none"/>
        </w:rPr>
      </w:pPr>
      <w:r>
        <w:rPr>
          <w:rFonts w:hint="eastAsia" w:ascii="宋体" w:hAnsi="宋体" w:cs="宋体"/>
          <w:b/>
          <w:bCs/>
          <w:color w:val="auto"/>
          <w:sz w:val="72"/>
          <w:szCs w:val="72"/>
          <w:highlight w:val="none"/>
        </w:rPr>
        <w:t>投标文件</w:t>
      </w:r>
    </w:p>
    <w:p w14:paraId="370465F3">
      <w:pPr>
        <w:shd w:val="clear" w:color="auto" w:fill="FFFFFF"/>
        <w:snapToGrid w:val="0"/>
        <w:spacing w:line="360" w:lineRule="auto"/>
        <w:ind w:right="105" w:rightChars="50"/>
        <w:jc w:val="center"/>
        <w:rPr>
          <w:rFonts w:ascii="宋体"/>
          <w:b/>
          <w:bCs/>
          <w:color w:val="auto"/>
          <w:sz w:val="28"/>
          <w:szCs w:val="28"/>
          <w:highlight w:val="none"/>
        </w:rPr>
      </w:pPr>
    </w:p>
    <w:p w14:paraId="3EC7F4D1">
      <w:pPr>
        <w:shd w:val="clear" w:color="auto" w:fill="FFFFFF"/>
        <w:snapToGrid w:val="0"/>
        <w:spacing w:line="360" w:lineRule="auto"/>
        <w:ind w:right="105" w:rightChars="50"/>
        <w:jc w:val="center"/>
        <w:rPr>
          <w:rFonts w:ascii="宋体"/>
          <w:b/>
          <w:bCs/>
          <w:color w:val="auto"/>
          <w:sz w:val="28"/>
          <w:szCs w:val="28"/>
          <w:highlight w:val="none"/>
        </w:rPr>
      </w:pPr>
    </w:p>
    <w:p w14:paraId="1807D217">
      <w:pPr>
        <w:shd w:val="clear" w:color="auto" w:fill="FFFFFF"/>
        <w:snapToGrid w:val="0"/>
        <w:spacing w:line="360" w:lineRule="auto"/>
        <w:ind w:right="105" w:rightChars="50" w:firstLine="2711" w:firstLineChars="900"/>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采购编号： </w:t>
      </w:r>
    </w:p>
    <w:p w14:paraId="7F137FDD">
      <w:pPr>
        <w:shd w:val="clear" w:color="auto" w:fill="FFFFFF"/>
        <w:snapToGrid w:val="0"/>
        <w:spacing w:line="360" w:lineRule="auto"/>
        <w:ind w:right="105" w:rightChars="50" w:firstLine="2711" w:firstLineChars="900"/>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项目编号： </w:t>
      </w:r>
    </w:p>
    <w:p w14:paraId="2A1D3460">
      <w:pPr>
        <w:shd w:val="clear" w:color="auto" w:fill="FFFFFF"/>
        <w:snapToGrid w:val="0"/>
        <w:spacing w:line="360" w:lineRule="auto"/>
        <w:ind w:right="105" w:rightChars="50"/>
        <w:rPr>
          <w:rFonts w:ascii="宋体"/>
          <w:b/>
          <w:bCs/>
          <w:color w:val="auto"/>
          <w:kern w:val="0"/>
          <w:sz w:val="24"/>
          <w:szCs w:val="24"/>
          <w:highlight w:val="none"/>
          <w:shd w:val="clear" w:color="auto" w:fill="FFFFFF"/>
        </w:rPr>
      </w:pPr>
    </w:p>
    <w:p w14:paraId="3D6F20B7">
      <w:pPr>
        <w:pStyle w:val="6"/>
        <w:rPr>
          <w:color w:val="auto"/>
          <w:highlight w:val="none"/>
        </w:rPr>
      </w:pPr>
    </w:p>
    <w:p w14:paraId="6B46DE26">
      <w:pPr>
        <w:widowControl/>
        <w:shd w:val="clear" w:color="auto" w:fill="FFFFFF"/>
        <w:autoSpaceDN w:val="0"/>
        <w:spacing w:line="360" w:lineRule="auto"/>
        <w:ind w:firstLine="1269" w:firstLineChars="395"/>
        <w:rPr>
          <w:rFonts w:ascii="宋体"/>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投标供应商：（盖章）</w:t>
      </w:r>
    </w:p>
    <w:p w14:paraId="18C5578F">
      <w:pPr>
        <w:widowControl/>
        <w:shd w:val="clear" w:color="auto" w:fill="FFFFFF"/>
        <w:tabs>
          <w:tab w:val="left" w:pos="360"/>
        </w:tabs>
        <w:autoSpaceDN w:val="0"/>
        <w:spacing w:line="360" w:lineRule="auto"/>
        <w:ind w:firstLine="1269" w:firstLineChars="395"/>
        <w:rPr>
          <w:rFonts w:ascii="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法定代表人：（签章）</w:t>
      </w:r>
    </w:p>
    <w:p w14:paraId="65BCD73F">
      <w:pPr>
        <w:widowControl/>
        <w:shd w:val="clear" w:color="auto" w:fill="FFFFFF"/>
        <w:autoSpaceDN w:val="0"/>
        <w:spacing w:line="360" w:lineRule="auto"/>
        <w:ind w:firstLine="1269" w:firstLineChars="395"/>
        <w:rPr>
          <w:rFonts w:ascii="宋体" w:hAnsi="宋体" w:cs="宋体"/>
          <w:b/>
          <w:bCs/>
          <w:color w:val="auto"/>
          <w:sz w:val="44"/>
          <w:szCs w:val="44"/>
          <w:highlight w:val="none"/>
        </w:rPr>
      </w:pPr>
      <w:r>
        <w:rPr>
          <w:rFonts w:hint="eastAsia" w:ascii="宋体" w:hAnsi="宋体" w:cs="宋体"/>
          <w:b/>
          <w:bCs/>
          <w:color w:val="auto"/>
          <w:kern w:val="0"/>
          <w:sz w:val="32"/>
          <w:szCs w:val="32"/>
          <w:highlight w:val="none"/>
          <w:shd w:val="clear" w:color="auto" w:fill="FFFFFF"/>
        </w:rPr>
        <w:t xml:space="preserve">    日      期：</w:t>
      </w:r>
    </w:p>
    <w:p w14:paraId="189A84F9">
      <w:pPr>
        <w:rPr>
          <w:color w:val="auto"/>
          <w:highlight w:val="none"/>
        </w:rPr>
      </w:pPr>
    </w:p>
    <w:p w14:paraId="7AEC0C4F">
      <w:pPr>
        <w:jc w:val="center"/>
        <w:rPr>
          <w:rFonts w:ascii="宋体" w:hAnsi="宋体" w:cs="宋体"/>
          <w:b/>
          <w:bCs/>
          <w:color w:val="auto"/>
          <w:sz w:val="44"/>
          <w:szCs w:val="44"/>
          <w:highlight w:val="none"/>
        </w:rPr>
      </w:pPr>
    </w:p>
    <w:p w14:paraId="4CA13A52">
      <w:pPr>
        <w:jc w:val="center"/>
        <w:rPr>
          <w:rFonts w:ascii="宋体" w:hAnsi="宋体" w:cs="宋体"/>
          <w:b/>
          <w:bCs/>
          <w:color w:val="auto"/>
          <w:sz w:val="44"/>
          <w:szCs w:val="44"/>
          <w:highlight w:val="none"/>
        </w:rPr>
      </w:pPr>
    </w:p>
    <w:p w14:paraId="60472CEF">
      <w:pPr>
        <w:jc w:val="center"/>
        <w:rPr>
          <w:rFonts w:ascii="宋体"/>
          <w:b/>
          <w:bCs/>
          <w:color w:val="auto"/>
          <w:sz w:val="36"/>
          <w:szCs w:val="36"/>
          <w:highlight w:val="none"/>
        </w:rPr>
      </w:pPr>
      <w:r>
        <w:rPr>
          <w:rFonts w:hint="eastAsia" w:ascii="宋体" w:hAnsi="宋体" w:cs="宋体"/>
          <w:b/>
          <w:bCs/>
          <w:color w:val="auto"/>
          <w:sz w:val="44"/>
          <w:szCs w:val="44"/>
          <w:highlight w:val="none"/>
        </w:rPr>
        <w:t>投标文件目录</w:t>
      </w:r>
    </w:p>
    <w:p w14:paraId="2593C22A">
      <w:pPr>
        <w:widowControl/>
        <w:shd w:val="clear" w:color="auto" w:fill="FFFFFF"/>
        <w:autoSpaceDN w:val="0"/>
        <w:spacing w:line="360" w:lineRule="auto"/>
        <w:jc w:val="left"/>
        <w:rPr>
          <w:rFonts w:ascii="宋体" w:hAnsi="宋体" w:cs="宋体"/>
          <w:b/>
          <w:bCs/>
          <w:color w:val="auto"/>
          <w:sz w:val="30"/>
          <w:szCs w:val="30"/>
          <w:highlight w:val="none"/>
        </w:rPr>
      </w:pPr>
    </w:p>
    <w:p w14:paraId="308C89F8">
      <w:pPr>
        <w:rPr>
          <w:color w:val="auto"/>
          <w:sz w:val="28"/>
          <w:szCs w:val="28"/>
          <w:highlight w:val="none"/>
        </w:rPr>
      </w:pPr>
      <w:r>
        <w:rPr>
          <w:rFonts w:hint="eastAsia"/>
          <w:color w:val="auto"/>
          <w:sz w:val="28"/>
          <w:szCs w:val="28"/>
          <w:highlight w:val="none"/>
        </w:rPr>
        <w:t>一、法定代表人身份证明书</w:t>
      </w:r>
    </w:p>
    <w:p w14:paraId="1A95B83A">
      <w:pPr>
        <w:rPr>
          <w:color w:val="auto"/>
          <w:sz w:val="28"/>
          <w:szCs w:val="28"/>
          <w:highlight w:val="none"/>
        </w:rPr>
      </w:pPr>
      <w:r>
        <w:rPr>
          <w:rFonts w:hint="eastAsia"/>
          <w:color w:val="auto"/>
          <w:sz w:val="28"/>
          <w:szCs w:val="28"/>
          <w:highlight w:val="none"/>
        </w:rPr>
        <w:t>二、投标文件签署授权委托书</w:t>
      </w:r>
    </w:p>
    <w:p w14:paraId="7CC94755">
      <w:pPr>
        <w:rPr>
          <w:color w:val="auto"/>
          <w:sz w:val="28"/>
          <w:szCs w:val="28"/>
          <w:highlight w:val="none"/>
        </w:rPr>
      </w:pPr>
      <w:r>
        <w:rPr>
          <w:rFonts w:hint="eastAsia"/>
          <w:color w:val="auto"/>
          <w:sz w:val="28"/>
          <w:szCs w:val="28"/>
          <w:highlight w:val="none"/>
        </w:rPr>
        <w:t>三、投标函</w:t>
      </w:r>
    </w:p>
    <w:p w14:paraId="50C285E8">
      <w:pPr>
        <w:rPr>
          <w:color w:val="auto"/>
          <w:sz w:val="28"/>
          <w:szCs w:val="28"/>
          <w:highlight w:val="none"/>
        </w:rPr>
      </w:pPr>
      <w:r>
        <w:rPr>
          <w:rFonts w:hint="eastAsia"/>
          <w:color w:val="auto"/>
          <w:sz w:val="28"/>
          <w:szCs w:val="28"/>
          <w:highlight w:val="none"/>
        </w:rPr>
        <w:t>四、报价明细表</w:t>
      </w:r>
    </w:p>
    <w:p w14:paraId="51980333">
      <w:pPr>
        <w:rPr>
          <w:rFonts w:ascii="宋体" w:hAnsi="宋体"/>
          <w:color w:val="auto"/>
          <w:sz w:val="24"/>
          <w:szCs w:val="24"/>
          <w:highlight w:val="none"/>
        </w:rPr>
      </w:pPr>
      <w:r>
        <w:rPr>
          <w:rFonts w:hint="eastAsia"/>
          <w:color w:val="auto"/>
          <w:sz w:val="28"/>
          <w:szCs w:val="28"/>
          <w:highlight w:val="none"/>
        </w:rPr>
        <w:t>五、资格审查资料</w:t>
      </w:r>
    </w:p>
    <w:p w14:paraId="4FBFA746">
      <w:pPr>
        <w:rPr>
          <w:color w:val="auto"/>
          <w:sz w:val="28"/>
          <w:szCs w:val="28"/>
          <w:highlight w:val="none"/>
        </w:rPr>
      </w:pPr>
      <w:r>
        <w:rPr>
          <w:rFonts w:hint="eastAsia"/>
          <w:color w:val="auto"/>
          <w:sz w:val="28"/>
          <w:szCs w:val="28"/>
          <w:highlight w:val="none"/>
        </w:rPr>
        <w:t>六、中小企业声明函（货物）</w:t>
      </w:r>
    </w:p>
    <w:p w14:paraId="068109EA">
      <w:pPr>
        <w:rPr>
          <w:color w:val="auto"/>
          <w:sz w:val="28"/>
          <w:szCs w:val="28"/>
          <w:highlight w:val="none"/>
        </w:rPr>
      </w:pPr>
      <w:r>
        <w:rPr>
          <w:rFonts w:hint="eastAsia"/>
          <w:color w:val="auto"/>
          <w:sz w:val="28"/>
          <w:szCs w:val="28"/>
          <w:highlight w:val="none"/>
        </w:rPr>
        <w:t>七、投标承诺函</w:t>
      </w:r>
    </w:p>
    <w:p w14:paraId="1F66158D">
      <w:pPr>
        <w:rPr>
          <w:color w:val="auto"/>
          <w:sz w:val="28"/>
          <w:szCs w:val="28"/>
          <w:highlight w:val="none"/>
        </w:rPr>
      </w:pPr>
      <w:r>
        <w:rPr>
          <w:rFonts w:hint="eastAsia"/>
          <w:color w:val="auto"/>
          <w:sz w:val="28"/>
          <w:szCs w:val="28"/>
          <w:highlight w:val="none"/>
        </w:rPr>
        <w:t>八、其他资料</w:t>
      </w:r>
    </w:p>
    <w:p w14:paraId="2A5576E6">
      <w:pPr>
        <w:rPr>
          <w:color w:val="auto"/>
          <w:sz w:val="28"/>
          <w:szCs w:val="28"/>
          <w:highlight w:val="none"/>
        </w:rPr>
      </w:pPr>
    </w:p>
    <w:p w14:paraId="2BBF23A2">
      <w:pPr>
        <w:rPr>
          <w:color w:val="auto"/>
          <w:sz w:val="28"/>
          <w:szCs w:val="28"/>
          <w:highlight w:val="none"/>
        </w:rPr>
      </w:pPr>
    </w:p>
    <w:p w14:paraId="5EC6BBAA">
      <w:pPr>
        <w:rPr>
          <w:color w:val="auto"/>
          <w:sz w:val="28"/>
          <w:szCs w:val="28"/>
          <w:highlight w:val="none"/>
        </w:rPr>
      </w:pPr>
    </w:p>
    <w:p w14:paraId="091A6358">
      <w:pPr>
        <w:widowControl/>
        <w:shd w:val="clear" w:color="auto" w:fill="FFFFFF"/>
        <w:autoSpaceDN w:val="0"/>
        <w:spacing w:line="360" w:lineRule="auto"/>
        <w:jc w:val="center"/>
        <w:rPr>
          <w:rFonts w:ascii="宋体" w:hAnsi="宋体" w:cs="宋体"/>
          <w:b/>
          <w:bCs/>
          <w:color w:val="auto"/>
          <w:sz w:val="30"/>
          <w:szCs w:val="30"/>
          <w:highlight w:val="none"/>
        </w:rPr>
      </w:pPr>
    </w:p>
    <w:p w14:paraId="5461E0BD">
      <w:pPr>
        <w:widowControl/>
        <w:shd w:val="clear" w:color="auto" w:fill="FFFFFF"/>
        <w:autoSpaceDN w:val="0"/>
        <w:spacing w:line="360" w:lineRule="auto"/>
        <w:jc w:val="center"/>
        <w:rPr>
          <w:rFonts w:ascii="宋体" w:hAnsi="宋体" w:cs="宋体"/>
          <w:b/>
          <w:bCs/>
          <w:color w:val="auto"/>
          <w:sz w:val="30"/>
          <w:szCs w:val="30"/>
          <w:highlight w:val="none"/>
        </w:rPr>
      </w:pPr>
    </w:p>
    <w:p w14:paraId="49F78E39">
      <w:pPr>
        <w:widowControl/>
        <w:shd w:val="clear" w:color="auto" w:fill="FFFFFF"/>
        <w:autoSpaceDN w:val="0"/>
        <w:spacing w:line="360" w:lineRule="auto"/>
        <w:jc w:val="center"/>
        <w:rPr>
          <w:rFonts w:ascii="宋体" w:hAnsi="宋体" w:cs="宋体"/>
          <w:b/>
          <w:bCs/>
          <w:color w:val="auto"/>
          <w:sz w:val="30"/>
          <w:szCs w:val="30"/>
          <w:highlight w:val="none"/>
        </w:rPr>
      </w:pPr>
    </w:p>
    <w:p w14:paraId="3917F933">
      <w:pPr>
        <w:widowControl/>
        <w:shd w:val="clear" w:color="auto" w:fill="FFFFFF"/>
        <w:autoSpaceDN w:val="0"/>
        <w:spacing w:line="360" w:lineRule="auto"/>
        <w:jc w:val="center"/>
        <w:rPr>
          <w:rFonts w:ascii="宋体" w:hAnsi="宋体" w:cs="宋体"/>
          <w:b/>
          <w:bCs/>
          <w:color w:val="auto"/>
          <w:sz w:val="30"/>
          <w:szCs w:val="30"/>
          <w:highlight w:val="none"/>
        </w:rPr>
      </w:pPr>
    </w:p>
    <w:p w14:paraId="67BFE0DB">
      <w:pPr>
        <w:widowControl/>
        <w:shd w:val="clear" w:color="auto" w:fill="FFFFFF"/>
        <w:autoSpaceDN w:val="0"/>
        <w:spacing w:line="360" w:lineRule="auto"/>
        <w:jc w:val="center"/>
        <w:rPr>
          <w:rFonts w:ascii="宋体" w:hAnsi="宋体" w:cs="宋体"/>
          <w:b/>
          <w:bCs/>
          <w:color w:val="auto"/>
          <w:sz w:val="30"/>
          <w:szCs w:val="30"/>
          <w:highlight w:val="none"/>
        </w:rPr>
      </w:pPr>
    </w:p>
    <w:p w14:paraId="47222EC3">
      <w:pPr>
        <w:widowControl/>
        <w:shd w:val="clear" w:color="auto" w:fill="FFFFFF"/>
        <w:autoSpaceDN w:val="0"/>
        <w:spacing w:line="360" w:lineRule="auto"/>
        <w:jc w:val="center"/>
        <w:rPr>
          <w:rFonts w:ascii="宋体" w:hAnsi="宋体" w:cs="宋体"/>
          <w:b/>
          <w:bCs/>
          <w:color w:val="auto"/>
          <w:sz w:val="30"/>
          <w:szCs w:val="30"/>
          <w:highlight w:val="none"/>
        </w:rPr>
      </w:pPr>
    </w:p>
    <w:p w14:paraId="0568DCB0">
      <w:pPr>
        <w:widowControl/>
        <w:shd w:val="clear" w:color="auto" w:fill="FFFFFF"/>
        <w:autoSpaceDN w:val="0"/>
        <w:spacing w:line="360" w:lineRule="auto"/>
        <w:jc w:val="center"/>
        <w:rPr>
          <w:rFonts w:ascii="宋体" w:hAnsi="宋体" w:cs="宋体"/>
          <w:b/>
          <w:bCs/>
          <w:color w:val="auto"/>
          <w:sz w:val="30"/>
          <w:szCs w:val="30"/>
          <w:highlight w:val="none"/>
        </w:rPr>
      </w:pPr>
    </w:p>
    <w:p w14:paraId="22E70A5B">
      <w:pPr>
        <w:rPr>
          <w:color w:val="auto"/>
          <w:sz w:val="32"/>
          <w:szCs w:val="32"/>
          <w:highlight w:val="none"/>
        </w:rPr>
      </w:pPr>
      <w:bookmarkStart w:id="170" w:name="_Toc223432389"/>
      <w:bookmarkStart w:id="171" w:name="_Toc171073209"/>
      <w:bookmarkStart w:id="172" w:name="_Toc169921409"/>
      <w:bookmarkStart w:id="173" w:name="_Toc171073044"/>
    </w:p>
    <w:p w14:paraId="1485044D">
      <w:pPr>
        <w:jc w:val="center"/>
        <w:rPr>
          <w:color w:val="auto"/>
          <w:sz w:val="32"/>
          <w:szCs w:val="32"/>
          <w:highlight w:val="none"/>
        </w:rPr>
      </w:pPr>
    </w:p>
    <w:p w14:paraId="4E02BD23">
      <w:pPr>
        <w:jc w:val="center"/>
        <w:outlineLvl w:val="0"/>
        <w:rPr>
          <w:b/>
          <w:bCs/>
          <w:color w:val="auto"/>
          <w:sz w:val="32"/>
          <w:szCs w:val="32"/>
          <w:highlight w:val="none"/>
        </w:rPr>
      </w:pPr>
      <w:bookmarkStart w:id="174" w:name="_Toc7956"/>
      <w:bookmarkStart w:id="175" w:name="_Toc22927"/>
      <w:r>
        <w:rPr>
          <w:rFonts w:hint="eastAsia"/>
          <w:b/>
          <w:bCs/>
          <w:color w:val="auto"/>
          <w:sz w:val="32"/>
          <w:szCs w:val="32"/>
          <w:highlight w:val="none"/>
        </w:rPr>
        <w:t>一、法定代表人身份证明书</w:t>
      </w:r>
      <w:bookmarkEnd w:id="170"/>
      <w:bookmarkEnd w:id="171"/>
      <w:bookmarkEnd w:id="172"/>
      <w:bookmarkEnd w:id="173"/>
      <w:bookmarkEnd w:id="174"/>
      <w:bookmarkEnd w:id="175"/>
    </w:p>
    <w:p w14:paraId="5A1EC646">
      <w:pPr>
        <w:spacing w:line="440" w:lineRule="exact"/>
        <w:rPr>
          <w:b/>
          <w:bCs/>
          <w:color w:val="auto"/>
          <w:sz w:val="32"/>
          <w:szCs w:val="32"/>
          <w:highlight w:val="none"/>
        </w:rPr>
      </w:pPr>
    </w:p>
    <w:p w14:paraId="69A94E1C">
      <w:pPr>
        <w:spacing w:line="480" w:lineRule="auto"/>
        <w:ind w:firstLine="612"/>
        <w:rPr>
          <w:color w:val="auto"/>
          <w:sz w:val="24"/>
          <w:szCs w:val="24"/>
          <w:highlight w:val="none"/>
        </w:rPr>
      </w:pPr>
      <w:r>
        <w:rPr>
          <w:rFonts w:hint="eastAsia" w:ascii="宋体" w:hAnsi="宋体" w:cs="宋体"/>
          <w:color w:val="auto"/>
          <w:sz w:val="24"/>
          <w:szCs w:val="24"/>
          <w:highlight w:val="none"/>
        </w:rPr>
        <w:t>单位名称：</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p>
    <w:p w14:paraId="1F266A7B">
      <w:pPr>
        <w:spacing w:line="480" w:lineRule="auto"/>
        <w:ind w:firstLine="610"/>
        <w:rPr>
          <w:color w:val="auto"/>
          <w:sz w:val="24"/>
          <w:szCs w:val="24"/>
          <w:highlight w:val="none"/>
          <w:u w:val="single"/>
        </w:rPr>
      </w:pPr>
      <w:r>
        <w:rPr>
          <w:rFonts w:hint="eastAsia" w:ascii="宋体" w:hAnsi="宋体" w:cs="宋体"/>
          <w:color w:val="auto"/>
          <w:sz w:val="24"/>
          <w:szCs w:val="24"/>
          <w:highlight w:val="none"/>
        </w:rPr>
        <w:t>单位性质：</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p>
    <w:p w14:paraId="1FCFB026">
      <w:pPr>
        <w:spacing w:line="480" w:lineRule="auto"/>
        <w:ind w:firstLine="610"/>
        <w:rPr>
          <w:rFonts w:ascii="宋体"/>
          <w:color w:val="auto"/>
          <w:sz w:val="24"/>
          <w:szCs w:val="24"/>
          <w:highlight w:val="none"/>
          <w:u w:val="single"/>
        </w:rPr>
      </w:pPr>
      <w:r>
        <w:rPr>
          <w:rFonts w:hint="eastAsia" w:ascii="宋体" w:hAnsi="宋体" w:cs="宋体"/>
          <w:color w:val="auto"/>
          <w:sz w:val="24"/>
          <w:szCs w:val="24"/>
          <w:highlight w:val="none"/>
        </w:rPr>
        <w:t>地址：</w:t>
      </w:r>
      <w:r>
        <w:rPr>
          <w:color w:val="auto"/>
          <w:sz w:val="24"/>
          <w:szCs w:val="24"/>
          <w:highlight w:val="none"/>
          <w:u w:val="single"/>
        </w:rPr>
        <w:tab/>
      </w:r>
      <w:r>
        <w:rPr>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hint="eastAsia" w:ascii="宋体"/>
          <w:color w:val="auto"/>
          <w:sz w:val="24"/>
          <w:szCs w:val="24"/>
          <w:highlight w:val="none"/>
          <w:u w:val="single"/>
        </w:rPr>
        <w:t xml:space="preserve">       </w:t>
      </w:r>
      <w:r>
        <w:rPr>
          <w:rFonts w:ascii="宋体"/>
          <w:color w:val="auto"/>
          <w:sz w:val="24"/>
          <w:szCs w:val="24"/>
          <w:highlight w:val="none"/>
          <w:u w:val="single"/>
        </w:rPr>
        <w:tab/>
      </w:r>
    </w:p>
    <w:p w14:paraId="7DA575DF">
      <w:pPr>
        <w:spacing w:line="480" w:lineRule="auto"/>
        <w:ind w:firstLine="610"/>
        <w:rPr>
          <w:color w:val="auto"/>
          <w:sz w:val="24"/>
          <w:szCs w:val="24"/>
          <w:highlight w:val="none"/>
        </w:rPr>
      </w:pPr>
      <w:r>
        <w:rPr>
          <w:rFonts w:hint="eastAsia" w:ascii="宋体" w:hAnsi="宋体" w:cs="宋体"/>
          <w:color w:val="auto"/>
          <w:sz w:val="24"/>
          <w:szCs w:val="24"/>
          <w:highlight w:val="none"/>
        </w:rPr>
        <w:t>成立时间：   年   月   日</w:t>
      </w:r>
    </w:p>
    <w:p w14:paraId="4FA7E492">
      <w:pPr>
        <w:spacing w:line="480" w:lineRule="auto"/>
        <w:ind w:firstLine="610"/>
        <w:rPr>
          <w:rFonts w:ascii="宋体"/>
          <w:color w:val="auto"/>
          <w:sz w:val="24"/>
          <w:szCs w:val="24"/>
          <w:highlight w:val="none"/>
          <w:u w:val="single"/>
        </w:rPr>
      </w:pPr>
      <w:r>
        <w:rPr>
          <w:rFonts w:hint="eastAsia" w:ascii="宋体" w:hAnsi="宋体" w:cs="宋体"/>
          <w:color w:val="auto"/>
          <w:sz w:val="24"/>
          <w:szCs w:val="24"/>
          <w:highlight w:val="none"/>
        </w:rPr>
        <w:t>经营期限：</w:t>
      </w:r>
      <w:r>
        <w:rPr>
          <w:color w:val="auto"/>
          <w:sz w:val="24"/>
          <w:szCs w:val="24"/>
          <w:highlight w:val="none"/>
          <w:u w:val="single"/>
        </w:rPr>
        <w:tab/>
      </w:r>
      <w:r>
        <w:rPr>
          <w:rFonts w:hint="eastAsia"/>
          <w:color w:val="auto"/>
          <w:sz w:val="24"/>
          <w:szCs w:val="24"/>
          <w:highlight w:val="none"/>
          <w:u w:val="single"/>
        </w:rPr>
        <w:t xml:space="preserve">                            </w:t>
      </w:r>
      <w:r>
        <w:rPr>
          <w:rFonts w:ascii="宋体"/>
          <w:color w:val="auto"/>
          <w:sz w:val="24"/>
          <w:szCs w:val="24"/>
          <w:highlight w:val="none"/>
          <w:u w:val="single"/>
        </w:rPr>
        <w:tab/>
      </w:r>
    </w:p>
    <w:p w14:paraId="76F898EA">
      <w:pPr>
        <w:spacing w:line="480" w:lineRule="auto"/>
        <w:ind w:firstLine="610"/>
        <w:rPr>
          <w:rFonts w:ascii="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color w:val="auto"/>
          <w:sz w:val="24"/>
          <w:szCs w:val="24"/>
          <w:highlight w:val="none"/>
          <w:u w:val="single"/>
        </w:rPr>
        <w:tab/>
      </w:r>
      <w:r>
        <w:rPr>
          <w:rFonts w:hint="eastAsia"/>
          <w:color w:val="auto"/>
          <w:sz w:val="24"/>
          <w:szCs w:val="24"/>
          <w:highlight w:val="none"/>
          <w:u w:val="single"/>
        </w:rPr>
        <w:t xml:space="preserve">    </w:t>
      </w:r>
    </w:p>
    <w:p w14:paraId="3A0F4E15">
      <w:pPr>
        <w:spacing w:line="480" w:lineRule="auto"/>
        <w:ind w:firstLine="610"/>
        <w:rPr>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（投标供应商单位名称）</w:t>
      </w:r>
      <w:r>
        <w:rPr>
          <w:rFonts w:hint="eastAsia" w:ascii="宋体" w:hAnsi="宋体" w:cs="宋体"/>
          <w:color w:val="auto"/>
          <w:sz w:val="24"/>
          <w:szCs w:val="24"/>
          <w:highlight w:val="none"/>
        </w:rPr>
        <w:t>的法定代表人。</w:t>
      </w:r>
    </w:p>
    <w:p w14:paraId="783345E1">
      <w:pPr>
        <w:spacing w:line="480" w:lineRule="auto"/>
        <w:ind w:firstLine="610"/>
        <w:rPr>
          <w:color w:val="auto"/>
          <w:sz w:val="24"/>
          <w:szCs w:val="24"/>
          <w:highlight w:val="none"/>
        </w:rPr>
      </w:pPr>
    </w:p>
    <w:p w14:paraId="620CC92A">
      <w:pPr>
        <w:spacing w:line="480" w:lineRule="auto"/>
        <w:ind w:firstLine="1089" w:firstLineChars="454"/>
        <w:rPr>
          <w:color w:val="auto"/>
          <w:sz w:val="24"/>
          <w:szCs w:val="24"/>
          <w:highlight w:val="none"/>
        </w:rPr>
      </w:pPr>
      <w:r>
        <w:rPr>
          <w:rFonts w:hint="eastAsia" w:ascii="宋体" w:hAnsi="宋体" w:cs="宋体"/>
          <w:color w:val="auto"/>
          <w:sz w:val="24"/>
          <w:szCs w:val="24"/>
          <w:highlight w:val="none"/>
        </w:rPr>
        <w:t>特此证明。</w:t>
      </w:r>
    </w:p>
    <w:p w14:paraId="1F8E36FD">
      <w:pPr>
        <w:tabs>
          <w:tab w:val="left" w:pos="720"/>
          <w:tab w:val="left" w:pos="900"/>
        </w:tabs>
        <w:spacing w:line="480" w:lineRule="auto"/>
        <w:ind w:firstLine="5040" w:firstLineChars="2100"/>
        <w:rPr>
          <w:color w:val="auto"/>
          <w:sz w:val="24"/>
          <w:szCs w:val="24"/>
          <w:highlight w:val="none"/>
        </w:rPr>
      </w:pPr>
    </w:p>
    <w:p w14:paraId="2DE03C83">
      <w:pPr>
        <w:wordWrap w:val="0"/>
        <w:spacing w:line="520" w:lineRule="exact"/>
        <w:ind w:firstLine="2400" w:firstLineChars="1000"/>
        <w:rPr>
          <w:rFonts w:ascii="宋体" w:hAnsi="宋体"/>
          <w:color w:val="auto"/>
          <w:sz w:val="24"/>
          <w:highlight w:val="none"/>
          <w:u w:val="single"/>
        </w:rPr>
      </w:pPr>
      <w:r>
        <w:rPr>
          <w:rFonts w:hint="eastAsia" w:ascii="宋体" w:hAnsi="宋体"/>
          <w:color w:val="auto"/>
          <w:sz w:val="24"/>
          <w:highlight w:val="none"/>
        </w:rPr>
        <w:t xml:space="preserve">             投标供应商（盖章）：</w:t>
      </w:r>
      <w:r>
        <w:rPr>
          <w:rFonts w:hint="eastAsia" w:ascii="宋体" w:hAnsi="宋体"/>
          <w:color w:val="auto"/>
          <w:sz w:val="24"/>
          <w:highlight w:val="none"/>
          <w:u w:val="single"/>
        </w:rPr>
        <w:t xml:space="preserve">               </w:t>
      </w:r>
    </w:p>
    <w:p w14:paraId="0E7E34B3">
      <w:pPr>
        <w:spacing w:line="520" w:lineRule="exact"/>
        <w:ind w:firstLine="480" w:firstLineChars="200"/>
        <w:rPr>
          <w:rFonts w:ascii="宋体" w:hAnsi="宋体"/>
          <w:color w:val="auto"/>
          <w:sz w:val="24"/>
          <w:highlight w:val="none"/>
          <w:u w:val="single"/>
        </w:rPr>
      </w:pPr>
      <w:r>
        <w:rPr>
          <w:rFonts w:hint="eastAsia" w:ascii="宋体" w:hAnsi="宋体"/>
          <w:color w:val="auto"/>
          <w:sz w:val="24"/>
          <w:highlight w:val="none"/>
        </w:rPr>
        <w:t xml:space="preserve">                             法定代表人（签章）： </w:t>
      </w:r>
      <w:r>
        <w:rPr>
          <w:rFonts w:hint="eastAsia" w:ascii="宋体" w:hAnsi="宋体"/>
          <w:color w:val="auto"/>
          <w:sz w:val="24"/>
          <w:highlight w:val="none"/>
          <w:u w:val="single"/>
        </w:rPr>
        <w:t xml:space="preserve">              </w:t>
      </w:r>
    </w:p>
    <w:p w14:paraId="1AB878F8">
      <w:pPr>
        <w:spacing w:line="520" w:lineRule="exact"/>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日   期：</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bookmarkStart w:id="176" w:name="_Toc171073045"/>
      <w:bookmarkStart w:id="177" w:name="_Toc223432390"/>
      <w:bookmarkStart w:id="178" w:name="_Toc171073210"/>
      <w:bookmarkStart w:id="179" w:name="_Toc169921410"/>
    </w:p>
    <w:p w14:paraId="32056F94">
      <w:pPr>
        <w:spacing w:line="520" w:lineRule="exact"/>
        <w:rPr>
          <w:rFonts w:ascii="宋体" w:hAnsi="宋体"/>
          <w:color w:val="auto"/>
          <w:sz w:val="24"/>
          <w:highlight w:val="none"/>
        </w:rPr>
      </w:pPr>
    </w:p>
    <w:tbl>
      <w:tblPr>
        <w:tblStyle w:val="24"/>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6"/>
      </w:tblGrid>
      <w:tr w14:paraId="3FD7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8340" w:type="dxa"/>
            <w:vAlign w:val="center"/>
          </w:tcPr>
          <w:p w14:paraId="15963E0F">
            <w:pPr>
              <w:jc w:val="center"/>
              <w:rPr>
                <w:rFonts w:ascii="宋体" w:hAnsi="宋体"/>
                <w:color w:val="auto"/>
                <w:sz w:val="28"/>
                <w:highlight w:val="none"/>
              </w:rPr>
            </w:pPr>
            <w:r>
              <w:rPr>
                <w:rFonts w:hint="eastAsia" w:ascii="宋体" w:hAnsi="宋体"/>
                <w:color w:val="auto"/>
                <w:kern w:val="0"/>
                <w:sz w:val="28"/>
                <w:szCs w:val="28"/>
                <w:highlight w:val="none"/>
              </w:rPr>
              <w:t>法定代表人身份证复印件（或扫描件）</w:t>
            </w:r>
          </w:p>
        </w:tc>
      </w:tr>
    </w:tbl>
    <w:p w14:paraId="4B9F873B">
      <w:pPr>
        <w:jc w:val="center"/>
        <w:outlineLvl w:val="0"/>
        <w:rPr>
          <w:b/>
          <w:bCs/>
          <w:color w:val="auto"/>
          <w:sz w:val="32"/>
          <w:szCs w:val="32"/>
          <w:highlight w:val="none"/>
        </w:rPr>
      </w:pPr>
      <w:bookmarkStart w:id="180" w:name="_Toc20322"/>
      <w:bookmarkStart w:id="181" w:name="_Toc5384"/>
      <w:r>
        <w:rPr>
          <w:rFonts w:hint="eastAsia"/>
          <w:b/>
          <w:bCs/>
          <w:color w:val="auto"/>
          <w:sz w:val="32"/>
          <w:szCs w:val="32"/>
          <w:highlight w:val="none"/>
        </w:rPr>
        <w:t>二、投标文件签署授权委托书</w:t>
      </w:r>
      <w:bookmarkEnd w:id="176"/>
      <w:bookmarkEnd w:id="177"/>
      <w:bookmarkEnd w:id="178"/>
      <w:bookmarkEnd w:id="179"/>
      <w:bookmarkEnd w:id="180"/>
      <w:bookmarkEnd w:id="181"/>
    </w:p>
    <w:p w14:paraId="4213BB60">
      <w:pPr>
        <w:rPr>
          <w:color w:val="auto"/>
          <w:highlight w:val="none"/>
        </w:rPr>
      </w:pPr>
    </w:p>
    <w:p w14:paraId="0A081CA8">
      <w:pPr>
        <w:tabs>
          <w:tab w:val="left" w:pos="3240"/>
        </w:tabs>
        <w:spacing w:line="480" w:lineRule="auto"/>
        <w:ind w:firstLine="612"/>
        <w:rPr>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（法定代表人）</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为我公司签署本项目的投标文件的法定代表人授权委托代理人，我承认代理人全权代表我所签署的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项目的投标文件的内容。同时授权委托该同志代表我公司参加本项目的投标、开标、合同谈判、处理有关事务等并有权签署有关文件。</w:t>
      </w:r>
    </w:p>
    <w:p w14:paraId="74401725">
      <w:pPr>
        <w:spacing w:line="480" w:lineRule="auto"/>
        <w:ind w:firstLine="697"/>
        <w:rPr>
          <w:color w:val="auto"/>
          <w:sz w:val="24"/>
          <w:szCs w:val="24"/>
          <w:highlight w:val="none"/>
        </w:rPr>
      </w:pPr>
      <w:r>
        <w:rPr>
          <w:rFonts w:hint="eastAsia" w:ascii="宋体" w:hAnsi="宋体" w:cs="宋体"/>
          <w:color w:val="auto"/>
          <w:sz w:val="24"/>
          <w:szCs w:val="24"/>
          <w:highlight w:val="none"/>
        </w:rPr>
        <w:t>代理人无转委托权，特此委托。</w:t>
      </w:r>
    </w:p>
    <w:p w14:paraId="59C4D688">
      <w:pPr>
        <w:spacing w:line="480" w:lineRule="auto"/>
        <w:ind w:firstLine="4320" w:firstLineChars="1800"/>
        <w:rPr>
          <w:color w:val="auto"/>
          <w:sz w:val="24"/>
          <w:szCs w:val="24"/>
          <w:highlight w:val="none"/>
        </w:rPr>
      </w:pPr>
      <w:r>
        <w:rPr>
          <w:rFonts w:hint="eastAsia" w:ascii="宋体" w:hAnsi="宋体" w:cs="宋体"/>
          <w:color w:val="auto"/>
          <w:sz w:val="24"/>
          <w:szCs w:val="24"/>
          <w:highlight w:val="none"/>
        </w:rPr>
        <w:t>投标供应商：</w:t>
      </w:r>
      <w:r>
        <w:rPr>
          <w:rFonts w:hint="eastAsia" w:ascii="宋体" w:hAnsi="宋体" w:cs="宋体"/>
          <w:color w:val="auto"/>
          <w:sz w:val="24"/>
          <w:szCs w:val="24"/>
          <w:highlight w:val="none"/>
          <w:u w:val="single"/>
        </w:rPr>
        <w:t xml:space="preserve">         （盖章）     </w:t>
      </w:r>
    </w:p>
    <w:p w14:paraId="6F67156A">
      <w:pPr>
        <w:spacing w:line="480" w:lineRule="auto"/>
        <w:ind w:firstLine="4320" w:firstLineChars="18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（签章）     </w:t>
      </w:r>
    </w:p>
    <w:p w14:paraId="60AD86EE">
      <w:pPr>
        <w:spacing w:line="480" w:lineRule="auto"/>
        <w:ind w:firstLine="4320" w:firstLineChars="1800"/>
        <w:rPr>
          <w:rFonts w:ascii="宋体"/>
          <w:color w:val="auto"/>
          <w:sz w:val="24"/>
          <w:szCs w:val="24"/>
          <w:highlight w:val="none"/>
          <w:u w:val="single"/>
        </w:rPr>
      </w:pPr>
      <w:r>
        <w:rPr>
          <w:rFonts w:hint="eastAsia" w:ascii="宋体" w:hAnsi="宋体" w:cs="宋体"/>
          <w:color w:val="auto"/>
          <w:sz w:val="24"/>
          <w:szCs w:val="24"/>
          <w:highlight w:val="none"/>
        </w:rPr>
        <w:t>代理人（签字）：</w:t>
      </w:r>
      <w:r>
        <w:rPr>
          <w:rFonts w:hint="eastAsia" w:ascii="宋体" w:hAnsi="宋体" w:cs="宋体"/>
          <w:color w:val="auto"/>
          <w:sz w:val="24"/>
          <w:szCs w:val="24"/>
          <w:highlight w:val="none"/>
          <w:u w:val="single"/>
        </w:rPr>
        <w:t xml:space="preserve">                  </w:t>
      </w:r>
    </w:p>
    <w:p w14:paraId="7C1E4960">
      <w:pPr>
        <w:spacing w:line="480" w:lineRule="auto"/>
        <w:ind w:firstLine="4320" w:firstLineChars="1800"/>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30F1DDD0">
      <w:pPr>
        <w:spacing w:line="480" w:lineRule="auto"/>
        <w:ind w:firstLine="4320" w:firstLineChars="1800"/>
        <w:rPr>
          <w:rFonts w:ascii="宋体" w:hAnsi="宋体" w:cs="宋体"/>
          <w:color w:val="auto"/>
          <w:sz w:val="24"/>
          <w:szCs w:val="24"/>
          <w:highlight w:val="none"/>
          <w:u w:val="singl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p>
    <w:p w14:paraId="49D74ACE">
      <w:pPr>
        <w:spacing w:line="480" w:lineRule="auto"/>
        <w:ind w:firstLine="4320" w:firstLineChars="1800"/>
        <w:rPr>
          <w:rFonts w:ascii="宋体" w:hAnsi="宋体" w:cs="宋体"/>
          <w:color w:val="auto"/>
          <w:sz w:val="24"/>
          <w:szCs w:val="24"/>
          <w:highlight w:val="none"/>
        </w:rPr>
      </w:pPr>
      <w:r>
        <w:rPr>
          <w:rFonts w:hint="eastAsia" w:ascii="宋体" w:hAnsi="宋体" w:cs="宋体"/>
          <w:color w:val="auto"/>
          <w:sz w:val="24"/>
          <w:szCs w:val="24"/>
          <w:highlight w:val="none"/>
        </w:rPr>
        <w:t>授权委托日期：    年   月   日</w:t>
      </w:r>
    </w:p>
    <w:p w14:paraId="635D9D4C">
      <w:pPr>
        <w:rPr>
          <w:color w:val="auto"/>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0"/>
      </w:tblGrid>
      <w:tr w14:paraId="7ADC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7720" w:type="dxa"/>
            <w:vAlign w:val="center"/>
          </w:tcPr>
          <w:p w14:paraId="19684BFF">
            <w:pPr>
              <w:jc w:val="center"/>
              <w:rPr>
                <w:color w:val="auto"/>
                <w:highlight w:val="none"/>
              </w:rPr>
            </w:pPr>
          </w:p>
          <w:p w14:paraId="513831E1">
            <w:pPr>
              <w:jc w:val="center"/>
              <w:rPr>
                <w:color w:val="auto"/>
                <w:highlight w:val="none"/>
              </w:rPr>
            </w:pPr>
          </w:p>
          <w:p w14:paraId="73DE6013">
            <w:pPr>
              <w:jc w:val="center"/>
              <w:rPr>
                <w:color w:val="auto"/>
                <w:highlight w:val="none"/>
              </w:rPr>
            </w:pPr>
          </w:p>
          <w:p w14:paraId="3518A2DA">
            <w:pPr>
              <w:ind w:firstLine="1540" w:firstLineChars="550"/>
              <w:rPr>
                <w:color w:val="auto"/>
                <w:highlight w:val="none"/>
              </w:rPr>
            </w:pPr>
            <w:r>
              <w:rPr>
                <w:rFonts w:hint="eastAsia" w:ascii="宋体" w:hAnsi="宋体"/>
                <w:color w:val="auto"/>
                <w:kern w:val="0"/>
                <w:sz w:val="28"/>
                <w:szCs w:val="28"/>
                <w:highlight w:val="none"/>
              </w:rPr>
              <w:t>委托代理人身份证复印件（或扫描件）</w:t>
            </w:r>
          </w:p>
          <w:p w14:paraId="0D2C590B">
            <w:pPr>
              <w:jc w:val="center"/>
              <w:rPr>
                <w:color w:val="auto"/>
                <w:highlight w:val="none"/>
              </w:rPr>
            </w:pPr>
          </w:p>
          <w:p w14:paraId="7960B849">
            <w:pPr>
              <w:jc w:val="center"/>
              <w:rPr>
                <w:color w:val="auto"/>
                <w:highlight w:val="none"/>
              </w:rPr>
            </w:pPr>
          </w:p>
          <w:p w14:paraId="0E8AB8B1">
            <w:pPr>
              <w:jc w:val="center"/>
              <w:rPr>
                <w:color w:val="auto"/>
                <w:highlight w:val="none"/>
              </w:rPr>
            </w:pPr>
          </w:p>
        </w:tc>
      </w:tr>
    </w:tbl>
    <w:p w14:paraId="672A1665">
      <w:pPr>
        <w:rPr>
          <w:color w:val="auto"/>
          <w:highlight w:val="none"/>
        </w:rPr>
      </w:pPr>
    </w:p>
    <w:p w14:paraId="54AA0DB6">
      <w:pPr>
        <w:rPr>
          <w:color w:val="auto"/>
          <w:highlight w:val="none"/>
        </w:rPr>
      </w:pPr>
      <w:r>
        <w:rPr>
          <w:rFonts w:hint="eastAsia" w:ascii="宋体" w:hAnsi="宋体"/>
          <w:bCs/>
          <w:color w:val="auto"/>
          <w:sz w:val="24"/>
          <w:highlight w:val="none"/>
        </w:rPr>
        <w:t>因本项目为电子标，委托代理人无法手写签字，可以电脑打印字体为准或以法定代表人签章为准。</w:t>
      </w:r>
    </w:p>
    <w:p w14:paraId="1ADCE3F9">
      <w:pPr>
        <w:jc w:val="center"/>
        <w:rPr>
          <w:rFonts w:ascii="宋体" w:hAnsi="宋体" w:cs="宋体"/>
          <w:b/>
          <w:bCs/>
          <w:color w:val="auto"/>
          <w:sz w:val="32"/>
          <w:szCs w:val="32"/>
          <w:highlight w:val="none"/>
        </w:rPr>
      </w:pPr>
    </w:p>
    <w:p w14:paraId="27228DAB">
      <w:pPr>
        <w:jc w:val="center"/>
        <w:outlineLvl w:val="0"/>
        <w:rPr>
          <w:rFonts w:ascii="宋体" w:hAnsi="宋体" w:cs="宋体"/>
          <w:b/>
          <w:bCs/>
          <w:color w:val="auto"/>
          <w:sz w:val="32"/>
          <w:szCs w:val="32"/>
          <w:highlight w:val="none"/>
        </w:rPr>
      </w:pPr>
      <w:bookmarkStart w:id="182" w:name="_Toc19088"/>
      <w:bookmarkStart w:id="183" w:name="_Toc14873"/>
      <w:r>
        <w:rPr>
          <w:rFonts w:hint="eastAsia" w:ascii="宋体" w:hAnsi="宋体" w:cs="宋体"/>
          <w:b/>
          <w:bCs/>
          <w:color w:val="auto"/>
          <w:sz w:val="32"/>
          <w:szCs w:val="32"/>
          <w:highlight w:val="none"/>
        </w:rPr>
        <w:t>三、投标函</w:t>
      </w:r>
      <w:bookmarkEnd w:id="182"/>
      <w:bookmarkEnd w:id="183"/>
    </w:p>
    <w:p w14:paraId="73A19429">
      <w:pPr>
        <w:spacing w:line="360" w:lineRule="auto"/>
        <w:jc w:val="left"/>
        <w:rPr>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（采购人）</w:t>
      </w:r>
    </w:p>
    <w:p w14:paraId="18BDEE32">
      <w:pPr>
        <w:spacing w:line="360" w:lineRule="auto"/>
        <w:ind w:firstLine="480" w:firstLineChars="200"/>
        <w:jc w:val="left"/>
        <w:rPr>
          <w:color w:val="auto"/>
          <w:sz w:val="24"/>
          <w:szCs w:val="24"/>
          <w:highlight w:val="none"/>
        </w:rPr>
      </w:pPr>
      <w:r>
        <w:rPr>
          <w:rFonts w:hint="eastAsia" w:ascii="宋体" w:hAnsi="宋体" w:cs="宋体"/>
          <w:color w:val="auto"/>
          <w:sz w:val="24"/>
          <w:szCs w:val="24"/>
          <w:highlight w:val="none"/>
        </w:rPr>
        <w:t>根据已收到贵方的</w:t>
      </w:r>
      <w:r>
        <w:rPr>
          <w:rFonts w:hint="eastAsia" w:ascii="宋体" w:hAnsi="宋体" w:cs="宋体"/>
          <w:color w:val="auto"/>
          <w:sz w:val="24"/>
          <w:szCs w:val="24"/>
          <w:highlight w:val="none"/>
          <w:u w:val="single"/>
        </w:rPr>
        <w:t>（项目名称）（项目编号）</w:t>
      </w:r>
      <w:r>
        <w:rPr>
          <w:rFonts w:hint="eastAsia" w:ascii="宋体" w:hAnsi="宋体" w:cs="宋体"/>
          <w:color w:val="auto"/>
          <w:sz w:val="24"/>
          <w:szCs w:val="24"/>
          <w:highlight w:val="none"/>
        </w:rPr>
        <w:t>的招标文件，遵照《中华人民共和国政府采购法》等有关规定，我单位经考察现场和研究上述招标文件的投标须知、合同条款、技术参数及其它有关文件后，我方愿以人民币（大写）：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元）的投标报价，交货期限为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w:t>
      </w:r>
      <w:r>
        <w:rPr>
          <w:rFonts w:ascii="宋体" w:cs="宋体"/>
          <w:color w:val="auto"/>
          <w:sz w:val="24"/>
          <w:szCs w:val="24"/>
          <w:highlight w:val="none"/>
        </w:rPr>
        <w:t>,</w:t>
      </w:r>
      <w:r>
        <w:rPr>
          <w:rFonts w:hint="eastAsia" w:ascii="宋体" w:hAnsi="宋体" w:cs="宋体"/>
          <w:color w:val="auto"/>
          <w:sz w:val="24"/>
          <w:szCs w:val="24"/>
          <w:highlight w:val="none"/>
        </w:rPr>
        <w:t>承包上述项目的采购服务，与货物有关的运输和保险及其他伴随服务</w:t>
      </w:r>
      <w:r>
        <w:rPr>
          <w:rFonts w:hint="eastAsia" w:ascii="宋体" w:hAnsi="宋体" w:cs="宋体"/>
          <w:color w:val="auto"/>
          <w:sz w:val="24"/>
          <w:szCs w:val="24"/>
          <w:highlight w:val="none"/>
          <w:shd w:val="clear" w:color="auto" w:fill="FFFFFF"/>
        </w:rPr>
        <w:t>。</w:t>
      </w:r>
    </w:p>
    <w:p w14:paraId="4967AD09">
      <w:pPr>
        <w:spacing w:line="360" w:lineRule="auto"/>
        <w:ind w:firstLine="480" w:firstLineChars="200"/>
        <w:jc w:val="left"/>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296606F1">
      <w:pPr>
        <w:spacing w:line="360" w:lineRule="auto"/>
        <w:ind w:firstLine="480" w:firstLineChars="20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、我方承认投标函附表是我方投标函的组成部分。</w:t>
      </w:r>
    </w:p>
    <w:p w14:paraId="4A2508C4">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14:paraId="09CE306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4、我方同意自本项目招标文件中规定的投标有效期内有效，并承诺在投标有效期内不修改、撤销投标文件。</w:t>
      </w:r>
    </w:p>
    <w:p w14:paraId="4623BA2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5、我方完全理解贵方不一定接受投标报价最低的投标供应商为中标供应商的行为。</w:t>
      </w:r>
    </w:p>
    <w:p w14:paraId="63A9691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6、我方在此声明，所递交的投标文件及有关资料内容完整、真实和准确。</w:t>
      </w:r>
    </w:p>
    <w:p w14:paraId="7531B261">
      <w:pPr>
        <w:spacing w:line="360" w:lineRule="auto"/>
        <w:rPr>
          <w:rFonts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0E952C53">
      <w:pPr>
        <w:spacing w:line="360" w:lineRule="auto"/>
        <w:rPr>
          <w:rFonts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0BD23403">
      <w:pPr>
        <w:spacing w:line="360" w:lineRule="auto"/>
        <w:rPr>
          <w:rFonts w:ascii="宋体" w:hAnsi="宋体" w:cs="宋体"/>
          <w:color w:val="auto"/>
          <w:kern w:val="0"/>
          <w:sz w:val="24"/>
          <w:szCs w:val="24"/>
          <w:highlight w:val="none"/>
        </w:rPr>
      </w:pPr>
      <w:r>
        <w:rPr>
          <w:rFonts w:hint="eastAsia" w:ascii="宋体" w:hAnsi="宋体" w:cs="宋体"/>
          <w:color w:val="auto"/>
          <w:spacing w:val="24"/>
          <w:szCs w:val="24"/>
          <w:highlight w:val="none"/>
        </w:rPr>
        <w:t xml:space="preserve">                      </w:t>
      </w:r>
      <w:r>
        <w:rPr>
          <w:rFonts w:hint="eastAsia" w:ascii="宋体" w:hAnsi="宋体" w:cs="宋体"/>
          <w:color w:val="auto"/>
          <w:kern w:val="0"/>
          <w:sz w:val="24"/>
          <w:szCs w:val="24"/>
          <w:highlight w:val="none"/>
        </w:rPr>
        <w:t xml:space="preserve"> 投标供应商(盖章)：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1A2211FC">
      <w:pPr>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法定代表人或其委托代理人(签章)：</w:t>
      </w:r>
      <w:r>
        <w:rPr>
          <w:rFonts w:hint="eastAsia" w:ascii="宋体" w:hAnsi="宋体" w:cs="宋体"/>
          <w:color w:val="auto"/>
          <w:kern w:val="0"/>
          <w:sz w:val="24"/>
          <w:szCs w:val="24"/>
          <w:highlight w:val="none"/>
          <w:u w:val="single"/>
        </w:rPr>
        <w:t xml:space="preserve">            </w:t>
      </w:r>
    </w:p>
    <w:p w14:paraId="2818C18C">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    年   月   日</w:t>
      </w:r>
    </w:p>
    <w:p w14:paraId="58C5D8E5">
      <w:pPr>
        <w:spacing w:line="360" w:lineRule="auto"/>
        <w:ind w:firstLine="480" w:firstLineChars="200"/>
        <w:rPr>
          <w:rFonts w:ascii="宋体" w:hAnsi="宋体" w:cs="宋体"/>
          <w:color w:val="auto"/>
          <w:kern w:val="0"/>
          <w:sz w:val="24"/>
          <w:szCs w:val="24"/>
          <w:highlight w:val="none"/>
        </w:rPr>
      </w:pPr>
    </w:p>
    <w:p w14:paraId="391EBC82">
      <w:pPr>
        <w:spacing w:line="360" w:lineRule="auto"/>
        <w:rPr>
          <w:rFonts w:ascii="宋体" w:hAnsi="宋体" w:cs="宋体"/>
          <w:color w:val="auto"/>
          <w:kern w:val="0"/>
          <w:sz w:val="24"/>
          <w:szCs w:val="24"/>
          <w:highlight w:val="none"/>
        </w:rPr>
      </w:pPr>
    </w:p>
    <w:p w14:paraId="6B328F9B">
      <w:pPr>
        <w:rPr>
          <w:rFonts w:ascii="宋体"/>
          <w:b/>
          <w:bCs/>
          <w:color w:val="auto"/>
          <w:sz w:val="32"/>
          <w:szCs w:val="32"/>
          <w:highlight w:val="none"/>
        </w:rPr>
      </w:pPr>
    </w:p>
    <w:p w14:paraId="0DBC18FC">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投标函附表</w:t>
      </w:r>
    </w:p>
    <w:p w14:paraId="04172FC7">
      <w:pPr>
        <w:outlineLvl w:val="0"/>
        <w:rPr>
          <w:rFonts w:ascii="宋体" w:hAnsi="宋体" w:cs="宋体"/>
          <w:b/>
          <w:bCs/>
          <w:color w:val="auto"/>
          <w:sz w:val="24"/>
          <w:szCs w:val="24"/>
          <w:highlight w:val="none"/>
        </w:rPr>
      </w:pPr>
      <w:bookmarkStart w:id="184" w:name="_Toc29949"/>
      <w:bookmarkStart w:id="185" w:name="_Toc7508"/>
      <w:r>
        <w:rPr>
          <w:rFonts w:hint="eastAsia" w:ascii="宋体" w:hAnsi="宋体" w:cs="宋体"/>
          <w:b/>
          <w:bCs/>
          <w:color w:val="auto"/>
          <w:sz w:val="24"/>
          <w:szCs w:val="24"/>
          <w:highlight w:val="none"/>
        </w:rPr>
        <w:t>附件1：</w:t>
      </w:r>
      <w:bookmarkEnd w:id="184"/>
      <w:bookmarkEnd w:id="185"/>
    </w:p>
    <w:tbl>
      <w:tblPr>
        <w:tblStyle w:val="24"/>
        <w:tblW w:w="905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6647"/>
      </w:tblGrid>
      <w:tr w14:paraId="324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2412" w:type="dxa"/>
            <w:vAlign w:val="center"/>
          </w:tcPr>
          <w:p w14:paraId="08908990">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647" w:type="dxa"/>
            <w:vAlign w:val="center"/>
          </w:tcPr>
          <w:p w14:paraId="2BFA097E">
            <w:pPr>
              <w:spacing w:line="400" w:lineRule="exact"/>
              <w:rPr>
                <w:rFonts w:ascii="宋体"/>
                <w:color w:val="auto"/>
                <w:sz w:val="24"/>
                <w:szCs w:val="24"/>
                <w:highlight w:val="none"/>
              </w:rPr>
            </w:pPr>
          </w:p>
        </w:tc>
      </w:tr>
      <w:tr w14:paraId="6D39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trPr>
        <w:tc>
          <w:tcPr>
            <w:tcW w:w="2412" w:type="dxa"/>
            <w:vAlign w:val="center"/>
          </w:tcPr>
          <w:p w14:paraId="0135864A">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项目编号</w:t>
            </w:r>
          </w:p>
        </w:tc>
        <w:tc>
          <w:tcPr>
            <w:tcW w:w="6647" w:type="dxa"/>
            <w:vAlign w:val="center"/>
          </w:tcPr>
          <w:p w14:paraId="7D6D829F">
            <w:pPr>
              <w:spacing w:line="400" w:lineRule="exact"/>
              <w:rPr>
                <w:rFonts w:ascii="宋体"/>
                <w:color w:val="auto"/>
                <w:sz w:val="24"/>
                <w:szCs w:val="24"/>
                <w:highlight w:val="none"/>
              </w:rPr>
            </w:pPr>
          </w:p>
        </w:tc>
      </w:tr>
      <w:tr w14:paraId="3C58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trPr>
        <w:tc>
          <w:tcPr>
            <w:tcW w:w="2412" w:type="dxa"/>
            <w:vAlign w:val="center"/>
          </w:tcPr>
          <w:p w14:paraId="3EF6AFBE">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647" w:type="dxa"/>
            <w:vAlign w:val="center"/>
          </w:tcPr>
          <w:p w14:paraId="18C0ED35">
            <w:pPr>
              <w:spacing w:line="400" w:lineRule="exact"/>
              <w:rPr>
                <w:rFonts w:ascii="宋体"/>
                <w:color w:val="auto"/>
                <w:sz w:val="24"/>
                <w:szCs w:val="24"/>
                <w:highlight w:val="none"/>
              </w:rPr>
            </w:pPr>
          </w:p>
        </w:tc>
      </w:tr>
      <w:tr w14:paraId="5DFE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trPr>
        <w:tc>
          <w:tcPr>
            <w:tcW w:w="2412" w:type="dxa"/>
            <w:vAlign w:val="center"/>
          </w:tcPr>
          <w:p w14:paraId="36D4B9AE">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供应商统一社会信用代码</w:t>
            </w:r>
          </w:p>
        </w:tc>
        <w:tc>
          <w:tcPr>
            <w:tcW w:w="6647" w:type="dxa"/>
            <w:vAlign w:val="center"/>
          </w:tcPr>
          <w:p w14:paraId="19E414CA">
            <w:pPr>
              <w:spacing w:line="400" w:lineRule="exact"/>
              <w:rPr>
                <w:rFonts w:ascii="宋体"/>
                <w:color w:val="auto"/>
                <w:sz w:val="24"/>
                <w:szCs w:val="24"/>
                <w:highlight w:val="none"/>
              </w:rPr>
            </w:pPr>
          </w:p>
        </w:tc>
      </w:tr>
      <w:tr w14:paraId="41B2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exact"/>
        </w:trPr>
        <w:tc>
          <w:tcPr>
            <w:tcW w:w="2412" w:type="dxa"/>
            <w:vAlign w:val="center"/>
          </w:tcPr>
          <w:p w14:paraId="011AAB7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6647" w:type="dxa"/>
            <w:vAlign w:val="center"/>
          </w:tcPr>
          <w:p w14:paraId="772F99F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大写：     </w:t>
            </w:r>
            <w:r>
              <w:rPr>
                <w:rFonts w:ascii="宋体" w:hAnsi="宋体" w:cs="宋体"/>
                <w:color w:val="auto"/>
                <w:sz w:val="24"/>
                <w:szCs w:val="24"/>
                <w:highlight w:val="none"/>
              </w:rPr>
              <w:t xml:space="preserve"> </w:t>
            </w:r>
          </w:p>
          <w:p w14:paraId="78326DFF">
            <w:pPr>
              <w:spacing w:line="400" w:lineRule="exact"/>
              <w:rPr>
                <w:rFonts w:ascii="宋体"/>
                <w:color w:val="auto"/>
                <w:sz w:val="24"/>
                <w:szCs w:val="24"/>
                <w:highlight w:val="none"/>
              </w:rPr>
            </w:pPr>
            <w:r>
              <w:rPr>
                <w:rFonts w:hint="eastAsia" w:ascii="宋体" w:hAnsi="宋体" w:cs="宋体"/>
                <w:color w:val="auto"/>
                <w:sz w:val="24"/>
                <w:szCs w:val="24"/>
                <w:highlight w:val="none"/>
              </w:rPr>
              <w:t>小写：</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元</w:t>
            </w:r>
          </w:p>
        </w:tc>
      </w:tr>
      <w:tr w14:paraId="2EB7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vAlign w:val="center"/>
          </w:tcPr>
          <w:p w14:paraId="03E7BC57">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交货期限</w:t>
            </w:r>
          </w:p>
        </w:tc>
        <w:tc>
          <w:tcPr>
            <w:tcW w:w="6647" w:type="dxa"/>
            <w:vAlign w:val="center"/>
          </w:tcPr>
          <w:p w14:paraId="6C30FF1D">
            <w:pPr>
              <w:spacing w:line="400" w:lineRule="exact"/>
              <w:rPr>
                <w:rFonts w:ascii="宋体"/>
                <w:color w:val="auto"/>
                <w:sz w:val="24"/>
                <w:szCs w:val="24"/>
                <w:highlight w:val="none"/>
              </w:rPr>
            </w:pPr>
          </w:p>
        </w:tc>
      </w:tr>
      <w:tr w14:paraId="50DA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vAlign w:val="center"/>
          </w:tcPr>
          <w:p w14:paraId="611F2BFA">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质保期</w:t>
            </w:r>
          </w:p>
        </w:tc>
        <w:tc>
          <w:tcPr>
            <w:tcW w:w="6647" w:type="dxa"/>
            <w:vAlign w:val="center"/>
          </w:tcPr>
          <w:p w14:paraId="03E705EB">
            <w:pPr>
              <w:spacing w:line="400" w:lineRule="exact"/>
              <w:rPr>
                <w:rFonts w:ascii="宋体"/>
                <w:color w:val="auto"/>
                <w:sz w:val="24"/>
                <w:szCs w:val="24"/>
                <w:highlight w:val="none"/>
              </w:rPr>
            </w:pPr>
          </w:p>
        </w:tc>
      </w:tr>
      <w:tr w14:paraId="0C84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vAlign w:val="center"/>
          </w:tcPr>
          <w:p w14:paraId="70DE5717">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质量要求</w:t>
            </w:r>
          </w:p>
        </w:tc>
        <w:tc>
          <w:tcPr>
            <w:tcW w:w="6647" w:type="dxa"/>
            <w:vAlign w:val="center"/>
          </w:tcPr>
          <w:p w14:paraId="1CBFFE20">
            <w:pPr>
              <w:spacing w:line="400" w:lineRule="exact"/>
              <w:jc w:val="center"/>
              <w:rPr>
                <w:rFonts w:ascii="宋体"/>
                <w:color w:val="auto"/>
                <w:sz w:val="24"/>
                <w:szCs w:val="24"/>
                <w:highlight w:val="none"/>
              </w:rPr>
            </w:pPr>
          </w:p>
        </w:tc>
      </w:tr>
      <w:tr w14:paraId="6DD2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vAlign w:val="center"/>
          </w:tcPr>
          <w:p w14:paraId="5EAC6F8B">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647" w:type="dxa"/>
            <w:vAlign w:val="center"/>
          </w:tcPr>
          <w:p w14:paraId="18401784">
            <w:pPr>
              <w:spacing w:line="400" w:lineRule="exact"/>
              <w:jc w:val="center"/>
              <w:rPr>
                <w:rFonts w:ascii="宋体"/>
                <w:color w:val="auto"/>
                <w:sz w:val="24"/>
                <w:szCs w:val="24"/>
                <w:highlight w:val="none"/>
              </w:rPr>
            </w:pPr>
          </w:p>
        </w:tc>
      </w:tr>
      <w:tr w14:paraId="3CDA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vAlign w:val="center"/>
          </w:tcPr>
          <w:p w14:paraId="4FA68708">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项目负责人及联系方式</w:t>
            </w:r>
          </w:p>
        </w:tc>
        <w:tc>
          <w:tcPr>
            <w:tcW w:w="6647" w:type="dxa"/>
            <w:vAlign w:val="center"/>
          </w:tcPr>
          <w:p w14:paraId="42972E60">
            <w:pPr>
              <w:spacing w:line="400" w:lineRule="exact"/>
              <w:jc w:val="center"/>
              <w:rPr>
                <w:rFonts w:ascii="宋体"/>
                <w:color w:val="auto"/>
                <w:sz w:val="24"/>
                <w:szCs w:val="24"/>
                <w:highlight w:val="none"/>
              </w:rPr>
            </w:pPr>
          </w:p>
        </w:tc>
      </w:tr>
      <w:tr w14:paraId="595A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exact"/>
        </w:trPr>
        <w:tc>
          <w:tcPr>
            <w:tcW w:w="2412" w:type="dxa"/>
            <w:vAlign w:val="center"/>
          </w:tcPr>
          <w:p w14:paraId="34901FD2">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647" w:type="dxa"/>
            <w:vAlign w:val="center"/>
          </w:tcPr>
          <w:p w14:paraId="18218792">
            <w:pPr>
              <w:spacing w:line="400" w:lineRule="exact"/>
              <w:jc w:val="center"/>
              <w:rPr>
                <w:rFonts w:ascii="宋体"/>
                <w:color w:val="auto"/>
                <w:sz w:val="24"/>
                <w:szCs w:val="24"/>
                <w:highlight w:val="none"/>
              </w:rPr>
            </w:pPr>
          </w:p>
        </w:tc>
      </w:tr>
    </w:tbl>
    <w:p w14:paraId="04222294">
      <w:pPr>
        <w:snapToGrid w:val="0"/>
        <w:spacing w:line="580" w:lineRule="exact"/>
        <w:ind w:left="-18" w:leftChars="-22" w:right="-817" w:rightChars="-389" w:hanging="28" w:hangingChars="12"/>
        <w:rPr>
          <w:rFonts w:ascii="宋体" w:hAnsi="宋体" w:cs="宋体"/>
          <w:color w:val="auto"/>
          <w:sz w:val="24"/>
          <w:szCs w:val="24"/>
          <w:highlight w:val="none"/>
        </w:rPr>
      </w:pPr>
    </w:p>
    <w:p w14:paraId="2C95388C">
      <w:pPr>
        <w:spacing w:line="360" w:lineRule="auto"/>
        <w:ind w:firstLine="3360" w:firstLineChars="1400"/>
        <w:rPr>
          <w:rFonts w:ascii="宋体" w:hAnsi="宋体" w:cs="宋体"/>
          <w:color w:val="auto"/>
          <w:sz w:val="24"/>
          <w:szCs w:val="24"/>
          <w:highlight w:val="none"/>
        </w:rPr>
      </w:pPr>
    </w:p>
    <w:p w14:paraId="73A70FD9">
      <w:pPr>
        <w:spacing w:line="360" w:lineRule="auto"/>
        <w:ind w:firstLine="3360" w:firstLineChars="1400"/>
        <w:rPr>
          <w:color w:val="auto"/>
          <w:sz w:val="24"/>
          <w:highlight w:val="none"/>
          <w:u w:val="single"/>
        </w:rPr>
      </w:pPr>
      <w:r>
        <w:rPr>
          <w:rFonts w:hint="eastAsia" w:ascii="宋体" w:hAnsi="宋体" w:cs="宋体"/>
          <w:color w:val="auto"/>
          <w:sz w:val="24"/>
          <w:szCs w:val="24"/>
          <w:highlight w:val="none"/>
        </w:rPr>
        <w:t xml:space="preserve"> </w:t>
      </w:r>
      <w:r>
        <w:rPr>
          <w:rFonts w:hint="eastAsia"/>
          <w:color w:val="auto"/>
          <w:sz w:val="24"/>
          <w:highlight w:val="none"/>
        </w:rPr>
        <w:t>投标供应商（盖章）：</w:t>
      </w:r>
      <w:r>
        <w:rPr>
          <w:rFonts w:hint="eastAsia"/>
          <w:color w:val="auto"/>
          <w:sz w:val="24"/>
          <w:highlight w:val="none"/>
          <w:u w:val="single"/>
        </w:rPr>
        <w:t xml:space="preserve">                        </w:t>
      </w:r>
    </w:p>
    <w:p w14:paraId="6B17F27D">
      <w:pPr>
        <w:spacing w:line="360" w:lineRule="auto"/>
        <w:ind w:firstLine="3480" w:firstLineChars="1450"/>
        <w:rPr>
          <w:color w:val="auto"/>
          <w:sz w:val="24"/>
          <w:highlight w:val="none"/>
          <w:u w:val="single"/>
        </w:rPr>
      </w:pPr>
      <w:r>
        <w:rPr>
          <w:rFonts w:hint="eastAsia"/>
          <w:color w:val="auto"/>
          <w:sz w:val="24"/>
          <w:highlight w:val="none"/>
        </w:rPr>
        <w:t>法定代表人或其委托代理人（签章）：</w:t>
      </w:r>
      <w:r>
        <w:rPr>
          <w:rFonts w:hint="eastAsia"/>
          <w:color w:val="auto"/>
          <w:sz w:val="24"/>
          <w:highlight w:val="none"/>
          <w:u w:val="single"/>
        </w:rPr>
        <w:t xml:space="preserve">                 </w:t>
      </w:r>
    </w:p>
    <w:p w14:paraId="10BE8C97">
      <w:pPr>
        <w:spacing w:line="360" w:lineRule="auto"/>
        <w:ind w:firstLine="480" w:firstLineChars="200"/>
        <w:rPr>
          <w:color w:val="auto"/>
          <w:sz w:val="24"/>
          <w:highlight w:val="none"/>
        </w:rPr>
      </w:pPr>
      <w:r>
        <w:rPr>
          <w:rFonts w:hint="eastAsia"/>
          <w:color w:val="auto"/>
          <w:sz w:val="24"/>
          <w:highlight w:val="none"/>
        </w:rPr>
        <w:t xml:space="preserve">                         日期：   年   月   日</w:t>
      </w:r>
    </w:p>
    <w:p w14:paraId="792434F9">
      <w:pPr>
        <w:wordWrap w:val="0"/>
        <w:spacing w:line="520" w:lineRule="exact"/>
        <w:ind w:firstLine="3213" w:firstLineChars="1000"/>
        <w:rPr>
          <w:rFonts w:ascii="宋体" w:hAnsi="宋体" w:cs="宋体"/>
          <w:b/>
          <w:bCs/>
          <w:color w:val="auto"/>
          <w:sz w:val="32"/>
          <w:szCs w:val="32"/>
          <w:highlight w:val="none"/>
        </w:rPr>
      </w:pPr>
    </w:p>
    <w:p w14:paraId="7D113687">
      <w:pPr>
        <w:spacing w:line="360" w:lineRule="auto"/>
        <w:ind w:firstLine="480" w:firstLineChars="200"/>
        <w:jc w:val="left"/>
        <w:rPr>
          <w:rFonts w:ascii="宋体"/>
          <w:color w:val="auto"/>
          <w:sz w:val="24"/>
          <w:szCs w:val="24"/>
          <w:highlight w:val="none"/>
        </w:rPr>
      </w:pPr>
    </w:p>
    <w:p w14:paraId="1865E5D6">
      <w:pPr>
        <w:rPr>
          <w:color w:val="auto"/>
          <w:sz w:val="32"/>
          <w:szCs w:val="32"/>
          <w:highlight w:val="none"/>
        </w:rPr>
      </w:pPr>
      <w:r>
        <w:rPr>
          <w:rFonts w:hint="eastAsia"/>
          <w:color w:val="auto"/>
          <w:sz w:val="32"/>
          <w:szCs w:val="32"/>
          <w:highlight w:val="none"/>
        </w:rPr>
        <w:br w:type="page"/>
      </w:r>
    </w:p>
    <w:p w14:paraId="182F01E9">
      <w:pPr>
        <w:spacing w:line="520" w:lineRule="exact"/>
        <w:jc w:val="center"/>
        <w:outlineLvl w:val="0"/>
        <w:rPr>
          <w:b/>
          <w:bCs/>
          <w:color w:val="auto"/>
          <w:sz w:val="30"/>
          <w:szCs w:val="30"/>
          <w:highlight w:val="none"/>
        </w:rPr>
      </w:pPr>
      <w:bookmarkStart w:id="186" w:name="_Toc18794"/>
      <w:bookmarkStart w:id="187" w:name="_Toc2400"/>
      <w:r>
        <w:rPr>
          <w:rFonts w:hint="eastAsia"/>
          <w:b/>
          <w:bCs/>
          <w:color w:val="auto"/>
          <w:sz w:val="30"/>
          <w:szCs w:val="30"/>
          <w:highlight w:val="none"/>
        </w:rPr>
        <w:t>四、报价明细表</w:t>
      </w:r>
      <w:bookmarkEnd w:id="186"/>
      <w:bookmarkEnd w:id="187"/>
    </w:p>
    <w:p w14:paraId="5E68FFD7">
      <w:pPr>
        <w:spacing w:line="360" w:lineRule="auto"/>
        <w:rPr>
          <w:color w:val="auto"/>
          <w:sz w:val="24"/>
          <w:highlight w:val="none"/>
        </w:rPr>
      </w:pPr>
      <w:r>
        <w:rPr>
          <w:rFonts w:hint="eastAsia"/>
          <w:color w:val="auto"/>
          <w:sz w:val="24"/>
          <w:highlight w:val="none"/>
        </w:rPr>
        <w:t xml:space="preserve">                                   </w:t>
      </w:r>
    </w:p>
    <w:p w14:paraId="7D2BBDC8">
      <w:pPr>
        <w:wordWrap w:val="0"/>
        <w:spacing w:line="520" w:lineRule="exact"/>
        <w:jc w:val="center"/>
        <w:rPr>
          <w:b/>
          <w:bCs/>
          <w:color w:val="auto"/>
          <w:sz w:val="30"/>
          <w:szCs w:val="30"/>
          <w:highlight w:val="none"/>
        </w:rPr>
      </w:pPr>
      <w:r>
        <w:rPr>
          <w:rFonts w:hint="eastAsia"/>
          <w:b/>
          <w:bCs/>
          <w:color w:val="auto"/>
          <w:sz w:val="30"/>
          <w:szCs w:val="30"/>
          <w:highlight w:val="none"/>
        </w:rPr>
        <w:t xml:space="preserve"> （格式自拟）</w:t>
      </w:r>
    </w:p>
    <w:p w14:paraId="121CAA54">
      <w:pPr>
        <w:spacing w:line="360" w:lineRule="auto"/>
        <w:rPr>
          <w:color w:val="auto"/>
          <w:sz w:val="24"/>
          <w:highlight w:val="none"/>
        </w:rPr>
      </w:pPr>
    </w:p>
    <w:p w14:paraId="70BF17FA">
      <w:pPr>
        <w:spacing w:line="360" w:lineRule="auto"/>
        <w:rPr>
          <w:color w:val="auto"/>
          <w:sz w:val="24"/>
          <w:highlight w:val="none"/>
        </w:rPr>
      </w:pPr>
    </w:p>
    <w:p w14:paraId="6E07CC40">
      <w:pPr>
        <w:spacing w:line="360" w:lineRule="auto"/>
        <w:rPr>
          <w:color w:val="auto"/>
          <w:sz w:val="24"/>
          <w:highlight w:val="none"/>
        </w:rPr>
      </w:pPr>
    </w:p>
    <w:p w14:paraId="3C33ABF6">
      <w:pPr>
        <w:spacing w:line="360" w:lineRule="auto"/>
        <w:ind w:firstLine="3720" w:firstLineChars="1550"/>
        <w:rPr>
          <w:color w:val="auto"/>
          <w:sz w:val="24"/>
          <w:szCs w:val="24"/>
          <w:highlight w:val="none"/>
        </w:rPr>
      </w:pPr>
    </w:p>
    <w:p w14:paraId="2558C7D2">
      <w:pPr>
        <w:spacing w:line="360" w:lineRule="auto"/>
        <w:ind w:firstLine="3720" w:firstLineChars="1550"/>
        <w:rPr>
          <w:color w:val="auto"/>
          <w:sz w:val="24"/>
          <w:szCs w:val="24"/>
          <w:highlight w:val="none"/>
        </w:rPr>
      </w:pPr>
    </w:p>
    <w:p w14:paraId="59F699C1">
      <w:pPr>
        <w:spacing w:line="360" w:lineRule="auto"/>
        <w:ind w:firstLine="3720" w:firstLineChars="1550"/>
        <w:rPr>
          <w:color w:val="auto"/>
          <w:sz w:val="24"/>
          <w:szCs w:val="24"/>
          <w:highlight w:val="none"/>
        </w:rPr>
      </w:pPr>
    </w:p>
    <w:p w14:paraId="6475727A">
      <w:pPr>
        <w:pStyle w:val="2"/>
        <w:ind w:firstLine="240"/>
        <w:rPr>
          <w:color w:val="auto"/>
          <w:sz w:val="24"/>
          <w:szCs w:val="24"/>
          <w:highlight w:val="none"/>
        </w:rPr>
      </w:pPr>
    </w:p>
    <w:p w14:paraId="08B5ABB5">
      <w:pPr>
        <w:pStyle w:val="6"/>
        <w:ind w:firstLine="480"/>
        <w:rPr>
          <w:color w:val="auto"/>
          <w:sz w:val="24"/>
          <w:szCs w:val="24"/>
          <w:highlight w:val="none"/>
        </w:rPr>
      </w:pPr>
    </w:p>
    <w:p w14:paraId="3C88FC1F">
      <w:pPr>
        <w:rPr>
          <w:color w:val="auto"/>
          <w:sz w:val="24"/>
          <w:szCs w:val="24"/>
          <w:highlight w:val="none"/>
        </w:rPr>
      </w:pPr>
    </w:p>
    <w:p w14:paraId="6E3D0208">
      <w:pPr>
        <w:spacing w:line="360" w:lineRule="auto"/>
        <w:rPr>
          <w:rFonts w:ascii="宋体" w:hAnsi="宋体"/>
          <w:color w:val="auto"/>
          <w:sz w:val="24"/>
          <w:highlight w:val="none"/>
        </w:rPr>
      </w:pPr>
    </w:p>
    <w:p w14:paraId="3583E5C4">
      <w:pPr>
        <w:spacing w:line="360" w:lineRule="auto"/>
        <w:ind w:firstLine="3120" w:firstLineChars="1300"/>
        <w:rPr>
          <w:rFonts w:ascii="宋体" w:hAnsi="宋体"/>
          <w:color w:val="auto"/>
          <w:sz w:val="24"/>
          <w:highlight w:val="none"/>
        </w:rPr>
      </w:pPr>
    </w:p>
    <w:p w14:paraId="20126998">
      <w:pPr>
        <w:spacing w:line="360" w:lineRule="auto"/>
        <w:ind w:firstLine="3120" w:firstLineChars="1300"/>
        <w:rPr>
          <w:rFonts w:ascii="宋体" w:hAnsi="宋体"/>
          <w:color w:val="auto"/>
          <w:sz w:val="24"/>
          <w:highlight w:val="none"/>
        </w:rPr>
      </w:pPr>
    </w:p>
    <w:p w14:paraId="7D69BA71">
      <w:pPr>
        <w:spacing w:line="360" w:lineRule="auto"/>
        <w:ind w:firstLine="3120" w:firstLineChars="13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投标供应商(盖章)：</w:t>
      </w:r>
      <w:r>
        <w:rPr>
          <w:rFonts w:hint="eastAsia" w:ascii="宋体" w:hAnsi="宋体" w:cs="宋体"/>
          <w:color w:val="auto"/>
          <w:sz w:val="24"/>
          <w:szCs w:val="24"/>
          <w:highlight w:val="none"/>
          <w:u w:val="single"/>
        </w:rPr>
        <w:t xml:space="preserve">                        </w:t>
      </w:r>
    </w:p>
    <w:p w14:paraId="5C22732A">
      <w:pPr>
        <w:spacing w:line="360" w:lineRule="auto"/>
        <w:ind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法定代表人或其委托代理人(签章)：</w:t>
      </w:r>
      <w:r>
        <w:rPr>
          <w:rFonts w:hint="eastAsia" w:ascii="宋体" w:hAnsi="宋体" w:cs="宋体"/>
          <w:color w:val="auto"/>
          <w:sz w:val="24"/>
          <w:szCs w:val="24"/>
          <w:highlight w:val="none"/>
          <w:u w:val="single"/>
        </w:rPr>
        <w:t xml:space="preserve">                    </w:t>
      </w:r>
    </w:p>
    <w:p w14:paraId="30A904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日期：年   月   日</w:t>
      </w:r>
    </w:p>
    <w:p w14:paraId="5F252255">
      <w:pPr>
        <w:wordWrap w:val="0"/>
        <w:spacing w:line="520" w:lineRule="exact"/>
        <w:ind w:firstLine="2108" w:firstLineChars="1000"/>
        <w:rPr>
          <w:rFonts w:ascii="宋体" w:hAnsi="宋体"/>
          <w:b/>
          <w:bCs/>
          <w:color w:val="auto"/>
          <w:szCs w:val="21"/>
          <w:highlight w:val="none"/>
        </w:rPr>
      </w:pPr>
    </w:p>
    <w:p w14:paraId="2EA30DA4">
      <w:pPr>
        <w:snapToGrid w:val="0"/>
        <w:spacing w:line="520" w:lineRule="exact"/>
        <w:ind w:left="-20" w:leftChars="-72" w:right="-817" w:rightChars="-389" w:hanging="131" w:hangingChars="62"/>
        <w:rPr>
          <w:rFonts w:ascii="宋体" w:hAnsi="宋体"/>
          <w:b/>
          <w:bCs/>
          <w:color w:val="auto"/>
          <w:szCs w:val="21"/>
          <w:highlight w:val="none"/>
        </w:rPr>
      </w:pPr>
    </w:p>
    <w:p w14:paraId="404F2299">
      <w:pPr>
        <w:snapToGrid w:val="0"/>
        <w:spacing w:line="520" w:lineRule="exact"/>
        <w:ind w:left="-20" w:leftChars="-72" w:right="-817" w:rightChars="-389" w:hanging="131" w:hangingChars="62"/>
        <w:rPr>
          <w:rFonts w:ascii="宋体" w:hAnsi="宋体"/>
          <w:b/>
          <w:bCs/>
          <w:color w:val="auto"/>
          <w:szCs w:val="21"/>
          <w:highlight w:val="none"/>
        </w:rPr>
      </w:pPr>
    </w:p>
    <w:p w14:paraId="36EF0F24">
      <w:pPr>
        <w:snapToGrid w:val="0"/>
        <w:spacing w:line="520" w:lineRule="exact"/>
        <w:ind w:left="-20" w:leftChars="-72" w:right="-817" w:rightChars="-389" w:hanging="131" w:hangingChars="62"/>
        <w:rPr>
          <w:rFonts w:ascii="宋体" w:hAnsi="宋体"/>
          <w:b/>
          <w:bCs/>
          <w:color w:val="auto"/>
          <w:szCs w:val="21"/>
          <w:highlight w:val="none"/>
        </w:rPr>
      </w:pPr>
    </w:p>
    <w:p w14:paraId="0C249D77">
      <w:pPr>
        <w:rPr>
          <w:b/>
          <w:bCs/>
          <w:color w:val="auto"/>
          <w:sz w:val="28"/>
          <w:szCs w:val="28"/>
          <w:highlight w:val="none"/>
        </w:rPr>
      </w:pPr>
    </w:p>
    <w:p w14:paraId="73B99959">
      <w:pPr>
        <w:rPr>
          <w:b/>
          <w:bCs/>
          <w:color w:val="auto"/>
          <w:sz w:val="28"/>
          <w:szCs w:val="28"/>
          <w:highlight w:val="none"/>
        </w:rPr>
      </w:pPr>
    </w:p>
    <w:p w14:paraId="323CD13C">
      <w:pPr>
        <w:rPr>
          <w:b/>
          <w:bCs/>
          <w:color w:val="auto"/>
          <w:sz w:val="28"/>
          <w:szCs w:val="28"/>
          <w:highlight w:val="none"/>
        </w:rPr>
      </w:pPr>
    </w:p>
    <w:p w14:paraId="6233C5D5">
      <w:pPr>
        <w:rPr>
          <w:b/>
          <w:bCs/>
          <w:color w:val="auto"/>
          <w:sz w:val="28"/>
          <w:szCs w:val="28"/>
          <w:highlight w:val="none"/>
        </w:rPr>
      </w:pPr>
    </w:p>
    <w:p w14:paraId="773970D0">
      <w:pPr>
        <w:rPr>
          <w:b/>
          <w:bCs/>
          <w:color w:val="auto"/>
          <w:sz w:val="28"/>
          <w:szCs w:val="28"/>
          <w:highlight w:val="none"/>
        </w:rPr>
      </w:pPr>
    </w:p>
    <w:p w14:paraId="71A9E61A">
      <w:pPr>
        <w:rPr>
          <w:b/>
          <w:bCs/>
          <w:color w:val="auto"/>
          <w:sz w:val="28"/>
          <w:szCs w:val="28"/>
          <w:highlight w:val="none"/>
        </w:rPr>
      </w:pPr>
    </w:p>
    <w:p w14:paraId="1DED6E1B">
      <w:pPr>
        <w:outlineLvl w:val="0"/>
        <w:rPr>
          <w:b/>
          <w:bCs/>
          <w:color w:val="auto"/>
          <w:sz w:val="28"/>
          <w:szCs w:val="28"/>
          <w:highlight w:val="none"/>
        </w:rPr>
      </w:pPr>
      <w:bookmarkStart w:id="188" w:name="_Toc6729"/>
      <w:bookmarkStart w:id="189" w:name="_Toc7393"/>
      <w:r>
        <w:rPr>
          <w:rFonts w:hint="eastAsia"/>
          <w:b/>
          <w:bCs/>
          <w:color w:val="auto"/>
          <w:sz w:val="28"/>
          <w:szCs w:val="28"/>
          <w:highlight w:val="none"/>
        </w:rPr>
        <w:t>附件1：技术参数偏离表（格式）</w:t>
      </w:r>
      <w:bookmarkEnd w:id="188"/>
      <w:bookmarkEnd w:id="189"/>
    </w:p>
    <w:tbl>
      <w:tblPr>
        <w:tblStyle w:val="2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30"/>
        <w:gridCol w:w="2011"/>
        <w:gridCol w:w="1914"/>
        <w:gridCol w:w="1134"/>
        <w:gridCol w:w="1134"/>
        <w:gridCol w:w="963"/>
      </w:tblGrid>
      <w:tr w14:paraId="27F0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8A5C29F">
            <w:pPr>
              <w:spacing w:before="159" w:beforeLines="50" w:after="159" w:afterLines="50" w:line="360" w:lineRule="auto"/>
              <w:jc w:val="center"/>
              <w:rPr>
                <w:color w:val="auto"/>
                <w:sz w:val="24"/>
                <w:szCs w:val="24"/>
                <w:highlight w:val="none"/>
              </w:rPr>
            </w:pPr>
            <w:r>
              <w:rPr>
                <w:rFonts w:hint="eastAsia"/>
                <w:color w:val="auto"/>
                <w:sz w:val="24"/>
                <w:szCs w:val="24"/>
                <w:highlight w:val="none"/>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4A282C2C">
            <w:pPr>
              <w:spacing w:before="159" w:beforeLines="50" w:after="159" w:afterLines="50" w:line="360" w:lineRule="auto"/>
              <w:jc w:val="center"/>
              <w:rPr>
                <w:color w:val="auto"/>
                <w:sz w:val="24"/>
                <w:szCs w:val="24"/>
                <w:highlight w:val="none"/>
              </w:rPr>
            </w:pPr>
            <w:r>
              <w:rPr>
                <w:rFonts w:hint="eastAsia"/>
                <w:color w:val="auto"/>
                <w:sz w:val="24"/>
                <w:szCs w:val="24"/>
                <w:highlight w:val="none"/>
              </w:rPr>
              <w:t>货物名称</w:t>
            </w:r>
          </w:p>
        </w:tc>
        <w:tc>
          <w:tcPr>
            <w:tcW w:w="2011" w:type="dxa"/>
            <w:tcBorders>
              <w:top w:val="single" w:color="auto" w:sz="4" w:space="0"/>
              <w:left w:val="single" w:color="auto" w:sz="4" w:space="0"/>
              <w:bottom w:val="single" w:color="auto" w:sz="4" w:space="0"/>
              <w:right w:val="single" w:color="auto" w:sz="4" w:space="0"/>
            </w:tcBorders>
            <w:vAlign w:val="center"/>
          </w:tcPr>
          <w:p w14:paraId="023368BB">
            <w:pPr>
              <w:spacing w:before="159" w:beforeLines="50" w:after="159" w:afterLines="50" w:line="360" w:lineRule="auto"/>
              <w:jc w:val="center"/>
              <w:rPr>
                <w:color w:val="auto"/>
                <w:sz w:val="24"/>
                <w:szCs w:val="24"/>
                <w:highlight w:val="none"/>
              </w:rPr>
            </w:pPr>
            <w:r>
              <w:rPr>
                <w:rFonts w:hint="eastAsia"/>
                <w:color w:val="auto"/>
                <w:sz w:val="24"/>
                <w:szCs w:val="24"/>
                <w:highlight w:val="none"/>
              </w:rPr>
              <w:t>招标技术参数要求</w:t>
            </w:r>
          </w:p>
        </w:tc>
        <w:tc>
          <w:tcPr>
            <w:tcW w:w="1914" w:type="dxa"/>
            <w:tcBorders>
              <w:top w:val="single" w:color="auto" w:sz="4" w:space="0"/>
              <w:left w:val="single" w:color="auto" w:sz="4" w:space="0"/>
              <w:bottom w:val="single" w:color="auto" w:sz="4" w:space="0"/>
              <w:right w:val="single" w:color="auto" w:sz="4" w:space="0"/>
            </w:tcBorders>
            <w:vAlign w:val="center"/>
          </w:tcPr>
          <w:p w14:paraId="0945921F">
            <w:pPr>
              <w:spacing w:before="159" w:beforeLines="50" w:after="159" w:afterLines="50" w:line="360" w:lineRule="auto"/>
              <w:jc w:val="center"/>
              <w:rPr>
                <w:color w:val="auto"/>
                <w:sz w:val="24"/>
                <w:szCs w:val="24"/>
                <w:highlight w:val="none"/>
              </w:rPr>
            </w:pPr>
            <w:r>
              <w:rPr>
                <w:rFonts w:hint="eastAsia"/>
                <w:color w:val="auto"/>
                <w:sz w:val="24"/>
                <w:szCs w:val="24"/>
                <w:highlight w:val="none"/>
              </w:rPr>
              <w:t>投标品牌和型号</w:t>
            </w:r>
          </w:p>
        </w:tc>
        <w:tc>
          <w:tcPr>
            <w:tcW w:w="1134" w:type="dxa"/>
            <w:tcBorders>
              <w:top w:val="single" w:color="auto" w:sz="4" w:space="0"/>
              <w:left w:val="single" w:color="auto" w:sz="4" w:space="0"/>
              <w:bottom w:val="single" w:color="auto" w:sz="4" w:space="0"/>
              <w:right w:val="single" w:color="auto" w:sz="4" w:space="0"/>
            </w:tcBorders>
            <w:vAlign w:val="center"/>
          </w:tcPr>
          <w:p w14:paraId="4D036DFB">
            <w:pPr>
              <w:jc w:val="center"/>
              <w:rPr>
                <w:color w:val="auto"/>
                <w:sz w:val="24"/>
                <w:szCs w:val="24"/>
                <w:highlight w:val="none"/>
              </w:rPr>
            </w:pPr>
            <w:r>
              <w:rPr>
                <w:rFonts w:hint="eastAsia"/>
                <w:color w:val="auto"/>
                <w:sz w:val="24"/>
                <w:szCs w:val="24"/>
                <w:highlight w:val="none"/>
              </w:rPr>
              <w:t>投标产品技术参数</w:t>
            </w:r>
          </w:p>
        </w:tc>
        <w:tc>
          <w:tcPr>
            <w:tcW w:w="1134" w:type="dxa"/>
            <w:tcBorders>
              <w:top w:val="single" w:color="auto" w:sz="4" w:space="0"/>
              <w:left w:val="single" w:color="auto" w:sz="4" w:space="0"/>
              <w:bottom w:val="single" w:color="auto" w:sz="4" w:space="0"/>
              <w:right w:val="single" w:color="auto" w:sz="4" w:space="0"/>
            </w:tcBorders>
            <w:vAlign w:val="center"/>
          </w:tcPr>
          <w:p w14:paraId="179F01EE">
            <w:pPr>
              <w:spacing w:before="159" w:beforeLines="50" w:after="159" w:afterLines="50" w:line="360" w:lineRule="auto"/>
              <w:jc w:val="center"/>
              <w:rPr>
                <w:color w:val="auto"/>
                <w:sz w:val="24"/>
                <w:szCs w:val="24"/>
                <w:highlight w:val="none"/>
              </w:rPr>
            </w:pPr>
            <w:r>
              <w:rPr>
                <w:rFonts w:hint="eastAsia"/>
                <w:color w:val="auto"/>
                <w:sz w:val="24"/>
                <w:szCs w:val="24"/>
                <w:highlight w:val="none"/>
              </w:rPr>
              <w:t>偏离</w:t>
            </w:r>
          </w:p>
          <w:p w14:paraId="4A19C427">
            <w:pPr>
              <w:spacing w:before="159" w:beforeLines="50" w:after="159" w:afterLines="50" w:line="360" w:lineRule="auto"/>
              <w:jc w:val="center"/>
              <w:rPr>
                <w:color w:val="auto"/>
                <w:sz w:val="24"/>
                <w:szCs w:val="24"/>
                <w:highlight w:val="none"/>
              </w:rPr>
            </w:pPr>
            <w:r>
              <w:rPr>
                <w:rFonts w:hint="eastAsia"/>
                <w:color w:val="auto"/>
                <w:sz w:val="24"/>
                <w:szCs w:val="24"/>
                <w:highlight w:val="none"/>
              </w:rPr>
              <w:t>(正/负)</w:t>
            </w:r>
          </w:p>
        </w:tc>
        <w:tc>
          <w:tcPr>
            <w:tcW w:w="963" w:type="dxa"/>
            <w:tcBorders>
              <w:top w:val="single" w:color="auto" w:sz="4" w:space="0"/>
              <w:left w:val="single" w:color="auto" w:sz="4" w:space="0"/>
              <w:bottom w:val="single" w:color="auto" w:sz="4" w:space="0"/>
              <w:right w:val="single" w:color="auto" w:sz="4" w:space="0"/>
            </w:tcBorders>
            <w:vAlign w:val="center"/>
          </w:tcPr>
          <w:p w14:paraId="5986EAF3">
            <w:pPr>
              <w:spacing w:before="159" w:beforeLines="50" w:after="159" w:afterLines="50" w:line="360" w:lineRule="auto"/>
              <w:jc w:val="center"/>
              <w:rPr>
                <w:color w:val="auto"/>
                <w:sz w:val="24"/>
                <w:szCs w:val="24"/>
                <w:highlight w:val="none"/>
              </w:rPr>
            </w:pPr>
            <w:r>
              <w:rPr>
                <w:rFonts w:hint="eastAsia"/>
                <w:color w:val="auto"/>
                <w:sz w:val="24"/>
                <w:szCs w:val="24"/>
                <w:highlight w:val="none"/>
              </w:rPr>
              <w:t>备注</w:t>
            </w:r>
          </w:p>
        </w:tc>
      </w:tr>
      <w:tr w14:paraId="186F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C33EB3A">
            <w:pPr>
              <w:spacing w:before="159" w:beforeLines="50" w:after="159" w:afterLines="50" w:line="360" w:lineRule="auto"/>
              <w:jc w:val="center"/>
              <w:rPr>
                <w:color w:val="auto"/>
                <w:sz w:val="24"/>
                <w:highlight w:val="none"/>
              </w:rPr>
            </w:pPr>
            <w:r>
              <w:rPr>
                <w:rFonts w:hint="eastAsia"/>
                <w:color w:val="auto"/>
                <w:sz w:val="24"/>
                <w:highlight w:val="none"/>
              </w:rPr>
              <w:t>1</w:t>
            </w:r>
          </w:p>
        </w:tc>
        <w:tc>
          <w:tcPr>
            <w:tcW w:w="2230" w:type="dxa"/>
            <w:tcBorders>
              <w:top w:val="single" w:color="auto" w:sz="4" w:space="0"/>
              <w:left w:val="single" w:color="auto" w:sz="4" w:space="0"/>
              <w:bottom w:val="single" w:color="auto" w:sz="4" w:space="0"/>
              <w:right w:val="single" w:color="auto" w:sz="4" w:space="0"/>
            </w:tcBorders>
            <w:vAlign w:val="center"/>
          </w:tcPr>
          <w:p w14:paraId="7ED3F705">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24B86AB0">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51E19CC1">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478881">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4CA862">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DE4AA8C">
            <w:pPr>
              <w:spacing w:line="360" w:lineRule="auto"/>
              <w:jc w:val="center"/>
              <w:rPr>
                <w:color w:val="auto"/>
                <w:sz w:val="24"/>
                <w:highlight w:val="none"/>
              </w:rPr>
            </w:pPr>
          </w:p>
        </w:tc>
      </w:tr>
      <w:tr w14:paraId="2499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4247CB7">
            <w:pPr>
              <w:spacing w:before="159" w:beforeLines="50" w:after="159" w:afterLines="50" w:line="360" w:lineRule="auto"/>
              <w:jc w:val="center"/>
              <w:rPr>
                <w:color w:val="auto"/>
                <w:sz w:val="24"/>
                <w:highlight w:val="none"/>
              </w:rPr>
            </w:pPr>
            <w:r>
              <w:rPr>
                <w:rFonts w:hint="eastAsia"/>
                <w:color w:val="auto"/>
                <w:sz w:val="24"/>
                <w:highlight w:val="none"/>
              </w:rPr>
              <w:t>2</w:t>
            </w:r>
          </w:p>
        </w:tc>
        <w:tc>
          <w:tcPr>
            <w:tcW w:w="2230" w:type="dxa"/>
            <w:tcBorders>
              <w:top w:val="single" w:color="auto" w:sz="4" w:space="0"/>
              <w:left w:val="single" w:color="auto" w:sz="4" w:space="0"/>
              <w:bottom w:val="single" w:color="auto" w:sz="4" w:space="0"/>
              <w:right w:val="single" w:color="auto" w:sz="4" w:space="0"/>
            </w:tcBorders>
            <w:vAlign w:val="center"/>
          </w:tcPr>
          <w:p w14:paraId="06D12285">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2025F7F9">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6BA6D303">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9FA05D5">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BEC461">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3C80646D">
            <w:pPr>
              <w:spacing w:line="360" w:lineRule="auto"/>
              <w:jc w:val="center"/>
              <w:rPr>
                <w:color w:val="auto"/>
                <w:sz w:val="24"/>
                <w:highlight w:val="none"/>
              </w:rPr>
            </w:pPr>
          </w:p>
        </w:tc>
      </w:tr>
      <w:tr w14:paraId="2310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051517D">
            <w:pPr>
              <w:spacing w:before="159" w:beforeLines="50" w:after="159" w:afterLines="50" w:line="360" w:lineRule="auto"/>
              <w:jc w:val="center"/>
              <w:rPr>
                <w:color w:val="auto"/>
                <w:sz w:val="24"/>
                <w:highlight w:val="none"/>
              </w:rPr>
            </w:pPr>
            <w:r>
              <w:rPr>
                <w:rFonts w:hint="eastAsia"/>
                <w:color w:val="auto"/>
                <w:sz w:val="24"/>
                <w:highlight w:val="none"/>
              </w:rPr>
              <w:t>3</w:t>
            </w:r>
          </w:p>
        </w:tc>
        <w:tc>
          <w:tcPr>
            <w:tcW w:w="2230" w:type="dxa"/>
            <w:tcBorders>
              <w:top w:val="single" w:color="auto" w:sz="4" w:space="0"/>
              <w:left w:val="single" w:color="auto" w:sz="4" w:space="0"/>
              <w:bottom w:val="single" w:color="auto" w:sz="4" w:space="0"/>
              <w:right w:val="single" w:color="auto" w:sz="4" w:space="0"/>
            </w:tcBorders>
            <w:vAlign w:val="center"/>
          </w:tcPr>
          <w:p w14:paraId="3AB005EC">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0DDFFC97">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64E9D5C4">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9BAA0C8">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B71E08">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1707D8AC">
            <w:pPr>
              <w:spacing w:line="360" w:lineRule="auto"/>
              <w:jc w:val="center"/>
              <w:rPr>
                <w:color w:val="auto"/>
                <w:sz w:val="24"/>
                <w:highlight w:val="none"/>
              </w:rPr>
            </w:pPr>
          </w:p>
        </w:tc>
      </w:tr>
      <w:tr w14:paraId="6ACC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91235E3">
            <w:pPr>
              <w:spacing w:before="159" w:beforeLines="50" w:after="159" w:afterLines="50" w:line="360" w:lineRule="auto"/>
              <w:jc w:val="center"/>
              <w:rPr>
                <w:color w:val="auto"/>
                <w:sz w:val="24"/>
                <w:highlight w:val="none"/>
              </w:rPr>
            </w:pPr>
            <w:r>
              <w:rPr>
                <w:rFonts w:hint="eastAsia"/>
                <w:color w:val="auto"/>
                <w:sz w:val="24"/>
                <w:highlight w:val="none"/>
              </w:rPr>
              <w:t>…</w:t>
            </w:r>
          </w:p>
        </w:tc>
        <w:tc>
          <w:tcPr>
            <w:tcW w:w="2230" w:type="dxa"/>
            <w:tcBorders>
              <w:top w:val="single" w:color="auto" w:sz="4" w:space="0"/>
              <w:left w:val="single" w:color="auto" w:sz="4" w:space="0"/>
              <w:bottom w:val="single" w:color="auto" w:sz="4" w:space="0"/>
              <w:right w:val="single" w:color="auto" w:sz="4" w:space="0"/>
            </w:tcBorders>
            <w:vAlign w:val="center"/>
          </w:tcPr>
          <w:p w14:paraId="0AAA2AC5">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3D379139">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17CB0064">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1DAB725">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EB0F6D6">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5FA34E8">
            <w:pPr>
              <w:spacing w:line="360" w:lineRule="auto"/>
              <w:jc w:val="center"/>
              <w:rPr>
                <w:color w:val="auto"/>
                <w:sz w:val="24"/>
                <w:highlight w:val="none"/>
              </w:rPr>
            </w:pPr>
          </w:p>
        </w:tc>
      </w:tr>
      <w:tr w14:paraId="69D4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AEC2A0A">
            <w:pPr>
              <w:spacing w:before="159" w:beforeLines="50" w:after="159"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vAlign w:val="center"/>
          </w:tcPr>
          <w:p w14:paraId="11159BA0">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05000260">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6C67C7A8">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4636D5E">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679A5F">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29A0595">
            <w:pPr>
              <w:spacing w:line="360" w:lineRule="auto"/>
              <w:jc w:val="center"/>
              <w:rPr>
                <w:color w:val="auto"/>
                <w:sz w:val="24"/>
                <w:highlight w:val="none"/>
              </w:rPr>
            </w:pPr>
          </w:p>
        </w:tc>
      </w:tr>
      <w:tr w14:paraId="7CC5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5E83F96">
            <w:pPr>
              <w:spacing w:before="159" w:beforeLines="50" w:after="159"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vAlign w:val="center"/>
          </w:tcPr>
          <w:p w14:paraId="59DC34DB">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6FE4ADD1">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32ED1939">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CED6192">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9C4EAEA">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2274FAC9">
            <w:pPr>
              <w:spacing w:line="360" w:lineRule="auto"/>
              <w:jc w:val="center"/>
              <w:rPr>
                <w:color w:val="auto"/>
                <w:sz w:val="24"/>
                <w:highlight w:val="none"/>
              </w:rPr>
            </w:pPr>
          </w:p>
        </w:tc>
      </w:tr>
      <w:tr w14:paraId="1AFD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88EA7EA">
            <w:pPr>
              <w:spacing w:before="159" w:beforeLines="50" w:after="159"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vAlign w:val="center"/>
          </w:tcPr>
          <w:p w14:paraId="23CCA9A1">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7D94555C">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3E9B9C63">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2CB6671">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25ED26">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4A077417">
            <w:pPr>
              <w:spacing w:line="360" w:lineRule="auto"/>
              <w:jc w:val="center"/>
              <w:rPr>
                <w:color w:val="auto"/>
                <w:sz w:val="24"/>
                <w:highlight w:val="none"/>
              </w:rPr>
            </w:pPr>
          </w:p>
        </w:tc>
      </w:tr>
      <w:tr w14:paraId="376F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841A8AA">
            <w:pPr>
              <w:spacing w:before="159" w:beforeLines="50" w:after="159"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vAlign w:val="center"/>
          </w:tcPr>
          <w:p w14:paraId="59F03E99">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709E604D">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14:paraId="06E15952">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E2C4F45">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E9D18C">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2918CCA4">
            <w:pPr>
              <w:spacing w:line="360" w:lineRule="auto"/>
              <w:jc w:val="center"/>
              <w:rPr>
                <w:color w:val="auto"/>
                <w:sz w:val="24"/>
                <w:highlight w:val="none"/>
              </w:rPr>
            </w:pPr>
          </w:p>
        </w:tc>
      </w:tr>
    </w:tbl>
    <w:p w14:paraId="48FB2D74">
      <w:pPr>
        <w:spacing w:line="360" w:lineRule="auto"/>
        <w:ind w:firstLine="3720" w:firstLineChars="1550"/>
        <w:rPr>
          <w:color w:val="auto"/>
          <w:sz w:val="24"/>
          <w:szCs w:val="24"/>
          <w:highlight w:val="none"/>
        </w:rPr>
      </w:pPr>
    </w:p>
    <w:p w14:paraId="670B99B3">
      <w:pPr>
        <w:spacing w:line="360" w:lineRule="auto"/>
        <w:ind w:firstLine="4200" w:firstLineChars="1750"/>
        <w:rPr>
          <w:color w:val="auto"/>
          <w:sz w:val="24"/>
          <w:szCs w:val="24"/>
          <w:highlight w:val="none"/>
        </w:rPr>
      </w:pPr>
      <w:r>
        <w:rPr>
          <w:rFonts w:hint="eastAsia"/>
          <w:color w:val="auto"/>
          <w:sz w:val="24"/>
          <w:szCs w:val="24"/>
          <w:highlight w:val="none"/>
        </w:rPr>
        <w:t>投标供应商(盖章)：</w:t>
      </w:r>
      <w:r>
        <w:rPr>
          <w:rFonts w:hint="eastAsia"/>
          <w:color w:val="auto"/>
          <w:sz w:val="24"/>
          <w:szCs w:val="24"/>
          <w:highlight w:val="none"/>
          <w:u w:val="single"/>
        </w:rPr>
        <w:t xml:space="preserve">              </w:t>
      </w:r>
    </w:p>
    <w:p w14:paraId="43144AB5">
      <w:pPr>
        <w:spacing w:line="360" w:lineRule="auto"/>
        <w:ind w:firstLine="480" w:firstLineChars="200"/>
        <w:rPr>
          <w:color w:val="auto"/>
          <w:sz w:val="24"/>
          <w:szCs w:val="24"/>
          <w:highlight w:val="none"/>
        </w:rPr>
      </w:pPr>
      <w:r>
        <w:rPr>
          <w:rFonts w:hint="eastAsia"/>
          <w:color w:val="auto"/>
          <w:sz w:val="24"/>
          <w:szCs w:val="24"/>
          <w:highlight w:val="none"/>
        </w:rPr>
        <w:t>法定代表人或其委托代理人(签字或盖章)：</w:t>
      </w:r>
      <w:r>
        <w:rPr>
          <w:rFonts w:hint="eastAsia"/>
          <w:color w:val="auto"/>
          <w:sz w:val="24"/>
          <w:szCs w:val="24"/>
          <w:highlight w:val="none"/>
          <w:u w:val="single"/>
        </w:rPr>
        <w:t xml:space="preserve">          </w:t>
      </w:r>
    </w:p>
    <w:p w14:paraId="7C82E40E">
      <w:pPr>
        <w:spacing w:line="360" w:lineRule="auto"/>
        <w:ind w:firstLine="4200" w:firstLineChars="1750"/>
        <w:rPr>
          <w:color w:val="auto"/>
          <w:sz w:val="24"/>
          <w:szCs w:val="24"/>
          <w:highlight w:val="none"/>
        </w:rPr>
      </w:pPr>
      <w:r>
        <w:rPr>
          <w:rFonts w:hint="eastAsia"/>
          <w:color w:val="auto"/>
          <w:sz w:val="24"/>
          <w:szCs w:val="24"/>
          <w:highlight w:val="none"/>
        </w:rPr>
        <w:t>日    期：    年   月   日</w:t>
      </w:r>
    </w:p>
    <w:p w14:paraId="4473F947">
      <w:pPr>
        <w:wordWrap w:val="0"/>
        <w:autoSpaceDE w:val="0"/>
        <w:autoSpaceDN w:val="0"/>
        <w:snapToGrid w:val="0"/>
        <w:spacing w:line="580" w:lineRule="exact"/>
        <w:ind w:right="-817" w:rightChars="-389"/>
        <w:rPr>
          <w:rFonts w:ascii="宋体" w:hAnsi="宋体" w:cs="宋体"/>
          <w:bCs/>
          <w:color w:val="auto"/>
          <w:sz w:val="22"/>
          <w:szCs w:val="24"/>
          <w:highlight w:val="none"/>
        </w:rPr>
      </w:pPr>
      <w:r>
        <w:rPr>
          <w:rFonts w:hint="eastAsia" w:ascii="宋体" w:hAnsi="宋体" w:cs="宋体"/>
          <w:bCs/>
          <w:color w:val="auto"/>
          <w:sz w:val="22"/>
          <w:szCs w:val="24"/>
          <w:highlight w:val="none"/>
        </w:rPr>
        <w:t>注：供应商应对照招标文件技术规格要求，反映所提供货物和服务对招标文件的技术规格要求的全部正/负偏离（优于招标文件要求的为正偏离、低于招标文件要求得为负偏离）情况。未在本表中做出偏离说明的项目，视为与招标文件要求一致；在本表中做出偏离说明的项目，投标供应商必须提供所投设备的具体参数值，并在技术标中提供详细资料。</w:t>
      </w:r>
    </w:p>
    <w:p w14:paraId="302EECF0">
      <w:pPr>
        <w:wordWrap w:val="0"/>
        <w:autoSpaceDE w:val="0"/>
        <w:autoSpaceDN w:val="0"/>
        <w:spacing w:line="480" w:lineRule="exact"/>
        <w:ind w:firstLine="110" w:firstLineChars="50"/>
        <w:rPr>
          <w:rFonts w:ascii="宋体" w:hAnsi="宋体" w:cs="宋体"/>
          <w:bCs/>
          <w:color w:val="auto"/>
          <w:sz w:val="22"/>
          <w:szCs w:val="24"/>
          <w:highlight w:val="none"/>
        </w:rPr>
      </w:pPr>
      <w:r>
        <w:rPr>
          <w:rFonts w:hint="eastAsia" w:ascii="宋体" w:hAnsi="宋体" w:cs="宋体"/>
          <w:bCs/>
          <w:color w:val="auto"/>
          <w:sz w:val="22"/>
          <w:szCs w:val="24"/>
          <w:highlight w:val="none"/>
        </w:rPr>
        <w:t>注：此表格若不够用，可根据实际自行扩展表格。</w:t>
      </w:r>
    </w:p>
    <w:p w14:paraId="13448C5B">
      <w:pPr>
        <w:spacing w:after="159" w:afterLines="50" w:line="520" w:lineRule="exact"/>
        <w:jc w:val="center"/>
        <w:outlineLvl w:val="0"/>
        <w:rPr>
          <w:rFonts w:ascii="宋体" w:hAnsi="宋体" w:cs="宋体"/>
          <w:b/>
          <w:bCs/>
          <w:color w:val="auto"/>
          <w:sz w:val="30"/>
          <w:szCs w:val="30"/>
          <w:highlight w:val="none"/>
        </w:rPr>
      </w:pPr>
      <w:bookmarkStart w:id="190" w:name="_Toc25852"/>
      <w:bookmarkStart w:id="191" w:name="_Toc5694"/>
      <w:r>
        <w:rPr>
          <w:rFonts w:hint="eastAsia" w:ascii="宋体" w:hAnsi="宋体" w:cs="宋体"/>
          <w:b/>
          <w:bCs/>
          <w:color w:val="auto"/>
          <w:sz w:val="30"/>
          <w:szCs w:val="30"/>
          <w:highlight w:val="none"/>
        </w:rPr>
        <w:t>五、</w:t>
      </w:r>
      <w:bookmarkEnd w:id="167"/>
      <w:bookmarkEnd w:id="168"/>
      <w:bookmarkEnd w:id="169"/>
      <w:r>
        <w:rPr>
          <w:rFonts w:hint="eastAsia" w:ascii="宋体" w:hAnsi="宋体" w:cs="宋体"/>
          <w:b/>
          <w:bCs/>
          <w:color w:val="auto"/>
          <w:sz w:val="30"/>
          <w:szCs w:val="30"/>
          <w:highlight w:val="none"/>
        </w:rPr>
        <w:t>资格审查资料</w:t>
      </w:r>
      <w:bookmarkEnd w:id="190"/>
      <w:bookmarkEnd w:id="191"/>
    </w:p>
    <w:p w14:paraId="47C93861">
      <w:pPr>
        <w:spacing w:line="360" w:lineRule="auto"/>
        <w:rPr>
          <w:rFonts w:ascii="宋体" w:hAnsi="宋体" w:cs="宋体"/>
          <w:color w:val="auto"/>
          <w:sz w:val="24"/>
          <w:highlight w:val="none"/>
        </w:rPr>
      </w:pPr>
    </w:p>
    <w:p w14:paraId="0D84B95B">
      <w:pPr>
        <w:jc w:val="center"/>
        <w:rPr>
          <w:rFonts w:ascii="宋体" w:hAnsi="宋体" w:cs="宋体"/>
          <w:b/>
          <w:bCs/>
          <w:color w:val="auto"/>
          <w:sz w:val="30"/>
          <w:szCs w:val="30"/>
          <w:highlight w:val="none"/>
        </w:rPr>
      </w:pPr>
    </w:p>
    <w:p w14:paraId="37C7A2EA">
      <w:pPr>
        <w:jc w:val="center"/>
        <w:rPr>
          <w:rFonts w:ascii="宋体" w:hAnsi="宋体" w:cs="宋体"/>
          <w:b/>
          <w:bCs/>
          <w:color w:val="auto"/>
          <w:sz w:val="30"/>
          <w:szCs w:val="30"/>
          <w:highlight w:val="none"/>
        </w:rPr>
      </w:pPr>
    </w:p>
    <w:p w14:paraId="00C1B019">
      <w:pPr>
        <w:spacing w:line="360" w:lineRule="auto"/>
        <w:ind w:firstLine="3840" w:firstLineChars="1600"/>
        <w:rPr>
          <w:rFonts w:ascii="宋体" w:hAnsi="宋体" w:cs="宋体"/>
          <w:color w:val="auto"/>
          <w:sz w:val="24"/>
          <w:highlight w:val="none"/>
        </w:rPr>
      </w:pPr>
    </w:p>
    <w:p w14:paraId="218D4E54">
      <w:pPr>
        <w:spacing w:line="360" w:lineRule="auto"/>
        <w:ind w:firstLine="3840" w:firstLineChars="1600"/>
        <w:rPr>
          <w:rFonts w:ascii="宋体" w:hAnsi="宋体" w:cs="宋体"/>
          <w:color w:val="auto"/>
          <w:sz w:val="24"/>
          <w:highlight w:val="none"/>
        </w:rPr>
      </w:pPr>
    </w:p>
    <w:p w14:paraId="4502BC8A">
      <w:pPr>
        <w:pStyle w:val="2"/>
        <w:ind w:firstLine="210"/>
        <w:rPr>
          <w:color w:val="auto"/>
          <w:highlight w:val="none"/>
        </w:rPr>
      </w:pPr>
    </w:p>
    <w:p w14:paraId="1507DF2D">
      <w:pPr>
        <w:spacing w:line="360" w:lineRule="auto"/>
        <w:ind w:firstLine="3840" w:firstLineChars="1600"/>
        <w:rPr>
          <w:rFonts w:ascii="宋体" w:hAnsi="宋体" w:cs="宋体"/>
          <w:color w:val="auto"/>
          <w:sz w:val="24"/>
          <w:highlight w:val="none"/>
        </w:rPr>
      </w:pPr>
    </w:p>
    <w:p w14:paraId="6A0985D4">
      <w:pPr>
        <w:jc w:val="center"/>
        <w:rPr>
          <w:rFonts w:ascii="宋体" w:hAnsi="宋体" w:cs="宋体"/>
          <w:b/>
          <w:bCs/>
          <w:color w:val="auto"/>
          <w:sz w:val="30"/>
          <w:szCs w:val="30"/>
          <w:highlight w:val="none"/>
        </w:rPr>
      </w:pPr>
    </w:p>
    <w:p w14:paraId="0A6016F9">
      <w:pPr>
        <w:jc w:val="center"/>
        <w:rPr>
          <w:rFonts w:ascii="宋体" w:hAnsi="宋体" w:cs="宋体"/>
          <w:b/>
          <w:bCs/>
          <w:color w:val="auto"/>
          <w:sz w:val="30"/>
          <w:szCs w:val="30"/>
          <w:highlight w:val="none"/>
        </w:rPr>
      </w:pPr>
    </w:p>
    <w:p w14:paraId="235DF2B9">
      <w:pPr>
        <w:wordWrap w:val="0"/>
        <w:spacing w:line="360" w:lineRule="auto"/>
        <w:jc w:val="center"/>
        <w:rPr>
          <w:rFonts w:ascii="宋体" w:hAnsi="宋体" w:cs="宋体"/>
          <w:b/>
          <w:bCs/>
          <w:color w:val="auto"/>
          <w:sz w:val="30"/>
          <w:szCs w:val="30"/>
          <w:highlight w:val="none"/>
        </w:rPr>
      </w:pPr>
    </w:p>
    <w:p w14:paraId="663579BF">
      <w:pPr>
        <w:wordWrap w:val="0"/>
        <w:spacing w:line="360" w:lineRule="auto"/>
        <w:jc w:val="center"/>
        <w:rPr>
          <w:rFonts w:ascii="宋体" w:hAnsi="宋体" w:cs="宋体"/>
          <w:b/>
          <w:bCs/>
          <w:color w:val="auto"/>
          <w:sz w:val="30"/>
          <w:szCs w:val="30"/>
          <w:highlight w:val="none"/>
        </w:rPr>
      </w:pPr>
    </w:p>
    <w:p w14:paraId="2C8C8CB9">
      <w:pPr>
        <w:wordWrap w:val="0"/>
        <w:spacing w:line="360" w:lineRule="auto"/>
        <w:jc w:val="center"/>
        <w:rPr>
          <w:rFonts w:ascii="宋体" w:hAnsi="宋体" w:cs="宋体"/>
          <w:b/>
          <w:bCs/>
          <w:color w:val="auto"/>
          <w:sz w:val="30"/>
          <w:szCs w:val="30"/>
          <w:highlight w:val="none"/>
        </w:rPr>
      </w:pPr>
    </w:p>
    <w:p w14:paraId="26FF641C">
      <w:pPr>
        <w:wordWrap w:val="0"/>
        <w:spacing w:line="360" w:lineRule="auto"/>
        <w:jc w:val="center"/>
        <w:rPr>
          <w:rFonts w:ascii="宋体" w:hAnsi="宋体" w:cs="宋体"/>
          <w:b/>
          <w:bCs/>
          <w:color w:val="auto"/>
          <w:sz w:val="30"/>
          <w:szCs w:val="30"/>
          <w:highlight w:val="none"/>
        </w:rPr>
      </w:pPr>
    </w:p>
    <w:p w14:paraId="2EB043EA">
      <w:pPr>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3B2A3542">
      <w:pPr>
        <w:jc w:val="center"/>
        <w:outlineLvl w:val="0"/>
        <w:rPr>
          <w:b/>
          <w:color w:val="auto"/>
          <w:sz w:val="30"/>
          <w:szCs w:val="30"/>
          <w:highlight w:val="none"/>
        </w:rPr>
      </w:pPr>
      <w:bookmarkStart w:id="192" w:name="_Toc4099"/>
      <w:bookmarkStart w:id="193" w:name="_Toc22268"/>
      <w:r>
        <w:rPr>
          <w:rFonts w:hint="eastAsia"/>
          <w:b/>
          <w:color w:val="auto"/>
          <w:sz w:val="30"/>
          <w:szCs w:val="30"/>
          <w:highlight w:val="none"/>
        </w:rPr>
        <w:t>六、投标承诺函</w:t>
      </w:r>
      <w:bookmarkEnd w:id="192"/>
      <w:bookmarkEnd w:id="193"/>
    </w:p>
    <w:p w14:paraId="5D4A093B">
      <w:pPr>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7C50F79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我方根据本项目招标文件,自愿参加</w:t>
      </w:r>
      <w:r>
        <w:rPr>
          <w:rFonts w:hint="eastAsia" w:ascii="宋体" w:hAnsi="宋体"/>
          <w:color w:val="auto"/>
          <w:sz w:val="24"/>
          <w:highlight w:val="none"/>
          <w:u w:val="single"/>
        </w:rPr>
        <w:t xml:space="preserve">                     </w:t>
      </w:r>
      <w:r>
        <w:rPr>
          <w:rFonts w:hint="eastAsia" w:ascii="宋体" w:hAnsi="宋体"/>
          <w:color w:val="auto"/>
          <w:sz w:val="24"/>
          <w:highlight w:val="none"/>
        </w:rPr>
        <w:t>项目，并作如下承诺：</w:t>
      </w:r>
    </w:p>
    <w:p w14:paraId="49386A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1、我方本着公平竞争的原则,参加本次投标活动。我方严格遵守国家相关法律法规,不出借、挂靠资质投标,不围标、串标,不使用违法或其它不正当行为谋求中标。</w:t>
      </w:r>
    </w:p>
    <w:p w14:paraId="146509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2、保证不向招标人、代理机构、行政监督部门等工作人员、评标专家及其亲属赠送礼品、扎金、有价证券、支付凭证；不为其旅游及其它消费行为报销费用。</w:t>
      </w:r>
    </w:p>
    <w:p w14:paraId="03385E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3、我方严格按照本项目招标文件规定递交全部投标文件,保证在招标文件规定的投标有效期内不修改、撤回已递交的投标文件。</w:t>
      </w:r>
    </w:p>
    <w:p w14:paraId="2492AC7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4、如我方中标,我方将按规定及时履行合同义务,及时与建设单位签订合同,并严格按照合同、投标文件及投标过程中所做出的承诺资料等组织项目实施。</w:t>
      </w:r>
    </w:p>
    <w:p w14:paraId="29F0102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5、我方严格履行以上承诺,否则,我公司及参与投标的工作人员将自愿接受国家法律、法规、规章规定给予的经济、党纪、政纪乃至刑事的处罚；自觉接受行政监管部门给予公司和个人的不良行为记录。</w:t>
      </w:r>
    </w:p>
    <w:p w14:paraId="79A78EDD">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6、供应商认为应做的其他承诺：</w:t>
      </w:r>
      <w:r>
        <w:rPr>
          <w:rFonts w:hint="eastAsia" w:ascii="宋体" w:hAnsi="宋体"/>
          <w:color w:val="auto"/>
          <w:sz w:val="24"/>
          <w:highlight w:val="none"/>
          <w:u w:val="single"/>
        </w:rPr>
        <w:t xml:space="preserve">                      </w:t>
      </w:r>
    </w:p>
    <w:p w14:paraId="2C209C1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14:paraId="7A0FDB50">
      <w:pPr>
        <w:spacing w:line="360" w:lineRule="auto"/>
        <w:ind w:firstLine="3360" w:firstLineChars="1400"/>
        <w:rPr>
          <w:rFonts w:ascii="宋体" w:hAnsi="宋体"/>
          <w:color w:val="auto"/>
          <w:sz w:val="24"/>
          <w:highlight w:val="none"/>
        </w:rPr>
      </w:pPr>
    </w:p>
    <w:p w14:paraId="4D5D9388">
      <w:pPr>
        <w:spacing w:line="360" w:lineRule="auto"/>
        <w:ind w:firstLine="3360" w:firstLineChars="1400"/>
        <w:rPr>
          <w:rFonts w:ascii="宋体" w:hAnsi="宋体"/>
          <w:color w:val="auto"/>
          <w:sz w:val="24"/>
          <w:highlight w:val="none"/>
        </w:rPr>
      </w:pPr>
    </w:p>
    <w:p w14:paraId="19F1B1D5">
      <w:pPr>
        <w:spacing w:line="360" w:lineRule="auto"/>
        <w:ind w:firstLine="3360" w:firstLineChars="1400"/>
        <w:rPr>
          <w:rFonts w:ascii="宋体" w:hAnsi="宋体"/>
          <w:color w:val="auto"/>
          <w:sz w:val="24"/>
          <w:highlight w:val="none"/>
        </w:rPr>
      </w:pPr>
    </w:p>
    <w:p w14:paraId="684001A8">
      <w:pPr>
        <w:spacing w:line="360" w:lineRule="auto"/>
        <w:ind w:firstLine="3360" w:firstLineChars="1400"/>
        <w:rPr>
          <w:rFonts w:ascii="宋体" w:hAnsi="宋体"/>
          <w:color w:val="auto"/>
          <w:sz w:val="24"/>
          <w:highlight w:val="none"/>
        </w:rPr>
      </w:pPr>
    </w:p>
    <w:p w14:paraId="7A8C7C98">
      <w:pPr>
        <w:spacing w:line="360" w:lineRule="auto"/>
        <w:ind w:firstLine="3840" w:firstLineChars="1600"/>
        <w:rPr>
          <w:rFonts w:ascii="宋体" w:hAnsi="宋体" w:cs="宋体"/>
          <w:color w:val="auto"/>
          <w:kern w:val="0"/>
          <w:sz w:val="24"/>
          <w:highlight w:val="none"/>
        </w:rPr>
      </w:pPr>
    </w:p>
    <w:p w14:paraId="7A94C901">
      <w:pPr>
        <w:spacing w:line="360" w:lineRule="auto"/>
        <w:ind w:firstLine="3840" w:firstLineChars="1600"/>
        <w:rPr>
          <w:rFonts w:ascii="宋体" w:hAnsi="宋体" w:cs="宋体"/>
          <w:color w:val="auto"/>
          <w:kern w:val="0"/>
          <w:sz w:val="24"/>
          <w:highlight w:val="none"/>
        </w:rPr>
      </w:pPr>
      <w:r>
        <w:rPr>
          <w:rFonts w:hint="eastAsia" w:ascii="宋体" w:hAnsi="宋体" w:cs="宋体"/>
          <w:color w:val="auto"/>
          <w:kern w:val="0"/>
          <w:sz w:val="24"/>
          <w:highlight w:val="none"/>
        </w:rPr>
        <w:t>投标供应商(盖章)：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8F019E2">
      <w:pPr>
        <w:spacing w:line="360" w:lineRule="auto"/>
        <w:ind w:firstLine="3840" w:firstLineChars="1600"/>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法定代表人或其委托代理人(签字或盖章)：</w:t>
      </w:r>
      <w:r>
        <w:rPr>
          <w:rFonts w:hint="eastAsia" w:ascii="宋体" w:hAnsi="宋体" w:cs="宋体"/>
          <w:color w:val="auto"/>
          <w:kern w:val="0"/>
          <w:sz w:val="24"/>
          <w:highlight w:val="none"/>
          <w:u w:val="single"/>
        </w:rPr>
        <w:t xml:space="preserve">          </w:t>
      </w:r>
    </w:p>
    <w:p w14:paraId="6E1DC9F1">
      <w:pPr>
        <w:ind w:firstLine="3840" w:firstLineChars="1600"/>
        <w:rPr>
          <w:rFonts w:ascii="宋体" w:hAnsi="宋体"/>
          <w:b/>
          <w:color w:val="auto"/>
          <w:sz w:val="24"/>
          <w:highlight w:val="none"/>
        </w:rPr>
      </w:pPr>
      <w:r>
        <w:rPr>
          <w:rFonts w:hint="eastAsia" w:ascii="宋体" w:hAnsi="宋体" w:cs="宋体"/>
          <w:color w:val="auto"/>
          <w:kern w:val="0"/>
          <w:sz w:val="24"/>
          <w:highlight w:val="none"/>
        </w:rPr>
        <w:t>日期：      年   月   日</w:t>
      </w:r>
    </w:p>
    <w:p w14:paraId="07D91066">
      <w:pPr>
        <w:jc w:val="center"/>
        <w:rPr>
          <w:b/>
          <w:color w:val="auto"/>
          <w:sz w:val="36"/>
          <w:szCs w:val="36"/>
          <w:highlight w:val="none"/>
        </w:rPr>
      </w:pPr>
    </w:p>
    <w:p w14:paraId="2D56D79F">
      <w:pPr>
        <w:rPr>
          <w:b/>
          <w:color w:val="auto"/>
          <w:sz w:val="30"/>
          <w:szCs w:val="30"/>
          <w:highlight w:val="none"/>
        </w:rPr>
      </w:pPr>
      <w:bookmarkStart w:id="194" w:name="_Toc7421"/>
      <w:bookmarkStart w:id="195" w:name="_Toc2201"/>
      <w:r>
        <w:rPr>
          <w:rFonts w:hint="eastAsia"/>
          <w:b/>
          <w:color w:val="auto"/>
          <w:sz w:val="30"/>
          <w:szCs w:val="30"/>
          <w:highlight w:val="none"/>
        </w:rPr>
        <w:br w:type="page"/>
      </w:r>
    </w:p>
    <w:p w14:paraId="779ABBEF">
      <w:pPr>
        <w:jc w:val="center"/>
        <w:outlineLvl w:val="0"/>
        <w:rPr>
          <w:b/>
          <w:color w:val="auto"/>
          <w:sz w:val="30"/>
          <w:szCs w:val="30"/>
          <w:highlight w:val="none"/>
        </w:rPr>
      </w:pPr>
      <w:r>
        <w:rPr>
          <w:rFonts w:hint="eastAsia"/>
          <w:b/>
          <w:color w:val="auto"/>
          <w:sz w:val="30"/>
          <w:szCs w:val="30"/>
          <w:highlight w:val="none"/>
        </w:rPr>
        <w:t>七、</w:t>
      </w:r>
      <w:bookmarkEnd w:id="194"/>
      <w:bookmarkEnd w:id="195"/>
      <w:r>
        <w:rPr>
          <w:rFonts w:hint="eastAsia"/>
          <w:b/>
          <w:color w:val="auto"/>
          <w:sz w:val="30"/>
          <w:szCs w:val="30"/>
          <w:highlight w:val="none"/>
        </w:rPr>
        <w:t>技术标</w:t>
      </w:r>
    </w:p>
    <w:p w14:paraId="0628C37A">
      <w:pPr>
        <w:rPr>
          <w:b/>
          <w:color w:val="auto"/>
          <w:sz w:val="30"/>
          <w:szCs w:val="30"/>
          <w:highlight w:val="none"/>
        </w:rPr>
      </w:pPr>
      <w:r>
        <w:rPr>
          <w:rFonts w:hint="eastAsia"/>
          <w:b/>
          <w:color w:val="auto"/>
          <w:sz w:val="30"/>
          <w:szCs w:val="30"/>
          <w:highlight w:val="none"/>
        </w:rPr>
        <w:br w:type="page"/>
      </w:r>
    </w:p>
    <w:p w14:paraId="64DFD857">
      <w:pPr>
        <w:jc w:val="center"/>
        <w:outlineLvl w:val="0"/>
        <w:rPr>
          <w:b/>
          <w:color w:val="auto"/>
          <w:sz w:val="30"/>
          <w:szCs w:val="30"/>
          <w:highlight w:val="none"/>
        </w:rPr>
      </w:pPr>
      <w:r>
        <w:rPr>
          <w:rFonts w:hint="eastAsia"/>
          <w:b/>
          <w:color w:val="auto"/>
          <w:sz w:val="30"/>
          <w:szCs w:val="30"/>
          <w:highlight w:val="none"/>
        </w:rPr>
        <w:t>八、综合标</w:t>
      </w:r>
    </w:p>
    <w:p w14:paraId="7A7B6435">
      <w:pPr>
        <w:rPr>
          <w:b/>
          <w:color w:val="auto"/>
          <w:sz w:val="30"/>
          <w:szCs w:val="30"/>
          <w:highlight w:val="none"/>
        </w:rPr>
      </w:pPr>
      <w:r>
        <w:rPr>
          <w:rFonts w:hint="eastAsia"/>
          <w:b/>
          <w:color w:val="auto"/>
          <w:sz w:val="30"/>
          <w:szCs w:val="30"/>
          <w:highlight w:val="none"/>
        </w:rPr>
        <w:br w:type="page"/>
      </w:r>
    </w:p>
    <w:p w14:paraId="6AC046F4">
      <w:pPr>
        <w:jc w:val="center"/>
        <w:outlineLvl w:val="0"/>
        <w:rPr>
          <w:b/>
          <w:color w:val="auto"/>
          <w:sz w:val="30"/>
          <w:szCs w:val="30"/>
          <w:highlight w:val="none"/>
        </w:rPr>
      </w:pPr>
      <w:r>
        <w:rPr>
          <w:rFonts w:hint="eastAsia"/>
          <w:b/>
          <w:color w:val="auto"/>
          <w:sz w:val="30"/>
          <w:szCs w:val="30"/>
          <w:highlight w:val="none"/>
        </w:rPr>
        <w:t>九、其他材料</w:t>
      </w:r>
    </w:p>
    <w:p w14:paraId="6D6EE8A9">
      <w:pPr>
        <w:pStyle w:val="6"/>
        <w:rPr>
          <w:color w:val="auto"/>
          <w:highlight w:val="none"/>
        </w:rPr>
      </w:pPr>
    </w:p>
    <w:p w14:paraId="52E09C6C">
      <w:pPr>
        <w:pStyle w:val="6"/>
        <w:rPr>
          <w:color w:val="auto"/>
          <w:highlight w:val="none"/>
        </w:rPr>
      </w:pPr>
    </w:p>
    <w:p w14:paraId="0DDDACFC">
      <w:pPr>
        <w:rPr>
          <w:b/>
          <w:color w:val="auto"/>
          <w:sz w:val="30"/>
          <w:szCs w:val="30"/>
          <w:highlight w:val="none"/>
        </w:rPr>
      </w:pPr>
      <w:r>
        <w:rPr>
          <w:rFonts w:hint="eastAsia"/>
          <w:b/>
          <w:color w:val="auto"/>
          <w:sz w:val="30"/>
          <w:szCs w:val="30"/>
          <w:highlight w:val="none"/>
        </w:rPr>
        <w:br w:type="page"/>
      </w:r>
    </w:p>
    <w:p w14:paraId="0C41F98B">
      <w:pPr>
        <w:spacing w:line="480" w:lineRule="auto"/>
        <w:jc w:val="center"/>
        <w:outlineLvl w:val="0"/>
        <w:rPr>
          <w:rFonts w:ascii="宋体" w:hAnsi="宋体" w:cs="宋体"/>
          <w:b/>
          <w:bCs/>
          <w:color w:val="auto"/>
          <w:kern w:val="0"/>
          <w:sz w:val="30"/>
          <w:szCs w:val="30"/>
          <w:highlight w:val="none"/>
        </w:rPr>
      </w:pPr>
      <w:bookmarkStart w:id="196" w:name="_Toc13258"/>
      <w:bookmarkStart w:id="197" w:name="_Toc9279"/>
      <w:r>
        <w:rPr>
          <w:rFonts w:hint="eastAsia" w:ascii="宋体" w:hAnsi="宋体" w:cs="宋体"/>
          <w:b/>
          <w:bCs/>
          <w:color w:val="auto"/>
          <w:kern w:val="0"/>
          <w:sz w:val="30"/>
          <w:szCs w:val="30"/>
          <w:highlight w:val="none"/>
        </w:rPr>
        <w:t>中小企业声明函（货物）</w:t>
      </w:r>
      <w:bookmarkEnd w:id="196"/>
      <w:bookmarkEnd w:id="197"/>
    </w:p>
    <w:p w14:paraId="5A0F1399">
      <w:pPr>
        <w:snapToGrid w:val="0"/>
        <w:spacing w:line="360" w:lineRule="auto"/>
        <w:ind w:right="482"/>
        <w:jc w:val="left"/>
        <w:rPr>
          <w:rFonts w:ascii="宋体" w:hAnsi="宋体"/>
          <w:color w:val="auto"/>
          <w:sz w:val="24"/>
          <w:szCs w:val="20"/>
          <w:highlight w:val="none"/>
        </w:rPr>
      </w:pPr>
    </w:p>
    <w:p w14:paraId="0F6FC713">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本公司（联合体）郑重声明，根据《政府采购促进中小企业发展管理办法》（财库﹝2020﹞46 号）的规定，本公司（联合体）参加</w:t>
      </w:r>
      <w:r>
        <w:rPr>
          <w:rFonts w:hint="eastAsia" w:ascii="宋体" w:hAnsi="宋体"/>
          <w:color w:val="auto"/>
          <w:sz w:val="24"/>
          <w:szCs w:val="20"/>
          <w:highlight w:val="none"/>
          <w:u w:val="single"/>
        </w:rPr>
        <w:t>（单位名称）</w:t>
      </w:r>
      <w:r>
        <w:rPr>
          <w:rFonts w:hint="eastAsia" w:ascii="宋体" w:hAnsi="宋体"/>
          <w:color w:val="auto"/>
          <w:sz w:val="24"/>
          <w:szCs w:val="20"/>
          <w:highlight w:val="none"/>
        </w:rPr>
        <w:t>的</w:t>
      </w:r>
      <w:r>
        <w:rPr>
          <w:rFonts w:hint="eastAsia" w:ascii="宋体" w:hAnsi="宋体"/>
          <w:color w:val="auto"/>
          <w:sz w:val="24"/>
          <w:szCs w:val="20"/>
          <w:highlight w:val="none"/>
          <w:u w:val="single"/>
        </w:rPr>
        <w:t>（项目名称）</w:t>
      </w:r>
      <w:r>
        <w:rPr>
          <w:rFonts w:hint="eastAsia" w:ascii="宋体" w:hAnsi="宋体"/>
          <w:color w:val="auto"/>
          <w:sz w:val="24"/>
          <w:szCs w:val="20"/>
          <w:highlight w:val="none"/>
        </w:rPr>
        <w:t>采购活动，提供的货物全部由符合政策要求的中小企业制造。相关企业（含联合体中的中小企业、签订分包意向协议的中小企业）的具体情况如下：</w:t>
      </w:r>
    </w:p>
    <w:p w14:paraId="4E34EC5C">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 xml:space="preserve">1.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w:t>
      </w:r>
      <w:r>
        <w:rPr>
          <w:rFonts w:hint="eastAsia" w:ascii="宋体" w:hAnsi="宋体"/>
          <w:color w:val="auto"/>
          <w:sz w:val="24"/>
          <w:szCs w:val="20"/>
          <w:highlight w:val="none"/>
          <w:vertAlign w:val="superscript"/>
        </w:rPr>
        <w:t>1</w:t>
      </w:r>
      <w:r>
        <w:rPr>
          <w:rFonts w:hint="eastAsia" w:ascii="宋体" w:hAnsi="宋体"/>
          <w:color w:val="auto"/>
          <w:sz w:val="24"/>
          <w:szCs w:val="20"/>
          <w:highlight w:val="none"/>
        </w:rPr>
        <w:t>，属于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5F5C51B3">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 xml:space="preserve">2.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73B7166B">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w:t>
      </w:r>
    </w:p>
    <w:p w14:paraId="51E3F145">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以上企业，不属于大企业的分支机构，不存在控股股东为大企业的情形，也不存在与大企业的负责人为同一人的情形。</w:t>
      </w:r>
    </w:p>
    <w:p w14:paraId="30ABBB36">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本企业对上述声明内容的真实性负责。如有虚假，将依法承担相应责任。</w:t>
      </w:r>
    </w:p>
    <w:p w14:paraId="4739C39C">
      <w:pPr>
        <w:snapToGrid w:val="0"/>
        <w:spacing w:line="360" w:lineRule="auto"/>
        <w:ind w:right="482"/>
        <w:jc w:val="left"/>
        <w:rPr>
          <w:rFonts w:ascii="宋体" w:hAnsi="宋体"/>
          <w:color w:val="auto"/>
          <w:sz w:val="24"/>
          <w:szCs w:val="20"/>
          <w:highlight w:val="none"/>
        </w:rPr>
      </w:pPr>
    </w:p>
    <w:p w14:paraId="0E120BF8">
      <w:pPr>
        <w:snapToGrid w:val="0"/>
        <w:spacing w:line="360" w:lineRule="auto"/>
        <w:ind w:right="482" w:firstLine="480" w:firstLineChars="200"/>
        <w:jc w:val="left"/>
        <w:rPr>
          <w:rFonts w:ascii="宋体" w:hAnsi="宋体"/>
          <w:color w:val="auto"/>
          <w:sz w:val="24"/>
          <w:szCs w:val="20"/>
          <w:highlight w:val="none"/>
        </w:rPr>
      </w:pPr>
    </w:p>
    <w:p w14:paraId="6561E9D4">
      <w:pPr>
        <w:snapToGrid w:val="0"/>
        <w:spacing w:line="360" w:lineRule="auto"/>
        <w:ind w:right="482" w:firstLine="5527" w:firstLineChars="2303"/>
        <w:jc w:val="left"/>
        <w:rPr>
          <w:rFonts w:ascii="宋体" w:hAnsi="宋体"/>
          <w:color w:val="auto"/>
          <w:sz w:val="24"/>
          <w:szCs w:val="20"/>
          <w:highlight w:val="none"/>
        </w:rPr>
      </w:pPr>
      <w:r>
        <w:rPr>
          <w:rFonts w:hint="eastAsia" w:ascii="宋体" w:hAnsi="宋体"/>
          <w:color w:val="auto"/>
          <w:sz w:val="24"/>
          <w:szCs w:val="20"/>
          <w:highlight w:val="none"/>
        </w:rPr>
        <w:t>企业名称（盖章）：</w:t>
      </w:r>
    </w:p>
    <w:p w14:paraId="785467D1">
      <w:pPr>
        <w:snapToGrid w:val="0"/>
        <w:spacing w:line="360" w:lineRule="auto"/>
        <w:ind w:right="482" w:firstLine="5527" w:firstLineChars="2303"/>
        <w:jc w:val="left"/>
        <w:rPr>
          <w:rFonts w:ascii="宋体" w:hAnsi="宋体"/>
          <w:color w:val="auto"/>
          <w:sz w:val="24"/>
          <w:szCs w:val="20"/>
          <w:highlight w:val="none"/>
        </w:rPr>
      </w:pPr>
      <w:r>
        <w:rPr>
          <w:rFonts w:hint="eastAsia" w:ascii="宋体" w:hAnsi="宋体"/>
          <w:color w:val="auto"/>
          <w:sz w:val="24"/>
          <w:szCs w:val="20"/>
          <w:highlight w:val="none"/>
        </w:rPr>
        <w:t>日期：</w:t>
      </w:r>
    </w:p>
    <w:p w14:paraId="591FBC27">
      <w:pPr>
        <w:spacing w:line="480" w:lineRule="auto"/>
        <w:jc w:val="center"/>
        <w:rPr>
          <w:rFonts w:ascii="宋体" w:hAnsi="宋体"/>
          <w:color w:val="auto"/>
          <w:sz w:val="24"/>
          <w:szCs w:val="20"/>
          <w:highlight w:val="none"/>
        </w:rPr>
      </w:pPr>
    </w:p>
    <w:p w14:paraId="31820E7E">
      <w:pPr>
        <w:spacing w:line="360" w:lineRule="auto"/>
        <w:jc w:val="left"/>
        <w:rPr>
          <w:rFonts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6572C7F2">
      <w:pPr>
        <w:spacing w:line="360" w:lineRule="auto"/>
        <w:ind w:firstLine="482" w:firstLineChars="200"/>
        <w:rPr>
          <w:rFonts w:ascii="宋体" w:hAnsi="宋体" w:cs="宋体"/>
          <w:b/>
          <w:bCs/>
          <w:color w:val="auto"/>
          <w:sz w:val="24"/>
          <w:szCs w:val="20"/>
          <w:highlight w:val="none"/>
        </w:rPr>
      </w:pPr>
      <w:r>
        <w:rPr>
          <w:rFonts w:hint="eastAsia" w:ascii="宋体" w:hAnsi="宋体" w:cs="宋体"/>
          <w:b/>
          <w:bCs/>
          <w:color w:val="auto"/>
          <w:sz w:val="24"/>
          <w:szCs w:val="20"/>
          <w:highlight w:val="none"/>
        </w:rPr>
        <w:t>2、中小企业划分标准见工业和信息化部国家统计局国家发展和改革委员财政部《关于印发中小企业划型标准规定的通知》（工信部联企业【2011】300号）。</w:t>
      </w:r>
    </w:p>
    <w:p w14:paraId="7F6D7663">
      <w:pPr>
        <w:spacing w:line="360" w:lineRule="auto"/>
        <w:ind w:left="420" w:leftChars="200"/>
        <w:rPr>
          <w:rFonts w:ascii="宋体" w:hAnsi="宋体" w:cs="宋体"/>
          <w:b/>
          <w:bCs/>
          <w:color w:val="auto"/>
          <w:sz w:val="24"/>
          <w:szCs w:val="20"/>
          <w:highlight w:val="none"/>
        </w:rPr>
      </w:pPr>
      <w:r>
        <w:rPr>
          <w:rFonts w:hint="eastAsia" w:ascii="宋体" w:hAnsi="宋体" w:cs="宋体"/>
          <w:b/>
          <w:bCs/>
          <w:color w:val="auto"/>
          <w:sz w:val="24"/>
          <w:szCs w:val="20"/>
          <w:highlight w:val="none"/>
        </w:rPr>
        <w:t>3、本次采购标的对应的中小企业划分标准所属行业：制造业</w:t>
      </w:r>
    </w:p>
    <w:p w14:paraId="2563AE40">
      <w:pPr>
        <w:spacing w:line="48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4、属于中小企业的填写，不属于的无需填写此项内容。</w:t>
      </w:r>
    </w:p>
    <w:p w14:paraId="7C209182">
      <w:pPr>
        <w:rPr>
          <w:color w:val="auto"/>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E03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01EF">
    <w:pPr>
      <w:pStyle w:val="16"/>
      <w:framePr w:wrap="around" w:vAnchor="text" w:hAnchor="margin" w:xAlign="center" w:y="1"/>
      <w:rPr>
        <w:rStyle w:val="26"/>
      </w:rPr>
    </w:pPr>
    <w:r>
      <w:fldChar w:fldCharType="begin"/>
    </w:r>
    <w:r>
      <w:rPr>
        <w:rStyle w:val="26"/>
      </w:rPr>
      <w:instrText xml:space="preserve">PAGE  </w:instrText>
    </w:r>
    <w:r>
      <w:fldChar w:fldCharType="end"/>
    </w:r>
  </w:p>
  <w:p w14:paraId="485AF3E2">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DD13">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5E0F0BB6">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BUJxdTACAABT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acwQK3VOD5dt9&#10;2/PaQ3FGWha6vnCGb2pMvmXOPzCLjYBMcFT8PS6lBEwCvUVJBfbLv85DPNYHvZQ02Fg51ThHlMj3&#10;GusWenAw7GDsB0Mf1R1gp2Y4goZHEy9YLweztKA+4/ysQg50Mc0xU079YN75rrlx/rhYrWIQdpph&#10;fqt3hgfoIJ4zq6NHAaOuQZROiV4r7LVYmX4uQjP/uY9Rj/+C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BUJxdTACAABTBAAADgAAAAAAAAABACAAAAAhAQAAZHJzL2Uyb0RvYy54bWxQSwUG&#10;AAAAAAYABgBZAQAAwwUAAAAA&#10;">
              <v:fill on="f" focussize="0,0"/>
              <v:stroke on="f" weight="0.5pt"/>
              <v:imagedata o:title=""/>
              <o:lock v:ext="edit" aspectratio="f"/>
              <v:textbox inset="0mm,0mm,0mm,0mm" style="mso-fit-shape-to-text:t;">
                <w:txbxContent>
                  <w:p w14:paraId="5E0F0BB6">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B766E"/>
    <w:multiLevelType w:val="singleLevel"/>
    <w:tmpl w:val="2B0B766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157AF6"/>
    <w:rsid w:val="00246CBA"/>
    <w:rsid w:val="003452BA"/>
    <w:rsid w:val="005D38D5"/>
    <w:rsid w:val="006E4576"/>
    <w:rsid w:val="007943BD"/>
    <w:rsid w:val="008B1703"/>
    <w:rsid w:val="00943885"/>
    <w:rsid w:val="00A13FA2"/>
    <w:rsid w:val="00E50437"/>
    <w:rsid w:val="00F60408"/>
    <w:rsid w:val="00FE1DB4"/>
    <w:rsid w:val="011668C0"/>
    <w:rsid w:val="021A09FD"/>
    <w:rsid w:val="028A0050"/>
    <w:rsid w:val="02CA266F"/>
    <w:rsid w:val="03A21826"/>
    <w:rsid w:val="05DB355E"/>
    <w:rsid w:val="06FC7C8A"/>
    <w:rsid w:val="0B10433B"/>
    <w:rsid w:val="0C2C3490"/>
    <w:rsid w:val="0E092B22"/>
    <w:rsid w:val="0F361811"/>
    <w:rsid w:val="115B223C"/>
    <w:rsid w:val="11A135D3"/>
    <w:rsid w:val="13A24CF6"/>
    <w:rsid w:val="158C3568"/>
    <w:rsid w:val="19E37D30"/>
    <w:rsid w:val="1A815666"/>
    <w:rsid w:val="1C3109C5"/>
    <w:rsid w:val="1E9E3F50"/>
    <w:rsid w:val="21FC3824"/>
    <w:rsid w:val="240A18C2"/>
    <w:rsid w:val="24637B8A"/>
    <w:rsid w:val="246C2152"/>
    <w:rsid w:val="24E84DAB"/>
    <w:rsid w:val="25545725"/>
    <w:rsid w:val="2C7335B1"/>
    <w:rsid w:val="2D343A0C"/>
    <w:rsid w:val="2F2735E3"/>
    <w:rsid w:val="32205F78"/>
    <w:rsid w:val="32DA3823"/>
    <w:rsid w:val="39241029"/>
    <w:rsid w:val="3B482958"/>
    <w:rsid w:val="3D0A6058"/>
    <w:rsid w:val="3E7D08A4"/>
    <w:rsid w:val="40011C8E"/>
    <w:rsid w:val="40157AF6"/>
    <w:rsid w:val="40673C37"/>
    <w:rsid w:val="42674891"/>
    <w:rsid w:val="4278084D"/>
    <w:rsid w:val="45596713"/>
    <w:rsid w:val="479F062A"/>
    <w:rsid w:val="4CD8140F"/>
    <w:rsid w:val="51736DAF"/>
    <w:rsid w:val="53953895"/>
    <w:rsid w:val="56DA342C"/>
    <w:rsid w:val="573214BA"/>
    <w:rsid w:val="600339F4"/>
    <w:rsid w:val="613D7AE7"/>
    <w:rsid w:val="62712E97"/>
    <w:rsid w:val="65EB1ECA"/>
    <w:rsid w:val="67AC671F"/>
    <w:rsid w:val="68430781"/>
    <w:rsid w:val="691427CE"/>
    <w:rsid w:val="6E6B6663"/>
    <w:rsid w:val="70067E0C"/>
    <w:rsid w:val="70F058CE"/>
    <w:rsid w:val="742D494E"/>
    <w:rsid w:val="760D0672"/>
    <w:rsid w:val="7A570AB8"/>
    <w:rsid w:val="7C3E2EFA"/>
    <w:rsid w:val="7EF5193B"/>
    <w:rsid w:val="7F4C0ABC"/>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heading 3"/>
    <w:basedOn w:val="1"/>
    <w:next w:val="1"/>
    <w:link w:val="29"/>
    <w:semiHidden/>
    <w:unhideWhenUsed/>
    <w:qFormat/>
    <w:uiPriority w:val="0"/>
    <w:pPr>
      <w:keepNext/>
      <w:keepLines/>
      <w:spacing w:line="360" w:lineRule="auto"/>
      <w:outlineLvl w:val="2"/>
    </w:pPr>
    <w:rPr>
      <w:rFonts w:asciiTheme="minorHAnsi" w:hAnsiTheme="minorHAnsi"/>
      <w:b/>
      <w:bCs/>
      <w:sz w:val="28"/>
      <w:szCs w:val="32"/>
    </w:rPr>
  </w:style>
  <w:style w:type="character" w:default="1" w:styleId="25">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style>
  <w:style w:type="paragraph" w:styleId="3">
    <w:name w:val="Body Text"/>
    <w:basedOn w:val="1"/>
    <w:next w:val="4"/>
    <w:link w:val="54"/>
    <w:qFormat/>
    <w:uiPriority w:val="99"/>
  </w:style>
  <w:style w:type="paragraph" w:customStyle="1" w:styleId="4">
    <w:name w:val="Default"/>
    <w:next w:val="5"/>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widowControl/>
      <w:spacing w:after="120"/>
      <w:ind w:left="420" w:leftChars="200" w:firstLine="420" w:firstLineChars="200"/>
    </w:pPr>
    <w:rPr>
      <w:b w:val="0"/>
      <w:sz w:val="21"/>
      <w:szCs w:val="21"/>
    </w:rPr>
  </w:style>
  <w:style w:type="paragraph" w:styleId="7">
    <w:name w:val="Body Text Indent"/>
    <w:basedOn w:val="1"/>
    <w:next w:val="8"/>
    <w:qFormat/>
    <w:uiPriority w:val="0"/>
    <w:pPr>
      <w:spacing w:line="360" w:lineRule="auto"/>
      <w:ind w:firstLine="482" w:firstLineChars="100"/>
      <w:jc w:val="center"/>
    </w:pPr>
    <w:rPr>
      <w:rFonts w:ascii="黑体" w:eastAsia="黑体"/>
      <w:b/>
      <w:sz w:val="48"/>
      <w:szCs w:val="28"/>
    </w:rPr>
  </w:style>
  <w:style w:type="paragraph" w:styleId="8">
    <w:name w:val="envelope return"/>
    <w:basedOn w:val="1"/>
    <w:unhideWhenUsed/>
    <w:qFormat/>
    <w:uiPriority w:val="99"/>
    <w:pPr>
      <w:snapToGrid w:val="0"/>
    </w:pPr>
    <w:rPr>
      <w:rFonts w:ascii="等线 Light" w:hAnsi="等线 Light" w:eastAsia="等线 Light"/>
    </w:rPr>
  </w:style>
  <w:style w:type="paragraph" w:styleId="10">
    <w:name w:val="Normal Indent"/>
    <w:basedOn w:val="1"/>
    <w:next w:val="1"/>
    <w:unhideWhenUsed/>
    <w:qFormat/>
    <w:uiPriority w:val="0"/>
    <w:pPr>
      <w:ind w:firstLine="420" w:firstLineChars="200"/>
    </w:pPr>
    <w:rPr>
      <w:rFonts w:ascii="Calibri" w:hAnsi="Calibri"/>
      <w:szCs w:val="24"/>
    </w:rPr>
  </w:style>
  <w:style w:type="paragraph" w:styleId="11">
    <w:name w:val="annotation text"/>
    <w:basedOn w:val="1"/>
    <w:link w:val="52"/>
    <w:semiHidden/>
    <w:unhideWhenUsed/>
    <w:qFormat/>
    <w:uiPriority w:val="0"/>
    <w:pPr>
      <w:jc w:val="left"/>
    </w:pPr>
  </w:style>
  <w:style w:type="paragraph" w:styleId="12">
    <w:name w:val="toc 3"/>
    <w:basedOn w:val="1"/>
    <w:next w:val="1"/>
    <w:qFormat/>
    <w:uiPriority w:val="0"/>
    <w:pPr>
      <w:ind w:left="840" w:leftChars="400"/>
    </w:pPr>
  </w:style>
  <w:style w:type="paragraph" w:styleId="13">
    <w:name w:val="Plain Text"/>
    <w:basedOn w:val="1"/>
    <w:next w:val="14"/>
    <w:qFormat/>
    <w:uiPriority w:val="0"/>
    <w:rPr>
      <w:rFonts w:ascii="宋体" w:hAnsi="Courier New" w:cs="Courier New"/>
      <w:szCs w:val="21"/>
    </w:rPr>
  </w:style>
  <w:style w:type="paragraph" w:styleId="14">
    <w:name w:val="index 7"/>
    <w:basedOn w:val="1"/>
    <w:next w:val="1"/>
    <w:unhideWhenUsed/>
    <w:qFormat/>
    <w:uiPriority w:val="99"/>
    <w:pPr>
      <w:ind w:left="1200" w:leftChars="1200"/>
    </w:pPr>
    <w:rPr>
      <w:rFonts w:hint="eastAsia"/>
      <w:szCs w:val="24"/>
    </w:rPr>
  </w:style>
  <w:style w:type="paragraph" w:styleId="15">
    <w:name w:val="Balloon Text"/>
    <w:basedOn w:val="1"/>
    <w:link w:val="51"/>
    <w:qFormat/>
    <w:uiPriority w:val="0"/>
    <w:rPr>
      <w:sz w:val="18"/>
      <w:szCs w:val="18"/>
    </w:rPr>
  </w:style>
  <w:style w:type="paragraph" w:styleId="16">
    <w:name w:val="footer"/>
    <w:basedOn w:val="1"/>
    <w:unhideWhenUsed/>
    <w:qFormat/>
    <w:uiPriority w:val="0"/>
    <w:pPr>
      <w:tabs>
        <w:tab w:val="center" w:pos="4153"/>
        <w:tab w:val="right" w:pos="8306"/>
      </w:tabs>
      <w:snapToGrid w:val="0"/>
      <w:jc w:val="left"/>
    </w:pPr>
    <w:rPr>
      <w:kern w:val="0"/>
      <w:sz w:val="18"/>
      <w:szCs w:val="18"/>
    </w:rPr>
  </w:style>
  <w:style w:type="paragraph" w:styleId="17">
    <w:name w:val="header"/>
    <w:basedOn w:val="1"/>
    <w:next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Quote"/>
    <w:basedOn w:val="1"/>
    <w:next w:val="1"/>
    <w:autoRedefine/>
    <w:qFormat/>
    <w:uiPriority w:val="0"/>
    <w:rPr>
      <w:rFonts w:asciiTheme="minorHAnsi" w:hAnsiTheme="minorHAnsi" w:eastAsiaTheme="minorEastAsia" w:cstheme="minorBidi"/>
      <w:i/>
      <w:iCs/>
      <w:color w:val="000000"/>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next w:val="13"/>
    <w:qFormat/>
    <w:uiPriority w:val="0"/>
    <w:pPr>
      <w:spacing w:after="120" w:line="480" w:lineRule="auto"/>
      <w:ind w:firstLine="560" w:firstLineChars="200"/>
    </w:pPr>
    <w:rPr>
      <w:rFonts w:eastAsia="仿宋_GB2312"/>
      <w:sz w:val="28"/>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11"/>
    <w:next w:val="11"/>
    <w:link w:val="53"/>
    <w:semiHidden/>
    <w:unhideWhenUsed/>
    <w:uiPriority w:val="0"/>
    <w:rPr>
      <w:b/>
      <w:bCs/>
    </w:rPr>
  </w:style>
  <w:style w:type="character" w:styleId="26">
    <w:name w:val="page number"/>
    <w:basedOn w:val="25"/>
    <w:qFormat/>
    <w:uiPriority w:val="0"/>
  </w:style>
  <w:style w:type="character" w:styleId="27">
    <w:name w:val="Hyperlink"/>
    <w:qFormat/>
    <w:uiPriority w:val="99"/>
    <w:rPr>
      <w:rFonts w:cs="Times New Roman"/>
      <w:color w:val="000000"/>
      <w:sz w:val="18"/>
      <w:szCs w:val="18"/>
      <w:u w:val="none"/>
    </w:rPr>
  </w:style>
  <w:style w:type="character" w:styleId="28">
    <w:name w:val="annotation reference"/>
    <w:basedOn w:val="25"/>
    <w:semiHidden/>
    <w:unhideWhenUsed/>
    <w:uiPriority w:val="0"/>
    <w:rPr>
      <w:sz w:val="21"/>
      <w:szCs w:val="21"/>
    </w:rPr>
  </w:style>
  <w:style w:type="character" w:customStyle="1" w:styleId="29">
    <w:name w:val="标题 3 Char"/>
    <w:basedOn w:val="25"/>
    <w:link w:val="9"/>
    <w:autoRedefine/>
    <w:qFormat/>
    <w:uiPriority w:val="9"/>
    <w:rPr>
      <w:rFonts w:asciiTheme="minorHAnsi" w:hAnsiTheme="minorHAnsi" w:eastAsiaTheme="minorEastAsia"/>
      <w:b/>
      <w:bCs/>
      <w:sz w:val="28"/>
      <w:szCs w:val="32"/>
    </w:rPr>
  </w:style>
  <w:style w:type="paragraph" w:styleId="3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首行缩进1"/>
    <w:basedOn w:val="1"/>
    <w:next w:val="32"/>
    <w:qFormat/>
    <w:uiPriority w:val="0"/>
    <w:pPr>
      <w:spacing w:line="276" w:lineRule="auto"/>
      <w:ind w:firstLine="420" w:firstLineChars="100"/>
    </w:pPr>
    <w:rPr>
      <w:rFonts w:ascii="宋体" w:hAnsi="Calibri" w:eastAsia="仿宋"/>
      <w:sz w:val="24"/>
      <w:szCs w:val="21"/>
    </w:rPr>
  </w:style>
  <w:style w:type="paragraph" w:customStyle="1" w:styleId="32">
    <w:name w:val="正文首行缩进 21"/>
    <w:basedOn w:val="1"/>
    <w:qFormat/>
    <w:uiPriority w:val="0"/>
    <w:pPr>
      <w:ind w:firstLine="420" w:firstLineChars="200"/>
    </w:pPr>
    <w:rPr>
      <w:rFonts w:eastAsia="仿宋"/>
      <w:sz w:val="24"/>
      <w:szCs w:val="21"/>
    </w:rPr>
  </w:style>
  <w:style w:type="character" w:customStyle="1" w:styleId="33">
    <w:name w:val="NormalCharacter"/>
    <w:qFormat/>
    <w:uiPriority w:val="0"/>
  </w:style>
  <w:style w:type="character" w:customStyle="1" w:styleId="34">
    <w:name w:val="font81"/>
    <w:basedOn w:val="25"/>
    <w:qFormat/>
    <w:uiPriority w:val="0"/>
    <w:rPr>
      <w:rFonts w:hint="eastAsia" w:ascii="宋体" w:hAnsi="宋体" w:eastAsia="宋体" w:cs="宋体"/>
      <w:color w:val="000000"/>
      <w:sz w:val="20"/>
      <w:szCs w:val="20"/>
      <w:u w:val="single"/>
    </w:rPr>
  </w:style>
  <w:style w:type="character" w:customStyle="1" w:styleId="35">
    <w:name w:val="font21"/>
    <w:basedOn w:val="25"/>
    <w:qFormat/>
    <w:uiPriority w:val="0"/>
    <w:rPr>
      <w:rFonts w:hint="eastAsia" w:ascii="仿宋_GB2312" w:eastAsia="仿宋_GB2312" w:cs="仿宋_GB2312"/>
      <w:color w:val="000000"/>
      <w:sz w:val="20"/>
      <w:szCs w:val="20"/>
      <w:u w:val="none"/>
    </w:rPr>
  </w:style>
  <w:style w:type="paragraph" w:customStyle="1" w:styleId="36">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37">
    <w:name w:val="font31"/>
    <w:basedOn w:val="25"/>
    <w:qFormat/>
    <w:uiPriority w:val="0"/>
    <w:rPr>
      <w:rFonts w:hint="eastAsia" w:ascii="宋体" w:hAnsi="宋体" w:eastAsia="宋体" w:cs="宋体"/>
      <w:b/>
      <w:bCs/>
      <w:color w:val="000000"/>
      <w:sz w:val="28"/>
      <w:szCs w:val="28"/>
      <w:u w:val="none"/>
    </w:rPr>
  </w:style>
  <w:style w:type="character" w:customStyle="1" w:styleId="38">
    <w:name w:val="font151"/>
    <w:basedOn w:val="25"/>
    <w:qFormat/>
    <w:uiPriority w:val="0"/>
    <w:rPr>
      <w:rFonts w:ascii="Wingdings 2" w:hAnsi="Wingdings 2" w:eastAsia="Wingdings 2" w:cs="Wingdings 2"/>
      <w:color w:val="000000"/>
      <w:sz w:val="22"/>
      <w:szCs w:val="22"/>
      <w:u w:val="none"/>
    </w:rPr>
  </w:style>
  <w:style w:type="character" w:customStyle="1" w:styleId="39">
    <w:name w:val="font01"/>
    <w:basedOn w:val="25"/>
    <w:qFormat/>
    <w:uiPriority w:val="0"/>
    <w:rPr>
      <w:rFonts w:hint="eastAsia" w:ascii="宋体" w:hAnsi="宋体" w:eastAsia="宋体" w:cs="宋体"/>
      <w:color w:val="000000"/>
      <w:sz w:val="22"/>
      <w:szCs w:val="22"/>
      <w:u w:val="none"/>
    </w:rPr>
  </w:style>
  <w:style w:type="character" w:customStyle="1" w:styleId="40">
    <w:name w:val="font91"/>
    <w:basedOn w:val="25"/>
    <w:autoRedefine/>
    <w:qFormat/>
    <w:uiPriority w:val="0"/>
    <w:rPr>
      <w:rFonts w:hint="eastAsia" w:ascii="宋体" w:hAnsi="宋体" w:eastAsia="宋体" w:cs="宋体"/>
      <w:color w:val="000000"/>
      <w:sz w:val="24"/>
      <w:szCs w:val="24"/>
      <w:u w:val="none"/>
    </w:rPr>
  </w:style>
  <w:style w:type="character" w:customStyle="1" w:styleId="41">
    <w:name w:val="font51"/>
    <w:basedOn w:val="25"/>
    <w:autoRedefine/>
    <w:qFormat/>
    <w:uiPriority w:val="0"/>
    <w:rPr>
      <w:rFonts w:hint="eastAsia" w:ascii="宋体" w:hAnsi="宋体" w:eastAsia="宋体" w:cs="宋体"/>
      <w:b/>
      <w:bCs/>
      <w:color w:val="000000"/>
      <w:sz w:val="24"/>
      <w:szCs w:val="24"/>
      <w:u w:val="none"/>
    </w:rPr>
  </w:style>
  <w:style w:type="character" w:customStyle="1" w:styleId="42">
    <w:name w:val="font11"/>
    <w:basedOn w:val="25"/>
    <w:autoRedefine/>
    <w:qFormat/>
    <w:uiPriority w:val="0"/>
    <w:rPr>
      <w:rFonts w:hint="default" w:ascii="Times New Roman" w:hAnsi="Times New Roman" w:cs="Times New Roman"/>
      <w:color w:val="000000"/>
      <w:sz w:val="22"/>
      <w:szCs w:val="22"/>
      <w:u w:val="none"/>
    </w:rPr>
  </w:style>
  <w:style w:type="character" w:customStyle="1" w:styleId="43">
    <w:name w:val="font101"/>
    <w:basedOn w:val="25"/>
    <w:qFormat/>
    <w:uiPriority w:val="0"/>
    <w:rPr>
      <w:rFonts w:hint="eastAsia" w:ascii="宋体" w:hAnsi="宋体" w:eastAsia="宋体" w:cs="宋体"/>
      <w:color w:val="000000"/>
      <w:sz w:val="24"/>
      <w:szCs w:val="24"/>
      <w:u w:val="none"/>
    </w:rPr>
  </w:style>
  <w:style w:type="character" w:customStyle="1" w:styleId="44">
    <w:name w:val="font112"/>
    <w:basedOn w:val="25"/>
    <w:qFormat/>
    <w:uiPriority w:val="0"/>
    <w:rPr>
      <w:rFonts w:hint="eastAsia" w:ascii="宋体" w:hAnsi="宋体" w:eastAsia="宋体" w:cs="宋体"/>
      <w:color w:val="000000"/>
      <w:sz w:val="24"/>
      <w:szCs w:val="24"/>
      <w:u w:val="none"/>
    </w:rPr>
  </w:style>
  <w:style w:type="character" w:customStyle="1" w:styleId="45">
    <w:name w:val="font121"/>
    <w:basedOn w:val="25"/>
    <w:qFormat/>
    <w:uiPriority w:val="0"/>
    <w:rPr>
      <w:rFonts w:hint="eastAsia" w:ascii="宋体" w:hAnsi="宋体" w:eastAsia="宋体" w:cs="宋体"/>
      <w:color w:val="000000"/>
      <w:sz w:val="24"/>
      <w:szCs w:val="24"/>
      <w:u w:val="none"/>
    </w:rPr>
  </w:style>
  <w:style w:type="character" w:customStyle="1" w:styleId="46">
    <w:name w:val="font71"/>
    <w:basedOn w:val="25"/>
    <w:autoRedefine/>
    <w:qFormat/>
    <w:uiPriority w:val="0"/>
    <w:rPr>
      <w:rFonts w:hint="default" w:ascii="仿宋_GB2312" w:eastAsia="仿宋_GB2312" w:cs="仿宋_GB2312"/>
      <w:color w:val="000000"/>
      <w:sz w:val="24"/>
      <w:szCs w:val="24"/>
      <w:u w:val="none"/>
    </w:rPr>
  </w:style>
  <w:style w:type="character" w:customStyle="1" w:styleId="47">
    <w:name w:val="font41"/>
    <w:basedOn w:val="25"/>
    <w:autoRedefine/>
    <w:qFormat/>
    <w:uiPriority w:val="0"/>
    <w:rPr>
      <w:rFonts w:hint="default" w:ascii="Times New Roman" w:hAnsi="Times New Roman" w:cs="Times New Roman"/>
      <w:b/>
      <w:bCs/>
      <w:color w:val="000000"/>
      <w:sz w:val="24"/>
      <w:szCs w:val="24"/>
      <w:u w:val="none"/>
    </w:rPr>
  </w:style>
  <w:style w:type="table" w:customStyle="1" w:styleId="48">
    <w:name w:val="Table Normal"/>
    <w:unhideWhenUsed/>
    <w:qFormat/>
    <w:uiPriority w:val="0"/>
    <w:tblPr>
      <w:tblCellMar>
        <w:top w:w="0" w:type="dxa"/>
        <w:left w:w="0" w:type="dxa"/>
        <w:bottom w:w="0" w:type="dxa"/>
        <w:right w:w="0" w:type="dxa"/>
      </w:tblCellMar>
    </w:tblPr>
  </w:style>
  <w:style w:type="paragraph" w:customStyle="1" w:styleId="49">
    <w:name w:val="表-题注"/>
    <w:qFormat/>
    <w:uiPriority w:val="1"/>
    <w:pPr>
      <w:jc w:val="center"/>
    </w:pPr>
    <w:rPr>
      <w:rFonts w:ascii="宋体" w:hAnsi="宋体" w:eastAsia="宋体" w:cs="Times New Roman"/>
      <w:b/>
      <w:kern w:val="2"/>
      <w:sz w:val="24"/>
      <w:szCs w:val="28"/>
      <w:lang w:val="en-US" w:eastAsia="zh-CN" w:bidi="ar-SA"/>
    </w:rPr>
  </w:style>
  <w:style w:type="paragraph" w:customStyle="1" w:styleId="50">
    <w:name w:val="Table Text"/>
    <w:basedOn w:val="1"/>
    <w:semiHidden/>
    <w:qFormat/>
    <w:uiPriority w:val="0"/>
    <w:pPr>
      <w:spacing w:line="500" w:lineRule="exact"/>
      <w:ind w:firstLine="200" w:firstLineChars="200"/>
      <w:jc w:val="left"/>
    </w:pPr>
    <w:rPr>
      <w:rFonts w:ascii="宋体" w:hAnsi="宋体" w:cs="宋体"/>
      <w:sz w:val="24"/>
      <w:szCs w:val="24"/>
      <w:lang w:eastAsia="en-US"/>
    </w:rPr>
  </w:style>
  <w:style w:type="character" w:customStyle="1" w:styleId="51">
    <w:name w:val="批注框文本 Char"/>
    <w:basedOn w:val="25"/>
    <w:link w:val="15"/>
    <w:uiPriority w:val="0"/>
    <w:rPr>
      <w:kern w:val="2"/>
      <w:sz w:val="18"/>
      <w:szCs w:val="18"/>
    </w:rPr>
  </w:style>
  <w:style w:type="character" w:customStyle="1" w:styleId="52">
    <w:name w:val="批注文字 Char"/>
    <w:basedOn w:val="25"/>
    <w:link w:val="11"/>
    <w:semiHidden/>
    <w:uiPriority w:val="0"/>
    <w:rPr>
      <w:kern w:val="2"/>
      <w:sz w:val="21"/>
      <w:szCs w:val="22"/>
    </w:rPr>
  </w:style>
  <w:style w:type="character" w:customStyle="1" w:styleId="53">
    <w:name w:val="批注主题 Char"/>
    <w:basedOn w:val="52"/>
    <w:link w:val="23"/>
    <w:semiHidden/>
    <w:uiPriority w:val="0"/>
    <w:rPr>
      <w:b/>
      <w:bCs/>
      <w:kern w:val="2"/>
      <w:sz w:val="21"/>
      <w:szCs w:val="22"/>
    </w:rPr>
  </w:style>
  <w:style w:type="character" w:customStyle="1" w:styleId="54">
    <w:name w:val="正文文本 Char"/>
    <w:basedOn w:val="25"/>
    <w:link w:val="3"/>
    <w:uiPriority w:val="99"/>
    <w:rPr>
      <w:kern w:val="2"/>
      <w:sz w:val="21"/>
      <w:szCs w:val="22"/>
    </w:rPr>
  </w:style>
  <w:style w:type="paragraph" w:customStyle="1" w:styleId="55">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13428</Words>
  <Characters>14584</Characters>
  <Lines>271</Lines>
  <Paragraphs>76</Paragraphs>
  <TotalTime>40</TotalTime>
  <ScaleCrop>false</ScaleCrop>
  <LinksUpToDate>false</LinksUpToDate>
  <CharactersWithSpaces>14684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2025-12-05T03:19:00Z</dcterms:created>
  <dc:creator>Administrator</dc:creator>
  <cp:lastModifiedBy>李扬</cp:lastModifiedBy>
  <dcterms:modified xsi:type="dcterms:W3CDTF">2025-12-05T08:40:02Z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EDDDFE0AE7384492931FECE12B5481D6_11</vt:lpwstr>
  </property>
  <property fmtid="{D5CDD505-2E9C-101B-9397-08002B2CF9AE}" pid="4" name="KSOTemplateDocerSaveRecord">
    <vt:lpwstr>eyJoZGlkIjoiOWVjNTAyZTJmOTk5YjJjMzg5ZWM5MjdhMWFkZjhkYzQiLCJ1c2VySWQiOiI0MzczODk0NzkifQ==</vt:lpwstr>
  </property>
</Properties>
</file>